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新宋体" w:hAnsi="新宋体" w:eastAsia="新宋体" w:cs="新宋体"/>
          <w:b/>
          <w:bCs/>
          <w:sz w:val="44"/>
          <w:szCs w:val="44"/>
          <w:lang w:val="en-US" w:eastAsia="zh-CN"/>
        </w:rPr>
      </w:pPr>
      <w:r>
        <w:rPr>
          <w:rFonts w:hint="eastAsia" w:ascii="新宋体" w:hAnsi="新宋体" w:eastAsia="新宋体" w:cs="新宋体"/>
          <w:b/>
          <w:bCs/>
          <w:sz w:val="44"/>
          <w:szCs w:val="44"/>
          <w:lang w:val="en-US" w:eastAsia="zh-CN"/>
        </w:rPr>
        <w:t>高邑县退役军人事务局职责任务清单</w:t>
      </w:r>
    </w:p>
    <w:tbl>
      <w:tblPr>
        <w:tblStyle w:val="3"/>
        <w:tblW w:w="141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1945"/>
        <w:gridCol w:w="3889"/>
        <w:gridCol w:w="814"/>
        <w:gridCol w:w="4000"/>
        <w:gridCol w:w="2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809" w:type="dxa"/>
            <w:vAlign w:val="center"/>
          </w:tcPr>
          <w:p>
            <w:pPr>
              <w:jc w:val="center"/>
              <w:rPr>
                <w:rFonts w:hint="eastAsia" w:ascii="黑体" w:hAnsi="黑体" w:eastAsia="黑体" w:cs="黑体"/>
                <w:b w:val="0"/>
                <w:bCs w:val="0"/>
                <w:sz w:val="28"/>
                <w:szCs w:val="28"/>
                <w:u w:val="none"/>
                <w:vertAlign w:val="baseline"/>
                <w:lang w:val="en-US" w:eastAsia="zh-CN"/>
              </w:rPr>
            </w:pPr>
            <w:r>
              <w:rPr>
                <w:rFonts w:hint="eastAsia" w:ascii="黑体" w:hAnsi="黑体" w:eastAsia="黑体" w:cs="黑体"/>
                <w:b w:val="0"/>
                <w:bCs w:val="0"/>
                <w:sz w:val="28"/>
                <w:szCs w:val="28"/>
                <w:u w:val="none"/>
                <w:vertAlign w:val="baseline"/>
                <w:lang w:val="en-US" w:eastAsia="zh-CN"/>
              </w:rPr>
              <w:t>序号</w:t>
            </w:r>
          </w:p>
        </w:tc>
        <w:tc>
          <w:tcPr>
            <w:tcW w:w="1945" w:type="dxa"/>
            <w:vAlign w:val="center"/>
          </w:tcPr>
          <w:p>
            <w:pPr>
              <w:jc w:val="center"/>
              <w:rPr>
                <w:rFonts w:hint="eastAsia" w:ascii="黑体" w:hAnsi="黑体" w:eastAsia="黑体" w:cs="黑体"/>
                <w:b w:val="0"/>
                <w:bCs w:val="0"/>
                <w:sz w:val="28"/>
                <w:szCs w:val="28"/>
                <w:u w:val="none"/>
                <w:vertAlign w:val="baseline"/>
                <w:lang w:val="en-US" w:eastAsia="zh-CN"/>
              </w:rPr>
            </w:pPr>
            <w:r>
              <w:rPr>
                <w:rFonts w:hint="eastAsia" w:ascii="黑体" w:hAnsi="黑体" w:eastAsia="黑体" w:cs="黑体"/>
                <w:b w:val="0"/>
                <w:bCs w:val="0"/>
                <w:sz w:val="28"/>
                <w:szCs w:val="28"/>
                <w:u w:val="none"/>
                <w:vertAlign w:val="baseline"/>
                <w:lang w:val="en-US" w:eastAsia="zh-CN"/>
              </w:rPr>
              <w:t>内设机构名称</w:t>
            </w:r>
          </w:p>
        </w:tc>
        <w:tc>
          <w:tcPr>
            <w:tcW w:w="3889"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outlineLvl w:val="9"/>
              <w:rPr>
                <w:rFonts w:hint="eastAsia" w:ascii="黑体" w:hAnsi="黑体" w:eastAsia="黑体" w:cs="黑体"/>
                <w:b w:val="0"/>
                <w:bCs w:val="0"/>
                <w:sz w:val="28"/>
                <w:szCs w:val="28"/>
                <w:u w:val="none"/>
                <w:vertAlign w:val="baseline"/>
                <w:lang w:val="en-US" w:eastAsia="zh-CN"/>
              </w:rPr>
            </w:pPr>
            <w:r>
              <w:rPr>
                <w:rFonts w:hint="eastAsia" w:ascii="黑体" w:hAnsi="黑体" w:eastAsia="黑体" w:cs="黑体"/>
                <w:b w:val="0"/>
                <w:bCs w:val="0"/>
                <w:sz w:val="28"/>
                <w:szCs w:val="28"/>
                <w:u w:val="none"/>
                <w:vertAlign w:val="baseline"/>
                <w:lang w:val="en-US" w:eastAsia="zh-CN"/>
              </w:rPr>
              <w:t>对应部门“三定”规定主要职责及内设机构具体职责</w:t>
            </w:r>
          </w:p>
        </w:tc>
        <w:tc>
          <w:tcPr>
            <w:tcW w:w="814" w:type="dxa"/>
            <w:vAlign w:val="center"/>
          </w:tcPr>
          <w:p>
            <w:pPr>
              <w:tabs>
                <w:tab w:val="left" w:pos="374"/>
              </w:tabs>
              <w:jc w:val="center"/>
              <w:rPr>
                <w:rFonts w:hint="eastAsia" w:ascii="黑体" w:hAnsi="黑体" w:eastAsia="黑体" w:cs="黑体"/>
                <w:b w:val="0"/>
                <w:bCs w:val="0"/>
                <w:sz w:val="28"/>
                <w:szCs w:val="28"/>
                <w:u w:val="none"/>
                <w:vertAlign w:val="baseline"/>
                <w:lang w:val="en-US" w:eastAsia="zh-CN"/>
              </w:rPr>
            </w:pPr>
            <w:r>
              <w:rPr>
                <w:rFonts w:hint="eastAsia" w:ascii="黑体" w:hAnsi="黑体" w:eastAsia="黑体" w:cs="黑体"/>
                <w:b w:val="0"/>
                <w:bCs w:val="0"/>
                <w:sz w:val="28"/>
                <w:szCs w:val="28"/>
                <w:u w:val="none"/>
                <w:vertAlign w:val="baseline"/>
                <w:lang w:val="en-US" w:eastAsia="zh-CN"/>
              </w:rPr>
              <w:t>序号</w:t>
            </w:r>
          </w:p>
        </w:tc>
        <w:tc>
          <w:tcPr>
            <w:tcW w:w="4000" w:type="dxa"/>
            <w:vAlign w:val="center"/>
          </w:tcPr>
          <w:p>
            <w:pPr>
              <w:jc w:val="center"/>
              <w:rPr>
                <w:rFonts w:hint="eastAsia" w:ascii="黑体" w:hAnsi="黑体" w:eastAsia="黑体" w:cs="黑体"/>
                <w:b w:val="0"/>
                <w:bCs w:val="0"/>
                <w:sz w:val="28"/>
                <w:szCs w:val="28"/>
                <w:u w:val="none"/>
                <w:vertAlign w:val="baseline"/>
                <w:lang w:val="en-US" w:eastAsia="zh-CN"/>
              </w:rPr>
            </w:pPr>
            <w:r>
              <w:rPr>
                <w:rFonts w:hint="eastAsia" w:ascii="黑体" w:hAnsi="黑体" w:eastAsia="黑体" w:cs="黑体"/>
                <w:b w:val="0"/>
                <w:bCs w:val="0"/>
                <w:sz w:val="28"/>
                <w:szCs w:val="28"/>
                <w:u w:val="none"/>
                <w:vertAlign w:val="baseline"/>
                <w:lang w:val="en-US" w:eastAsia="zh-CN"/>
              </w:rPr>
              <w:t>内设机构细化分解工作任务</w:t>
            </w:r>
          </w:p>
        </w:tc>
        <w:tc>
          <w:tcPr>
            <w:tcW w:w="2671" w:type="dxa"/>
            <w:vAlign w:val="center"/>
          </w:tcPr>
          <w:p>
            <w:pPr>
              <w:jc w:val="center"/>
              <w:rPr>
                <w:rFonts w:hint="eastAsia" w:ascii="黑体" w:hAnsi="黑体" w:eastAsia="黑体" w:cs="黑体"/>
                <w:b w:val="0"/>
                <w:bCs w:val="0"/>
                <w:sz w:val="28"/>
                <w:szCs w:val="28"/>
                <w:u w:val="none"/>
                <w:vertAlign w:val="baseline"/>
                <w:lang w:val="en-US" w:eastAsia="zh-CN"/>
              </w:rPr>
            </w:pPr>
            <w:r>
              <w:rPr>
                <w:rFonts w:hint="eastAsia" w:ascii="黑体" w:hAnsi="黑体" w:eastAsia="黑体" w:cs="黑体"/>
                <w:b w:val="0"/>
                <w:bCs w:val="0"/>
                <w:sz w:val="28"/>
                <w:szCs w:val="28"/>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809" w:type="dxa"/>
            <w:vMerge w:val="restart"/>
            <w:vAlign w:val="center"/>
          </w:tcPr>
          <w:p>
            <w:pPr>
              <w:jc w:val="center"/>
              <w:rPr>
                <w:rFonts w:hint="eastAsia" w:ascii="仿宋_GB2312" w:hAnsi="仿宋_GB2312" w:eastAsia="仿宋_GB2312" w:cs="仿宋_GB2312"/>
                <w:sz w:val="24"/>
                <w:szCs w:val="24"/>
                <w:u w:val="none"/>
                <w:vertAlign w:val="baseline"/>
                <w:lang w:val="en-US" w:eastAsia="zh-CN"/>
              </w:rPr>
            </w:pPr>
            <w:r>
              <w:rPr>
                <w:rFonts w:hint="eastAsia" w:ascii="仿宋_GB2312" w:hAnsi="仿宋_GB2312" w:eastAsia="仿宋_GB2312" w:cs="仿宋_GB2312"/>
                <w:sz w:val="24"/>
                <w:szCs w:val="24"/>
                <w:u w:val="none"/>
                <w:vertAlign w:val="baseline"/>
                <w:lang w:val="en-US" w:eastAsia="zh-CN"/>
              </w:rPr>
              <w:t>1</w:t>
            </w:r>
          </w:p>
        </w:tc>
        <w:tc>
          <w:tcPr>
            <w:tcW w:w="1945" w:type="dxa"/>
            <w:vMerge w:val="restart"/>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办公室</w:t>
            </w:r>
          </w:p>
        </w:tc>
        <w:tc>
          <w:tcPr>
            <w:tcW w:w="3889" w:type="dxa"/>
            <w:vMerge w:val="restart"/>
            <w:vAlign w:val="center"/>
          </w:tcPr>
          <w:p>
            <w:pPr>
              <w:keepNext w:val="0"/>
              <w:keepLines w:val="0"/>
              <w:pageBreakBefore w:val="0"/>
              <w:kinsoku/>
              <w:wordWrap/>
              <w:overflowPunct/>
              <w:topLinePunct w:val="0"/>
              <w:autoSpaceDE/>
              <w:autoSpaceDN/>
              <w:bidi w:val="0"/>
              <w:adjustRightInd w:val="0"/>
              <w:snapToGrid w:val="0"/>
              <w:spacing w:line="240" w:lineRule="exact"/>
              <w:jc w:val="both"/>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负责机关日常工作的协调和督查 ，负责机关文电、会务、机要、保密、档案、宣传、政务公开、后勤保障等工作，承担人大代表建议、政协委员提案答复等工作。</w:t>
            </w:r>
          </w:p>
        </w:tc>
        <w:tc>
          <w:tcPr>
            <w:tcW w:w="814" w:type="dxa"/>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4000" w:type="dxa"/>
            <w:vAlign w:val="center"/>
          </w:tcPr>
          <w:p>
            <w:pPr>
              <w:keepNext w:val="0"/>
              <w:keepLines w:val="0"/>
              <w:pageBreakBefore w:val="0"/>
              <w:widowControl w:val="0"/>
              <w:kinsoku/>
              <w:wordWrap/>
              <w:overflowPunct/>
              <w:topLinePunct w:val="0"/>
              <w:autoSpaceDE/>
              <w:autoSpaceDN/>
              <w:bidi w:val="0"/>
              <w:adjustRightInd w:val="0"/>
              <w:snapToGrid w:val="0"/>
              <w:spacing w:line="440" w:lineRule="exact"/>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负责机关日常工作的协调 ，做好文件流转工作。</w:t>
            </w:r>
          </w:p>
        </w:tc>
        <w:tc>
          <w:tcPr>
            <w:tcW w:w="2671" w:type="dxa"/>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809" w:type="dxa"/>
            <w:vMerge w:val="continue"/>
            <w:vAlign w:val="center"/>
          </w:tcPr>
          <w:p>
            <w:pPr>
              <w:jc w:val="center"/>
              <w:rPr>
                <w:rFonts w:hint="eastAsia" w:ascii="仿宋_GB2312" w:hAnsi="仿宋_GB2312" w:eastAsia="仿宋_GB2312" w:cs="仿宋_GB2312"/>
                <w:sz w:val="24"/>
                <w:szCs w:val="24"/>
                <w:u w:val="none"/>
                <w:vertAlign w:val="baseline"/>
                <w:lang w:val="en-US" w:eastAsia="zh-CN"/>
              </w:rPr>
            </w:pPr>
          </w:p>
        </w:tc>
        <w:tc>
          <w:tcPr>
            <w:tcW w:w="1945"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c>
          <w:tcPr>
            <w:tcW w:w="3889"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c>
          <w:tcPr>
            <w:tcW w:w="814" w:type="dxa"/>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4000" w:type="dxa"/>
            <w:vAlign w:val="center"/>
          </w:tcPr>
          <w:p>
            <w:pPr>
              <w:keepNext w:val="0"/>
              <w:keepLines w:val="0"/>
              <w:pageBreakBefore w:val="0"/>
              <w:widowControl w:val="0"/>
              <w:kinsoku/>
              <w:wordWrap/>
              <w:overflowPunct/>
              <w:topLinePunct w:val="0"/>
              <w:autoSpaceDE/>
              <w:autoSpaceDN/>
              <w:bidi w:val="0"/>
              <w:adjustRightInd w:val="0"/>
              <w:snapToGrid w:val="0"/>
              <w:spacing w:line="440" w:lineRule="exact"/>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负责机关会务工作，做好会议室管理使用。</w:t>
            </w:r>
          </w:p>
        </w:tc>
        <w:tc>
          <w:tcPr>
            <w:tcW w:w="2671" w:type="dxa"/>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809" w:type="dxa"/>
            <w:vMerge w:val="continue"/>
            <w:vAlign w:val="center"/>
          </w:tcPr>
          <w:p>
            <w:pPr>
              <w:jc w:val="center"/>
              <w:rPr>
                <w:rFonts w:hint="eastAsia" w:ascii="仿宋_GB2312" w:hAnsi="仿宋_GB2312" w:eastAsia="仿宋_GB2312" w:cs="仿宋_GB2312"/>
                <w:sz w:val="24"/>
                <w:szCs w:val="24"/>
                <w:u w:val="none"/>
                <w:vertAlign w:val="baseline"/>
                <w:lang w:val="en-US" w:eastAsia="zh-CN"/>
              </w:rPr>
            </w:pPr>
          </w:p>
        </w:tc>
        <w:tc>
          <w:tcPr>
            <w:tcW w:w="1945"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c>
          <w:tcPr>
            <w:tcW w:w="3889"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c>
          <w:tcPr>
            <w:tcW w:w="814" w:type="dxa"/>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4000" w:type="dxa"/>
            <w:vAlign w:val="center"/>
          </w:tcPr>
          <w:p>
            <w:pPr>
              <w:keepNext w:val="0"/>
              <w:keepLines w:val="0"/>
              <w:pageBreakBefore w:val="0"/>
              <w:widowControl w:val="0"/>
              <w:kinsoku/>
              <w:wordWrap/>
              <w:overflowPunct/>
              <w:topLinePunct w:val="0"/>
              <w:autoSpaceDE/>
              <w:autoSpaceDN/>
              <w:bidi w:val="0"/>
              <w:adjustRightInd w:val="0"/>
              <w:snapToGrid w:val="0"/>
              <w:spacing w:line="440" w:lineRule="exact"/>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负责机关机要保密工作。</w:t>
            </w:r>
          </w:p>
        </w:tc>
        <w:tc>
          <w:tcPr>
            <w:tcW w:w="2671" w:type="dxa"/>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809" w:type="dxa"/>
            <w:vMerge w:val="continue"/>
          </w:tcPr>
          <w:p>
            <w:pPr>
              <w:jc w:val="center"/>
              <w:rPr>
                <w:rFonts w:hint="eastAsia" w:ascii="仿宋_GB2312" w:hAnsi="仿宋_GB2312" w:eastAsia="仿宋_GB2312" w:cs="仿宋_GB2312"/>
                <w:sz w:val="24"/>
                <w:szCs w:val="24"/>
                <w:u w:val="none"/>
                <w:vertAlign w:val="baseline"/>
                <w:lang w:val="en-US" w:eastAsia="zh-CN"/>
              </w:rPr>
            </w:pPr>
          </w:p>
        </w:tc>
        <w:tc>
          <w:tcPr>
            <w:tcW w:w="1945" w:type="dxa"/>
            <w:vMerge w:val="continue"/>
          </w:tcPr>
          <w:p>
            <w:pPr>
              <w:jc w:val="center"/>
              <w:rPr>
                <w:rFonts w:hint="eastAsia" w:ascii="仿宋_GB2312" w:hAnsi="仿宋_GB2312" w:eastAsia="仿宋_GB2312" w:cs="仿宋_GB2312"/>
                <w:sz w:val="24"/>
                <w:szCs w:val="24"/>
                <w:u w:val="none"/>
                <w:vertAlign w:val="baseline"/>
                <w:lang w:val="en-US" w:eastAsia="zh-CN"/>
              </w:rPr>
            </w:pPr>
          </w:p>
        </w:tc>
        <w:tc>
          <w:tcPr>
            <w:tcW w:w="3889" w:type="dxa"/>
            <w:vMerge w:val="continue"/>
          </w:tcPr>
          <w:p>
            <w:pPr>
              <w:jc w:val="center"/>
              <w:rPr>
                <w:rFonts w:hint="eastAsia" w:ascii="仿宋_GB2312" w:hAnsi="仿宋_GB2312" w:eastAsia="仿宋_GB2312" w:cs="仿宋_GB2312"/>
                <w:sz w:val="24"/>
                <w:szCs w:val="24"/>
                <w:u w:val="none"/>
                <w:vertAlign w:val="baseline"/>
                <w:lang w:val="en-US" w:eastAsia="zh-CN"/>
              </w:rPr>
            </w:pPr>
          </w:p>
        </w:tc>
        <w:tc>
          <w:tcPr>
            <w:tcW w:w="814" w:type="dxa"/>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4000" w:type="dxa"/>
            <w:vAlign w:val="center"/>
          </w:tcPr>
          <w:p>
            <w:pPr>
              <w:keepNext w:val="0"/>
              <w:keepLines w:val="0"/>
              <w:pageBreakBefore w:val="0"/>
              <w:widowControl w:val="0"/>
              <w:kinsoku/>
              <w:wordWrap/>
              <w:overflowPunct/>
              <w:topLinePunct w:val="0"/>
              <w:autoSpaceDE/>
              <w:autoSpaceDN/>
              <w:bidi w:val="0"/>
              <w:adjustRightInd w:val="0"/>
              <w:snapToGrid w:val="0"/>
              <w:spacing w:line="440" w:lineRule="exact"/>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负责机关档案管理工作。</w:t>
            </w:r>
          </w:p>
        </w:tc>
        <w:tc>
          <w:tcPr>
            <w:tcW w:w="2671" w:type="dxa"/>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809" w:type="dxa"/>
            <w:vMerge w:val="continue"/>
          </w:tcPr>
          <w:p>
            <w:pPr>
              <w:jc w:val="center"/>
              <w:rPr>
                <w:rFonts w:hint="eastAsia" w:ascii="仿宋_GB2312" w:hAnsi="仿宋_GB2312" w:eastAsia="仿宋_GB2312" w:cs="仿宋_GB2312"/>
                <w:sz w:val="24"/>
                <w:szCs w:val="24"/>
                <w:u w:val="none"/>
                <w:vertAlign w:val="baseline"/>
                <w:lang w:val="en-US" w:eastAsia="zh-CN"/>
              </w:rPr>
            </w:pPr>
          </w:p>
        </w:tc>
        <w:tc>
          <w:tcPr>
            <w:tcW w:w="1945" w:type="dxa"/>
            <w:vMerge w:val="continue"/>
          </w:tcPr>
          <w:p>
            <w:pPr>
              <w:jc w:val="center"/>
              <w:rPr>
                <w:rFonts w:hint="eastAsia" w:ascii="仿宋_GB2312" w:hAnsi="仿宋_GB2312" w:eastAsia="仿宋_GB2312" w:cs="仿宋_GB2312"/>
                <w:sz w:val="24"/>
                <w:szCs w:val="24"/>
                <w:u w:val="none"/>
                <w:vertAlign w:val="baseline"/>
                <w:lang w:val="en-US" w:eastAsia="zh-CN"/>
              </w:rPr>
            </w:pPr>
          </w:p>
        </w:tc>
        <w:tc>
          <w:tcPr>
            <w:tcW w:w="3889" w:type="dxa"/>
            <w:vMerge w:val="continue"/>
          </w:tcPr>
          <w:p>
            <w:pPr>
              <w:jc w:val="center"/>
              <w:rPr>
                <w:rFonts w:hint="eastAsia" w:ascii="仿宋_GB2312" w:hAnsi="仿宋_GB2312" w:eastAsia="仿宋_GB2312" w:cs="仿宋_GB2312"/>
                <w:sz w:val="24"/>
                <w:szCs w:val="24"/>
                <w:u w:val="none"/>
                <w:vertAlign w:val="baseline"/>
                <w:lang w:val="en-US" w:eastAsia="zh-CN"/>
              </w:rPr>
            </w:pPr>
          </w:p>
        </w:tc>
        <w:tc>
          <w:tcPr>
            <w:tcW w:w="814" w:type="dxa"/>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p>
        </w:tc>
        <w:tc>
          <w:tcPr>
            <w:tcW w:w="4000" w:type="dxa"/>
            <w:vAlign w:val="center"/>
          </w:tcPr>
          <w:p>
            <w:pPr>
              <w:keepNext w:val="0"/>
              <w:keepLines w:val="0"/>
              <w:pageBreakBefore w:val="0"/>
              <w:widowControl w:val="0"/>
              <w:kinsoku/>
              <w:wordWrap/>
              <w:overflowPunct/>
              <w:topLinePunct w:val="0"/>
              <w:autoSpaceDE/>
              <w:autoSpaceDN/>
              <w:bidi w:val="0"/>
              <w:adjustRightInd w:val="0"/>
              <w:snapToGrid w:val="0"/>
              <w:spacing w:line="440" w:lineRule="exact"/>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负责机关后勤保障工作，做好办公用品、设备和固定资产调配，做好公车使用管理和公务接待工作。</w:t>
            </w:r>
          </w:p>
        </w:tc>
        <w:tc>
          <w:tcPr>
            <w:tcW w:w="2671" w:type="dxa"/>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809" w:type="dxa"/>
            <w:vMerge w:val="continue"/>
          </w:tcPr>
          <w:p>
            <w:pPr>
              <w:jc w:val="center"/>
              <w:rPr>
                <w:rFonts w:hint="eastAsia" w:ascii="仿宋_GB2312" w:hAnsi="仿宋_GB2312" w:eastAsia="仿宋_GB2312" w:cs="仿宋_GB2312"/>
                <w:sz w:val="24"/>
                <w:szCs w:val="24"/>
                <w:u w:val="none"/>
                <w:vertAlign w:val="baseline"/>
                <w:lang w:val="en-US" w:eastAsia="zh-CN"/>
              </w:rPr>
            </w:pPr>
          </w:p>
        </w:tc>
        <w:tc>
          <w:tcPr>
            <w:tcW w:w="1945" w:type="dxa"/>
            <w:vMerge w:val="continue"/>
          </w:tcPr>
          <w:p>
            <w:pPr>
              <w:jc w:val="center"/>
              <w:rPr>
                <w:rFonts w:hint="eastAsia" w:ascii="仿宋_GB2312" w:hAnsi="仿宋_GB2312" w:eastAsia="仿宋_GB2312" w:cs="仿宋_GB2312"/>
                <w:sz w:val="24"/>
                <w:szCs w:val="24"/>
                <w:u w:val="none"/>
                <w:vertAlign w:val="baseline"/>
                <w:lang w:val="en-US" w:eastAsia="zh-CN"/>
              </w:rPr>
            </w:pPr>
          </w:p>
        </w:tc>
        <w:tc>
          <w:tcPr>
            <w:tcW w:w="3889" w:type="dxa"/>
            <w:vMerge w:val="continue"/>
          </w:tcPr>
          <w:p>
            <w:pPr>
              <w:jc w:val="center"/>
              <w:rPr>
                <w:rFonts w:hint="eastAsia" w:ascii="仿宋_GB2312" w:hAnsi="仿宋_GB2312" w:eastAsia="仿宋_GB2312" w:cs="仿宋_GB2312"/>
                <w:sz w:val="24"/>
                <w:szCs w:val="24"/>
                <w:u w:val="none"/>
                <w:vertAlign w:val="baseline"/>
                <w:lang w:val="en-US" w:eastAsia="zh-CN"/>
              </w:rPr>
            </w:pPr>
          </w:p>
        </w:tc>
        <w:tc>
          <w:tcPr>
            <w:tcW w:w="814" w:type="dxa"/>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p>
        </w:tc>
        <w:tc>
          <w:tcPr>
            <w:tcW w:w="4000" w:type="dxa"/>
            <w:vAlign w:val="center"/>
          </w:tcPr>
          <w:p>
            <w:pPr>
              <w:keepNext w:val="0"/>
              <w:keepLines w:val="0"/>
              <w:pageBreakBefore w:val="0"/>
              <w:widowControl w:val="0"/>
              <w:kinsoku/>
              <w:wordWrap/>
              <w:overflowPunct/>
              <w:topLinePunct w:val="0"/>
              <w:autoSpaceDE/>
              <w:autoSpaceDN/>
              <w:bidi w:val="0"/>
              <w:adjustRightInd w:val="0"/>
              <w:snapToGrid w:val="0"/>
              <w:spacing w:line="440" w:lineRule="exact"/>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做好人大代表建议、政协委员提案答复工作。</w:t>
            </w:r>
          </w:p>
        </w:tc>
        <w:tc>
          <w:tcPr>
            <w:tcW w:w="2671" w:type="dxa"/>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809" w:type="dxa"/>
            <w:vMerge w:val="restart"/>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1945" w:type="dxa"/>
            <w:vMerge w:val="restart"/>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移交安置股</w:t>
            </w:r>
          </w:p>
        </w:tc>
        <w:tc>
          <w:tcPr>
            <w:tcW w:w="3889" w:type="dxa"/>
            <w:vMerge w:val="restart"/>
            <w:vAlign w:val="center"/>
          </w:tcPr>
          <w:p>
            <w:pPr>
              <w:keepNext w:val="0"/>
              <w:keepLines w:val="0"/>
              <w:pageBreakBefore w:val="0"/>
              <w:kinsoku/>
              <w:wordWrap/>
              <w:overflowPunct/>
              <w:topLinePunct w:val="0"/>
              <w:autoSpaceDE/>
              <w:autoSpaceDN/>
              <w:bidi w:val="0"/>
              <w:adjustRightInd w:val="0"/>
              <w:snapToGrid w:val="0"/>
              <w:spacing w:line="240" w:lineRule="exact"/>
              <w:jc w:val="both"/>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拟订军队转业干部、退役士兵、复员干部、伤病残退役士兵和符合条件消防员的接收安置政策并组织实施；负责军队转业干部、转业士官、符合条件消防员等人员的档案接收、审査、移交；会同组织、机构编制部门，拟订县直单位接收安置军队转业干部、符合政府安排工作条件退役士兵、符合条件消防员的计划并组织实施,承担县直单位计划安置和计划外选调工作；负责符合条件现役军人随调家属的安置工作。</w:t>
            </w:r>
          </w:p>
        </w:tc>
        <w:tc>
          <w:tcPr>
            <w:tcW w:w="814" w:type="dxa"/>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4000" w:type="dxa"/>
            <w:vAlign w:val="center"/>
          </w:tcPr>
          <w:p>
            <w:pPr>
              <w:keepNext w:val="0"/>
              <w:keepLines w:val="0"/>
              <w:pageBreakBefore w:val="0"/>
              <w:widowControl w:val="0"/>
              <w:kinsoku/>
              <w:wordWrap/>
              <w:overflowPunct/>
              <w:topLinePunct w:val="0"/>
              <w:autoSpaceDE/>
              <w:autoSpaceDN/>
              <w:bidi w:val="0"/>
              <w:adjustRightInd w:val="0"/>
              <w:snapToGrid w:val="0"/>
              <w:spacing w:line="440" w:lineRule="exact"/>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 xml:space="preserve">由政府安排工作退役士兵和符合条件消防员安置工作事项 </w:t>
            </w:r>
          </w:p>
        </w:tc>
        <w:tc>
          <w:tcPr>
            <w:tcW w:w="2671" w:type="dxa"/>
            <w:vMerge w:val="restart"/>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809"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rPr>
            </w:pPr>
          </w:p>
        </w:tc>
        <w:tc>
          <w:tcPr>
            <w:tcW w:w="1945"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rPr>
            </w:pPr>
          </w:p>
        </w:tc>
        <w:tc>
          <w:tcPr>
            <w:tcW w:w="3889"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rPr>
            </w:pPr>
          </w:p>
        </w:tc>
        <w:tc>
          <w:tcPr>
            <w:tcW w:w="814" w:type="dxa"/>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4000" w:type="dxa"/>
            <w:vAlign w:val="center"/>
          </w:tcPr>
          <w:p>
            <w:pPr>
              <w:keepNext w:val="0"/>
              <w:keepLines w:val="0"/>
              <w:pageBreakBefore w:val="0"/>
              <w:widowControl w:val="0"/>
              <w:kinsoku/>
              <w:wordWrap/>
              <w:overflowPunct/>
              <w:topLinePunct w:val="0"/>
              <w:autoSpaceDE/>
              <w:autoSpaceDN/>
              <w:bidi w:val="0"/>
              <w:spacing w:line="440" w:lineRule="exact"/>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军转干部安置工作事项</w:t>
            </w:r>
          </w:p>
        </w:tc>
        <w:tc>
          <w:tcPr>
            <w:tcW w:w="2671"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809"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c>
          <w:tcPr>
            <w:tcW w:w="1945"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c>
          <w:tcPr>
            <w:tcW w:w="3889"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c>
          <w:tcPr>
            <w:tcW w:w="814" w:type="dxa"/>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4000" w:type="dxa"/>
            <w:vAlign w:val="center"/>
          </w:tcPr>
          <w:p>
            <w:pPr>
              <w:keepNext w:val="0"/>
              <w:keepLines w:val="0"/>
              <w:pageBreakBefore w:val="0"/>
              <w:widowControl w:val="0"/>
              <w:kinsoku/>
              <w:wordWrap/>
              <w:overflowPunct/>
              <w:topLinePunct w:val="0"/>
              <w:autoSpaceDE/>
              <w:autoSpaceDN/>
              <w:bidi w:val="0"/>
              <w:adjustRightInd w:val="0"/>
              <w:snapToGrid w:val="0"/>
              <w:spacing w:line="440" w:lineRule="exact"/>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自主就业退役士兵安置工作事项</w:t>
            </w:r>
          </w:p>
        </w:tc>
        <w:tc>
          <w:tcPr>
            <w:tcW w:w="2671"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809"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c>
          <w:tcPr>
            <w:tcW w:w="1945"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c>
          <w:tcPr>
            <w:tcW w:w="3889"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c>
          <w:tcPr>
            <w:tcW w:w="814" w:type="dxa"/>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4000" w:type="dxa"/>
            <w:vAlign w:val="center"/>
          </w:tcPr>
          <w:p>
            <w:pPr>
              <w:keepNext w:val="0"/>
              <w:keepLines w:val="0"/>
              <w:pageBreakBefore w:val="0"/>
              <w:widowControl w:val="0"/>
              <w:kinsoku/>
              <w:wordWrap/>
              <w:overflowPunct/>
              <w:topLinePunct w:val="0"/>
              <w:autoSpaceDE/>
              <w:autoSpaceDN/>
              <w:bidi w:val="0"/>
              <w:adjustRightInd w:val="0"/>
              <w:snapToGrid w:val="0"/>
              <w:spacing w:line="440" w:lineRule="exact"/>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组织协调落实退役军人和符合条件的消防员社会保险等待遇保障工作。</w:t>
            </w:r>
          </w:p>
        </w:tc>
        <w:tc>
          <w:tcPr>
            <w:tcW w:w="2671"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809" w:type="dxa"/>
            <w:vMerge w:val="restart"/>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1945" w:type="dxa"/>
            <w:vMerge w:val="restart"/>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拥军优抚和褒扬纪念股</w:t>
            </w:r>
          </w:p>
        </w:tc>
        <w:tc>
          <w:tcPr>
            <w:tcW w:w="3889" w:type="dxa"/>
            <w:vMerge w:val="restart"/>
            <w:vAlign w:val="center"/>
          </w:tcPr>
          <w:p>
            <w:pPr>
              <w:keepNext w:val="0"/>
              <w:keepLines w:val="0"/>
              <w:pageBreakBefore w:val="0"/>
              <w:kinsoku/>
              <w:wordWrap/>
              <w:overflowPunct/>
              <w:topLinePunct w:val="0"/>
              <w:autoSpaceDE/>
              <w:autoSpaceDN/>
              <w:bidi w:val="0"/>
              <w:adjustRightInd w:val="0"/>
              <w:snapToGrid w:val="0"/>
              <w:spacing w:line="240" w:lineRule="exact"/>
              <w:jc w:val="both"/>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负责全县拥军优属工作，负责做好地方支持军队相关工作，负责现役军人、退役军人、军队文职人员、军属和符合条件的国家机关工作人员、人民警察、参战民兵民工、消防员等优抚对象的优待、抚恤等工作；负责不适宜继续服役的伤病残军人相关工作,组织协调落实退役军人医疗保障工作，拟订有关退役军人医疗、疗养、养老等优抚保障机构以及军供保障机构建设规划并组织实施，负责国民党抗战老兵等有关人员优待工作；承担全县残疾军人康复辅助器具的配发、更换工作。</w:t>
            </w:r>
          </w:p>
        </w:tc>
        <w:tc>
          <w:tcPr>
            <w:tcW w:w="814" w:type="dxa"/>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4000" w:type="dxa"/>
            <w:vAlign w:val="center"/>
          </w:tcPr>
          <w:p>
            <w:pPr>
              <w:keepNext w:val="0"/>
              <w:keepLines w:val="0"/>
              <w:pageBreakBefore w:val="0"/>
              <w:widowControl w:val="0"/>
              <w:kinsoku/>
              <w:wordWrap/>
              <w:overflowPunct/>
              <w:topLinePunct w:val="0"/>
              <w:autoSpaceDE/>
              <w:autoSpaceDN/>
              <w:bidi w:val="0"/>
              <w:adjustRightInd w:val="0"/>
              <w:snapToGrid w:val="0"/>
              <w:spacing w:line="440" w:lineRule="exact"/>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负责全县拥军优属、拥政爱民工作，负责双拥模范县创建工作。</w:t>
            </w:r>
          </w:p>
        </w:tc>
        <w:tc>
          <w:tcPr>
            <w:tcW w:w="2671" w:type="dxa"/>
            <w:vMerge w:val="restart"/>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809"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rPr>
            </w:pPr>
          </w:p>
        </w:tc>
        <w:tc>
          <w:tcPr>
            <w:tcW w:w="1945"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rPr>
            </w:pPr>
          </w:p>
        </w:tc>
        <w:tc>
          <w:tcPr>
            <w:tcW w:w="3889"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rPr>
            </w:pPr>
          </w:p>
        </w:tc>
        <w:tc>
          <w:tcPr>
            <w:tcW w:w="814" w:type="dxa"/>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4000" w:type="dxa"/>
            <w:vAlign w:val="center"/>
          </w:tcPr>
          <w:p>
            <w:pPr>
              <w:keepNext w:val="0"/>
              <w:keepLines w:val="0"/>
              <w:pageBreakBefore w:val="0"/>
              <w:widowControl w:val="0"/>
              <w:kinsoku/>
              <w:wordWrap/>
              <w:overflowPunct/>
              <w:topLinePunct w:val="0"/>
              <w:autoSpaceDE/>
              <w:autoSpaceDN/>
              <w:bidi w:val="0"/>
              <w:adjustRightInd w:val="0"/>
              <w:snapToGrid w:val="0"/>
              <w:spacing w:line="440" w:lineRule="exact"/>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负责做好地方支持军队、部队支持地方建设，做好军地沟通工作。</w:t>
            </w:r>
          </w:p>
        </w:tc>
        <w:tc>
          <w:tcPr>
            <w:tcW w:w="2671"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809"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c>
          <w:tcPr>
            <w:tcW w:w="1945"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c>
          <w:tcPr>
            <w:tcW w:w="3889"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c>
          <w:tcPr>
            <w:tcW w:w="814" w:type="dxa"/>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4000" w:type="dxa"/>
            <w:vAlign w:val="center"/>
          </w:tcPr>
          <w:p>
            <w:pPr>
              <w:keepNext w:val="0"/>
              <w:keepLines w:val="0"/>
              <w:pageBreakBefore w:val="0"/>
              <w:widowControl w:val="0"/>
              <w:kinsoku/>
              <w:wordWrap/>
              <w:overflowPunct/>
              <w:topLinePunct w:val="0"/>
              <w:autoSpaceDE/>
              <w:autoSpaceDN/>
              <w:bidi w:val="0"/>
              <w:adjustRightInd w:val="0"/>
              <w:snapToGrid w:val="0"/>
              <w:spacing w:line="440" w:lineRule="exact"/>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优抚资金拨付</w:t>
            </w:r>
          </w:p>
        </w:tc>
        <w:tc>
          <w:tcPr>
            <w:tcW w:w="2671"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809"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c>
          <w:tcPr>
            <w:tcW w:w="1945"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c>
          <w:tcPr>
            <w:tcW w:w="3889"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c>
          <w:tcPr>
            <w:tcW w:w="814" w:type="dxa"/>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4000" w:type="dxa"/>
            <w:vAlign w:val="center"/>
          </w:tcPr>
          <w:p>
            <w:pPr>
              <w:keepNext w:val="0"/>
              <w:keepLines w:val="0"/>
              <w:pageBreakBefore w:val="0"/>
              <w:widowControl w:val="0"/>
              <w:kinsoku/>
              <w:wordWrap/>
              <w:overflowPunct/>
              <w:topLinePunct w:val="0"/>
              <w:autoSpaceDE/>
              <w:autoSpaceDN/>
              <w:bidi w:val="0"/>
              <w:adjustRightInd w:val="0"/>
              <w:snapToGrid w:val="0"/>
              <w:spacing w:line="440" w:lineRule="exact"/>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带病回乡退伍军人认定</w:t>
            </w:r>
          </w:p>
        </w:tc>
        <w:tc>
          <w:tcPr>
            <w:tcW w:w="2671"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09"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c>
          <w:tcPr>
            <w:tcW w:w="1945"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c>
          <w:tcPr>
            <w:tcW w:w="3889" w:type="dxa"/>
            <w:vMerge w:val="continue"/>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c>
          <w:tcPr>
            <w:tcW w:w="814" w:type="dxa"/>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p>
        </w:tc>
        <w:tc>
          <w:tcPr>
            <w:tcW w:w="4000" w:type="dxa"/>
            <w:vAlign w:val="center"/>
          </w:tcPr>
          <w:p>
            <w:pPr>
              <w:keepNext w:val="0"/>
              <w:keepLines w:val="0"/>
              <w:pageBreakBefore w:val="0"/>
              <w:widowControl w:val="0"/>
              <w:kinsoku/>
              <w:wordWrap/>
              <w:overflowPunct/>
              <w:topLinePunct w:val="0"/>
              <w:autoSpaceDE/>
              <w:autoSpaceDN/>
              <w:bidi w:val="0"/>
              <w:adjustRightInd w:val="0"/>
              <w:snapToGrid w:val="0"/>
              <w:spacing w:line="440" w:lineRule="exact"/>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烈士纪念设施的保护和管理</w:t>
            </w:r>
          </w:p>
        </w:tc>
        <w:tc>
          <w:tcPr>
            <w:tcW w:w="2671" w:type="dxa"/>
            <w:vAlign w:val="center"/>
          </w:tcPr>
          <w:p>
            <w:pPr>
              <w:keepNext w:val="0"/>
              <w:keepLines w:val="0"/>
              <w:pageBreakBefore w:val="0"/>
              <w:kinsoku/>
              <w:wordWrap/>
              <w:overflowPunct/>
              <w:topLinePunct w:val="0"/>
              <w:autoSpaceDE/>
              <w:autoSpaceDN/>
              <w:bidi w:val="0"/>
              <w:adjustRightInd w:val="0"/>
              <w:snapToGrid w:val="0"/>
              <w:spacing w:line="240" w:lineRule="exact"/>
              <w:jc w:val="center"/>
              <w:outlineLvl w:val="9"/>
              <w:rPr>
                <w:rFonts w:hint="eastAsia" w:ascii="仿宋_GB2312" w:hAnsi="仿宋_GB2312" w:eastAsia="仿宋_GB2312" w:cs="仿宋_GB2312"/>
                <w:sz w:val="24"/>
                <w:szCs w:val="24"/>
                <w:lang w:val="en-US" w:eastAsia="zh-CN"/>
              </w:rPr>
            </w:pPr>
          </w:p>
        </w:tc>
      </w:tr>
    </w:tbl>
    <w:p>
      <w:pPr>
        <w:rPr>
          <w:rFonts w:hint="eastAsia" w:ascii="仿宋" w:hAnsi="仿宋" w:eastAsia="仿宋" w:cs="仿宋"/>
          <w:spacing w:val="-11"/>
          <w:sz w:val="24"/>
          <w:szCs w:val="24"/>
          <w:u w:val="none"/>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61395A"/>
    <w:rsid w:val="00D03697"/>
    <w:rsid w:val="04E25723"/>
    <w:rsid w:val="1193641A"/>
    <w:rsid w:val="27E322A4"/>
    <w:rsid w:val="4661395A"/>
    <w:rsid w:val="77AF06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1777</Words>
  <Characters>1798</Characters>
  <Lines>0</Lines>
  <Paragraphs>0</Paragraphs>
  <TotalTime>52</TotalTime>
  <ScaleCrop>false</ScaleCrop>
  <LinksUpToDate>false</LinksUpToDate>
  <CharactersWithSpaces>1804</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2021-11-09T00:43:00Z</dcterms:created>
  <dc:creator>GUEST1</dc:creator>
  <cp:lastModifiedBy>Administrator</cp:lastModifiedBy>
  <cp:lastPrinted>2022-05-06T03:27:00Z</cp:lastPrinted>
  <dcterms:modified xsi:type="dcterms:W3CDTF">2026-08-04T07:36:40Z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30056477D48641AD909A61A4F34B5CB6</vt:lpwstr>
  </property>
</Properties>
</file>