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新宋体" w:hAnsi="新宋体" w:eastAsia="新宋体" w:cs="新宋体"/>
          <w:b/>
          <w:bCs/>
          <w:sz w:val="44"/>
          <w:szCs w:val="44"/>
          <w:lang w:val="en-US" w:eastAsia="zh-CN"/>
        </w:rPr>
      </w:pPr>
      <w:r>
        <w:rPr>
          <w:rFonts w:hint="eastAsia" w:ascii="新宋体" w:hAnsi="新宋体" w:eastAsia="新宋体" w:cs="新宋体"/>
          <w:b/>
          <w:bCs/>
          <w:sz w:val="44"/>
          <w:szCs w:val="44"/>
          <w:lang w:val="en-US" w:eastAsia="zh-CN"/>
        </w:rPr>
        <w:t>高邑县市场监督管理局职责任务清单</w:t>
      </w:r>
    </w:p>
    <w:tbl>
      <w:tblPr>
        <w:tblStyle w:val="3"/>
        <w:tblW w:w="141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069"/>
        <w:gridCol w:w="3829"/>
        <w:gridCol w:w="960"/>
        <w:gridCol w:w="7178"/>
        <w:gridCol w:w="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 w:type="dxa"/>
          </w:tcPr>
          <w:p>
            <w:p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序号</w:t>
            </w:r>
          </w:p>
        </w:tc>
        <w:tc>
          <w:tcPr>
            <w:tcW w:w="1069" w:type="dxa"/>
          </w:tcPr>
          <w:p>
            <w:p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内设机构名称</w:t>
            </w:r>
          </w:p>
        </w:tc>
        <w:tc>
          <w:tcPr>
            <w:tcW w:w="3829" w:type="dxa"/>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outlineLvl w:val="9"/>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对应部门“三定”规定主要职责及内设机构具体职责</w:t>
            </w:r>
          </w:p>
        </w:tc>
        <w:tc>
          <w:tcPr>
            <w:tcW w:w="960" w:type="dxa"/>
            <w:vAlign w:val="center"/>
          </w:tcPr>
          <w:p>
            <w:pPr>
              <w:tabs>
                <w:tab w:val="left" w:pos="374"/>
              </w:tabs>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序号</w:t>
            </w:r>
          </w:p>
        </w:tc>
        <w:tc>
          <w:tcPr>
            <w:tcW w:w="7178" w:type="dxa"/>
            <w:vAlign w:val="center"/>
          </w:tcPr>
          <w:p>
            <w:p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内设机构细化分解工作任务</w:t>
            </w:r>
          </w:p>
        </w:tc>
        <w:tc>
          <w:tcPr>
            <w:tcW w:w="672" w:type="dxa"/>
          </w:tcPr>
          <w:p>
            <w:p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1069" w:type="dxa"/>
            <w:vMerge w:val="restart"/>
            <w:vAlign w:val="center"/>
          </w:tcPr>
          <w:p>
            <w:pPr>
              <w:tabs>
                <w:tab w:val="left" w:pos="763"/>
              </w:tabs>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办公室</w:t>
            </w:r>
          </w:p>
        </w:tc>
        <w:tc>
          <w:tcPr>
            <w:tcW w:w="3829"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负责机关日常工作</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负责机关文电、会务、机要、档案、信息、安全、保密、信访、政务公开、督查督办、后勤保障、信息化等工作</w:t>
            </w:r>
          </w:p>
        </w:tc>
        <w:tc>
          <w:tcPr>
            <w:tcW w:w="672" w:type="dxa"/>
          </w:tcPr>
          <w:p>
            <w:pPr>
              <w:keepNext w:val="0"/>
              <w:keepLines w:val="0"/>
              <w:pageBreakBefore w:val="0"/>
              <w:widowControl w:val="0"/>
              <w:tabs>
                <w:tab w:val="left" w:pos="300"/>
              </w:tabs>
              <w:kinsoku/>
              <w:wordWrap/>
              <w:overflowPunct/>
              <w:topLinePunct w:val="0"/>
              <w:autoSpaceDE/>
              <w:autoSpaceDN/>
              <w:bidi w:val="0"/>
              <w:adjustRightInd/>
              <w:snapToGrid/>
              <w:spacing w:line="300" w:lineRule="exact"/>
              <w:jc w:val="left"/>
              <w:textAlignment w:val="auto"/>
              <w:outlineLvl w:val="9"/>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3829"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承办人大代表建议、政协委员提案答复工作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u w:val="none"/>
                <w:vertAlign w:val="baseline"/>
                <w:lang w:val="en-US" w:eastAsia="zh-CN"/>
              </w:rPr>
            </w:pPr>
          </w:p>
        </w:tc>
        <w:tc>
          <w:tcPr>
            <w:tcW w:w="3829"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组织协调市场监督管理方面重大事故的应急处置和调查处理工作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1069" w:type="dxa"/>
            <w:vMerge w:val="restart"/>
            <w:vAlign w:val="center"/>
          </w:tcPr>
          <w:p>
            <w:pPr>
              <w:tabs>
                <w:tab w:val="left" w:pos="763"/>
              </w:tabs>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人事股</w:t>
            </w:r>
          </w:p>
        </w:tc>
        <w:tc>
          <w:tcPr>
            <w:tcW w:w="3829"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负责机关和直属单位、派出机构的机构编制、干部人事、离退休干部和教育培训工作</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负责单位干部职工年度考核、任免和调配</w:t>
            </w:r>
          </w:p>
        </w:tc>
        <w:tc>
          <w:tcPr>
            <w:tcW w:w="672" w:type="dxa"/>
          </w:tcPr>
          <w:p>
            <w:pPr>
              <w:keepNext w:val="0"/>
              <w:keepLines w:val="0"/>
              <w:pageBreakBefore w:val="0"/>
              <w:widowControl w:val="0"/>
              <w:tabs>
                <w:tab w:val="left" w:pos="300"/>
              </w:tabs>
              <w:kinsoku/>
              <w:wordWrap/>
              <w:overflowPunct/>
              <w:topLinePunct w:val="0"/>
              <w:autoSpaceDE/>
              <w:autoSpaceDN/>
              <w:bidi w:val="0"/>
              <w:adjustRightInd/>
              <w:snapToGrid/>
              <w:spacing w:line="300" w:lineRule="exact"/>
              <w:jc w:val="left"/>
              <w:textAlignment w:val="auto"/>
              <w:outlineLvl w:val="9"/>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3829"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开展系统内评比表彰及优抚工作。承担机关和直属单位、派出机构工青妇工作。指导相关人才队伍建设和基层规范化建设工作。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u w:val="none"/>
                <w:vertAlign w:val="baseline"/>
                <w:lang w:val="en-US" w:eastAsia="zh-CN"/>
              </w:rPr>
            </w:pPr>
          </w:p>
        </w:tc>
        <w:tc>
          <w:tcPr>
            <w:tcW w:w="3829"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color w:val="000000"/>
                <w:sz w:val="21"/>
                <w:szCs w:val="21"/>
              </w:rPr>
              <w:t>负责机关党支部和直属单位、派出机构的党建、宣传、思想政治、精神文明建设及群团等工作，承担机关和直属单位党风廉政建设具体工作</w:t>
            </w:r>
            <w:r>
              <w:rPr>
                <w:rFonts w:hint="eastAsia" w:ascii="仿宋" w:hAnsi="仿宋" w:eastAsia="仿宋" w:cs="仿宋"/>
                <w:sz w:val="21"/>
                <w:szCs w:val="21"/>
              </w:rPr>
              <w:t>。</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1069" w:type="dxa"/>
            <w:vMerge w:val="restart"/>
            <w:vAlign w:val="center"/>
          </w:tcPr>
          <w:p>
            <w:pPr>
              <w:tabs>
                <w:tab w:val="left" w:pos="763"/>
              </w:tabs>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法制</w:t>
            </w:r>
            <w:r>
              <w:rPr>
                <w:rFonts w:hint="eastAsia" w:ascii="仿宋" w:hAnsi="仿宋" w:eastAsia="仿宋" w:cs="仿宋"/>
                <w:sz w:val="21"/>
                <w:szCs w:val="21"/>
                <w:lang w:eastAsia="zh-CN"/>
              </w:rPr>
              <w:t>股</w:t>
            </w:r>
          </w:p>
        </w:tc>
        <w:tc>
          <w:tcPr>
            <w:tcW w:w="3829"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负责拟订并组织实施法制工作相关制度和具体措施、办法</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负责组织开展市场监管有关法律法规规章及政策的宣传教育工作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负责市场监督管理行政执法人员资质管理工作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负责机关行政执法合法性法制审查工作。承担依法规范执法程序、自由裁量权和行政执法监督工作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承担行政处罚的事前审查、事后监督和承办听证、行政复议、行政应诉和行政赔偿工作。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1069" w:type="dxa"/>
            <w:vMerge w:val="restart"/>
            <w:vAlign w:val="center"/>
          </w:tcPr>
          <w:p>
            <w:pPr>
              <w:tabs>
                <w:tab w:val="left" w:pos="763"/>
              </w:tabs>
              <w:jc w:val="center"/>
              <w:rPr>
                <w:rFonts w:hint="eastAsia" w:ascii="仿宋" w:hAnsi="仿宋" w:eastAsia="仿宋" w:cs="仿宋"/>
                <w:sz w:val="21"/>
                <w:szCs w:val="21"/>
                <w:lang w:eastAsia="zh-CN"/>
              </w:rPr>
            </w:pPr>
            <w:r>
              <w:rPr>
                <w:rFonts w:hint="eastAsia" w:ascii="仿宋" w:hAnsi="仿宋" w:eastAsia="仿宋" w:cs="仿宋"/>
                <w:sz w:val="21"/>
                <w:szCs w:val="21"/>
              </w:rPr>
              <w:t>财务装备</w:t>
            </w:r>
            <w:r>
              <w:rPr>
                <w:rFonts w:hint="eastAsia" w:ascii="仿宋" w:hAnsi="仿宋" w:eastAsia="仿宋" w:cs="仿宋"/>
                <w:sz w:val="21"/>
                <w:szCs w:val="21"/>
                <w:lang w:eastAsia="zh-CN"/>
              </w:rPr>
              <w:t>股</w:t>
            </w:r>
          </w:p>
        </w:tc>
        <w:tc>
          <w:tcPr>
            <w:tcW w:w="382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负责拟订和实施单位预决算、财务审计、各类资金管理工作</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负责局机关及直属单位、派出机构的各项经费、装备、基建、国有资产及收费、罚没票据的管理</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承担本系统内部审计、财务人员业务培训、科技项目管理等工作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5</w:t>
            </w:r>
          </w:p>
        </w:tc>
        <w:tc>
          <w:tcPr>
            <w:tcW w:w="1069" w:type="dxa"/>
            <w:vMerge w:val="restart"/>
            <w:vAlign w:val="center"/>
          </w:tcPr>
          <w:p>
            <w:pPr>
              <w:tabs>
                <w:tab w:val="left" w:pos="763"/>
              </w:tabs>
              <w:jc w:val="center"/>
              <w:rPr>
                <w:rFonts w:hint="eastAsia" w:ascii="仿宋" w:hAnsi="仿宋" w:eastAsia="仿宋" w:cs="仿宋"/>
                <w:sz w:val="21"/>
                <w:szCs w:val="21"/>
                <w:lang w:eastAsia="zh-CN"/>
              </w:rPr>
            </w:pPr>
            <w:r>
              <w:rPr>
                <w:rFonts w:hint="eastAsia" w:ascii="仿宋" w:hAnsi="仿宋" w:eastAsia="仿宋" w:cs="仿宋"/>
                <w:sz w:val="21"/>
                <w:szCs w:val="21"/>
              </w:rPr>
              <w:t>食品安全监管</w:t>
            </w:r>
            <w:r>
              <w:rPr>
                <w:rFonts w:hint="eastAsia" w:ascii="仿宋" w:hAnsi="仿宋" w:eastAsia="仿宋" w:cs="仿宋"/>
                <w:sz w:val="21"/>
                <w:szCs w:val="21"/>
                <w:lang w:eastAsia="zh-CN"/>
              </w:rPr>
              <w:t>股</w:t>
            </w:r>
          </w:p>
        </w:tc>
        <w:tc>
          <w:tcPr>
            <w:tcW w:w="3829"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拟订推进国家、省、市食品安全战略的重大政策措施并组织实施，负责统筹协调食品全过程监管中的重大问题，推动健全食品安全跨地区跨部门协调联动机制工作。分析掌握生产领域食品安全形势，拟订食品生产监督管理和食品生产者落实主体责任的制度措施并组织实施；组织开展食品生产企业监督检查。指导食品生产企业建立健全食品安全可追溯体系。负责指导各分局开展食品生产环节安全监督检查、质量监测工作。</w:t>
            </w:r>
          </w:p>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负责食品流通环节安全监督检查、质量监测工作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负责拟定并组织实施食品流通环节安全监管年度工作计划和专项整治方案</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负责食品经营单位食品、食用农产品、食盐、酒类、调味品等安全监管和违法经营行为查处工作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负责受理食品经营投诉举报案件</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5</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参与相关食品安全事故调查</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6</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指导食品生产企业建立健全食品安全可追溯体系</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7</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负责指导各分局开展食品经营单位（含超市、小卖部、小摊点）食品、食用农产品、食盐、酒类、调味品日常监管和专项整治工作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8</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承担县食品安全委员会办公室日常工作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9</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承担局党组确定的有关市场监管重点工作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6</w:t>
            </w:r>
          </w:p>
        </w:tc>
        <w:tc>
          <w:tcPr>
            <w:tcW w:w="1069" w:type="dxa"/>
            <w:vMerge w:val="restart"/>
            <w:vAlign w:val="center"/>
          </w:tcPr>
          <w:p>
            <w:pPr>
              <w:tabs>
                <w:tab w:val="left" w:pos="763"/>
              </w:tabs>
              <w:jc w:val="center"/>
              <w:rPr>
                <w:rFonts w:hint="eastAsia" w:ascii="仿宋" w:hAnsi="仿宋" w:eastAsia="仿宋" w:cs="仿宋"/>
                <w:sz w:val="21"/>
                <w:szCs w:val="21"/>
              </w:rPr>
            </w:pPr>
            <w:r>
              <w:rPr>
                <w:rFonts w:hint="eastAsia" w:ascii="仿宋" w:hAnsi="仿宋" w:eastAsia="仿宋" w:cs="仿宋"/>
                <w:sz w:val="21"/>
                <w:szCs w:val="21"/>
              </w:rPr>
              <w:t>餐饮服务监管</w:t>
            </w:r>
          </w:p>
        </w:tc>
        <w:tc>
          <w:tcPr>
            <w:tcW w:w="382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负责餐饮服务环节食品安全监督管理工作</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负责拟定并组织实施餐饮服务环节食品安全监管年度工作计划和专项整治方案，受理餐饮服务行业投诉举报案件</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负责机关、企事业单位食堂食品安全监督检查、质量监测和违法行为查处工作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负责重大活动餐饮食品安全保障工作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负责指导各分局开展餐饮单位日常监管和专项整治工作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5</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参与相关食品安全事故调查</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6</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指导餐饮单位建立健全食品安全可追溯体系</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7</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承担局党组确定的有关市场监管重点工作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7</w:t>
            </w:r>
          </w:p>
        </w:tc>
        <w:tc>
          <w:tcPr>
            <w:tcW w:w="1069" w:type="dxa"/>
            <w:vMerge w:val="restart"/>
            <w:vAlign w:val="center"/>
          </w:tcPr>
          <w:p>
            <w:pPr>
              <w:tabs>
                <w:tab w:val="left" w:pos="763"/>
              </w:tabs>
              <w:jc w:val="center"/>
              <w:rPr>
                <w:rFonts w:hint="eastAsia" w:ascii="仿宋" w:hAnsi="仿宋" w:eastAsia="仿宋" w:cs="仿宋"/>
                <w:sz w:val="21"/>
                <w:szCs w:val="21"/>
                <w:lang w:eastAsia="zh-CN"/>
              </w:rPr>
            </w:pPr>
            <w:r>
              <w:rPr>
                <w:rFonts w:hint="eastAsia" w:ascii="仿宋" w:hAnsi="仿宋" w:eastAsia="仿宋" w:cs="仿宋"/>
                <w:sz w:val="21"/>
                <w:szCs w:val="21"/>
              </w:rPr>
              <w:t>特殊食品、化妆品和药械监管</w:t>
            </w:r>
            <w:r>
              <w:rPr>
                <w:rFonts w:hint="eastAsia" w:ascii="仿宋" w:hAnsi="仿宋" w:eastAsia="仿宋" w:cs="仿宋"/>
                <w:sz w:val="21"/>
                <w:szCs w:val="21"/>
                <w:lang w:eastAsia="zh-CN"/>
              </w:rPr>
              <w:t>股</w:t>
            </w:r>
          </w:p>
        </w:tc>
        <w:tc>
          <w:tcPr>
            <w:tcW w:w="382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负责全县保健食品、特殊医学用途配方食品、婴幼儿配方乳粉等特殊食品和化妆品监督管理工作</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贯彻落实特殊食品注册、备案和监督管理的制度措施，组织实施特殊食品、化妆品监督检查、质量监测工作;负责特殊食品、化妆品质量投诉受理和违法行为查处工作，参与特殊食品和化妆品安全事故调查和处理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负责依法审查保健品广告内容，协助广告监管科查处夸大宣传、虚假广告等违法行为</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负责监督实施药品、医疗器械生产、经营、使用各环节质量管理规范</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接受省、市局委托受理药械生产经营企业资料的初审工作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5</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依法对药品、医用氧、药用辅料、医疗机构制剂配制和二类精神药品、药用罂粟壳、医疗用药品、放射性药品、麻醉药品、二类医疗器械经营备案进行监督管理</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6</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负责县乡村三级医疗机构药品、医疗器械及直接接触药品的包装材料和容器的质量监督管理</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7</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监督实施处方药、非处方药、中药材、中药饮片的购销规则和药品经营质量管理规范</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8</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负责全县药品、医疗器械、药包材生产经营使用单位日常监管和专项整治工作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9</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依法监督检查药械广告的发布情况；搜集反馈辖区内药械质量信息</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10</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组织开展化妆品、药品、医疗器械质量抽检和不良事件监测工作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监督实施国家药品、医疗器械法定标准，指导药品检测机构的业务工作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负责药品经营单位保健食品质量监管工作，配合化妆品保健食品监管科完成材料上报工作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承担局党组确定的有关市场监管重点工作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8</w:t>
            </w:r>
          </w:p>
        </w:tc>
        <w:tc>
          <w:tcPr>
            <w:tcW w:w="1069" w:type="dxa"/>
            <w:vMerge w:val="restart"/>
            <w:vAlign w:val="center"/>
          </w:tcPr>
          <w:p>
            <w:pPr>
              <w:tabs>
                <w:tab w:val="left" w:pos="763"/>
              </w:tabs>
              <w:jc w:val="center"/>
              <w:rPr>
                <w:rFonts w:hint="eastAsia" w:ascii="仿宋" w:hAnsi="仿宋" w:eastAsia="仿宋" w:cs="仿宋"/>
                <w:sz w:val="21"/>
                <w:szCs w:val="21"/>
                <w:lang w:eastAsia="zh-CN"/>
              </w:rPr>
            </w:pPr>
            <w:bookmarkStart w:id="0" w:name="_GoBack"/>
            <w:bookmarkEnd w:id="0"/>
            <w:r>
              <w:rPr>
                <w:rFonts w:hint="eastAsia" w:ascii="仿宋" w:hAnsi="仿宋" w:eastAsia="仿宋" w:cs="仿宋"/>
                <w:sz w:val="21"/>
                <w:szCs w:val="21"/>
              </w:rPr>
              <w:t>信用监管</w:t>
            </w:r>
            <w:r>
              <w:rPr>
                <w:rFonts w:hint="eastAsia" w:ascii="仿宋" w:hAnsi="仿宋" w:eastAsia="仿宋" w:cs="仿宋"/>
                <w:sz w:val="21"/>
                <w:szCs w:val="21"/>
                <w:lang w:eastAsia="zh-CN"/>
              </w:rPr>
              <w:t>股</w:t>
            </w:r>
          </w:p>
        </w:tc>
        <w:tc>
          <w:tcPr>
            <w:tcW w:w="3829" w:type="dxa"/>
            <w:vMerge w:val="restart"/>
            <w:tcBorders>
              <w:right w:val="single" w:color="auto" w:sz="4" w:space="0"/>
            </w:tcBorders>
            <w:vAlign w:val="center"/>
          </w:tcPr>
          <w:p>
            <w:pPr>
              <w:jc w:val="center"/>
              <w:rPr>
                <w:rFonts w:hint="eastAsia" w:ascii="仿宋" w:hAnsi="仿宋" w:eastAsia="仿宋" w:cs="仿宋"/>
                <w:sz w:val="21"/>
                <w:szCs w:val="21"/>
              </w:rPr>
            </w:pPr>
            <w:r>
              <w:rPr>
                <w:rFonts w:hint="eastAsia" w:ascii="仿宋" w:hAnsi="仿宋" w:eastAsia="仿宋" w:cs="仿宋"/>
                <w:sz w:val="21"/>
                <w:szCs w:val="21"/>
              </w:rPr>
              <w:t>拟订市场主体（外资企业除外）监督管理的措施办法</w:t>
            </w: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负责市场主体登记事项监督管理工作</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负责市场主体年度报告、信用分类管理和信息公示工作，依法组织查处取缔无照经营</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负责企业经营异常名录和严重违法失信企业名单管理</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负责长期未经营企业强制退出的管理工作</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5</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处理违反登记管理和信息公示管理法律法规的行为。</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6</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承担全县“双随机</w:t>
            </w:r>
            <w:r>
              <w:rPr>
                <w:rFonts w:hint="eastAsia" w:ascii="仿宋" w:hAnsi="仿宋" w:eastAsia="仿宋" w:cs="仿宋"/>
                <w:sz w:val="21"/>
                <w:szCs w:val="21"/>
                <w:lang w:eastAsia="zh-CN"/>
              </w:rPr>
              <w:t>、</w:t>
            </w:r>
            <w:r>
              <w:rPr>
                <w:rFonts w:hint="eastAsia" w:ascii="仿宋" w:hAnsi="仿宋" w:eastAsia="仿宋" w:cs="仿宋"/>
                <w:sz w:val="21"/>
                <w:szCs w:val="21"/>
              </w:rPr>
              <w:t>一公开”工作</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7</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承担局党组确定的有关市场监管重点工作</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9</w:t>
            </w:r>
          </w:p>
        </w:tc>
        <w:tc>
          <w:tcPr>
            <w:tcW w:w="1069" w:type="dxa"/>
            <w:vMerge w:val="restart"/>
            <w:vAlign w:val="center"/>
          </w:tcPr>
          <w:p>
            <w:pPr>
              <w:tabs>
                <w:tab w:val="left" w:pos="763"/>
              </w:tabs>
              <w:jc w:val="center"/>
              <w:rPr>
                <w:rFonts w:hint="eastAsia" w:ascii="仿宋" w:hAnsi="仿宋" w:eastAsia="仿宋" w:cs="仿宋"/>
                <w:sz w:val="21"/>
                <w:szCs w:val="21"/>
                <w:lang w:eastAsia="zh-CN"/>
              </w:rPr>
            </w:pPr>
            <w:r>
              <w:rPr>
                <w:rFonts w:hint="eastAsia" w:ascii="仿宋" w:hAnsi="仿宋" w:eastAsia="仿宋" w:cs="仿宋"/>
                <w:sz w:val="21"/>
                <w:szCs w:val="21"/>
              </w:rPr>
              <w:t>市场（合同）监管</w:t>
            </w:r>
            <w:r>
              <w:rPr>
                <w:rFonts w:hint="eastAsia" w:ascii="仿宋" w:hAnsi="仿宋" w:eastAsia="仿宋" w:cs="仿宋"/>
                <w:sz w:val="21"/>
                <w:szCs w:val="21"/>
                <w:lang w:eastAsia="zh-CN"/>
              </w:rPr>
              <w:t>股</w:t>
            </w:r>
          </w:p>
        </w:tc>
        <w:tc>
          <w:tcPr>
            <w:tcW w:w="3829" w:type="dxa"/>
            <w:vMerge w:val="restart"/>
            <w:tcBorders>
              <w:right w:val="single" w:color="auto" w:sz="4" w:space="0"/>
            </w:tcBorders>
            <w:vAlign w:val="center"/>
          </w:tcPr>
          <w:p>
            <w:pPr>
              <w:jc w:val="center"/>
              <w:rPr>
                <w:rFonts w:hint="eastAsia" w:ascii="仿宋" w:hAnsi="仿宋" w:eastAsia="仿宋" w:cs="仿宋"/>
                <w:sz w:val="21"/>
                <w:szCs w:val="21"/>
              </w:rPr>
            </w:pPr>
            <w:r>
              <w:rPr>
                <w:rFonts w:hint="eastAsia" w:ascii="仿宋" w:hAnsi="仿宋" w:eastAsia="仿宋" w:cs="仿宋"/>
                <w:sz w:val="21"/>
                <w:szCs w:val="21"/>
              </w:rPr>
              <w:t>依法负责合同、拍卖行为监督管理、动产抵押物登记工作</w:t>
            </w: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组织查处不平等格式条款（霸王条款）</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负责“守合同、重信用”企业公示工作</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负责商品交易市场信用分类管理和市场专项治理</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负责流通领域商品(不含食品)质量监督管理和质量监测工作，适时发布商品质量监测信息及消费警示</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5</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负责化肥、农膜等农资商品质量监督管理和成品油质量抽检工作</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6</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拟定网络商品交易及有关服务的监督管理制度和措施，依法对网络交易平台和网络经营主体经营行为进行监督管理，负责网络市场监测工作，组织开展电子商务交易商品质量的抽查检验；负责网络市场行政执法工作</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7</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负责拟定保护消费者权益的措施办法并组织实施；负责消费环境建设，指导消费者增强自我保护意识，调解消费纠纷，组织指导查处侵害消费者权益的行为</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8</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负责指导协调各分局开展流通领域商品质量监督管理、质量监测和行政执法工作</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tcBorders>
              <w:right w:val="single" w:color="auto" w:sz="4" w:space="0"/>
            </w:tcBorders>
            <w:vAlign w:val="center"/>
          </w:tcPr>
          <w:p>
            <w:pPr>
              <w:jc w:val="center"/>
              <w:rPr>
                <w:rFonts w:hint="eastAsia" w:ascii="仿宋" w:hAnsi="仿宋" w:eastAsia="仿宋" w:cs="仿宋"/>
                <w:sz w:val="21"/>
                <w:szCs w:val="21"/>
              </w:rPr>
            </w:pPr>
          </w:p>
        </w:tc>
        <w:tc>
          <w:tcPr>
            <w:tcW w:w="960" w:type="dxa"/>
            <w:tcBorders>
              <w:left w:val="single" w:color="auto" w:sz="4" w:space="0"/>
            </w:tcBorders>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9</w:t>
            </w:r>
          </w:p>
        </w:tc>
        <w:tc>
          <w:tcPr>
            <w:tcW w:w="7178" w:type="dxa"/>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承担局党组确定的有关市场监管重点工作</w:t>
            </w:r>
          </w:p>
        </w:tc>
        <w:tc>
          <w:tcPr>
            <w:tcW w:w="672" w:type="dxa"/>
            <w:tcBorders>
              <w:left w:val="single" w:color="auto" w:sz="4" w:space="0"/>
            </w:tcBorders>
            <w:vAlign w:val="center"/>
          </w:tcPr>
          <w:p>
            <w:pPr>
              <w:jc w:val="center"/>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10</w:t>
            </w:r>
          </w:p>
        </w:tc>
        <w:tc>
          <w:tcPr>
            <w:tcW w:w="1069" w:type="dxa"/>
            <w:vMerge w:val="restart"/>
            <w:vAlign w:val="center"/>
          </w:tcPr>
          <w:p>
            <w:pPr>
              <w:tabs>
                <w:tab w:val="left" w:pos="763"/>
              </w:tabs>
              <w:jc w:val="center"/>
              <w:rPr>
                <w:rFonts w:hint="eastAsia" w:ascii="仿宋" w:hAnsi="仿宋" w:eastAsia="仿宋" w:cs="仿宋"/>
                <w:sz w:val="21"/>
                <w:szCs w:val="21"/>
                <w:lang w:eastAsia="zh-CN"/>
              </w:rPr>
            </w:pPr>
            <w:r>
              <w:rPr>
                <w:rFonts w:hint="eastAsia" w:ascii="仿宋" w:hAnsi="仿宋" w:eastAsia="仿宋" w:cs="仿宋"/>
                <w:sz w:val="21"/>
                <w:szCs w:val="21"/>
              </w:rPr>
              <w:t>广告监督管理</w:t>
            </w:r>
            <w:r>
              <w:rPr>
                <w:rFonts w:hint="eastAsia" w:ascii="仿宋" w:hAnsi="仿宋" w:eastAsia="仿宋" w:cs="仿宋"/>
                <w:sz w:val="21"/>
                <w:szCs w:val="21"/>
                <w:lang w:eastAsia="zh-CN"/>
              </w:rPr>
              <w:t>股</w:t>
            </w:r>
          </w:p>
        </w:tc>
        <w:tc>
          <w:tcPr>
            <w:tcW w:w="382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负责拟定全县广告业发展规划和广告监督管理办法并组织实施</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负责监测各类媒介广告发布情况，监督管理广告活动，查处虚假广告等违法行为</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指导广告监测机构和广告行业组织的工作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承担局党组确定的有关市场监管重点工作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11</w:t>
            </w:r>
          </w:p>
        </w:tc>
        <w:tc>
          <w:tcPr>
            <w:tcW w:w="1069" w:type="dxa"/>
            <w:vMerge w:val="restart"/>
            <w:vAlign w:val="center"/>
          </w:tcPr>
          <w:p>
            <w:pPr>
              <w:tabs>
                <w:tab w:val="left" w:pos="763"/>
              </w:tabs>
              <w:jc w:val="center"/>
              <w:rPr>
                <w:rFonts w:hint="eastAsia" w:ascii="仿宋" w:hAnsi="仿宋" w:eastAsia="仿宋" w:cs="仿宋"/>
                <w:sz w:val="21"/>
                <w:szCs w:val="21"/>
                <w:lang w:eastAsia="zh-CN"/>
              </w:rPr>
            </w:pPr>
            <w:r>
              <w:rPr>
                <w:rFonts w:hint="eastAsia" w:ascii="仿宋" w:hAnsi="仿宋" w:eastAsia="仿宋" w:cs="仿宋"/>
                <w:sz w:val="21"/>
                <w:szCs w:val="21"/>
              </w:rPr>
              <w:t>价格监督管理</w:t>
            </w:r>
            <w:r>
              <w:rPr>
                <w:rFonts w:hint="eastAsia" w:ascii="仿宋" w:hAnsi="仿宋" w:eastAsia="仿宋" w:cs="仿宋"/>
                <w:sz w:val="21"/>
                <w:szCs w:val="21"/>
                <w:lang w:eastAsia="zh-CN"/>
              </w:rPr>
              <w:t>股</w:t>
            </w:r>
          </w:p>
        </w:tc>
        <w:tc>
          <w:tcPr>
            <w:tcW w:w="382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负责全县价格监督管理工作，拟订全县有关价格收费监督管理的措施、办法并组织实施</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依法监管商品价格、服务价格以及国家机关、事业性收费行为</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推行价格、收费公示制度，建立健全价格社会监督和举报制度，组织指导查处全县价格收费违法违规行为</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承担局党组确定的有关市场监管重点工作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12</w:t>
            </w:r>
          </w:p>
        </w:tc>
        <w:tc>
          <w:tcPr>
            <w:tcW w:w="1069" w:type="dxa"/>
            <w:vMerge w:val="restart"/>
            <w:vAlign w:val="center"/>
          </w:tcPr>
          <w:p>
            <w:pPr>
              <w:tabs>
                <w:tab w:val="left" w:pos="763"/>
              </w:tabs>
              <w:jc w:val="center"/>
              <w:rPr>
                <w:rFonts w:hint="eastAsia" w:ascii="仿宋" w:hAnsi="仿宋" w:eastAsia="仿宋" w:cs="仿宋"/>
                <w:sz w:val="21"/>
                <w:szCs w:val="21"/>
                <w:lang w:eastAsia="zh-CN"/>
              </w:rPr>
            </w:pPr>
            <w:r>
              <w:rPr>
                <w:rFonts w:hint="eastAsia" w:ascii="仿宋" w:hAnsi="仿宋" w:eastAsia="仿宋" w:cs="仿宋"/>
                <w:sz w:val="21"/>
                <w:szCs w:val="21"/>
              </w:rPr>
              <w:t>标准计量</w:t>
            </w:r>
            <w:r>
              <w:rPr>
                <w:rFonts w:hint="eastAsia" w:ascii="仿宋" w:hAnsi="仿宋" w:eastAsia="仿宋" w:cs="仿宋"/>
                <w:sz w:val="21"/>
                <w:szCs w:val="21"/>
                <w:lang w:eastAsia="zh-CN"/>
              </w:rPr>
              <w:t>股</w:t>
            </w:r>
          </w:p>
        </w:tc>
        <w:tc>
          <w:tcPr>
            <w:tcW w:w="382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负责拟定全县标准化发展规划和管理制度并组织实施</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承担地方标准监管和对标采标相关工作，组织查处违反强制性国家标准等重大违法行为</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负责组织参与国家、行业和省市地方标准、团体标准、企业标准修订相关工作；对国家标准、行业标准和地方标准的实施情况进行监督</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负责管理商品条码工作；承担技术性贸易措施有关工作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组织参与国际、国家、区域标准化活动，创新标准管理模式。承担全县计量标准、计量标准物质和计量器具管理工作，组织全县量值传递溯源和计量比对工作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5</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负责全县商品量、市场计量行为、计量仲裁检定和计量技术机构及人员监督管理工作；规范计量数据使用</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6</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承担局党组确定的有关市场监管重点工作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13</w:t>
            </w:r>
          </w:p>
        </w:tc>
        <w:tc>
          <w:tcPr>
            <w:tcW w:w="1069" w:type="dxa"/>
            <w:vMerge w:val="restart"/>
            <w:vAlign w:val="center"/>
          </w:tcPr>
          <w:p>
            <w:pPr>
              <w:tabs>
                <w:tab w:val="left" w:pos="763"/>
              </w:tabs>
              <w:jc w:val="center"/>
              <w:rPr>
                <w:rFonts w:hint="eastAsia" w:ascii="仿宋" w:hAnsi="仿宋" w:eastAsia="仿宋" w:cs="仿宋"/>
                <w:sz w:val="21"/>
                <w:szCs w:val="21"/>
                <w:lang w:eastAsia="zh-CN"/>
              </w:rPr>
            </w:pPr>
            <w:r>
              <w:rPr>
                <w:rFonts w:hint="eastAsia" w:ascii="仿宋" w:hAnsi="仿宋" w:eastAsia="仿宋" w:cs="仿宋"/>
                <w:sz w:val="21"/>
                <w:szCs w:val="21"/>
              </w:rPr>
              <w:t>特种设备安全监察</w:t>
            </w:r>
            <w:r>
              <w:rPr>
                <w:rFonts w:hint="eastAsia" w:ascii="仿宋" w:hAnsi="仿宋" w:eastAsia="仿宋" w:cs="仿宋"/>
                <w:sz w:val="21"/>
                <w:szCs w:val="21"/>
                <w:lang w:eastAsia="zh-CN"/>
              </w:rPr>
              <w:t>股</w:t>
            </w:r>
          </w:p>
        </w:tc>
        <w:tc>
          <w:tcPr>
            <w:tcW w:w="382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按照特种设备目录实施安全监察、监督，组织落实特种设备安全技术规范</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监督检查特种设备的生产、经营、使用、检验检测和进出口，以及高耗能特种设备节能标准、锅炉环境保护标准的执行情况</w:t>
            </w:r>
          </w:p>
        </w:tc>
        <w:tc>
          <w:tcPr>
            <w:tcW w:w="672" w:type="dxa"/>
            <w:vAlign w:val="center"/>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按规定权限组织调查处理特种设备事故并进行统计分析，组织指导查处相关重大违法行为，监督管理特种设备检验检测机构和检验检测人员、作业人员</w:t>
            </w:r>
          </w:p>
        </w:tc>
        <w:tc>
          <w:tcPr>
            <w:tcW w:w="672" w:type="dxa"/>
            <w:vAlign w:val="center"/>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推动特种设备安全科技研究并推广应用</w:t>
            </w:r>
          </w:p>
        </w:tc>
        <w:tc>
          <w:tcPr>
            <w:tcW w:w="672" w:type="dxa"/>
            <w:vAlign w:val="center"/>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承担局党组确定的有关市场监管重点工作</w:t>
            </w:r>
          </w:p>
        </w:tc>
        <w:tc>
          <w:tcPr>
            <w:tcW w:w="672" w:type="dxa"/>
            <w:vAlign w:val="center"/>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14</w:t>
            </w:r>
          </w:p>
        </w:tc>
        <w:tc>
          <w:tcPr>
            <w:tcW w:w="1069" w:type="dxa"/>
            <w:vMerge w:val="restart"/>
            <w:vAlign w:val="center"/>
          </w:tcPr>
          <w:p>
            <w:pPr>
              <w:tabs>
                <w:tab w:val="left" w:pos="763"/>
              </w:tabs>
              <w:jc w:val="center"/>
              <w:rPr>
                <w:rFonts w:hint="eastAsia" w:ascii="仿宋" w:hAnsi="仿宋" w:eastAsia="仿宋" w:cs="仿宋"/>
                <w:sz w:val="21"/>
                <w:szCs w:val="21"/>
                <w:lang w:eastAsia="zh-CN"/>
              </w:rPr>
            </w:pPr>
            <w:r>
              <w:rPr>
                <w:rFonts w:hint="eastAsia" w:ascii="仿宋" w:hAnsi="仿宋" w:eastAsia="仿宋" w:cs="仿宋"/>
                <w:sz w:val="21"/>
                <w:szCs w:val="21"/>
              </w:rPr>
              <w:t>质量安全监管</w:t>
            </w:r>
            <w:r>
              <w:rPr>
                <w:rFonts w:hint="eastAsia" w:ascii="仿宋" w:hAnsi="仿宋" w:eastAsia="仿宋" w:cs="仿宋"/>
                <w:sz w:val="21"/>
                <w:szCs w:val="21"/>
                <w:lang w:eastAsia="zh-CN"/>
              </w:rPr>
              <w:t>股</w:t>
            </w:r>
          </w:p>
        </w:tc>
        <w:tc>
          <w:tcPr>
            <w:tcW w:w="382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拟订推进质量强县战略的政策措施和全县重点监督的产品目录并组织实施，负责统筹全县质量基础设施协同服务及应用工作，提出完善质量激励制度措施</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组织实施产品和服务质量提升制度、产品质量安全事故强制报告制度、缺陷产品召回制度</w:t>
            </w:r>
          </w:p>
        </w:tc>
        <w:tc>
          <w:tcPr>
            <w:tcW w:w="672" w:type="dxa"/>
            <w:vAlign w:val="center"/>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组织实施重大工程设备质量监理和产品防伪工作，开展服务质量监督监测</w:t>
            </w:r>
          </w:p>
        </w:tc>
        <w:tc>
          <w:tcPr>
            <w:tcW w:w="672" w:type="dxa"/>
            <w:vAlign w:val="center"/>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组织重大质量事故调查。负责产品质量县级监督抽查、风险监控和分类监督管理工作</w:t>
            </w:r>
          </w:p>
        </w:tc>
        <w:tc>
          <w:tcPr>
            <w:tcW w:w="672" w:type="dxa"/>
            <w:vAlign w:val="center"/>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组织实施工业产品质量安全监督管理工作；负责纤维质量监督工作</w:t>
            </w:r>
          </w:p>
        </w:tc>
        <w:tc>
          <w:tcPr>
            <w:tcW w:w="672" w:type="dxa"/>
            <w:vAlign w:val="center"/>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5</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组织实施国家认证和合格评定监督管理制度，落实国家认证行业发展规划，组织对各类认证活动实施监督管理，协助查处认证违法行为</w:t>
            </w:r>
          </w:p>
        </w:tc>
        <w:tc>
          <w:tcPr>
            <w:tcW w:w="672" w:type="dxa"/>
            <w:vAlign w:val="center"/>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6</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rPr>
              <w:t>组织实施国家认可与检验检测监督管理制度，组织协调全县检验检测资源整合和改革工作，负责对全县检验检测机构实施监督管理，组织指导查处认可与检验检测违法行为</w:t>
            </w:r>
          </w:p>
        </w:tc>
        <w:tc>
          <w:tcPr>
            <w:tcW w:w="672" w:type="dxa"/>
            <w:vAlign w:val="center"/>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7</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承担县质量强县战略领导小组办公室日常工作</w:t>
            </w:r>
          </w:p>
        </w:tc>
        <w:tc>
          <w:tcPr>
            <w:tcW w:w="672" w:type="dxa"/>
            <w:vAlign w:val="center"/>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8</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承担局党组确定的有关市场监管重点工作</w:t>
            </w:r>
          </w:p>
        </w:tc>
        <w:tc>
          <w:tcPr>
            <w:tcW w:w="672" w:type="dxa"/>
            <w:vAlign w:val="center"/>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15</w:t>
            </w:r>
          </w:p>
        </w:tc>
        <w:tc>
          <w:tcPr>
            <w:tcW w:w="1069" w:type="dxa"/>
            <w:vMerge w:val="restart"/>
            <w:vAlign w:val="center"/>
          </w:tcPr>
          <w:p>
            <w:pPr>
              <w:tabs>
                <w:tab w:val="left" w:pos="763"/>
              </w:tabs>
              <w:jc w:val="center"/>
              <w:rPr>
                <w:rFonts w:hint="eastAsia" w:ascii="仿宋" w:hAnsi="仿宋" w:eastAsia="仿宋" w:cs="仿宋"/>
                <w:sz w:val="21"/>
                <w:szCs w:val="21"/>
                <w:lang w:eastAsia="zh-CN"/>
              </w:rPr>
            </w:pPr>
            <w:r>
              <w:rPr>
                <w:rFonts w:hint="eastAsia" w:ascii="仿宋" w:hAnsi="仿宋" w:eastAsia="仿宋" w:cs="仿宋"/>
                <w:sz w:val="21"/>
                <w:szCs w:val="21"/>
              </w:rPr>
              <w:t>知识产权监管</w:t>
            </w:r>
            <w:r>
              <w:rPr>
                <w:rFonts w:hint="eastAsia" w:ascii="仿宋" w:hAnsi="仿宋" w:eastAsia="仿宋" w:cs="仿宋"/>
                <w:sz w:val="21"/>
                <w:szCs w:val="21"/>
                <w:lang w:eastAsia="zh-CN"/>
              </w:rPr>
              <w:t>股</w:t>
            </w:r>
          </w:p>
        </w:tc>
        <w:tc>
          <w:tcPr>
            <w:tcW w:w="382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贯彻执行国家、省、市保护商标、专利、原产地地理标志、集成电路布图等知识产权的法律法规与方针政策</w:t>
            </w:r>
            <w:r>
              <w:rPr>
                <w:rFonts w:hint="eastAsia" w:ascii="仿宋" w:hAnsi="仿宋" w:eastAsia="仿宋" w:cs="仿宋"/>
                <w:sz w:val="21"/>
                <w:szCs w:val="21"/>
                <w:lang w:eastAsia="zh-CN"/>
              </w:rPr>
              <w:t>，</w:t>
            </w:r>
            <w:r>
              <w:rPr>
                <w:rFonts w:hint="eastAsia" w:ascii="仿宋" w:hAnsi="仿宋" w:eastAsia="仿宋" w:cs="仿宋"/>
                <w:sz w:val="21"/>
                <w:szCs w:val="21"/>
              </w:rPr>
              <w:t>组织实施商标、专利、原产地地理标志、集成电路布图设计审查和授权确权判断标准</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负责拟定和实施全县知识产权事业发展规划、促进知识产权创造运用交易的相关政策措施，承担知识产权保护、运用、管理工作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负责办理商标注册受理、商标专利质押登记和转让许可备案管理等工作，组织驰名商标认定案件启动及其相关推荐工作</w:t>
            </w:r>
            <w:r>
              <w:rPr>
                <w:rFonts w:hint="eastAsia" w:ascii="仿宋" w:hAnsi="仿宋" w:eastAsia="仿宋" w:cs="仿宋"/>
                <w:sz w:val="21"/>
                <w:szCs w:val="21"/>
                <w:lang w:eastAsia="zh-CN"/>
              </w:rPr>
              <w:t>。</w:t>
            </w:r>
            <w:r>
              <w:rPr>
                <w:rFonts w:hint="eastAsia" w:ascii="仿宋" w:hAnsi="仿宋" w:eastAsia="仿宋" w:cs="仿宋"/>
                <w:sz w:val="21"/>
                <w:szCs w:val="21"/>
              </w:rPr>
              <w:t>承担专利申请文件的受理、专利费用减缓请求的审批、专利优先审查推荐工作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负责知识产权确权、侵权判定工作，承担对商标侵权、假冒专利等执法工作和知识产权维权援助工作的业务指导</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承担局党组确定的有关市场监管重点工作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16</w:t>
            </w:r>
          </w:p>
        </w:tc>
        <w:tc>
          <w:tcPr>
            <w:tcW w:w="1069" w:type="dxa"/>
            <w:vMerge w:val="restart"/>
            <w:vAlign w:val="center"/>
          </w:tcPr>
          <w:p>
            <w:pPr>
              <w:tabs>
                <w:tab w:val="left" w:pos="763"/>
              </w:tabs>
              <w:jc w:val="center"/>
              <w:rPr>
                <w:rFonts w:hint="eastAsia" w:ascii="仿宋" w:hAnsi="仿宋" w:eastAsia="仿宋" w:cs="仿宋"/>
                <w:sz w:val="21"/>
                <w:szCs w:val="21"/>
              </w:rPr>
            </w:pPr>
            <w:r>
              <w:rPr>
                <w:rFonts w:hint="eastAsia" w:ascii="仿宋" w:hAnsi="仿宋" w:eastAsia="仿宋" w:cs="仿宋"/>
                <w:sz w:val="21"/>
                <w:szCs w:val="21"/>
              </w:rPr>
              <w:t>投诉举报受理</w:t>
            </w:r>
          </w:p>
        </w:tc>
        <w:tc>
          <w:tcPr>
            <w:tcW w:w="382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负责整合消费者投诉、质量监督举报、食品药品投诉、知识产权投诉、价格举报专线，承担市场监督管理投诉举报电话平台建设与管理工作</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负责整合消费者投诉、质量监督举报、食品药品投诉、知识产权投诉、价格举报专线，承担市场监督管理投诉举报电话平台建设与管理工作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负责消费纠纷及消费相关信息的分析、公开工作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负责组织3.15消费者权益日等宣传活动</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承担局党组确定的有关市场监管重点工作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464" w:type="dxa"/>
            <w:vMerge w:val="restart"/>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17</w:t>
            </w:r>
          </w:p>
        </w:tc>
        <w:tc>
          <w:tcPr>
            <w:tcW w:w="1069" w:type="dxa"/>
            <w:vMerge w:val="restart"/>
            <w:vAlign w:val="center"/>
          </w:tcPr>
          <w:p>
            <w:pPr>
              <w:tabs>
                <w:tab w:val="left" w:pos="763"/>
              </w:tabs>
              <w:jc w:val="center"/>
              <w:rPr>
                <w:rFonts w:hint="eastAsia" w:ascii="仿宋" w:hAnsi="仿宋" w:eastAsia="仿宋" w:cs="仿宋"/>
                <w:sz w:val="21"/>
                <w:szCs w:val="21"/>
              </w:rPr>
            </w:pPr>
            <w:r>
              <w:rPr>
                <w:rFonts w:hint="eastAsia" w:ascii="仿宋" w:hAnsi="仿宋" w:eastAsia="仿宋" w:cs="仿宋"/>
                <w:sz w:val="21"/>
                <w:szCs w:val="21"/>
              </w:rPr>
              <w:t>综合执法稽查</w:t>
            </w:r>
          </w:p>
        </w:tc>
        <w:tc>
          <w:tcPr>
            <w:tcW w:w="382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负责依法查处县域内涉及市场、质量、价格、食品安全等领域的疑难、复杂大案要案</w:t>
            </w: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负责对科室、派出机构执法行为的指导和监督；受理承办上级和其他部门移交的案件</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2</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负责拟订全县有关反不正当竞争、直销市场监管、禁止传销的政策措施和具体办法，组织指导查处全县不正当竞争行为；负责公平竞争审查工作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3</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负责直销企业、直销员及其直销活动和打击传销工作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4</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根据上级授权，协助</w:t>
            </w:r>
            <w:r>
              <w:rPr>
                <w:rFonts w:hint="eastAsia" w:ascii="仿宋" w:hAnsi="仿宋" w:eastAsia="仿宋" w:cs="仿宋"/>
                <w:kern w:val="0"/>
                <w:sz w:val="21"/>
                <w:szCs w:val="21"/>
              </w:rPr>
              <w:t>查处垄断协议、滥用市场支配地位、经营者违法实施集中案件和滥用行政权力排除、限制竞争案件</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5</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承担县政府“打假办”、规范直销和打击传销办公室日常工作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64" w:type="dxa"/>
            <w:vMerge w:val="continue"/>
            <w:vAlign w:val="center"/>
          </w:tcPr>
          <w:p>
            <w:pPr>
              <w:jc w:val="center"/>
              <w:rPr>
                <w:rFonts w:hint="eastAsia" w:ascii="仿宋" w:hAnsi="仿宋" w:eastAsia="仿宋" w:cs="仿宋"/>
                <w:sz w:val="21"/>
                <w:szCs w:val="21"/>
                <w:u w:val="none"/>
                <w:vertAlign w:val="baseline"/>
                <w:lang w:val="en-US" w:eastAsia="zh-CN"/>
              </w:rPr>
            </w:pPr>
          </w:p>
        </w:tc>
        <w:tc>
          <w:tcPr>
            <w:tcW w:w="1069" w:type="dxa"/>
            <w:vMerge w:val="continue"/>
            <w:vAlign w:val="center"/>
          </w:tcPr>
          <w:p>
            <w:pPr>
              <w:tabs>
                <w:tab w:val="left" w:pos="763"/>
              </w:tabs>
              <w:jc w:val="center"/>
              <w:rPr>
                <w:rFonts w:hint="eastAsia" w:ascii="仿宋" w:hAnsi="仿宋" w:eastAsia="仿宋" w:cs="仿宋"/>
                <w:sz w:val="21"/>
                <w:szCs w:val="21"/>
              </w:rPr>
            </w:pPr>
          </w:p>
        </w:tc>
        <w:tc>
          <w:tcPr>
            <w:tcW w:w="3829" w:type="dxa"/>
            <w:vMerge w:val="continue"/>
            <w:vAlign w:val="center"/>
          </w:tcPr>
          <w:p>
            <w:pPr>
              <w:jc w:val="center"/>
              <w:rPr>
                <w:rFonts w:hint="eastAsia" w:ascii="仿宋" w:hAnsi="仿宋" w:eastAsia="仿宋" w:cs="仿宋"/>
                <w:sz w:val="21"/>
                <w:szCs w:val="21"/>
              </w:rPr>
            </w:pPr>
          </w:p>
        </w:tc>
        <w:tc>
          <w:tcPr>
            <w:tcW w:w="960"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6</w:t>
            </w:r>
          </w:p>
        </w:tc>
        <w:tc>
          <w:tcPr>
            <w:tcW w:w="71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承担局党组确定的有关市场监管重点工作</w:t>
            </w:r>
          </w:p>
        </w:tc>
        <w:tc>
          <w:tcPr>
            <w:tcW w:w="672" w:type="dxa"/>
          </w:tcPr>
          <w:p>
            <w:pPr>
              <w:jc w:val="center"/>
              <w:rPr>
                <w:rFonts w:hint="eastAsia" w:ascii="仿宋" w:hAnsi="仿宋" w:eastAsia="仿宋" w:cs="仿宋"/>
                <w:sz w:val="21"/>
                <w:szCs w:val="21"/>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trPr>
        <w:tc>
          <w:tcPr>
            <w:tcW w:w="464" w:type="dxa"/>
            <w:vAlign w:val="center"/>
          </w:tcPr>
          <w:p>
            <w:pPr>
              <w:jc w:val="center"/>
              <w:rPr>
                <w:rFonts w:hint="eastAsia" w:ascii="仿宋" w:hAnsi="仿宋" w:eastAsia="仿宋" w:cs="仿宋"/>
                <w:sz w:val="21"/>
                <w:szCs w:val="21"/>
                <w:u w:val="none"/>
                <w:vertAlign w:val="baseline"/>
                <w:lang w:val="en-US" w:eastAsia="zh-CN"/>
              </w:rPr>
            </w:pPr>
            <w:r>
              <w:rPr>
                <w:rFonts w:hint="eastAsia" w:ascii="仿宋" w:hAnsi="仿宋" w:eastAsia="仿宋" w:cs="仿宋"/>
                <w:sz w:val="21"/>
                <w:szCs w:val="21"/>
                <w:u w:val="none"/>
                <w:vertAlign w:val="baseline"/>
                <w:lang w:val="en-US" w:eastAsia="zh-CN"/>
              </w:rPr>
              <w:t>18</w:t>
            </w:r>
          </w:p>
        </w:tc>
        <w:tc>
          <w:tcPr>
            <w:tcW w:w="1069" w:type="dxa"/>
            <w:vAlign w:val="center"/>
          </w:tcPr>
          <w:p>
            <w:pPr>
              <w:tabs>
                <w:tab w:val="left" w:pos="763"/>
              </w:tabs>
              <w:jc w:val="center"/>
              <w:rPr>
                <w:rFonts w:hint="eastAsia" w:ascii="仿宋" w:hAnsi="仿宋" w:eastAsia="仿宋" w:cs="仿宋"/>
                <w:sz w:val="21"/>
                <w:szCs w:val="21"/>
              </w:rPr>
            </w:pPr>
            <w:r>
              <w:rPr>
                <w:rFonts w:hint="eastAsia" w:ascii="仿宋" w:hAnsi="仿宋" w:eastAsia="仿宋" w:cs="仿宋"/>
                <w:sz w:val="21"/>
                <w:szCs w:val="21"/>
              </w:rPr>
              <w:t>派出机构</w:t>
            </w:r>
          </w:p>
        </w:tc>
        <w:tc>
          <w:tcPr>
            <w:tcW w:w="3829" w:type="dxa"/>
            <w:vAlign w:val="center"/>
          </w:tcPr>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1、</w:t>
            </w:r>
            <w:r>
              <w:rPr>
                <w:rFonts w:hint="eastAsia" w:ascii="仿宋" w:hAnsi="仿宋" w:eastAsia="仿宋" w:cs="仿宋"/>
                <w:sz w:val="21"/>
                <w:szCs w:val="21"/>
              </w:rPr>
              <w:t>高邑镇市场监督管理所</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2、</w:t>
            </w:r>
            <w:r>
              <w:rPr>
                <w:rFonts w:hint="eastAsia" w:ascii="仿宋" w:hAnsi="仿宋" w:eastAsia="仿宋" w:cs="仿宋"/>
                <w:sz w:val="21"/>
                <w:szCs w:val="21"/>
              </w:rPr>
              <w:t>富村镇市场监督管理所</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3、</w:t>
            </w:r>
            <w:r>
              <w:rPr>
                <w:rFonts w:hint="eastAsia" w:ascii="仿宋" w:hAnsi="仿宋" w:eastAsia="仿宋" w:cs="仿宋"/>
                <w:sz w:val="21"/>
                <w:szCs w:val="21"/>
              </w:rPr>
              <w:t>万城镇市场监督管理所</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4、</w:t>
            </w:r>
            <w:r>
              <w:rPr>
                <w:rFonts w:hint="eastAsia" w:ascii="仿宋" w:hAnsi="仿宋" w:eastAsia="仿宋" w:cs="仿宋"/>
                <w:sz w:val="21"/>
                <w:szCs w:val="21"/>
              </w:rPr>
              <w:t>大营镇市场监督管理所</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5、</w:t>
            </w:r>
            <w:r>
              <w:rPr>
                <w:rFonts w:hint="eastAsia" w:ascii="仿宋" w:hAnsi="仿宋" w:eastAsia="仿宋" w:cs="仿宋"/>
                <w:sz w:val="21"/>
                <w:szCs w:val="21"/>
              </w:rPr>
              <w:t>中韩乡市场监督管理所</w:t>
            </w:r>
          </w:p>
        </w:tc>
        <w:tc>
          <w:tcPr>
            <w:tcW w:w="960" w:type="dxa"/>
            <w:vAlign w:val="center"/>
          </w:tcPr>
          <w:p>
            <w:pPr>
              <w:jc w:val="center"/>
              <w:rPr>
                <w:rFonts w:hint="eastAsia" w:ascii="仿宋" w:hAnsi="仿宋" w:eastAsia="仿宋" w:cs="仿宋"/>
                <w:sz w:val="21"/>
                <w:szCs w:val="21"/>
                <w:u w:val="none"/>
                <w:vertAlign w:val="baseline"/>
                <w:lang w:val="en-US" w:eastAsia="zh-CN"/>
              </w:rPr>
            </w:pPr>
          </w:p>
        </w:tc>
        <w:tc>
          <w:tcPr>
            <w:tcW w:w="7178" w:type="dxa"/>
            <w:vAlign w:val="center"/>
          </w:tcPr>
          <w:p>
            <w:pPr>
              <w:pStyle w:val="5"/>
              <w:keepNext w:val="0"/>
              <w:keepLines w:val="0"/>
              <w:pageBreakBefore w:val="0"/>
              <w:widowControl w:val="0"/>
              <w:shd w:val="clear" w:color="auto" w:fill="FFFFFF"/>
              <w:kinsoku/>
              <w:wordWrap/>
              <w:overflowPunct/>
              <w:topLinePunct w:val="0"/>
              <w:autoSpaceDE/>
              <w:autoSpaceDN/>
              <w:bidi w:val="0"/>
              <w:adjustRightInd/>
              <w:snapToGrid/>
              <w:spacing w:line="320" w:lineRule="exact"/>
              <w:ind w:firstLine="420" w:firstLineChars="200"/>
              <w:jc w:val="left"/>
              <w:textAlignment w:val="auto"/>
              <w:rPr>
                <w:rFonts w:hint="eastAsia" w:ascii="仿宋" w:hAnsi="仿宋" w:eastAsia="仿宋" w:cs="仿宋"/>
                <w:sz w:val="21"/>
                <w:szCs w:val="21"/>
              </w:rPr>
            </w:pPr>
            <w:r>
              <w:rPr>
                <w:rFonts w:hint="eastAsia" w:ascii="仿宋" w:hAnsi="仿宋" w:eastAsia="仿宋" w:cs="仿宋"/>
                <w:sz w:val="21"/>
                <w:szCs w:val="21"/>
              </w:rPr>
              <w:t>在县市场监督管理局的统一领导下，负责所辖区域内市场监督管理工作。</w:t>
            </w:r>
          </w:p>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sz w:val="21"/>
                <w:szCs w:val="21"/>
              </w:rPr>
            </w:pPr>
          </w:p>
        </w:tc>
        <w:tc>
          <w:tcPr>
            <w:tcW w:w="672" w:type="dxa"/>
          </w:tcPr>
          <w:p>
            <w:pPr>
              <w:jc w:val="center"/>
              <w:rPr>
                <w:rFonts w:hint="eastAsia" w:ascii="仿宋" w:hAnsi="仿宋" w:eastAsia="仿宋" w:cs="仿宋"/>
                <w:sz w:val="21"/>
                <w:szCs w:val="21"/>
                <w:u w:val="none"/>
                <w:vertAlign w:val="baseline"/>
                <w:lang w:val="en-US" w:eastAsia="zh-CN"/>
              </w:rPr>
            </w:pPr>
          </w:p>
        </w:tc>
      </w:tr>
    </w:tbl>
    <w:p>
      <w:pPr>
        <w:rPr>
          <w:rFonts w:hint="eastAsia" w:ascii="仿宋" w:hAnsi="仿宋" w:eastAsia="仿宋" w:cs="仿宋"/>
          <w:spacing w:val="-11"/>
          <w:sz w:val="28"/>
          <w:szCs w:val="28"/>
          <w:u w:val="none"/>
          <w:lang w:val="en-US" w:eastAsia="zh-CN"/>
        </w:rPr>
      </w:pPr>
    </w:p>
    <w:p>
      <w:pPr>
        <w:rPr>
          <w:rFonts w:hint="eastAsia" w:ascii="仿宋" w:hAnsi="仿宋" w:eastAsia="仿宋" w:cs="仿宋"/>
          <w:spacing w:val="-11"/>
          <w:sz w:val="24"/>
          <w:szCs w:val="24"/>
          <w:u w:val="none"/>
          <w:lang w:val="en-US" w:eastAsia="zh-CN"/>
        </w:rPr>
      </w:pPr>
    </w:p>
    <w:sectPr>
      <w:pgSz w:w="16838" w:h="11906" w:orient="landscape"/>
      <w:pgMar w:top="1417" w:right="1440" w:bottom="141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61395A"/>
    <w:rsid w:val="01196A15"/>
    <w:rsid w:val="022118C5"/>
    <w:rsid w:val="057D798F"/>
    <w:rsid w:val="0AF95675"/>
    <w:rsid w:val="0B511193"/>
    <w:rsid w:val="0DC92F79"/>
    <w:rsid w:val="10CF72EB"/>
    <w:rsid w:val="128545A1"/>
    <w:rsid w:val="170904DC"/>
    <w:rsid w:val="191C7B56"/>
    <w:rsid w:val="1A8931E4"/>
    <w:rsid w:val="1DE531DE"/>
    <w:rsid w:val="1F717CA1"/>
    <w:rsid w:val="24B10ABF"/>
    <w:rsid w:val="2F767DF2"/>
    <w:rsid w:val="31020368"/>
    <w:rsid w:val="31D766E6"/>
    <w:rsid w:val="342628C0"/>
    <w:rsid w:val="36771F02"/>
    <w:rsid w:val="36ED211B"/>
    <w:rsid w:val="37387C38"/>
    <w:rsid w:val="3C73766D"/>
    <w:rsid w:val="4661395A"/>
    <w:rsid w:val="47FE1F11"/>
    <w:rsid w:val="4DC208C9"/>
    <w:rsid w:val="4E605F03"/>
    <w:rsid w:val="538379C5"/>
    <w:rsid w:val="58C17457"/>
    <w:rsid w:val="59AA16B3"/>
    <w:rsid w:val="5F8660CF"/>
    <w:rsid w:val="61520B05"/>
    <w:rsid w:val="6671615A"/>
    <w:rsid w:val="66C96BA2"/>
    <w:rsid w:val="686224BE"/>
    <w:rsid w:val="6C2B3B06"/>
    <w:rsid w:val="7077021F"/>
    <w:rsid w:val="79043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p17"/>
    <w:basedOn w:val="1"/>
    <w:uiPriority w:val="0"/>
    <w:pPr>
      <w:widowControl/>
    </w:pPr>
    <w:rPr>
      <w:rFonts w:ascii="Times New Roman" w:hAnsi="Times New Roman" w:cs="Times New Roman"/>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8</TotalTime>
  <ScaleCrop>false</ScaleCrop>
  <LinksUpToDate>false</LinksUpToDate>
  <CharactersWithSpaces>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2021-11-09T00:43:00Z</dcterms:created>
  <dc:creator>GUEST1</dc:creator>
  <cp:lastModifiedBy>Administrator</cp:lastModifiedBy>
  <dcterms:modified xsi:type="dcterms:W3CDTF">2026-08-04T08:20:25Z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AD0F9EE353594548848304CAA88951A3</vt:lpwstr>
  </property>
</Properties>
</file>