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r>
        <w:rPr>
          <w:rFonts w:hint="eastAsia" w:ascii="方正小标宋简体" w:hAnsi="方正小标宋简体" w:eastAsia="方正小标宋简体" w:cs="Arial"/>
          <w:sz w:val="36"/>
          <w:lang w:val="en-US" w:eastAsia="zh-CN"/>
        </w:rPr>
        <w:t>高邑县退役军人事务局</w:t>
      </w:r>
      <w:r>
        <w:rPr>
          <w:rFonts w:hint="eastAsia" w:ascii="方正小标宋简体" w:hAnsi="方正小标宋简体" w:eastAsia="方正小标宋简体"/>
          <w:sz w:val="36"/>
          <w:lang w:val="en-US" w:eastAsia="zh-CN"/>
        </w:rPr>
        <w:t>权责清单事项总表</w:t>
      </w: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sz w:val="36"/>
          <w:lang w:val="en-US" w:eastAsia="zh-CN"/>
        </w:rPr>
      </w:pPr>
      <w:r>
        <w:rPr>
          <w:rFonts w:hint="eastAsia" w:ascii="楷体_GB2312" w:hAnsi="楷体_GB2312" w:eastAsia="楷体_GB2312"/>
          <w:lang w:val="en-US" w:eastAsia="zh-CN"/>
        </w:rPr>
        <w:t>（共四类、10项）</w:t>
      </w:r>
    </w:p>
    <w:tbl>
      <w:tblPr>
        <w:tblStyle w:val="3"/>
        <w:tblW w:w="13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2473"/>
        <w:gridCol w:w="7947"/>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总序号</w:t>
            </w:r>
          </w:p>
        </w:tc>
        <w:tc>
          <w:tcPr>
            <w:tcW w:w="2473" w:type="dxa"/>
            <w:vAlign w:val="center"/>
          </w:tcPr>
          <w:p>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类别及序号</w:t>
            </w:r>
          </w:p>
        </w:tc>
        <w:tc>
          <w:tcPr>
            <w:tcW w:w="7947" w:type="dxa"/>
            <w:vAlign w:val="center"/>
          </w:tcPr>
          <w:p>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项目名称及数量</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黑体" w:hAnsi="黑体" w:eastAsia="黑体"/>
                <w:sz w:val="32"/>
                <w:vertAlign w:val="baseline"/>
                <w:lang w:val="en-US" w:eastAsia="zh-CN"/>
              </w:rPr>
            </w:pPr>
            <w:r>
              <w:rPr>
                <w:rFonts w:hint="eastAsia" w:ascii="黑体" w:hAnsi="黑体" w:eastAsia="黑体"/>
                <w:sz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lang w:val="zh-CN"/>
              </w:rPr>
            </w:pP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lang w:val="en-US" w:eastAsia="zh-CN"/>
              </w:rPr>
            </w:pPr>
            <w:r>
              <w:rPr>
                <w:rFonts w:hint="eastAsia" w:ascii="仿宋_GB2312"/>
                <w:b w:val="0"/>
                <w:bCs w:val="0"/>
                <w:lang w:val="en-US" w:eastAsia="zh-CN"/>
              </w:rPr>
              <w:t>一、行政处罚</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eastAsia="仿宋_GB2312"/>
                <w:b w:val="0"/>
                <w:bCs w:val="0"/>
                <w:lang w:val="en-US" w:eastAsia="zh-CN"/>
              </w:rPr>
            </w:pPr>
            <w:r>
              <w:rPr>
                <w:rFonts w:hint="eastAsia" w:ascii="仿宋_GB2312"/>
                <w:b w:val="0"/>
                <w:bCs w:val="0"/>
                <w:lang w:val="en-US" w:eastAsia="zh-CN"/>
              </w:rPr>
              <w:t>共1项</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eastAsia="仿宋_GB2312"/>
                <w:b w:val="0"/>
                <w:bCs w:val="0"/>
                <w:lang w:val="en-US" w:eastAsia="zh-CN"/>
              </w:rPr>
            </w:pPr>
            <w:r>
              <w:rPr>
                <w:rFonts w:hint="eastAsia" w:ascii="仿宋_GB2312"/>
                <w:b w:val="0"/>
                <w:bCs w:val="0"/>
                <w:lang w:val="en-US" w:eastAsia="zh-CN"/>
              </w:rPr>
              <w:t>1</w:t>
            </w:r>
            <w:bookmarkStart w:id="0" w:name="_GoBack"/>
            <w:bookmarkEnd w:id="0"/>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eastAsia="仿宋_GB2312"/>
                <w:b w:val="0"/>
                <w:bCs w:val="0"/>
                <w:lang w:val="en-US" w:eastAsia="zh-CN"/>
              </w:rPr>
            </w:pPr>
            <w:r>
              <w:rPr>
                <w:rFonts w:hint="eastAsia" w:ascii="仿宋_GB2312"/>
                <w:b w:val="0"/>
                <w:bCs w:val="0"/>
                <w:lang w:val="en-US" w:eastAsia="zh-CN"/>
              </w:rPr>
              <w:t>1</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zh-CN" w:eastAsia="zh-CN"/>
              </w:rPr>
            </w:pPr>
            <w:r>
              <w:rPr>
                <w:rFonts w:hint="eastAsia" w:ascii="仿宋_GB2312"/>
                <w:b w:val="0"/>
                <w:bCs w:val="0"/>
                <w:vertAlign w:val="baseline"/>
                <w:lang w:val="en-US" w:eastAsia="zh-CN"/>
              </w:rPr>
              <w:t>对退役士兵接收安置单位违反《退役士兵安置条例》相关规定的处罚</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lang w:eastAsia="zh-CN"/>
              </w:rPr>
              <w:t>二</w:t>
            </w:r>
            <w:r>
              <w:rPr>
                <w:rFonts w:hint="eastAsia" w:ascii="仿宋_GB2312"/>
                <w:b w:val="0"/>
                <w:bCs w:val="0"/>
              </w:rPr>
              <w:t>、行政给付</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共6项</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2</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1</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移交政府安置的因战、因公评为1-4级残疾的和因病瘫痪、双目失明而生活不能自理的军队退休干部（士官）护理费的审批管理</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3</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vertAlign w:val="baseline"/>
                <w:lang w:val="en-US" w:eastAsia="zh-CN"/>
              </w:rPr>
            </w:pPr>
            <w:r>
              <w:rPr>
                <w:rFonts w:hint="eastAsia" w:ascii="仿宋_GB2312"/>
                <w:b w:val="0"/>
                <w:bCs w:val="0"/>
                <w:vertAlign w:val="baseline"/>
                <w:lang w:val="en-US" w:eastAsia="zh-CN"/>
              </w:rPr>
              <w:t>2</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en-US" w:eastAsia="zh-CN"/>
              </w:rPr>
            </w:pPr>
            <w:r>
              <w:rPr>
                <w:rFonts w:hint="eastAsia" w:ascii="仿宋_GB2312"/>
                <w:b w:val="0"/>
                <w:bCs w:val="0"/>
                <w:vertAlign w:val="baseline"/>
                <w:lang w:val="en-US" w:eastAsia="zh-CN"/>
              </w:rPr>
              <w:t>移交政府安置的退休干部及离退休干部无经济收入家属遗属医疗补助费的审核发放</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4</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vertAlign w:val="baseline"/>
                <w:lang w:val="en-US" w:eastAsia="zh-CN"/>
              </w:rPr>
            </w:pPr>
            <w:r>
              <w:rPr>
                <w:rFonts w:hint="eastAsia" w:ascii="仿宋_GB2312"/>
                <w:b w:val="0"/>
                <w:bCs w:val="0"/>
                <w:vertAlign w:val="baseline"/>
                <w:lang w:val="en-US" w:eastAsia="zh-CN"/>
              </w:rPr>
              <w:t>3</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en-US" w:eastAsia="zh-CN"/>
              </w:rPr>
            </w:pPr>
            <w:r>
              <w:rPr>
                <w:rFonts w:hint="eastAsia" w:ascii="仿宋_GB2312"/>
                <w:b w:val="0"/>
                <w:bCs w:val="0"/>
                <w:vertAlign w:val="baseline"/>
                <w:lang w:val="en-US" w:eastAsia="zh-CN"/>
              </w:rPr>
              <w:t>优抚资金拨付</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5</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vertAlign w:val="baseline"/>
                <w:lang w:val="en-US" w:eastAsia="zh-CN"/>
              </w:rPr>
            </w:pPr>
            <w:r>
              <w:rPr>
                <w:rFonts w:hint="eastAsia" w:ascii="仿宋_GB2312"/>
                <w:b w:val="0"/>
                <w:bCs w:val="0"/>
                <w:vertAlign w:val="baseline"/>
                <w:lang w:val="en-US" w:eastAsia="zh-CN"/>
              </w:rPr>
              <w:t>4</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en-US" w:eastAsia="zh-CN"/>
              </w:rPr>
            </w:pPr>
            <w:r>
              <w:rPr>
                <w:rFonts w:hint="eastAsia" w:ascii="仿宋_GB2312"/>
                <w:b w:val="0"/>
                <w:bCs w:val="0"/>
                <w:vertAlign w:val="baseline"/>
                <w:lang w:val="en-US" w:eastAsia="zh-CN"/>
              </w:rPr>
              <w:t>建国后参战和参加核试验军队退役人员补助金的给付</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6</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vertAlign w:val="baseline"/>
                <w:lang w:val="en-US" w:eastAsia="zh-CN"/>
              </w:rPr>
            </w:pPr>
            <w:r>
              <w:rPr>
                <w:rFonts w:hint="eastAsia" w:ascii="仿宋_GB2312"/>
                <w:b w:val="0"/>
                <w:bCs w:val="0"/>
                <w:vertAlign w:val="baseline"/>
                <w:lang w:val="en-US" w:eastAsia="zh-CN"/>
              </w:rPr>
              <w:t>5</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en-US" w:eastAsia="zh-CN"/>
              </w:rPr>
            </w:pPr>
            <w:r>
              <w:rPr>
                <w:rFonts w:hint="eastAsia" w:ascii="仿宋_GB2312"/>
                <w:b w:val="0"/>
                <w:bCs w:val="0"/>
                <w:vertAlign w:val="baseline"/>
                <w:lang w:val="en-US" w:eastAsia="zh-CN"/>
              </w:rPr>
              <w:t>部分烈士（含错杀后被平反人员）子女认定及生活补助给付</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7</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vertAlign w:val="baseline"/>
                <w:lang w:val="en-US" w:eastAsia="zh-CN"/>
              </w:rPr>
            </w:pPr>
            <w:r>
              <w:rPr>
                <w:rFonts w:hint="eastAsia" w:ascii="仿宋_GB2312"/>
                <w:b w:val="0"/>
                <w:bCs w:val="0"/>
                <w:vertAlign w:val="baseline"/>
                <w:lang w:val="en-US" w:eastAsia="zh-CN"/>
              </w:rPr>
              <w:t>6</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en-US" w:eastAsia="zh-CN"/>
              </w:rPr>
            </w:pPr>
            <w:r>
              <w:rPr>
                <w:rFonts w:hint="eastAsia" w:ascii="仿宋_GB2312"/>
                <w:b w:val="0"/>
                <w:bCs w:val="0"/>
                <w:vertAlign w:val="baseline"/>
                <w:lang w:val="en-US" w:eastAsia="zh-CN"/>
              </w:rPr>
              <w:t>优质对象医疗保障</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lang w:eastAsia="zh-CN"/>
              </w:rPr>
              <w:t>三</w:t>
            </w:r>
            <w:r>
              <w:rPr>
                <w:rFonts w:hint="eastAsia" w:ascii="仿宋_GB2312"/>
                <w:b w:val="0"/>
                <w:bCs w:val="0"/>
              </w:rPr>
              <w:t>、行政确认</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共2项</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8</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1</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带病回乡退伍军人受理</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9</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b w:val="0"/>
                <w:bCs w:val="0"/>
                <w:vertAlign w:val="baseline"/>
                <w:lang w:val="en-US" w:eastAsia="zh-CN"/>
              </w:rPr>
            </w:pPr>
            <w:r>
              <w:rPr>
                <w:rFonts w:hint="eastAsia" w:ascii="仿宋_GB2312"/>
                <w:b w:val="0"/>
                <w:bCs w:val="0"/>
                <w:vertAlign w:val="baseline"/>
                <w:lang w:val="en-US" w:eastAsia="zh-CN"/>
              </w:rPr>
              <w:t>2</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val="0"/>
                <w:bCs w:val="0"/>
                <w:vertAlign w:val="baseline"/>
                <w:lang w:val="en-US" w:eastAsia="zh-CN"/>
              </w:rPr>
            </w:pPr>
            <w:r>
              <w:rPr>
                <w:rFonts w:hint="eastAsia" w:ascii="仿宋_GB2312"/>
                <w:b w:val="0"/>
                <w:bCs w:val="0"/>
                <w:vertAlign w:val="baseline"/>
                <w:lang w:val="en-US" w:eastAsia="zh-CN"/>
              </w:rPr>
              <w:t>县级烈士纪念设施申请</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2473" w:type="dxa"/>
            <w:vAlign w:val="center"/>
          </w:tcPr>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仿宋_GB2312"/>
                <w:lang w:eastAsia="zh-CN"/>
              </w:rPr>
            </w:pPr>
            <w:r>
              <w:rPr>
                <w:rFonts w:hint="eastAsia" w:ascii="仿宋_GB2312"/>
                <w:lang w:eastAsia="zh-CN"/>
              </w:rPr>
              <w:t>四、</w:t>
            </w:r>
            <w:r>
              <w:rPr>
                <w:rFonts w:hint="eastAsia" w:ascii="仿宋_GB2312"/>
              </w:rPr>
              <w:t>其他</w:t>
            </w:r>
            <w:r>
              <w:rPr>
                <w:rFonts w:hint="eastAsia" w:ascii="仿宋_GB2312"/>
                <w:lang w:eastAsia="zh-CN"/>
              </w:rPr>
              <w:t>类</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共1项</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10</w:t>
            </w:r>
          </w:p>
        </w:tc>
        <w:tc>
          <w:tcPr>
            <w:tcW w:w="2473"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lang w:eastAsia="zh-CN"/>
              </w:rPr>
            </w:pPr>
            <w:r>
              <w:rPr>
                <w:rFonts w:hint="eastAsia" w:ascii="仿宋_GB2312"/>
                <w:vertAlign w:val="baseline"/>
                <w:lang w:val="en-US" w:eastAsia="zh-CN"/>
              </w:rPr>
              <w:t>1</w:t>
            </w:r>
          </w:p>
        </w:tc>
        <w:tc>
          <w:tcPr>
            <w:tcW w:w="7947"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b w:val="0"/>
                <w:bCs w:val="0"/>
                <w:vertAlign w:val="baseline"/>
                <w:lang w:val="en-US" w:eastAsia="zh-CN"/>
              </w:rPr>
              <w:t>烈士纪念设施的保护和管理</w:t>
            </w:r>
          </w:p>
        </w:tc>
        <w:tc>
          <w:tcPr>
            <w:tcW w:w="1994"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bl>
    <w:p>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黑体" w:hAnsi="黑体" w:eastAsia="黑体"/>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黑体" w:hAnsi="黑体" w:eastAsia="黑体"/>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黑体" w:hAnsi="黑体" w:eastAsia="黑体"/>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黑体" w:hAnsi="黑体" w:eastAsia="黑体"/>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黑体" w:hAnsi="黑体" w:eastAsia="黑体"/>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黑体" w:hAnsi="黑体" w:eastAsia="黑体"/>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r>
        <w:rPr>
          <w:rFonts w:hint="eastAsia" w:ascii="方正小标宋简体" w:hAnsi="方正小标宋简体" w:eastAsia="方正小标宋简体"/>
          <w:sz w:val="36"/>
          <w:lang w:val="en-US" w:eastAsia="zh-CN"/>
        </w:rPr>
        <w:t>高邑县退役军人事务局权责清单事项分表</w:t>
      </w: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sz w:val="36"/>
          <w:lang w:val="en-US" w:eastAsia="zh-CN"/>
        </w:rPr>
      </w:pPr>
      <w:r>
        <w:rPr>
          <w:rFonts w:hint="eastAsia" w:ascii="楷体_GB2312" w:hAnsi="楷体_GB2312" w:eastAsia="楷体_GB2312"/>
          <w:lang w:val="en-US" w:eastAsia="zh-CN"/>
        </w:rPr>
        <w:t>（共四类、10项）</w:t>
      </w:r>
    </w:p>
    <w:tbl>
      <w:tblPr>
        <w:tblStyle w:val="3"/>
        <w:tblW w:w="141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275"/>
        <w:gridCol w:w="1605"/>
        <w:gridCol w:w="801"/>
        <w:gridCol w:w="2949"/>
        <w:gridCol w:w="3195"/>
        <w:gridCol w:w="3057"/>
        <w:gridCol w:w="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序号</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权力类型</w:t>
            </w:r>
          </w:p>
        </w:tc>
        <w:tc>
          <w:tcPr>
            <w:tcW w:w="160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权力事项</w:t>
            </w:r>
          </w:p>
        </w:tc>
        <w:tc>
          <w:tcPr>
            <w:tcW w:w="80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行政主体</w:t>
            </w:r>
          </w:p>
        </w:tc>
        <w:tc>
          <w:tcPr>
            <w:tcW w:w="294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实施依据</w:t>
            </w:r>
          </w:p>
        </w:tc>
        <w:tc>
          <w:tcPr>
            <w:tcW w:w="31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责任事项</w:t>
            </w:r>
          </w:p>
        </w:tc>
        <w:tc>
          <w:tcPr>
            <w:tcW w:w="3057"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追责情形</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vertAlign w:val="baseline"/>
                <w:lang w:val="en-US" w:eastAsia="zh-CN"/>
              </w:rPr>
            </w:pPr>
            <w:r>
              <w:rPr>
                <w:rFonts w:hint="default" w:ascii="黑体" w:hAnsi="黑体" w:eastAsia="黑体"/>
                <w:b w:val="0"/>
                <w:i w:val="0"/>
                <w:snapToGrid/>
                <w:color w:val="000000"/>
                <w:sz w:val="24"/>
                <w:u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7"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w:t>
            </w:r>
          </w:p>
        </w:tc>
        <w:tc>
          <w:tcPr>
            <w:tcW w:w="1275" w:type="dxa"/>
            <w:vAlign w:val="center"/>
          </w:tcPr>
          <w:p>
            <w:pPr>
              <w:tabs>
                <w:tab w:val="left" w:pos="7937"/>
              </w:tabs>
              <w:spacing w:line="260" w:lineRule="exact"/>
              <w:jc w:val="center"/>
              <w:rPr>
                <w:rFonts w:hint="eastAsia" w:ascii="宋体" w:hAnsi="宋体" w:eastAsia="宋体" w:cs="宋体"/>
                <w:b w:val="0"/>
                <w:i w:val="0"/>
                <w:snapToGrid/>
                <w:color w:val="000000"/>
                <w:sz w:val="18"/>
                <w:szCs w:val="18"/>
                <w:u w:val="none"/>
                <w:lang w:eastAsia="zh-CN"/>
              </w:rPr>
            </w:pPr>
            <w:r>
              <w:rPr>
                <w:rFonts w:hint="eastAsia" w:ascii="宋体" w:hAnsi="宋体" w:eastAsia="宋体" w:cs="宋体"/>
                <w:sz w:val="18"/>
                <w:szCs w:val="18"/>
                <w:lang w:eastAsia="zh-CN"/>
              </w:rPr>
              <w:t>行政处罚</w:t>
            </w:r>
          </w:p>
        </w:tc>
        <w:tc>
          <w:tcPr>
            <w:tcW w:w="1605" w:type="dxa"/>
            <w:vAlign w:val="center"/>
          </w:tcPr>
          <w:p>
            <w:pPr>
              <w:tabs>
                <w:tab w:val="left" w:pos="7937"/>
              </w:tabs>
              <w:spacing w:line="260" w:lineRule="exact"/>
              <w:rPr>
                <w:rFonts w:hint="eastAsia" w:ascii="宋体" w:hAnsi="宋体" w:eastAsia="宋体" w:cs="宋体"/>
                <w:b w:val="0"/>
                <w:i w:val="0"/>
                <w:snapToGrid/>
                <w:color w:val="000000"/>
                <w:sz w:val="18"/>
                <w:szCs w:val="18"/>
                <w:u w:val="none"/>
                <w:lang w:eastAsia="zh-CN"/>
              </w:rPr>
            </w:pPr>
            <w:r>
              <w:rPr>
                <w:rFonts w:hint="eastAsia" w:ascii="宋体" w:hAnsi="宋体" w:eastAsia="宋体" w:cs="宋体"/>
                <w:sz w:val="18"/>
                <w:szCs w:val="18"/>
                <w:vertAlign w:val="baseline"/>
                <w:lang w:eastAsia="zh-CN"/>
              </w:rPr>
              <w:t>对退役士兵接收安置单位违反《退役士兵安置条例》相关规定的处罚</w:t>
            </w:r>
          </w:p>
        </w:tc>
        <w:tc>
          <w:tcPr>
            <w:tcW w:w="801" w:type="dxa"/>
            <w:vAlign w:val="center"/>
          </w:tcPr>
          <w:p>
            <w:pPr>
              <w:tabs>
                <w:tab w:val="left" w:pos="7937"/>
              </w:tabs>
              <w:spacing w:line="260" w:lineRule="exact"/>
              <w:rPr>
                <w:rFonts w:hint="eastAsia" w:ascii="宋体" w:hAnsi="宋体" w:eastAsia="宋体" w:cs="宋体"/>
                <w:b w:val="0"/>
                <w:i w:val="0"/>
                <w:snapToGrid/>
                <w:color w:val="000000"/>
                <w:sz w:val="18"/>
                <w:szCs w:val="18"/>
                <w:u w:val="none"/>
                <w:lang w:eastAsia="zh-CN"/>
              </w:rPr>
            </w:pPr>
            <w:r>
              <w:rPr>
                <w:rFonts w:hint="eastAsia" w:ascii="宋体" w:hAnsi="宋体" w:eastAsia="宋体" w:cs="宋体"/>
                <w:sz w:val="18"/>
                <w:szCs w:val="18"/>
                <w:vertAlign w:val="baseline"/>
                <w:lang w:eastAsia="zh-CN"/>
              </w:rPr>
              <w:t>县退役军人事务局</w:t>
            </w:r>
          </w:p>
        </w:tc>
        <w:tc>
          <w:tcPr>
            <w:tcW w:w="2949" w:type="dxa"/>
            <w:vAlign w:val="center"/>
          </w:tcPr>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退役士兵安置条例》第五十条“接收安置退役士兵的单位违反本条例的规定，有下列情形之一的，由当地人民政府退役士兵安置工作主管部门责令改正；逾期不改的，对国家机关、社会团体、事业单位主要负责人和直接责任人员依法给予处分，对企业按照涉及退役士兵人数乘以当地上年度城镇职工平均工资10倍的金额处以罚款，并对接收单位及其主要负责人予以通报批评：（一）拒绝或者无故拖延执行人民政府下达的安排退役士兵工作任务的；（二）未依法与退役士兵签订劳动合同、聘用合同的；（三）与残疾退役士兵解除劳动关系或者人事关系的”</w:t>
            </w:r>
          </w:p>
        </w:tc>
        <w:tc>
          <w:tcPr>
            <w:tcW w:w="3195" w:type="dxa"/>
            <w:vAlign w:val="center"/>
          </w:tcPr>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1、立案责任：发现涉嫌违反安置退役士兵条例的行为（或者上级退役军人部门移交或其他机关移送的违法案件等），予以审查，决定是否立案。</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2、调查责任：退役军人部门对立案的案件，指定专人负责，及时组织调查取证，对发现的违反《退役士兵安置条例》相关规定的行为进行调查。</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3、审查责任：审理案件调查报告，对案件违法事实、证据、调查取证程序、法律适用、处罚种类和幅度、当事人陈述和申辩理由等方面进行审查，提出处理意见。</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4、告知责任：行政机关在作出行政处罚决定之前，应当告知当事人作出行政处罚决定的事实、理由及依据，并告知当事人依法享有的权利。</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5、决定责任：决定依法进行行政处罚的，制作行政处罚决定书。</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6、送达责任：行政处罚决定书按法律规定的方式送达当事人。</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7、执行责任：依据生效的行政处罚决定实施行政处罚。</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8.其他法律法规规章文件规定应履行的责任。</w:t>
            </w:r>
          </w:p>
        </w:tc>
        <w:tc>
          <w:tcPr>
            <w:tcW w:w="3057" w:type="dxa"/>
            <w:vAlign w:val="center"/>
          </w:tcPr>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因不履行或不正确履行行政职责，有下列情形的，行政机关及相关工作人员应承担相应责任：</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1、没有法律和事实依据实施行政处罚的；</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2、行政处罚显失公正的；</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3、执法人员玩忽职守，对应当予以制止和处罚的违法行为不予制止、处罚，致使退役军人合法权益遭受损害的；</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4、应当依法移送追究刑事责任，而未依法移送有权机关的；</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5、擅自改变行政处罚种类、幅度的；</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6、违反法定的行政处罚程序的；</w:t>
            </w:r>
          </w:p>
          <w:p>
            <w:pPr>
              <w:tabs>
                <w:tab w:val="left" w:pos="7937"/>
              </w:tabs>
              <w:spacing w:line="260" w:lineRule="exact"/>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7、在行政处罚过程中发生腐败行为的；</w:t>
            </w:r>
          </w:p>
          <w:p>
            <w:pPr>
              <w:tabs>
                <w:tab w:val="left" w:pos="7937"/>
              </w:tabs>
              <w:spacing w:line="260" w:lineRule="exact"/>
              <w:rPr>
                <w:rFonts w:hint="eastAsia" w:ascii="宋体" w:hAnsi="宋体" w:eastAsia="宋体" w:cs="宋体"/>
                <w:sz w:val="18"/>
                <w:szCs w:val="18"/>
                <w:vertAlign w:val="baseline"/>
                <w:lang w:eastAsia="zh-CN"/>
              </w:rPr>
            </w:pPr>
            <w:r>
              <w:rPr>
                <w:rFonts w:hint="eastAsia" w:ascii="宋体" w:hAnsi="宋体" w:eastAsia="宋体" w:cs="宋体"/>
                <w:sz w:val="18"/>
                <w:szCs w:val="18"/>
                <w:vertAlign w:val="baseline"/>
                <w:lang w:val="en-US" w:eastAsia="zh-CN"/>
              </w:rPr>
              <w:t>8、其他违反法律法规规章文件规定的行为。</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0"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val="en-US" w:eastAsia="zh-CN"/>
              </w:rPr>
              <w:t>2</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eastAsia="zh-CN"/>
              </w:rPr>
              <w:t>行政给付</w:t>
            </w:r>
          </w:p>
        </w:tc>
        <w:tc>
          <w:tcPr>
            <w:tcW w:w="160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eastAsia="zh-CN"/>
              </w:rPr>
              <w:t>移交政府安置的因战、因公评为</w:t>
            </w:r>
            <w:r>
              <w:rPr>
                <w:rFonts w:hint="eastAsia" w:ascii="宋体" w:hAnsi="宋体" w:eastAsia="宋体" w:cs="宋体"/>
                <w:b w:val="0"/>
                <w:i w:val="0"/>
                <w:snapToGrid/>
                <w:color w:val="000000"/>
                <w:sz w:val="18"/>
                <w:szCs w:val="18"/>
                <w:u w:val="none"/>
                <w:lang w:val="en-US" w:eastAsia="zh-CN"/>
              </w:rPr>
              <w:t>1-4级残疾的和因病瘫痪、双目失明而生活不能自理的</w:t>
            </w:r>
            <w:r>
              <w:rPr>
                <w:rFonts w:hint="eastAsia" w:ascii="宋体" w:hAnsi="宋体" w:eastAsia="宋体" w:cs="宋体"/>
                <w:b w:val="0"/>
                <w:i w:val="0"/>
                <w:snapToGrid/>
                <w:color w:val="000000"/>
                <w:sz w:val="18"/>
                <w:szCs w:val="18"/>
                <w:u w:val="none"/>
                <w:lang w:eastAsia="zh-CN"/>
              </w:rPr>
              <w:t>军队退休干部（士官）护理费的审批管理</w:t>
            </w:r>
          </w:p>
        </w:tc>
        <w:tc>
          <w:tcPr>
            <w:tcW w:w="80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eastAsia="zh-CN"/>
              </w:rPr>
              <w:t>县退役军人事务局</w:t>
            </w:r>
          </w:p>
        </w:tc>
        <w:tc>
          <w:tcPr>
            <w:tcW w:w="2949" w:type="dxa"/>
            <w:vAlign w:val="center"/>
          </w:tcPr>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lang w:eastAsia="zh-CN"/>
              </w:rPr>
              <w:t>民政部,财政部,总参谋部,总政治部,总后勤部《关于贯彻执行[94]财社字第19号文件有关问题的通知》([1996]政联字第9号)规定:因战因公伤残和瘫痪,双目失明等生活不能自理,饮食起居需要人扶助的,以及年满70周岁的离休干部可以享受护理费</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default" w:ascii="宋体" w:hAnsi="宋体" w:eastAsia="宋体" w:cs="宋体"/>
                <w:sz w:val="18"/>
                <w:szCs w:val="18"/>
                <w:lang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lang w:eastAsia="zh-CN"/>
              </w:rPr>
              <w:t>河北省民政厅《关于规范移交政府安置的军队离休退休干部护理费审批的通知》（冀民〔</w:t>
            </w:r>
            <w:r>
              <w:rPr>
                <w:rFonts w:hint="eastAsia" w:ascii="宋体" w:hAnsi="宋体" w:eastAsia="宋体" w:cs="宋体"/>
                <w:sz w:val="18"/>
                <w:szCs w:val="18"/>
                <w:lang w:val="en-US" w:eastAsia="zh-CN"/>
              </w:rPr>
              <w:t>2012</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33号</w:t>
            </w:r>
            <w:r>
              <w:rPr>
                <w:rFonts w:hint="eastAsia" w:ascii="宋体" w:hAnsi="宋体" w:eastAsia="宋体" w:cs="宋体"/>
                <w:sz w:val="18"/>
                <w:szCs w:val="18"/>
                <w:lang w:eastAsia="zh-CN"/>
              </w:rPr>
              <w:t>）第一条审批对象：移交政府安置的由民政部门管理的军队离退休干部（含退休志愿兵、退休士官）。第二条</w:t>
            </w:r>
            <w:r>
              <w:rPr>
                <w:rFonts w:hint="eastAsia" w:ascii="宋体" w:hAnsi="宋体" w:eastAsia="宋体" w:cs="宋体"/>
                <w:sz w:val="18"/>
                <w:szCs w:val="18"/>
                <w:lang w:val="en-US" w:eastAsia="zh-CN"/>
              </w:rPr>
              <w:t xml:space="preserve"> 审批条件：军休干部具有《军人残疾登记评定标准》四级以上残情或年龄在70岁以上离休干部。</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default" w:ascii="黑体" w:hAnsi="黑体" w:eastAsia="黑体"/>
                <w:b w:val="0"/>
                <w:i w:val="0"/>
                <w:snapToGrid/>
                <w:color w:val="auto"/>
                <w:sz w:val="24"/>
                <w:u w:val="none"/>
                <w:lang w:eastAsia="zh-CN"/>
              </w:rPr>
            </w:pPr>
            <w:r>
              <w:rPr>
                <w:rFonts w:hint="eastAsia" w:ascii="宋体" w:hAnsi="宋体" w:eastAsia="宋体" w:cs="宋体"/>
                <w:sz w:val="18"/>
                <w:szCs w:val="18"/>
                <w:lang w:val="en-US" w:eastAsia="zh-CN"/>
              </w:rPr>
              <w:t>3、河北省民政厅</w:t>
            </w:r>
            <w:r>
              <w:rPr>
                <w:rFonts w:hint="eastAsia" w:ascii="宋体" w:hAnsi="宋体" w:eastAsia="宋体" w:cs="宋体"/>
                <w:sz w:val="18"/>
                <w:szCs w:val="18"/>
                <w:lang w:eastAsia="zh-CN"/>
              </w:rPr>
              <w:t>《关于移交政府安置的军队离休退休干部护理费审批事项有关问题的通知》（冀民〔</w:t>
            </w:r>
            <w:r>
              <w:rPr>
                <w:rFonts w:hint="eastAsia" w:ascii="宋体" w:hAnsi="宋体" w:eastAsia="宋体" w:cs="宋体"/>
                <w:sz w:val="18"/>
                <w:szCs w:val="18"/>
                <w:lang w:val="en-US" w:eastAsia="zh-CN"/>
              </w:rPr>
              <w:t>2013</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104号)从2013年10月1日起，移交政府安置的军队离退休干部护理费审批材料不再上报省厅，由各设区市自行审批。</w:t>
            </w:r>
          </w:p>
        </w:tc>
        <w:tc>
          <w:tcPr>
            <w:tcW w:w="3195" w:type="dxa"/>
            <w:vAlign w:val="center"/>
          </w:tcPr>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cs="宋体"/>
                <w:sz w:val="18"/>
                <w:szCs w:val="18"/>
              </w:rPr>
            </w:pPr>
            <w:r>
              <w:rPr>
                <w:rFonts w:hint="eastAsia" w:ascii="宋体" w:hAnsi="宋体" w:eastAsia="宋体" w:cs="宋体"/>
                <w:sz w:val="18"/>
                <w:szCs w:val="18"/>
              </w:rPr>
              <w:t>1、受理责任:公示依法应当提交的材料;一次性告知补正材料;依法受理或不予受理</w:t>
            </w:r>
            <w:r>
              <w:rPr>
                <w:rFonts w:hint="eastAsia" w:ascii="宋体" w:hAnsi="宋体" w:eastAsia="宋体" w:cs="宋体"/>
                <w:sz w:val="18"/>
                <w:szCs w:val="18"/>
                <w:lang w:eastAsia="zh-CN"/>
              </w:rPr>
              <w:t>申请人</w:t>
            </w:r>
            <w:r>
              <w:rPr>
                <w:rFonts w:hint="eastAsia" w:ascii="宋体" w:hAnsi="宋体" w:eastAsia="宋体" w:cs="宋体"/>
                <w:sz w:val="18"/>
                <w:szCs w:val="18"/>
              </w:rPr>
              <w:t>意见和材料。</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cs="宋体"/>
                <w:sz w:val="18"/>
                <w:szCs w:val="18"/>
                <w:lang w:eastAsia="zh-CN"/>
              </w:rPr>
            </w:pPr>
            <w:r>
              <w:rPr>
                <w:rFonts w:hint="eastAsia" w:ascii="宋体" w:hAnsi="宋体" w:eastAsia="宋体" w:cs="宋体"/>
                <w:sz w:val="18"/>
                <w:szCs w:val="18"/>
              </w:rPr>
              <w:t>2、审查责任:审核意见和有关材料，符合要求的，组织有关人员</w:t>
            </w:r>
            <w:r>
              <w:rPr>
                <w:rFonts w:hint="eastAsia" w:ascii="宋体" w:hAnsi="宋体" w:eastAsia="宋体" w:cs="宋体"/>
                <w:sz w:val="18"/>
                <w:szCs w:val="18"/>
                <w:lang w:eastAsia="zh-CN"/>
              </w:rPr>
              <w:t>实地调查核实</w:t>
            </w:r>
            <w:r>
              <w:rPr>
                <w:rFonts w:hint="eastAsia" w:ascii="宋体" w:hAnsi="宋体" w:eastAsia="宋体" w:cs="宋体"/>
                <w:sz w:val="18"/>
                <w:szCs w:val="18"/>
              </w:rPr>
              <w:t>、</w:t>
            </w:r>
            <w:r>
              <w:rPr>
                <w:rFonts w:hint="eastAsia" w:ascii="宋体" w:hAnsi="宋体" w:eastAsia="宋体" w:cs="宋体"/>
                <w:sz w:val="18"/>
                <w:szCs w:val="18"/>
                <w:lang w:eastAsia="zh-CN"/>
              </w:rPr>
              <w:t>组织体检与鉴定。</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cs="宋体"/>
                <w:sz w:val="18"/>
                <w:szCs w:val="18"/>
              </w:rPr>
            </w:pPr>
            <w:r>
              <w:rPr>
                <w:rFonts w:hint="eastAsia" w:ascii="宋体" w:hAnsi="宋体" w:eastAsia="宋体" w:cs="宋体"/>
                <w:sz w:val="18"/>
                <w:szCs w:val="18"/>
              </w:rPr>
              <w:t>3、决定责任:做出申请人是否</w:t>
            </w:r>
            <w:r>
              <w:rPr>
                <w:rFonts w:hint="eastAsia" w:ascii="宋体" w:hAnsi="宋体" w:eastAsia="宋体" w:cs="宋体"/>
                <w:sz w:val="18"/>
                <w:szCs w:val="18"/>
                <w:lang w:eastAsia="zh-CN"/>
              </w:rPr>
              <w:t>符合</w:t>
            </w:r>
            <w:r>
              <w:rPr>
                <w:rFonts w:hint="eastAsia" w:ascii="宋体" w:hAnsi="宋体" w:eastAsia="宋体" w:cs="宋体"/>
                <w:sz w:val="18"/>
                <w:szCs w:val="18"/>
              </w:rPr>
              <w:t>确认的决定；不符合要求的，应当书面通知申请人</w:t>
            </w:r>
            <w:r>
              <w:rPr>
                <w:rFonts w:hint="eastAsia" w:ascii="宋体" w:hAnsi="宋体" w:eastAsia="宋体" w:cs="宋体"/>
                <w:sz w:val="18"/>
                <w:szCs w:val="18"/>
                <w:lang w:eastAsia="zh-CN"/>
              </w:rPr>
              <w:t>所在服务管理机构通知申请人</w:t>
            </w:r>
            <w:r>
              <w:rPr>
                <w:rFonts w:hint="eastAsia" w:ascii="宋体" w:hAnsi="宋体" w:eastAsia="宋体" w:cs="宋体"/>
                <w:sz w:val="18"/>
                <w:szCs w:val="18"/>
              </w:rPr>
              <w:t>。</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cs="宋体"/>
                <w:sz w:val="18"/>
                <w:szCs w:val="18"/>
              </w:rPr>
            </w:pPr>
            <w:r>
              <w:rPr>
                <w:rFonts w:hint="eastAsia" w:ascii="宋体" w:hAnsi="宋体" w:eastAsia="宋体" w:cs="宋体"/>
                <w:sz w:val="18"/>
                <w:szCs w:val="18"/>
              </w:rPr>
              <w:t>4、送达责任:通过确认的，</w:t>
            </w:r>
            <w:r>
              <w:rPr>
                <w:rFonts w:hint="eastAsia" w:ascii="宋体" w:hAnsi="宋体" w:eastAsia="宋体" w:cs="宋体"/>
                <w:sz w:val="18"/>
                <w:szCs w:val="18"/>
                <w:lang w:eastAsia="zh-CN"/>
              </w:rPr>
              <w:t>填写《石家庄市军队退休干部（士官）护理费审批表》</w:t>
            </w:r>
            <w:r>
              <w:rPr>
                <w:rFonts w:hint="eastAsia" w:ascii="宋体" w:hAnsi="宋体" w:eastAsia="宋体" w:cs="宋体"/>
                <w:sz w:val="18"/>
                <w:szCs w:val="18"/>
              </w:rPr>
              <w:t>，</w:t>
            </w:r>
            <w:r>
              <w:rPr>
                <w:rFonts w:hint="eastAsia" w:ascii="宋体" w:hAnsi="宋体" w:eastAsia="宋体" w:cs="宋体"/>
                <w:sz w:val="18"/>
                <w:szCs w:val="18"/>
                <w:lang w:eastAsia="zh-CN"/>
              </w:rPr>
              <w:t>签署明确意见，</w:t>
            </w:r>
            <w:r>
              <w:rPr>
                <w:rFonts w:hint="eastAsia" w:ascii="宋体" w:hAnsi="宋体" w:eastAsia="宋体" w:cs="宋体"/>
                <w:sz w:val="18"/>
                <w:szCs w:val="18"/>
              </w:rPr>
              <w:t>并报</w:t>
            </w:r>
            <w:r>
              <w:rPr>
                <w:rFonts w:hint="eastAsia" w:ascii="宋体" w:hAnsi="宋体" w:eastAsia="宋体" w:cs="宋体"/>
                <w:sz w:val="18"/>
                <w:szCs w:val="18"/>
                <w:lang w:eastAsia="zh-CN"/>
              </w:rPr>
              <w:t>省退役军人事务厅</w:t>
            </w:r>
            <w:r>
              <w:rPr>
                <w:rFonts w:hint="eastAsia" w:ascii="宋体" w:hAnsi="宋体" w:eastAsia="宋体" w:cs="宋体"/>
                <w:sz w:val="18"/>
                <w:szCs w:val="18"/>
              </w:rPr>
              <w:t>备案。</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cs="宋体"/>
                <w:sz w:val="18"/>
                <w:szCs w:val="18"/>
              </w:rPr>
            </w:pPr>
            <w:r>
              <w:rPr>
                <w:rFonts w:hint="eastAsia" w:ascii="宋体" w:hAnsi="宋体" w:eastAsia="宋体" w:cs="宋体"/>
                <w:sz w:val="18"/>
                <w:szCs w:val="18"/>
                <w:lang w:val="en-US" w:eastAsia="zh-CN"/>
              </w:rPr>
              <w:t>5</w:t>
            </w:r>
            <w:r>
              <w:rPr>
                <w:rFonts w:hint="eastAsia" w:ascii="宋体" w:hAnsi="宋体" w:eastAsia="宋体" w:cs="宋体"/>
                <w:sz w:val="18"/>
                <w:szCs w:val="18"/>
              </w:rPr>
              <w:t>、事后监管责任:对</w:t>
            </w:r>
            <w:r>
              <w:rPr>
                <w:rFonts w:hint="eastAsia" w:ascii="宋体" w:hAnsi="宋体" w:eastAsia="宋体" w:cs="宋体"/>
                <w:sz w:val="18"/>
                <w:szCs w:val="18"/>
                <w:lang w:eastAsia="zh-CN"/>
              </w:rPr>
              <w:t>符合享受护理费的休干（士官）由所在服务管理机构</w:t>
            </w:r>
            <w:r>
              <w:rPr>
                <w:rFonts w:hint="eastAsia" w:ascii="宋体" w:hAnsi="宋体" w:eastAsia="宋体" w:cs="宋体"/>
                <w:sz w:val="18"/>
                <w:szCs w:val="18"/>
              </w:rPr>
              <w:t>进行日常监督检查，并根据</w:t>
            </w:r>
            <w:r>
              <w:rPr>
                <w:rFonts w:hint="eastAsia" w:ascii="宋体" w:hAnsi="宋体" w:eastAsia="宋体" w:cs="宋体"/>
                <w:sz w:val="18"/>
                <w:szCs w:val="18"/>
                <w:lang w:eastAsia="zh-CN"/>
              </w:rPr>
              <w:t>身体恢复情况对不再符合享受护理费</w:t>
            </w:r>
            <w:r>
              <w:rPr>
                <w:rFonts w:hint="eastAsia" w:ascii="宋体" w:hAnsi="宋体" w:eastAsia="宋体" w:cs="宋体"/>
                <w:sz w:val="18"/>
                <w:szCs w:val="18"/>
              </w:rPr>
              <w:t>的</w:t>
            </w:r>
            <w:r>
              <w:rPr>
                <w:rFonts w:hint="eastAsia" w:ascii="宋体" w:hAnsi="宋体" w:eastAsia="宋体" w:cs="宋体"/>
                <w:sz w:val="18"/>
                <w:szCs w:val="18"/>
                <w:lang w:eastAsia="zh-CN"/>
              </w:rPr>
              <w:t>休干（士官）提出意见，市局根据服务管理机构意见上门核实后做出停止享受护理费的</w:t>
            </w:r>
            <w:r>
              <w:rPr>
                <w:rFonts w:hint="eastAsia" w:ascii="宋体" w:hAnsi="宋体" w:eastAsia="宋体" w:cs="宋体"/>
                <w:sz w:val="18"/>
                <w:szCs w:val="18"/>
              </w:rPr>
              <w:t>决定。</w:t>
            </w:r>
          </w:p>
          <w:p>
            <w:pPr>
              <w:keepNext w:val="0"/>
              <w:keepLines w:val="0"/>
              <w:pageBreakBefore w:val="0"/>
              <w:widowControl w:val="0"/>
              <w:tabs>
                <w:tab w:val="left" w:pos="7937"/>
              </w:tabs>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default" w:ascii="黑体" w:hAnsi="黑体" w:eastAsia="黑体"/>
                <w:b w:val="0"/>
                <w:i w:val="0"/>
                <w:snapToGrid/>
                <w:color w:val="000000"/>
                <w:sz w:val="24"/>
                <w:u w:val="none"/>
                <w:lang w:eastAsia="zh-CN"/>
              </w:rPr>
            </w:pPr>
            <w:r>
              <w:rPr>
                <w:rFonts w:hint="eastAsia" w:ascii="宋体" w:hAnsi="宋体" w:eastAsia="宋体" w:cs="宋体"/>
                <w:sz w:val="18"/>
                <w:szCs w:val="18"/>
                <w:lang w:val="en-US" w:eastAsia="zh-CN"/>
              </w:rPr>
              <w:t>6、</w:t>
            </w:r>
            <w:r>
              <w:rPr>
                <w:rFonts w:hint="eastAsia" w:ascii="宋体" w:hAnsi="宋体" w:eastAsia="宋体" w:cs="宋体"/>
                <w:sz w:val="18"/>
                <w:szCs w:val="18"/>
                <w:vertAlign w:val="baseline"/>
                <w:lang w:val="en-US" w:eastAsia="zh-CN"/>
              </w:rPr>
              <w:t>其他法律法规规章文件规定应履行的责任。</w:t>
            </w:r>
          </w:p>
        </w:tc>
        <w:tc>
          <w:tcPr>
            <w:tcW w:w="3057" w:type="dxa"/>
            <w:vAlign w:val="center"/>
          </w:tcPr>
          <w:p>
            <w:pPr>
              <w:tabs>
                <w:tab w:val="left" w:pos="7937"/>
              </w:tabs>
              <w:spacing w:line="280" w:lineRule="exact"/>
              <w:rPr>
                <w:rFonts w:hint="eastAsia"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rPr>
                <w:rFonts w:hint="eastAsia" w:ascii="宋体" w:hAnsi="宋体" w:eastAsia="宋体" w:cs="宋体"/>
                <w:sz w:val="18"/>
                <w:szCs w:val="18"/>
              </w:rPr>
            </w:pPr>
            <w:r>
              <w:rPr>
                <w:rFonts w:hint="eastAsia" w:ascii="宋体" w:hAnsi="宋体" w:eastAsia="宋体" w:cs="宋体"/>
                <w:sz w:val="18"/>
                <w:szCs w:val="18"/>
              </w:rPr>
              <w:t>1、对符合</w:t>
            </w:r>
            <w:r>
              <w:rPr>
                <w:rFonts w:hint="eastAsia" w:ascii="宋体" w:hAnsi="宋体" w:eastAsia="宋体" w:cs="宋体"/>
                <w:sz w:val="18"/>
                <w:szCs w:val="18"/>
                <w:lang w:eastAsia="zh-CN"/>
              </w:rPr>
              <w:t>政策规定</w:t>
            </w:r>
            <w:r>
              <w:rPr>
                <w:rFonts w:hint="eastAsia" w:ascii="宋体" w:hAnsi="宋体" w:eastAsia="宋体" w:cs="宋体"/>
                <w:sz w:val="18"/>
                <w:szCs w:val="18"/>
              </w:rPr>
              <w:t>条件的</w:t>
            </w:r>
            <w:r>
              <w:rPr>
                <w:rFonts w:hint="eastAsia" w:ascii="宋体" w:hAnsi="宋体" w:eastAsia="宋体" w:cs="宋体"/>
                <w:sz w:val="18"/>
                <w:szCs w:val="18"/>
                <w:lang w:eastAsia="zh-CN"/>
              </w:rPr>
              <w:t>移交</w:t>
            </w:r>
            <w:r>
              <w:rPr>
                <w:rFonts w:hint="eastAsia" w:ascii="宋体" w:hAnsi="宋体" w:eastAsia="宋体" w:cs="宋体"/>
                <w:b w:val="0"/>
                <w:i w:val="0"/>
                <w:snapToGrid/>
                <w:color w:val="000000"/>
                <w:sz w:val="18"/>
                <w:szCs w:val="18"/>
                <w:u w:val="none"/>
                <w:lang w:eastAsia="zh-CN"/>
              </w:rPr>
              <w:t>政府安置的因战、因公评为</w:t>
            </w:r>
            <w:r>
              <w:rPr>
                <w:rFonts w:hint="eastAsia" w:ascii="宋体" w:hAnsi="宋体" w:eastAsia="宋体" w:cs="宋体"/>
                <w:b w:val="0"/>
                <w:i w:val="0"/>
                <w:snapToGrid/>
                <w:color w:val="000000"/>
                <w:sz w:val="18"/>
                <w:szCs w:val="18"/>
                <w:u w:val="none"/>
                <w:lang w:val="en-US" w:eastAsia="zh-CN"/>
              </w:rPr>
              <w:t>1-4级残疾的和因病瘫痪、双目失明而生活不能自理的</w:t>
            </w:r>
            <w:r>
              <w:rPr>
                <w:rFonts w:hint="eastAsia" w:ascii="宋体" w:hAnsi="宋体" w:eastAsia="宋体" w:cs="宋体"/>
                <w:b w:val="0"/>
                <w:i w:val="0"/>
                <w:snapToGrid/>
                <w:color w:val="000000"/>
                <w:sz w:val="18"/>
                <w:szCs w:val="18"/>
                <w:u w:val="none"/>
                <w:lang w:eastAsia="zh-CN"/>
              </w:rPr>
              <w:t>军队退休干部（士官）</w:t>
            </w:r>
            <w:r>
              <w:rPr>
                <w:rFonts w:hint="eastAsia" w:ascii="宋体" w:hAnsi="宋体" w:eastAsia="宋体" w:cs="宋体"/>
                <w:sz w:val="18"/>
                <w:szCs w:val="18"/>
              </w:rPr>
              <w:t>申请不予受理的；</w:t>
            </w:r>
          </w:p>
          <w:p>
            <w:pPr>
              <w:tabs>
                <w:tab w:val="left" w:pos="7937"/>
              </w:tabs>
              <w:spacing w:line="280" w:lineRule="exact"/>
              <w:rPr>
                <w:rFonts w:hint="eastAsia" w:ascii="宋体" w:hAnsi="宋体" w:eastAsia="宋体" w:cs="宋体"/>
                <w:sz w:val="18"/>
                <w:szCs w:val="18"/>
              </w:rPr>
            </w:pPr>
            <w:r>
              <w:rPr>
                <w:rFonts w:hint="eastAsia" w:ascii="宋体" w:hAnsi="宋体" w:eastAsia="宋体" w:cs="宋体"/>
                <w:sz w:val="18"/>
                <w:szCs w:val="18"/>
              </w:rPr>
              <w:t>2、对不符合</w:t>
            </w:r>
            <w:r>
              <w:rPr>
                <w:rFonts w:hint="eastAsia" w:ascii="宋体" w:hAnsi="宋体" w:eastAsia="宋体" w:cs="宋体"/>
                <w:sz w:val="18"/>
                <w:szCs w:val="18"/>
                <w:lang w:eastAsia="zh-CN"/>
              </w:rPr>
              <w:t>政策规定</w:t>
            </w:r>
            <w:r>
              <w:rPr>
                <w:rFonts w:hint="eastAsia" w:ascii="宋体" w:hAnsi="宋体" w:eastAsia="宋体" w:cs="宋体"/>
                <w:sz w:val="18"/>
                <w:szCs w:val="18"/>
              </w:rPr>
              <w:t>条件的申请人准予</w:t>
            </w:r>
            <w:r>
              <w:rPr>
                <w:rFonts w:hint="eastAsia" w:ascii="宋体" w:hAnsi="宋体" w:eastAsia="宋体" w:cs="宋体"/>
                <w:sz w:val="18"/>
                <w:szCs w:val="18"/>
                <w:lang w:eastAsia="zh-CN"/>
              </w:rPr>
              <w:t>其享受护理费的，</w:t>
            </w:r>
            <w:r>
              <w:rPr>
                <w:rFonts w:hint="eastAsia" w:ascii="宋体" w:hAnsi="宋体" w:eastAsia="宋体" w:cs="宋体"/>
                <w:sz w:val="18"/>
                <w:szCs w:val="18"/>
              </w:rPr>
              <w:t>超越</w:t>
            </w:r>
            <w:r>
              <w:rPr>
                <w:rFonts w:hint="eastAsia" w:ascii="宋体" w:hAnsi="宋体" w:eastAsia="宋体" w:cs="宋体"/>
                <w:sz w:val="18"/>
                <w:szCs w:val="18"/>
                <w:lang w:eastAsia="zh-CN"/>
              </w:rPr>
              <w:t>审</w:t>
            </w:r>
            <w:r>
              <w:rPr>
                <w:rFonts w:hint="eastAsia" w:ascii="宋体" w:hAnsi="宋体" w:eastAsia="宋体" w:cs="宋体"/>
                <w:sz w:val="18"/>
                <w:szCs w:val="18"/>
              </w:rPr>
              <w:t>定职权作出准予</w:t>
            </w:r>
            <w:r>
              <w:rPr>
                <w:rFonts w:hint="eastAsia" w:ascii="宋体" w:hAnsi="宋体" w:eastAsia="宋体" w:cs="宋体"/>
                <w:sz w:val="18"/>
                <w:szCs w:val="18"/>
                <w:lang w:eastAsia="zh-CN"/>
              </w:rPr>
              <w:t>享受护理费</w:t>
            </w:r>
            <w:r>
              <w:rPr>
                <w:rFonts w:hint="eastAsia" w:ascii="宋体" w:hAnsi="宋体" w:eastAsia="宋体" w:cs="宋体"/>
                <w:sz w:val="18"/>
                <w:szCs w:val="18"/>
              </w:rPr>
              <w:t>的；</w:t>
            </w:r>
          </w:p>
          <w:p>
            <w:pPr>
              <w:tabs>
                <w:tab w:val="left" w:pos="7937"/>
              </w:tabs>
              <w:spacing w:line="280" w:lineRule="exact"/>
              <w:rPr>
                <w:rFonts w:hint="eastAsia" w:ascii="宋体" w:hAnsi="宋体" w:eastAsia="宋体" w:cs="宋体"/>
                <w:sz w:val="18"/>
                <w:szCs w:val="18"/>
              </w:rPr>
            </w:pPr>
            <w:r>
              <w:rPr>
                <w:rFonts w:hint="eastAsia" w:ascii="宋体" w:hAnsi="宋体" w:eastAsia="宋体" w:cs="宋体"/>
                <w:sz w:val="18"/>
                <w:szCs w:val="18"/>
              </w:rPr>
              <w:t>3、对符合</w:t>
            </w:r>
            <w:r>
              <w:rPr>
                <w:rFonts w:hint="eastAsia" w:ascii="宋体" w:hAnsi="宋体" w:eastAsia="宋体" w:cs="宋体"/>
                <w:sz w:val="18"/>
                <w:szCs w:val="18"/>
                <w:lang w:eastAsia="zh-CN"/>
              </w:rPr>
              <w:t>政策规定</w:t>
            </w:r>
            <w:r>
              <w:rPr>
                <w:rFonts w:hint="eastAsia" w:ascii="宋体" w:hAnsi="宋体" w:eastAsia="宋体" w:cs="宋体"/>
                <w:sz w:val="18"/>
                <w:szCs w:val="18"/>
              </w:rPr>
              <w:t>条件的申请人不予</w:t>
            </w:r>
            <w:r>
              <w:rPr>
                <w:rFonts w:hint="eastAsia" w:ascii="宋体" w:hAnsi="宋体" w:eastAsia="宋体" w:cs="宋体"/>
                <w:sz w:val="18"/>
                <w:szCs w:val="18"/>
                <w:lang w:eastAsia="zh-CN"/>
              </w:rPr>
              <w:t>审批享受护理费的；超出审定权限</w:t>
            </w:r>
            <w:r>
              <w:rPr>
                <w:rFonts w:hint="eastAsia" w:ascii="宋体" w:hAnsi="宋体" w:eastAsia="宋体" w:cs="宋体"/>
                <w:sz w:val="18"/>
                <w:szCs w:val="18"/>
              </w:rPr>
              <w:t>作出准予</w:t>
            </w:r>
            <w:r>
              <w:rPr>
                <w:rFonts w:hint="eastAsia" w:ascii="宋体" w:hAnsi="宋体" w:eastAsia="宋体" w:cs="宋体"/>
                <w:sz w:val="18"/>
                <w:szCs w:val="18"/>
                <w:lang w:eastAsia="zh-CN"/>
              </w:rPr>
              <w:t>享受护理费</w:t>
            </w:r>
            <w:r>
              <w:rPr>
                <w:rFonts w:hint="eastAsia" w:ascii="宋体" w:hAnsi="宋体" w:eastAsia="宋体" w:cs="宋体"/>
                <w:sz w:val="18"/>
                <w:szCs w:val="18"/>
              </w:rPr>
              <w:t>决定的；</w:t>
            </w:r>
          </w:p>
          <w:p>
            <w:pPr>
              <w:tabs>
                <w:tab w:val="left" w:pos="7937"/>
              </w:tabs>
              <w:spacing w:line="280" w:lineRule="exact"/>
              <w:rPr>
                <w:rFonts w:hint="eastAsia" w:ascii="宋体" w:hAnsi="宋体" w:eastAsia="宋体" w:cs="宋体"/>
                <w:sz w:val="18"/>
                <w:szCs w:val="18"/>
                <w:lang w:eastAsia="zh-CN"/>
              </w:rPr>
            </w:pPr>
            <w:r>
              <w:rPr>
                <w:rFonts w:hint="eastAsia" w:ascii="宋体" w:hAnsi="宋体" w:eastAsia="宋体" w:cs="宋体"/>
                <w:sz w:val="18"/>
                <w:szCs w:val="18"/>
              </w:rPr>
              <w:t>4、不依</w:t>
            </w:r>
            <w:r>
              <w:rPr>
                <w:rFonts w:hint="eastAsia" w:ascii="宋体" w:hAnsi="宋体" w:eastAsia="宋体" w:cs="宋体"/>
                <w:sz w:val="18"/>
                <w:szCs w:val="18"/>
                <w:lang w:eastAsia="zh-CN"/>
              </w:rPr>
              <w:t>规</w:t>
            </w:r>
            <w:r>
              <w:rPr>
                <w:rFonts w:hint="eastAsia" w:ascii="宋体" w:hAnsi="宋体" w:eastAsia="宋体" w:cs="宋体"/>
                <w:sz w:val="18"/>
                <w:szCs w:val="18"/>
              </w:rPr>
              <w:t>履行监督职责</w:t>
            </w:r>
            <w:r>
              <w:rPr>
                <w:rFonts w:hint="eastAsia" w:ascii="宋体" w:hAnsi="宋体" w:eastAsia="宋体" w:cs="宋体"/>
                <w:sz w:val="18"/>
                <w:szCs w:val="18"/>
                <w:lang w:eastAsia="zh-CN"/>
              </w:rPr>
              <w:t>，造成骗取护理费的。</w:t>
            </w:r>
          </w:p>
          <w:p>
            <w:pPr>
              <w:tabs>
                <w:tab w:val="left" w:pos="7937"/>
              </w:tabs>
              <w:spacing w:line="280" w:lineRule="exact"/>
              <w:rPr>
                <w:rFonts w:hint="default" w:ascii="黑体" w:hAnsi="黑体" w:eastAsia="黑体"/>
                <w:b w:val="0"/>
                <w:i w:val="0"/>
                <w:snapToGrid/>
                <w:color w:val="000000"/>
                <w:sz w:val="24"/>
                <w:u w:val="none"/>
                <w:lang w:eastAsia="zh-CN"/>
              </w:rPr>
            </w:pPr>
            <w:r>
              <w:rPr>
                <w:rFonts w:hint="eastAsia" w:ascii="宋体" w:hAnsi="宋体" w:eastAsia="宋体" w:cs="宋体"/>
                <w:sz w:val="18"/>
                <w:szCs w:val="18"/>
                <w:lang w:val="en-US" w:eastAsia="zh-CN"/>
              </w:rPr>
              <w:t>5、其他违反法律、法规、规章、文件规定的行为。</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2"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bCs w:val="0"/>
                <w:i w:val="0"/>
                <w:snapToGrid/>
                <w:color w:val="000000"/>
                <w:sz w:val="18"/>
                <w:szCs w:val="18"/>
                <w:u w:val="none"/>
                <w:lang w:val="en-US" w:eastAsia="zh-CN"/>
              </w:rPr>
            </w:pPr>
            <w:r>
              <w:rPr>
                <w:rFonts w:hint="eastAsia" w:ascii="宋体" w:hAnsi="宋体" w:eastAsia="宋体" w:cs="宋体"/>
                <w:b w:val="0"/>
                <w:bCs w:val="0"/>
                <w:i w:val="0"/>
                <w:snapToGrid/>
                <w:color w:val="000000"/>
                <w:sz w:val="18"/>
                <w:szCs w:val="18"/>
                <w:u w:val="none"/>
                <w:lang w:val="en-US" w:eastAsia="zh-CN"/>
              </w:rPr>
              <w:t>3</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bCs w:val="0"/>
                <w:i w:val="0"/>
                <w:snapToGrid/>
                <w:color w:val="000000"/>
                <w:sz w:val="18"/>
                <w:szCs w:val="18"/>
                <w:u w:val="none"/>
                <w:lang w:val="en-US" w:eastAsia="zh-CN"/>
              </w:rPr>
            </w:pPr>
            <w:r>
              <w:rPr>
                <w:rFonts w:hint="eastAsia" w:ascii="宋体" w:hAnsi="宋体" w:eastAsia="宋体" w:cs="宋体"/>
                <w:b w:val="0"/>
                <w:bCs w:val="0"/>
                <w:i w:val="0"/>
                <w:snapToGrid/>
                <w:color w:val="000000"/>
                <w:sz w:val="18"/>
                <w:szCs w:val="18"/>
                <w:u w:val="none"/>
                <w:lang w:val="en-US" w:eastAsia="zh-CN"/>
              </w:rPr>
              <w:t>行政给付</w:t>
            </w:r>
          </w:p>
        </w:tc>
        <w:tc>
          <w:tcPr>
            <w:tcW w:w="1605" w:type="dxa"/>
            <w:vAlign w:val="center"/>
          </w:tcPr>
          <w:p>
            <w:pPr>
              <w:tabs>
                <w:tab w:val="left" w:pos="7937"/>
              </w:tabs>
              <w:spacing w:line="260" w:lineRule="exact"/>
              <w:jc w:val="center"/>
              <w:rPr>
                <w:rFonts w:hint="eastAsia" w:ascii="宋体" w:hAnsi="宋体" w:eastAsia="宋体" w:cs="宋体"/>
                <w:b w:val="0"/>
                <w:bCs w:val="0"/>
                <w:i w:val="0"/>
                <w:snapToGrid/>
                <w:color w:val="000000"/>
                <w:sz w:val="18"/>
                <w:szCs w:val="18"/>
                <w:u w:val="none"/>
                <w:lang w:eastAsia="zh-CN"/>
              </w:rPr>
            </w:pPr>
            <w:r>
              <w:rPr>
                <w:rFonts w:hint="eastAsia" w:ascii="宋体" w:hAnsi="宋体" w:eastAsia="宋体" w:cs="宋体"/>
                <w:b w:val="0"/>
                <w:bCs w:val="0"/>
                <w:sz w:val="18"/>
                <w:szCs w:val="18"/>
                <w:vertAlign w:val="baseline"/>
                <w:lang w:eastAsia="zh-CN"/>
              </w:rPr>
              <w:t>移交政府安置的退休干部及离退休干部无经济收入家属遗属医疗补助费的审核发放</w:t>
            </w:r>
          </w:p>
        </w:tc>
        <w:tc>
          <w:tcPr>
            <w:tcW w:w="801" w:type="dxa"/>
            <w:vAlign w:val="center"/>
          </w:tcPr>
          <w:p>
            <w:pPr>
              <w:tabs>
                <w:tab w:val="left" w:pos="7937"/>
              </w:tabs>
              <w:spacing w:line="260" w:lineRule="exact"/>
              <w:jc w:val="center"/>
              <w:rPr>
                <w:rFonts w:hint="eastAsia" w:ascii="宋体" w:hAnsi="宋体" w:eastAsia="宋体" w:cs="宋体"/>
                <w:b w:val="0"/>
                <w:bCs w:val="0"/>
                <w:i w:val="0"/>
                <w:snapToGrid/>
                <w:color w:val="000000"/>
                <w:sz w:val="18"/>
                <w:szCs w:val="18"/>
                <w:u w:val="none"/>
                <w:lang w:eastAsia="zh-CN"/>
              </w:rPr>
            </w:pPr>
            <w:r>
              <w:rPr>
                <w:rFonts w:hint="eastAsia" w:ascii="宋体" w:hAnsi="宋体" w:eastAsia="宋体" w:cs="宋体"/>
                <w:b w:val="0"/>
                <w:bCs w:val="0"/>
                <w:sz w:val="18"/>
                <w:szCs w:val="18"/>
                <w:vertAlign w:val="baseline"/>
                <w:lang w:eastAsia="zh-CN"/>
              </w:rPr>
              <w:t>县退役军人事务局</w:t>
            </w:r>
          </w:p>
        </w:tc>
        <w:tc>
          <w:tcPr>
            <w:tcW w:w="2949" w:type="dxa"/>
            <w:vAlign w:val="center"/>
          </w:tcPr>
          <w:p>
            <w:pPr>
              <w:tabs>
                <w:tab w:val="left" w:pos="7937"/>
              </w:tabs>
              <w:spacing w:line="260" w:lineRule="exact"/>
              <w:rPr>
                <w:rFonts w:hint="eastAsia" w:ascii="宋体" w:hAnsi="宋体" w:eastAsia="宋体" w:cs="宋体"/>
                <w:b w:val="0"/>
                <w:bCs w:val="0"/>
                <w:i w:val="0"/>
                <w:snapToGrid/>
                <w:color w:val="000000"/>
                <w:sz w:val="15"/>
                <w:szCs w:val="15"/>
                <w:u w:val="none"/>
                <w:lang w:eastAsia="zh-CN"/>
              </w:rPr>
            </w:pPr>
            <w:r>
              <w:rPr>
                <w:rFonts w:hint="eastAsia" w:ascii="宋体" w:hAnsi="宋体" w:eastAsia="宋体" w:cs="宋体"/>
                <w:b w:val="0"/>
                <w:bCs w:val="0"/>
                <w:sz w:val="18"/>
                <w:szCs w:val="18"/>
                <w:lang w:eastAsia="zh-CN"/>
              </w:rPr>
              <w:t>《关于进一步做好军队离休退休干部移交政府安置管理工作的意见》（中办法〔</w:t>
            </w:r>
            <w:r>
              <w:rPr>
                <w:rFonts w:hint="eastAsia" w:ascii="宋体" w:hAnsi="宋体" w:eastAsia="宋体" w:cs="宋体"/>
                <w:b w:val="0"/>
                <w:bCs w:val="0"/>
                <w:sz w:val="18"/>
                <w:szCs w:val="18"/>
                <w:lang w:val="en-US" w:eastAsia="zh-CN"/>
              </w:rPr>
              <w:t>2004</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2号</w:t>
            </w:r>
            <w:r>
              <w:rPr>
                <w:rFonts w:hint="eastAsia" w:ascii="宋体" w:hAnsi="宋体" w:eastAsia="宋体" w:cs="宋体"/>
                <w:b w:val="0"/>
                <w:bCs w:val="0"/>
                <w:sz w:val="18"/>
                <w:szCs w:val="18"/>
                <w:lang w:eastAsia="zh-CN"/>
              </w:rPr>
              <w:t>）文件规定：“军队退休干部享受安置地同职级退休公务员的医疗待遇，对于享受基本医疗保险和公务员医疗补助待遇个人自付医疗费较多的，给予适当补助；军队离休退休干部无经济收入家属遗属纳入军队离休退休干部医疗管理体系统一管理，医疗费按照有关规定报销，对于享受基本医疗保险待遇个人自付较多的，给予适当补助。</w:t>
            </w:r>
          </w:p>
        </w:tc>
        <w:tc>
          <w:tcPr>
            <w:tcW w:w="3195" w:type="dxa"/>
            <w:vAlign w:val="center"/>
          </w:tcPr>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1、受理责任：</w:t>
            </w:r>
            <w:r>
              <w:rPr>
                <w:rFonts w:hint="eastAsia" w:ascii="宋体" w:hAnsi="宋体" w:eastAsia="宋体" w:cs="宋体"/>
                <w:b w:val="0"/>
                <w:bCs w:val="0"/>
                <w:sz w:val="18"/>
                <w:szCs w:val="18"/>
                <w:lang w:eastAsia="zh-CN"/>
              </w:rPr>
              <w:t>依据政策规定</w:t>
            </w:r>
            <w:r>
              <w:rPr>
                <w:rFonts w:hint="eastAsia" w:ascii="宋体" w:hAnsi="宋体" w:eastAsia="宋体" w:cs="宋体"/>
                <w:b w:val="0"/>
                <w:bCs w:val="0"/>
                <w:sz w:val="18"/>
                <w:szCs w:val="18"/>
              </w:rPr>
              <w:t>受理或不予受理，并一次性告之不予受理理由或需补充提供的相关材料目录。</w:t>
            </w:r>
          </w:p>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2、审查责任。审查</w:t>
            </w:r>
            <w:r>
              <w:rPr>
                <w:rFonts w:hint="eastAsia" w:ascii="宋体" w:hAnsi="宋体" w:eastAsia="宋体" w:cs="宋体"/>
                <w:b w:val="0"/>
                <w:bCs w:val="0"/>
                <w:sz w:val="18"/>
                <w:szCs w:val="18"/>
                <w:lang w:eastAsia="zh-CN"/>
              </w:rPr>
              <w:t>退休干部及离退休干部无经济收入家属遗属身份及各类医疗报销凭证。</w:t>
            </w:r>
            <w:r>
              <w:rPr>
                <w:rFonts w:hint="eastAsia" w:ascii="宋体" w:hAnsi="宋体" w:eastAsia="宋体" w:cs="宋体"/>
                <w:b w:val="0"/>
                <w:bCs w:val="0"/>
                <w:sz w:val="18"/>
                <w:szCs w:val="18"/>
              </w:rPr>
              <w:t>核对</w:t>
            </w:r>
            <w:r>
              <w:rPr>
                <w:rFonts w:hint="eastAsia" w:ascii="宋体" w:hAnsi="宋体" w:eastAsia="宋体" w:cs="宋体"/>
                <w:b w:val="0"/>
                <w:bCs w:val="0"/>
                <w:sz w:val="18"/>
                <w:szCs w:val="18"/>
                <w:lang w:eastAsia="zh-CN"/>
              </w:rPr>
              <w:t>票据</w:t>
            </w:r>
            <w:r>
              <w:rPr>
                <w:rFonts w:hint="eastAsia" w:ascii="宋体" w:hAnsi="宋体" w:eastAsia="宋体" w:cs="宋体"/>
                <w:b w:val="0"/>
                <w:bCs w:val="0"/>
                <w:sz w:val="18"/>
                <w:szCs w:val="18"/>
              </w:rPr>
              <w:t>信息</w:t>
            </w:r>
            <w:r>
              <w:rPr>
                <w:rFonts w:hint="eastAsia" w:ascii="宋体" w:hAnsi="宋体" w:eastAsia="宋体" w:cs="宋体"/>
                <w:b w:val="0"/>
                <w:bCs w:val="0"/>
                <w:sz w:val="18"/>
                <w:szCs w:val="18"/>
                <w:lang w:eastAsia="zh-CN"/>
              </w:rPr>
              <w:t>的真实性、合理性</w:t>
            </w:r>
            <w:r>
              <w:rPr>
                <w:rFonts w:hint="eastAsia" w:ascii="宋体" w:hAnsi="宋体" w:eastAsia="宋体" w:cs="宋体"/>
                <w:b w:val="0"/>
                <w:bCs w:val="0"/>
                <w:sz w:val="18"/>
                <w:szCs w:val="18"/>
              </w:rPr>
              <w:t>及</w:t>
            </w:r>
            <w:r>
              <w:rPr>
                <w:rFonts w:hint="eastAsia" w:ascii="宋体" w:hAnsi="宋体" w:eastAsia="宋体" w:cs="宋体"/>
                <w:b w:val="0"/>
                <w:bCs w:val="0"/>
                <w:sz w:val="18"/>
                <w:szCs w:val="18"/>
                <w:lang w:eastAsia="zh-CN"/>
              </w:rPr>
              <w:t>医疗费资金数额</w:t>
            </w:r>
            <w:r>
              <w:rPr>
                <w:rFonts w:hint="eastAsia" w:ascii="宋体" w:hAnsi="宋体" w:eastAsia="宋体" w:cs="宋体"/>
                <w:b w:val="0"/>
                <w:bCs w:val="0"/>
                <w:sz w:val="18"/>
                <w:szCs w:val="18"/>
              </w:rPr>
              <w:t>。</w:t>
            </w:r>
          </w:p>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3、决定责任：对符合</w:t>
            </w:r>
            <w:r>
              <w:rPr>
                <w:rFonts w:hint="eastAsia" w:ascii="宋体" w:hAnsi="宋体" w:eastAsia="宋体" w:cs="宋体"/>
                <w:b w:val="0"/>
                <w:bCs w:val="0"/>
                <w:sz w:val="18"/>
                <w:szCs w:val="18"/>
                <w:lang w:eastAsia="zh-CN"/>
              </w:rPr>
              <w:t>补助</w:t>
            </w:r>
            <w:r>
              <w:rPr>
                <w:rFonts w:hint="eastAsia" w:ascii="宋体" w:hAnsi="宋体" w:eastAsia="宋体" w:cs="宋体"/>
                <w:b w:val="0"/>
                <w:bCs w:val="0"/>
                <w:sz w:val="18"/>
                <w:szCs w:val="18"/>
              </w:rPr>
              <w:t>条件的，</w:t>
            </w:r>
            <w:r>
              <w:rPr>
                <w:rFonts w:hint="eastAsia" w:ascii="宋体" w:hAnsi="宋体" w:eastAsia="宋体" w:cs="宋体"/>
                <w:b w:val="0"/>
                <w:bCs w:val="0"/>
                <w:sz w:val="18"/>
                <w:szCs w:val="18"/>
                <w:lang w:eastAsia="zh-CN"/>
              </w:rPr>
              <w:t>按标准给予补助</w:t>
            </w:r>
            <w:r>
              <w:rPr>
                <w:rFonts w:hint="eastAsia" w:ascii="宋体" w:hAnsi="宋体" w:eastAsia="宋体" w:cs="宋体"/>
                <w:b w:val="0"/>
                <w:bCs w:val="0"/>
                <w:sz w:val="18"/>
                <w:szCs w:val="18"/>
              </w:rPr>
              <w:t>。对不符合条件的，解释原因。</w:t>
            </w:r>
          </w:p>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4、事后监管责任：登记</w:t>
            </w:r>
            <w:r>
              <w:rPr>
                <w:rFonts w:hint="eastAsia" w:ascii="宋体" w:hAnsi="宋体" w:eastAsia="宋体" w:cs="宋体"/>
                <w:b w:val="0"/>
                <w:bCs w:val="0"/>
                <w:sz w:val="18"/>
                <w:szCs w:val="18"/>
                <w:lang w:eastAsia="zh-CN"/>
              </w:rPr>
              <w:t>汇总补助人员名单和医疗费凭据，</w:t>
            </w:r>
            <w:r>
              <w:rPr>
                <w:rFonts w:hint="eastAsia" w:ascii="宋体" w:hAnsi="宋体" w:eastAsia="宋体" w:cs="宋体"/>
                <w:b w:val="0"/>
                <w:bCs w:val="0"/>
                <w:sz w:val="18"/>
                <w:szCs w:val="18"/>
              </w:rPr>
              <w:t>并留存</w:t>
            </w:r>
            <w:r>
              <w:rPr>
                <w:rFonts w:hint="eastAsia" w:ascii="宋体" w:hAnsi="宋体" w:eastAsia="宋体" w:cs="宋体"/>
                <w:b w:val="0"/>
                <w:bCs w:val="0"/>
                <w:sz w:val="18"/>
                <w:szCs w:val="18"/>
                <w:lang w:eastAsia="zh-CN"/>
              </w:rPr>
              <w:t>备案</w:t>
            </w:r>
            <w:r>
              <w:rPr>
                <w:rFonts w:hint="eastAsia" w:ascii="宋体" w:hAnsi="宋体" w:eastAsia="宋体" w:cs="宋体"/>
                <w:b w:val="0"/>
                <w:bCs w:val="0"/>
                <w:sz w:val="18"/>
                <w:szCs w:val="18"/>
              </w:rPr>
              <w:t>。</w:t>
            </w:r>
          </w:p>
          <w:p>
            <w:pPr>
              <w:tabs>
                <w:tab w:val="left" w:pos="7937"/>
              </w:tabs>
              <w:spacing w:line="260" w:lineRule="exact"/>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vertAlign w:val="baseline"/>
                <w:lang w:val="en-US" w:eastAsia="zh-CN"/>
              </w:rPr>
              <w:t>5、其他法律法规规章文件规定应履行的责任。</w:t>
            </w:r>
          </w:p>
          <w:p>
            <w:pPr>
              <w:tabs>
                <w:tab w:val="left" w:pos="7937"/>
              </w:tabs>
              <w:spacing w:line="260" w:lineRule="exact"/>
              <w:rPr>
                <w:rFonts w:hint="eastAsia" w:ascii="宋体" w:hAnsi="宋体" w:eastAsia="宋体" w:cs="宋体"/>
                <w:b w:val="0"/>
                <w:bCs w:val="0"/>
                <w:sz w:val="18"/>
                <w:szCs w:val="18"/>
                <w:vertAlign w:val="baseline"/>
                <w:lang w:val="en-US" w:eastAsia="zh-CN"/>
              </w:rPr>
            </w:pPr>
          </w:p>
          <w:p>
            <w:pPr>
              <w:tabs>
                <w:tab w:val="left" w:pos="7937"/>
              </w:tabs>
              <w:spacing w:line="260" w:lineRule="exact"/>
              <w:rPr>
                <w:rFonts w:hint="eastAsia" w:ascii="宋体" w:hAnsi="宋体" w:eastAsia="宋体" w:cs="宋体"/>
                <w:b w:val="0"/>
                <w:bCs w:val="0"/>
                <w:sz w:val="18"/>
                <w:szCs w:val="18"/>
                <w:vertAlign w:val="baseline"/>
                <w:lang w:val="en-US" w:eastAsia="zh-CN"/>
              </w:rPr>
            </w:pPr>
          </w:p>
        </w:tc>
        <w:tc>
          <w:tcPr>
            <w:tcW w:w="3057" w:type="dxa"/>
            <w:vAlign w:val="center"/>
          </w:tcPr>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因不履行或不正确履行行政职责，有下列情形的，行政机关及相关工作人员应承担相应责任：</w:t>
            </w:r>
          </w:p>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1、对符合</w:t>
            </w:r>
            <w:r>
              <w:rPr>
                <w:rFonts w:hint="eastAsia" w:ascii="宋体" w:hAnsi="宋体" w:eastAsia="宋体" w:cs="宋体"/>
                <w:b w:val="0"/>
                <w:bCs w:val="0"/>
                <w:sz w:val="18"/>
                <w:szCs w:val="18"/>
                <w:lang w:eastAsia="zh-CN"/>
              </w:rPr>
              <w:t>政策规定</w:t>
            </w:r>
            <w:r>
              <w:rPr>
                <w:rFonts w:hint="eastAsia" w:ascii="宋体" w:hAnsi="宋体" w:eastAsia="宋体" w:cs="宋体"/>
                <w:b w:val="0"/>
                <w:bCs w:val="0"/>
                <w:sz w:val="18"/>
                <w:szCs w:val="18"/>
              </w:rPr>
              <w:t>不</w:t>
            </w:r>
            <w:r>
              <w:rPr>
                <w:rFonts w:hint="eastAsia" w:ascii="宋体" w:hAnsi="宋体" w:eastAsia="宋体" w:cs="宋体"/>
                <w:b w:val="0"/>
                <w:bCs w:val="0"/>
                <w:sz w:val="18"/>
                <w:szCs w:val="18"/>
                <w:lang w:eastAsia="zh-CN"/>
              </w:rPr>
              <w:t>给</w:t>
            </w:r>
            <w:r>
              <w:rPr>
                <w:rFonts w:hint="eastAsia" w:ascii="宋体" w:hAnsi="宋体" w:eastAsia="宋体" w:cs="宋体"/>
                <w:b w:val="0"/>
                <w:bCs w:val="0"/>
                <w:sz w:val="18"/>
                <w:szCs w:val="18"/>
              </w:rPr>
              <w:t>予</w:t>
            </w:r>
            <w:r>
              <w:rPr>
                <w:rFonts w:hint="eastAsia" w:ascii="宋体" w:hAnsi="宋体" w:eastAsia="宋体" w:cs="宋体"/>
                <w:b w:val="0"/>
                <w:bCs w:val="0"/>
                <w:sz w:val="18"/>
                <w:szCs w:val="18"/>
                <w:lang w:eastAsia="zh-CN"/>
              </w:rPr>
              <w:t>医疗费补助</w:t>
            </w:r>
            <w:r>
              <w:rPr>
                <w:rFonts w:hint="eastAsia" w:ascii="宋体" w:hAnsi="宋体" w:eastAsia="宋体" w:cs="宋体"/>
                <w:b w:val="0"/>
                <w:bCs w:val="0"/>
                <w:sz w:val="18"/>
                <w:szCs w:val="18"/>
              </w:rPr>
              <w:t>的；</w:t>
            </w:r>
          </w:p>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2、违反规定</w:t>
            </w:r>
            <w:r>
              <w:rPr>
                <w:rFonts w:hint="eastAsia" w:ascii="宋体" w:hAnsi="宋体" w:eastAsia="宋体" w:cs="宋体"/>
                <w:b w:val="0"/>
                <w:bCs w:val="0"/>
                <w:sz w:val="18"/>
                <w:szCs w:val="18"/>
                <w:lang w:eastAsia="zh-CN"/>
              </w:rPr>
              <w:t>为不符合条件人员，报销补助医疗费</w:t>
            </w:r>
            <w:r>
              <w:rPr>
                <w:rFonts w:hint="eastAsia" w:ascii="宋体" w:hAnsi="宋体" w:eastAsia="宋体" w:cs="宋体"/>
                <w:b w:val="0"/>
                <w:bCs w:val="0"/>
                <w:sz w:val="18"/>
                <w:szCs w:val="18"/>
              </w:rPr>
              <w:t>的；</w:t>
            </w:r>
          </w:p>
          <w:p>
            <w:pPr>
              <w:tabs>
                <w:tab w:val="left" w:pos="7937"/>
              </w:tabs>
              <w:spacing w:line="260" w:lineRule="exact"/>
              <w:rPr>
                <w:rFonts w:hint="eastAsia" w:ascii="宋体" w:hAnsi="宋体" w:eastAsia="宋体" w:cs="宋体"/>
                <w:b w:val="0"/>
                <w:bCs w:val="0"/>
                <w:sz w:val="18"/>
                <w:szCs w:val="18"/>
              </w:rPr>
            </w:pPr>
            <w:r>
              <w:rPr>
                <w:rFonts w:hint="eastAsia" w:ascii="宋体" w:hAnsi="宋体" w:eastAsia="宋体" w:cs="宋体"/>
                <w:b w:val="0"/>
                <w:bCs w:val="0"/>
                <w:sz w:val="18"/>
                <w:szCs w:val="18"/>
              </w:rPr>
              <w:t>3、未按照规定的标准办理，</w:t>
            </w:r>
            <w:r>
              <w:rPr>
                <w:rFonts w:hint="eastAsia" w:ascii="宋体" w:hAnsi="宋体" w:eastAsia="宋体" w:cs="宋体"/>
                <w:b w:val="0"/>
                <w:bCs w:val="0"/>
                <w:sz w:val="18"/>
                <w:szCs w:val="18"/>
                <w:lang w:eastAsia="zh-CN"/>
              </w:rPr>
              <w:t>发放医疗补助费</w:t>
            </w:r>
            <w:r>
              <w:rPr>
                <w:rFonts w:hint="eastAsia" w:ascii="宋体" w:hAnsi="宋体" w:eastAsia="宋体" w:cs="宋体"/>
                <w:b w:val="0"/>
                <w:bCs w:val="0"/>
                <w:sz w:val="18"/>
                <w:szCs w:val="18"/>
              </w:rPr>
              <w:t>的；</w:t>
            </w:r>
          </w:p>
          <w:p>
            <w:pPr>
              <w:tabs>
                <w:tab w:val="left" w:pos="7937"/>
              </w:tabs>
              <w:spacing w:line="260" w:lineRule="exact"/>
              <w:rPr>
                <w:rFonts w:hint="eastAsia" w:ascii="宋体" w:hAnsi="宋体" w:eastAsia="宋体" w:cs="宋体"/>
                <w:b w:val="0"/>
                <w:bCs w:val="0"/>
                <w:i w:val="0"/>
                <w:snapToGrid/>
                <w:color w:val="000000"/>
                <w:sz w:val="18"/>
                <w:szCs w:val="18"/>
                <w:u w:val="none"/>
                <w:lang w:eastAsia="zh-CN"/>
              </w:rPr>
            </w:pPr>
            <w:r>
              <w:rPr>
                <w:rFonts w:hint="eastAsia" w:ascii="宋体" w:hAnsi="宋体" w:eastAsia="宋体" w:cs="宋体"/>
                <w:b w:val="0"/>
                <w:bCs w:val="0"/>
                <w:sz w:val="18"/>
                <w:szCs w:val="18"/>
                <w:lang w:val="en-US" w:eastAsia="zh-CN"/>
              </w:rPr>
              <w:t>4</w:t>
            </w:r>
            <w:r>
              <w:rPr>
                <w:rFonts w:hint="eastAsia" w:ascii="宋体" w:hAnsi="宋体" w:eastAsia="宋体" w:cs="宋体"/>
                <w:b w:val="0"/>
                <w:bCs w:val="0"/>
                <w:sz w:val="18"/>
                <w:szCs w:val="18"/>
              </w:rPr>
              <w:t>、其他违反法律法规规章文件规定的行为。</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bCs w:val="0"/>
                <w:i w:val="0"/>
                <w:snapToGrid/>
                <w:color w:val="000000"/>
                <w:sz w:val="18"/>
                <w:szCs w:val="18"/>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8"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val="en-US" w:eastAsia="zh-CN"/>
              </w:rPr>
            </w:pPr>
            <w:r>
              <w:rPr>
                <w:rFonts w:hint="eastAsia" w:ascii="宋体" w:hAnsi="宋体" w:eastAsia="宋体" w:cs="宋体"/>
                <w:b w:val="0"/>
                <w:i w:val="0"/>
                <w:snapToGrid/>
                <w:color w:val="000000"/>
                <w:sz w:val="18"/>
                <w:szCs w:val="18"/>
                <w:u w:val="none"/>
                <w:lang w:val="en-US" w:eastAsia="zh-CN"/>
              </w:rPr>
              <w:t>4</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eastAsia="zh-CN"/>
              </w:rPr>
              <w:t>行政给付</w:t>
            </w:r>
          </w:p>
        </w:tc>
        <w:tc>
          <w:tcPr>
            <w:tcW w:w="160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eastAsia="zh-CN"/>
              </w:rPr>
              <w:t>优抚资金拨付</w:t>
            </w:r>
          </w:p>
        </w:tc>
        <w:tc>
          <w:tcPr>
            <w:tcW w:w="80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color w:val="000000"/>
                <w:sz w:val="18"/>
                <w:szCs w:val="18"/>
                <w:u w:val="none"/>
                <w:lang w:eastAsia="zh-CN"/>
              </w:rPr>
              <w:t>县退役军人事务局</w:t>
            </w:r>
          </w:p>
        </w:tc>
        <w:tc>
          <w:tcPr>
            <w:tcW w:w="2949"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1、《军人抚恤优待条例》第四条：“军人抚恤优待所需经费由国务院和地方各级人民政府分级负担。中央和地方财政安排的军人抚恤优待经费，专款专用，并接受财政、审计部门的监督。”</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2、《河北省实施&lt;军人抚恤优待条例&gt;办法》第三条：“县级以上人民政府应当加强对军人抚恤优待工作的领导，及时协调解决军人抚恤优待工作中出现的问题，保障由本级财政负担的军人抚恤优待所需经费，保证抚恤优待标准不低于国家和本省规定的标准、抚恤优待对象的生活水平不低于当地居民的平均生活水平。”</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3、《国防领域市与县（市、区）财政事权和支出责任划分改革实施方案》：“优抚对象抚恤和生活补助、残疾军人的残疾抚恤金、‘三属’定期抚恤金国家标准由中央财政负担...市辖区优抚对象抚恤生活补助所需资金，由市与区各分担50%”；</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default" w:ascii="黑体" w:hAnsi="黑体" w:eastAsia="黑体"/>
                <w:b w:val="0"/>
                <w:i w:val="0"/>
                <w:snapToGrid/>
                <w:color w:val="000000"/>
                <w:sz w:val="15"/>
                <w:szCs w:val="15"/>
                <w:u w:val="none"/>
                <w:lang w:eastAsia="zh-CN"/>
              </w:rPr>
            </w:pPr>
            <w:r>
              <w:rPr>
                <w:rFonts w:hint="eastAsia" w:ascii="宋体" w:hAnsi="宋体" w:eastAsia="宋体" w:cs="宋体"/>
                <w:b w:val="0"/>
                <w:i w:val="0"/>
                <w:snapToGrid w:val="0"/>
                <w:color w:val="000000"/>
                <w:kern w:val="0"/>
                <w:sz w:val="18"/>
                <w:szCs w:val="18"/>
                <w:u w:val="none"/>
                <w:lang w:val="en-US" w:eastAsia="zh-CN"/>
              </w:rPr>
              <w:t>4、《河北省财政厅关于提前下达2021年中央优抚对象补助经费预算》(冀财社[2021]152号)“切实提高财政资金使用效益，在组织预算执行中对照我省区域绩效目标，完善绩效目标，做好绩效运行监控和预算绩效管理工作，确保年度绩效目标如期实现。”</w:t>
            </w:r>
          </w:p>
        </w:tc>
        <w:tc>
          <w:tcPr>
            <w:tcW w:w="3195"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1、立项责任：负责对申请设立抚恤补助专项资金的必要性和可行性开展前期论证、政策预期评估，依据特定的政策任务目标提出专项资金绩效目标；</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2、预算责任：提出和编制专项资金支出预算建议计划，明确绩效目标、绩效指标和评价标准；</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3、分配责任：负责抚恤补助专项资金的预算执行、绩效监控和财务管理等工作；</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4、监督责任：负责开展抚恤补助专项资金的绩效自评工作，对预算执行结果负责；</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5、公开责任：负责组织实施抚恤补助专项资金相关信息公开工作；</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default" w:ascii="黑体" w:hAnsi="黑体" w:eastAsia="黑体"/>
                <w:b w:val="0"/>
                <w:i w:val="0"/>
                <w:snapToGrid/>
                <w:color w:val="000000"/>
                <w:sz w:val="24"/>
                <w:u w:val="none"/>
                <w:lang w:eastAsia="zh-CN"/>
              </w:rPr>
            </w:pPr>
            <w:r>
              <w:rPr>
                <w:rFonts w:hint="eastAsia" w:ascii="宋体" w:hAnsi="宋体" w:eastAsia="宋体" w:cs="宋体"/>
                <w:b w:val="0"/>
                <w:i w:val="0"/>
                <w:snapToGrid w:val="0"/>
                <w:color w:val="000000"/>
                <w:kern w:val="0"/>
                <w:sz w:val="18"/>
                <w:szCs w:val="18"/>
                <w:u w:val="none"/>
                <w:lang w:val="en-US" w:eastAsia="zh-CN"/>
              </w:rPr>
              <w:t>6、其他法律法规规章文件规定应履行的责任。</w:t>
            </w:r>
          </w:p>
        </w:tc>
        <w:tc>
          <w:tcPr>
            <w:tcW w:w="3057"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eastAsia="zh-CN"/>
              </w:rPr>
            </w:pPr>
            <w:r>
              <w:rPr>
                <w:rFonts w:hint="eastAsia" w:ascii="宋体" w:hAnsi="宋体" w:eastAsia="宋体" w:cs="宋体"/>
                <w:b w:val="0"/>
                <w:i w:val="0"/>
                <w:snapToGrid w:val="0"/>
                <w:color w:val="000000"/>
                <w:kern w:val="0"/>
                <w:sz w:val="18"/>
                <w:szCs w:val="18"/>
                <w:u w:val="none"/>
                <w:lang w:eastAsia="zh-CN"/>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360" w:firstLineChars="200"/>
              <w:jc w:val="left"/>
              <w:textAlignment w:val="center"/>
              <w:outlineLvl w:val="9"/>
              <w:rPr>
                <w:rFonts w:hint="eastAsia" w:ascii="宋体" w:hAnsi="宋体" w:eastAsia="宋体" w:cs="宋体"/>
                <w:b w:val="0"/>
                <w:i w:val="0"/>
                <w:snapToGrid w:val="0"/>
                <w:color w:val="000000"/>
                <w:kern w:val="0"/>
                <w:sz w:val="18"/>
                <w:szCs w:val="18"/>
                <w:u w:val="none"/>
                <w:lang w:eastAsia="zh-CN"/>
              </w:rPr>
            </w:pPr>
            <w:r>
              <w:rPr>
                <w:rFonts w:hint="eastAsia" w:ascii="宋体" w:hAnsi="宋体" w:eastAsia="宋体" w:cs="宋体"/>
                <w:b w:val="0"/>
                <w:i w:val="0"/>
                <w:snapToGrid w:val="0"/>
                <w:color w:val="000000"/>
                <w:kern w:val="0"/>
                <w:sz w:val="18"/>
                <w:szCs w:val="18"/>
                <w:u w:val="none"/>
                <w:lang w:val="en-US" w:eastAsia="zh-CN"/>
              </w:rPr>
              <w:t>1.、</w:t>
            </w:r>
            <w:r>
              <w:rPr>
                <w:rFonts w:hint="eastAsia" w:ascii="宋体" w:hAnsi="宋体" w:eastAsia="宋体" w:cs="宋体"/>
                <w:i w:val="0"/>
                <w:color w:val="000000"/>
                <w:kern w:val="0"/>
                <w:sz w:val="18"/>
                <w:szCs w:val="18"/>
                <w:u w:val="none"/>
                <w:lang w:val="en-US" w:eastAsia="zh-CN" w:bidi="ar"/>
              </w:rPr>
              <w:t>军人抚恤优待管理单位及其工作人员挪用、截留、私分军人抚恤优待经费的；</w:t>
            </w:r>
            <w:r>
              <w:rPr>
                <w:rFonts w:hint="eastAsia" w:ascii="宋体" w:hAnsi="宋体" w:eastAsia="宋体" w:cs="宋体"/>
                <w:b w:val="0"/>
                <w:i w:val="0"/>
                <w:snapToGrid w:val="0"/>
                <w:color w:val="000000"/>
                <w:kern w:val="0"/>
                <w:sz w:val="18"/>
                <w:szCs w:val="18"/>
                <w:u w:val="none"/>
                <w:lang w:eastAsia="zh-CN"/>
              </w:rPr>
              <w:t xml:space="preserve">                                                                                </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eastAsia="zh-CN"/>
              </w:rPr>
            </w:pPr>
            <w:r>
              <w:rPr>
                <w:rFonts w:hint="eastAsia" w:ascii="宋体" w:hAnsi="宋体" w:eastAsia="宋体" w:cs="宋体"/>
                <w:b w:val="0"/>
                <w:i w:val="0"/>
                <w:snapToGrid w:val="0"/>
                <w:color w:val="000000"/>
                <w:kern w:val="0"/>
                <w:sz w:val="18"/>
                <w:szCs w:val="18"/>
                <w:u w:val="none"/>
                <w:lang w:eastAsia="zh-CN"/>
              </w:rPr>
              <w:t>　　</w:t>
            </w:r>
            <w:r>
              <w:rPr>
                <w:rFonts w:hint="eastAsia" w:ascii="宋体" w:hAnsi="宋体" w:eastAsia="宋体" w:cs="宋体"/>
                <w:b w:val="0"/>
                <w:i w:val="0"/>
                <w:snapToGrid w:val="0"/>
                <w:color w:val="000000"/>
                <w:kern w:val="0"/>
                <w:sz w:val="18"/>
                <w:szCs w:val="18"/>
                <w:u w:val="none"/>
                <w:lang w:val="en-US" w:eastAsia="zh-CN"/>
              </w:rPr>
              <w:t>2、</w:t>
            </w:r>
            <w:r>
              <w:rPr>
                <w:rFonts w:hint="eastAsia" w:ascii="宋体" w:hAnsi="宋体" w:eastAsia="宋体" w:cs="宋体"/>
                <w:b w:val="0"/>
                <w:i w:val="0"/>
                <w:snapToGrid w:val="0"/>
                <w:color w:val="000000"/>
                <w:kern w:val="0"/>
                <w:sz w:val="18"/>
                <w:szCs w:val="18"/>
                <w:u w:val="none"/>
                <w:lang w:eastAsia="zh-CN"/>
              </w:rPr>
              <w:t>违反规定审批军人抚恤待遇的；</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eastAsia="zh-CN"/>
              </w:rPr>
            </w:pPr>
            <w:r>
              <w:rPr>
                <w:rFonts w:hint="eastAsia" w:ascii="宋体" w:hAnsi="宋体" w:eastAsia="宋体" w:cs="宋体"/>
                <w:b w:val="0"/>
                <w:i w:val="0"/>
                <w:snapToGrid w:val="0"/>
                <w:color w:val="000000"/>
                <w:kern w:val="0"/>
                <w:sz w:val="18"/>
                <w:szCs w:val="18"/>
                <w:u w:val="none"/>
                <w:lang w:eastAsia="zh-CN"/>
              </w:rPr>
              <w:t>　　</w:t>
            </w:r>
            <w:r>
              <w:rPr>
                <w:rFonts w:hint="eastAsia" w:ascii="宋体" w:hAnsi="宋体" w:eastAsia="宋体" w:cs="宋体"/>
                <w:b w:val="0"/>
                <w:i w:val="0"/>
                <w:snapToGrid w:val="0"/>
                <w:color w:val="000000"/>
                <w:kern w:val="0"/>
                <w:sz w:val="18"/>
                <w:szCs w:val="18"/>
                <w:u w:val="none"/>
                <w:lang w:val="en-US" w:eastAsia="zh-CN"/>
              </w:rPr>
              <w:t>3、</w:t>
            </w:r>
            <w:r>
              <w:rPr>
                <w:rFonts w:hint="eastAsia" w:ascii="宋体" w:hAnsi="宋体" w:eastAsia="宋体" w:cs="宋体"/>
                <w:b w:val="0"/>
                <w:i w:val="0"/>
                <w:snapToGrid w:val="0"/>
                <w:color w:val="000000"/>
                <w:kern w:val="0"/>
                <w:sz w:val="18"/>
                <w:szCs w:val="18"/>
                <w:u w:val="none"/>
                <w:lang w:eastAsia="zh-CN"/>
              </w:rPr>
              <w:t>在审批军人抚恤待遇工作中出具虚假诊断、鉴定、证明的；</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eastAsia="zh-CN"/>
              </w:rPr>
            </w:pPr>
            <w:r>
              <w:rPr>
                <w:rFonts w:hint="eastAsia" w:ascii="宋体" w:hAnsi="宋体" w:eastAsia="宋体" w:cs="宋体"/>
                <w:b w:val="0"/>
                <w:i w:val="0"/>
                <w:snapToGrid w:val="0"/>
                <w:color w:val="000000"/>
                <w:kern w:val="0"/>
                <w:sz w:val="18"/>
                <w:szCs w:val="18"/>
                <w:u w:val="none"/>
                <w:lang w:eastAsia="zh-CN"/>
              </w:rPr>
              <w:t>　　</w:t>
            </w:r>
            <w:r>
              <w:rPr>
                <w:rFonts w:hint="eastAsia" w:ascii="宋体" w:hAnsi="宋体" w:eastAsia="宋体" w:cs="宋体"/>
                <w:b w:val="0"/>
                <w:i w:val="0"/>
                <w:snapToGrid w:val="0"/>
                <w:color w:val="000000"/>
                <w:kern w:val="0"/>
                <w:sz w:val="18"/>
                <w:szCs w:val="18"/>
                <w:u w:val="none"/>
                <w:lang w:val="en-US" w:eastAsia="zh-CN"/>
              </w:rPr>
              <w:t>4、</w:t>
            </w:r>
            <w:r>
              <w:rPr>
                <w:rFonts w:hint="eastAsia" w:ascii="宋体" w:hAnsi="宋体" w:eastAsia="宋体" w:cs="宋体"/>
                <w:b w:val="0"/>
                <w:i w:val="0"/>
                <w:snapToGrid w:val="0"/>
                <w:color w:val="000000"/>
                <w:kern w:val="0"/>
                <w:sz w:val="18"/>
                <w:szCs w:val="18"/>
                <w:u w:val="none"/>
                <w:lang w:eastAsia="zh-CN"/>
              </w:rPr>
              <w:t>不按规定的标准、数额、对象审批或者发放抚恤金、补助金、优待金的；</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eastAsia="zh-CN"/>
              </w:rPr>
            </w:pPr>
            <w:r>
              <w:rPr>
                <w:rFonts w:hint="eastAsia" w:ascii="宋体" w:hAnsi="宋体" w:eastAsia="宋体" w:cs="宋体"/>
                <w:b w:val="0"/>
                <w:i w:val="0"/>
                <w:snapToGrid w:val="0"/>
                <w:color w:val="000000"/>
                <w:kern w:val="0"/>
                <w:sz w:val="18"/>
                <w:szCs w:val="18"/>
                <w:u w:val="none"/>
                <w:lang w:eastAsia="zh-CN"/>
              </w:rPr>
              <w:t>　　</w:t>
            </w:r>
            <w:r>
              <w:rPr>
                <w:rFonts w:hint="eastAsia" w:ascii="宋体" w:hAnsi="宋体" w:eastAsia="宋体" w:cs="宋体"/>
                <w:b w:val="0"/>
                <w:i w:val="0"/>
                <w:snapToGrid w:val="0"/>
                <w:color w:val="000000"/>
                <w:kern w:val="0"/>
                <w:sz w:val="18"/>
                <w:szCs w:val="18"/>
                <w:u w:val="none"/>
                <w:lang w:val="en-US" w:eastAsia="zh-CN"/>
              </w:rPr>
              <w:t>5、</w:t>
            </w:r>
            <w:r>
              <w:rPr>
                <w:rFonts w:hint="eastAsia" w:ascii="宋体" w:hAnsi="宋体" w:eastAsia="宋体" w:cs="宋体"/>
                <w:b w:val="0"/>
                <w:i w:val="0"/>
                <w:snapToGrid w:val="0"/>
                <w:color w:val="000000"/>
                <w:kern w:val="0"/>
                <w:sz w:val="18"/>
                <w:szCs w:val="18"/>
                <w:u w:val="none"/>
                <w:lang w:eastAsia="zh-CN"/>
              </w:rPr>
              <w:t>在军人抚恤优待工作中利用职权谋取私利的。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黑体" w:hAnsi="黑体" w:eastAsia="黑体"/>
                <w:b w:val="0"/>
                <w:i w:val="0"/>
                <w:snapToGrid/>
                <w:color w:val="000000"/>
                <w:sz w:val="18"/>
                <w:szCs w:val="18"/>
                <w:u w:val="none"/>
                <w:lang w:eastAsia="zh-CN"/>
              </w:rPr>
            </w:pPr>
            <w:r>
              <w:rPr>
                <w:rFonts w:hint="eastAsia" w:ascii="宋体" w:hAnsi="宋体" w:eastAsia="宋体" w:cs="宋体"/>
                <w:b w:val="0"/>
                <w:i w:val="0"/>
                <w:snapToGrid w:val="0"/>
                <w:color w:val="000000"/>
                <w:kern w:val="0"/>
                <w:sz w:val="18"/>
                <w:szCs w:val="18"/>
                <w:u w:val="none"/>
                <w:lang w:val="en-US" w:eastAsia="zh-CN"/>
              </w:rPr>
              <w:t xml:space="preserve">    6、</w:t>
            </w:r>
            <w:r>
              <w:rPr>
                <w:rFonts w:hint="eastAsia" w:ascii="宋体" w:hAnsi="宋体" w:eastAsia="宋体" w:cs="宋体"/>
                <w:b w:val="0"/>
                <w:i w:val="0"/>
                <w:snapToGrid w:val="0"/>
                <w:color w:val="000000"/>
                <w:kern w:val="0"/>
                <w:sz w:val="18"/>
                <w:szCs w:val="18"/>
                <w:u w:val="none"/>
                <w:lang w:eastAsia="zh-CN"/>
              </w:rPr>
              <w:t>其他违反法律法规规章文件规定的行为。</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3"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5</w:t>
            </w:r>
          </w:p>
        </w:tc>
        <w:tc>
          <w:tcPr>
            <w:tcW w:w="1275"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行政给付</w:t>
            </w:r>
          </w:p>
        </w:tc>
        <w:tc>
          <w:tcPr>
            <w:tcW w:w="1605"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建国后参战和参加核试验军队退役人员补助金的给付</w:t>
            </w:r>
          </w:p>
        </w:tc>
        <w:tc>
          <w:tcPr>
            <w:tcW w:w="801"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县退役军人事务局</w:t>
            </w:r>
          </w:p>
        </w:tc>
        <w:tc>
          <w:tcPr>
            <w:tcW w:w="2949"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【行政法规】河北省民政厅文件（冀民[2007]53号）关于落实优抚对象和部分军队退役人员有关政策和实施意见</w:t>
            </w:r>
            <w:r>
              <w:rPr>
                <w:rFonts w:hint="eastAsia" w:ascii="宋体" w:hAnsi="宋体" w:eastAsia="宋体" w:cs="宋体"/>
                <w:b w:val="0"/>
                <w:i w:val="0"/>
                <w:snapToGrid w:val="0"/>
                <w:color w:val="000000"/>
                <w:kern w:val="0"/>
                <w:sz w:val="18"/>
                <w:szCs w:val="18"/>
                <w:u w:val="none"/>
                <w:lang w:val="en-US" w:eastAsia="zh-CN"/>
              </w:rPr>
              <w:br w:type="textWrapping"/>
            </w:r>
            <w:r>
              <w:rPr>
                <w:rFonts w:hint="eastAsia" w:ascii="宋体" w:hAnsi="宋体" w:eastAsia="宋体" w:cs="宋体"/>
                <w:b w:val="0"/>
                <w:i w:val="0"/>
                <w:snapToGrid w:val="0"/>
                <w:color w:val="000000"/>
                <w:kern w:val="0"/>
                <w:sz w:val="18"/>
                <w:szCs w:val="18"/>
                <w:u w:val="none"/>
                <w:lang w:val="en-US" w:eastAsia="zh-CN"/>
              </w:rPr>
              <w:t>民政部 民发（[2007]102号）关于落实优抚对象和部分军队退役人员有关政策和实施意见</w:t>
            </w:r>
            <w:r>
              <w:rPr>
                <w:rFonts w:hint="eastAsia" w:ascii="宋体" w:hAnsi="宋体" w:eastAsia="宋体" w:cs="宋体"/>
                <w:b w:val="0"/>
                <w:i w:val="0"/>
                <w:snapToGrid w:val="0"/>
                <w:color w:val="000000"/>
                <w:kern w:val="0"/>
                <w:sz w:val="18"/>
                <w:szCs w:val="18"/>
                <w:u w:val="none"/>
                <w:lang w:val="en-US" w:eastAsia="zh-CN"/>
              </w:rPr>
              <w:br w:type="textWrapping"/>
            </w:r>
            <w:r>
              <w:rPr>
                <w:rFonts w:hint="eastAsia" w:ascii="宋体" w:hAnsi="宋体" w:eastAsia="宋体" w:cs="宋体"/>
                <w:b w:val="0"/>
                <w:i w:val="0"/>
                <w:snapToGrid w:val="0"/>
                <w:color w:val="000000"/>
                <w:kern w:val="0"/>
                <w:sz w:val="18"/>
                <w:szCs w:val="18"/>
                <w:u w:val="none"/>
                <w:lang w:val="en-US" w:eastAsia="zh-CN"/>
              </w:rPr>
              <w:t>在1954年11月1日以后入伍并参加过民政部 民发（[2007]102号）文件中规定的14类军事行动，手持退伍证（复员证），回农村务农或者城镇无工作单位且家庭生活困难的退役人员，确认为参战退役人员。</w:t>
            </w:r>
          </w:p>
        </w:tc>
        <w:tc>
          <w:tcPr>
            <w:tcW w:w="3195"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1.受理责任：依法受理或不予受理，并一次性告知不予受理理由或需补充提供的相关材料目录。</w:t>
            </w:r>
            <w:r>
              <w:rPr>
                <w:rFonts w:hint="eastAsia" w:ascii="宋体" w:hAnsi="宋体" w:eastAsia="宋体" w:cs="宋体"/>
                <w:b w:val="0"/>
                <w:i w:val="0"/>
                <w:snapToGrid w:val="0"/>
                <w:color w:val="000000"/>
                <w:kern w:val="0"/>
                <w:sz w:val="18"/>
                <w:szCs w:val="18"/>
                <w:u w:val="none"/>
                <w:lang w:val="en-US" w:eastAsia="zh-CN"/>
              </w:rPr>
              <w:br w:type="textWrapping"/>
            </w:r>
            <w:r>
              <w:rPr>
                <w:rFonts w:hint="eastAsia" w:ascii="宋体" w:hAnsi="宋体" w:eastAsia="宋体" w:cs="宋体"/>
                <w:b w:val="0"/>
                <w:i w:val="0"/>
                <w:snapToGrid w:val="0"/>
                <w:color w:val="000000"/>
                <w:kern w:val="0"/>
                <w:sz w:val="18"/>
                <w:szCs w:val="18"/>
                <w:u w:val="none"/>
                <w:lang w:val="en-US" w:eastAsia="zh-CN"/>
              </w:rPr>
              <w:t>2.审查责任：审查资金发放的相关证明。</w:t>
            </w:r>
            <w:r>
              <w:rPr>
                <w:rFonts w:hint="eastAsia" w:ascii="宋体" w:hAnsi="宋体" w:eastAsia="宋体" w:cs="宋体"/>
                <w:b w:val="0"/>
                <w:i w:val="0"/>
                <w:snapToGrid w:val="0"/>
                <w:color w:val="000000"/>
                <w:kern w:val="0"/>
                <w:sz w:val="18"/>
                <w:szCs w:val="18"/>
                <w:u w:val="none"/>
                <w:lang w:val="en-US" w:eastAsia="zh-CN"/>
              </w:rPr>
              <w:br w:type="textWrapping"/>
            </w:r>
            <w:r>
              <w:rPr>
                <w:rFonts w:hint="eastAsia" w:ascii="宋体" w:hAnsi="宋体" w:eastAsia="宋体" w:cs="宋体"/>
                <w:b w:val="0"/>
                <w:i w:val="0"/>
                <w:snapToGrid w:val="0"/>
                <w:color w:val="000000"/>
                <w:kern w:val="0"/>
                <w:sz w:val="18"/>
                <w:szCs w:val="18"/>
                <w:u w:val="none"/>
                <w:lang w:val="en-US" w:eastAsia="zh-CN"/>
              </w:rPr>
              <w:t>3.决定责任：对符合条件的，在相关证明文件上签署办理意见，现场告知后续办事事宜，对不符合条件的，解释原因。</w:t>
            </w:r>
            <w:r>
              <w:rPr>
                <w:rFonts w:hint="eastAsia" w:ascii="宋体" w:hAnsi="宋体" w:eastAsia="宋体" w:cs="宋体"/>
                <w:b w:val="0"/>
                <w:i w:val="0"/>
                <w:snapToGrid w:val="0"/>
                <w:color w:val="000000"/>
                <w:kern w:val="0"/>
                <w:sz w:val="18"/>
                <w:szCs w:val="18"/>
                <w:u w:val="none"/>
                <w:lang w:val="en-US" w:eastAsia="zh-CN"/>
              </w:rPr>
              <w:br w:type="textWrapping"/>
            </w:r>
            <w:r>
              <w:rPr>
                <w:rFonts w:hint="eastAsia" w:ascii="宋体" w:hAnsi="宋体" w:eastAsia="宋体" w:cs="宋体"/>
                <w:b w:val="0"/>
                <w:i w:val="0"/>
                <w:snapToGrid w:val="0"/>
                <w:color w:val="000000"/>
                <w:kern w:val="0"/>
                <w:sz w:val="18"/>
                <w:szCs w:val="18"/>
                <w:u w:val="none"/>
                <w:lang w:val="en-US" w:eastAsia="zh-CN"/>
              </w:rPr>
              <w:t>4.事后监管责任：登记并留存相关证明材料复印件。</w:t>
            </w:r>
            <w:r>
              <w:rPr>
                <w:rFonts w:hint="eastAsia" w:ascii="宋体" w:hAnsi="宋体" w:eastAsia="宋体" w:cs="宋体"/>
                <w:b w:val="0"/>
                <w:i w:val="0"/>
                <w:snapToGrid w:val="0"/>
                <w:color w:val="000000"/>
                <w:kern w:val="0"/>
                <w:sz w:val="18"/>
                <w:szCs w:val="18"/>
                <w:u w:val="none"/>
                <w:lang w:val="en-US" w:eastAsia="zh-CN"/>
              </w:rPr>
              <w:br w:type="textWrapping"/>
            </w:r>
            <w:r>
              <w:rPr>
                <w:rFonts w:hint="eastAsia" w:ascii="宋体" w:hAnsi="宋体" w:eastAsia="宋体" w:cs="宋体"/>
                <w:b w:val="0"/>
                <w:i w:val="0"/>
                <w:snapToGrid w:val="0"/>
                <w:color w:val="000000"/>
                <w:kern w:val="0"/>
                <w:sz w:val="18"/>
                <w:szCs w:val="18"/>
                <w:u w:val="none"/>
                <w:lang w:val="en-US" w:eastAsia="zh-CN"/>
              </w:rPr>
              <w:t>7.其他责任：法律法规规章文件规定应履行的责任。</w:t>
            </w:r>
          </w:p>
        </w:tc>
        <w:tc>
          <w:tcPr>
            <w:tcW w:w="3057"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1.军人抚恤优待管理单位及其工作人员挪用、截留、私分军人抚恤优待经费，构成犯罪的，依法追究相关责任人员的刑事责任；军人抚恤优待管理单位及其工作人员、参与军人抚恤优待工作的单位及工作人员有下列行为之一的，由其上级主管部门责令改正；情节严重，构成犯罪的，依法追究相关责任人员的刑事责任。2.（一）尚不构成犯罪的，对相关责任人员依法给予行政处分或者纪律处分：违反规定审批军人抚恤待遇的；（二）在审批军人抚恤待遇工作中出具虚假诊断、鉴定、证明的；（三）不按规定的标准、数额、对象审批或发放抚恤金、补助金、优待金的；（四）在军人抚恤优待工作中利用职权谋取私利的。3.抚恤优待对象有下列行为之一的，由县级人民政府退役军人事务部门给予警告，限期退回非法所得；情节严重的，停止其享受的抚恤、优待；构成犯罪的依法追究刑事责任：冒领抚恤金、优待金、补助金的。4.抚恤优待对象被判处有期徒刑、剥夺政治权利或者被通缉期间，终止其抚恤优待；被判处死刑、无期徒刑的，取消其抚恤优待资格。</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8"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6</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行政给付</w:t>
            </w:r>
          </w:p>
        </w:tc>
        <w:tc>
          <w:tcPr>
            <w:tcW w:w="160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部分烈士（含错杀后被平反人员）子女认定及生活补助给付</w:t>
            </w:r>
          </w:p>
        </w:tc>
        <w:tc>
          <w:tcPr>
            <w:tcW w:w="80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县退役军人事务局</w:t>
            </w:r>
          </w:p>
        </w:tc>
        <w:tc>
          <w:tcPr>
            <w:tcW w:w="294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【行政法规】民政部、财政部《关于给部分烈士子女发放定期生活补助的通知》   （民发〔2012〕27号）</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中“根据中央领导同志有关批示精神，经研究决定，从2011年7月1日起，给部分烈士子女（含建国前错杀后被平反人员的子女，下同）发放定期生活补助。现将有关问题通知如下：一、部分烈士子女是指居住在农村和城镇无工作单位、18周岁之前没有享受过定期抚恤金待遇且年满60周岁的烈士子女。”</w:t>
            </w:r>
          </w:p>
        </w:tc>
        <w:tc>
          <w:tcPr>
            <w:tcW w:w="31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1.受理责任：依法受理或不予受理，并一次性告知不予受理理由或需补充提供的相关材料目录。</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2.审查责任：审查子女认定及生活补助资金发放的相关证明。</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3.决定责任：对符合条件的，在相关证明文件上签署办理意见，现场告知后续办事事宜，对不符合条件的，解释原因。</w:t>
            </w:r>
          </w:p>
        </w:tc>
        <w:tc>
          <w:tcPr>
            <w:tcW w:w="3057"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军人抚恤优待管理单位及其工作人员挪用、截留、私分军人抚恤优待经费，构成犯罪的，依法追究相关责任人员的刑事责任；军人抚恤优待管理单位及其工作人员、参与军人抚恤优待工作的单位及工作人员有下列行为之一的，由其上级主管部门责令改正；情节严重，构成犯罪的，依法追究相关责任人员的刑事责任。2.（一）尚不构成犯罪的，对相关责任人员依法给予行政处分或者纪律处分：违反规定审批军人抚恤待遇的；（二）在审批军人抚恤待遇工作中出具虚假诊断、鉴定、证明的；（三）不按规定的标准、数额、对象审批或发放抚恤金、补助金、优待金的；（四）在军人抚恤优待工作中利用职权谋取私利的。3.抚恤优待对象有下列行为之一的，由县级人民政府退役军人事务部门给予警告，限期退回非法所得；情节严重的，停止其享受的抚恤、优待；构成犯罪的依法追究刑事责任：冒领抚恤金、优待金、补助金的。4.抚恤优待对象被判处有期徒刑、剥夺政治权利或者被通缉期间，终止其抚恤优待；被判处死刑、无期徒刑的，取消其抚恤优待资格。</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8"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7</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行政给付</w:t>
            </w:r>
          </w:p>
        </w:tc>
        <w:tc>
          <w:tcPr>
            <w:tcW w:w="160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优质对象医疗保障</w:t>
            </w:r>
          </w:p>
        </w:tc>
        <w:tc>
          <w:tcPr>
            <w:tcW w:w="80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县退役军人事务局</w:t>
            </w:r>
          </w:p>
        </w:tc>
        <w:tc>
          <w:tcPr>
            <w:tcW w:w="294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【行政法规】</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河北省退役军人事务厅、河北省财政厅、河北省卫生健康委、河北省医保局厅</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河北省退役军人厅4部门关于印发印发《河北省优抚对象医疗保障实施办法》的通知（冀退役军人厅发[2023]3号文）</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第二条 本实施办法适用于享受国家定期抚恤补助的在乡复员军人、参战退役军人、参试退役军人、带病回乡退役军人、烈士遗属、因公牺牲军人遗属、病故军人遗属。以上人员在本办法中简称优抚对象。</w:t>
            </w:r>
          </w:p>
        </w:tc>
        <w:tc>
          <w:tcPr>
            <w:tcW w:w="31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1.受理责任：依法受理或不予受理，并一次性告知不予受理理由或需补充提供的相关材料目录。</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2.审查责任：审查资金发放的相关证明。</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3.决定责任：对符合条件的，在相关证明文件上签署办理意见，现场告知后续办事事宜，对不符合条件的，解释原因。</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4.事后监管责任：登记并留存相关证明材料复印件。</w:t>
            </w:r>
            <w:r>
              <w:rPr>
                <w:rFonts w:hint="eastAsia" w:ascii="宋体" w:hAnsi="宋体" w:eastAsia="宋体" w:cs="宋体"/>
                <w:b w:val="0"/>
                <w:i w:val="0"/>
                <w:snapToGrid/>
                <w:color w:val="000000"/>
                <w:sz w:val="18"/>
                <w:szCs w:val="18"/>
                <w:u w:val="none"/>
                <w:lang w:val="en-US" w:eastAsia="zh-CN"/>
              </w:rPr>
              <w:br w:type="textWrapping"/>
            </w:r>
            <w:r>
              <w:rPr>
                <w:rFonts w:hint="eastAsia" w:ascii="宋体" w:hAnsi="宋体" w:eastAsia="宋体" w:cs="宋体"/>
                <w:b w:val="0"/>
                <w:i w:val="0"/>
                <w:snapToGrid/>
                <w:color w:val="000000"/>
                <w:sz w:val="18"/>
                <w:szCs w:val="18"/>
                <w:u w:val="none"/>
                <w:lang w:val="en-US" w:eastAsia="zh-CN"/>
              </w:rPr>
              <w:t>23.其他责任：法律法规规章文件规定应履行的责任。</w:t>
            </w:r>
          </w:p>
        </w:tc>
        <w:tc>
          <w:tcPr>
            <w:tcW w:w="3057"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军人抚恤优待管理单位及其工作人员挪用、截留、私分军人抚恤优待经费，构成犯罪的，依法追究相关责任人员的刑事责任；军人抚恤优待管理单位及其工作人员、参与军人抚恤优待工作的单位及工作人员有下列行为之一的，由其上级主管部门责令改正；情节严重，构成犯罪的，依法追究相关责任人员的刑事责任。2.（一）尚不构成犯罪的，对相关责任人员依法给予行政处分或者纪律处分：违反规定审批军人抚恤待遇的；（二）在审批军人抚恤待遇工作中出具虚假诊断、鉴定、证明的；（三）不按规定的标准、数额、对象审批或发放抚恤金、补助金、优待金的；（四）在军人抚恤优待工作中利用职权谋取私利的。3.抚恤优待对象有下列行为之一的，由县级人民政府退役军人事务部门给予警告，限期退回非法所得；情节严重的，停止其享受的抚恤、优待；构成犯罪的依法追究刑事责任：冒领抚恤金、优待金、补助金的。4.抚恤优待对象被判处有期徒刑、剥夺政治权利或者被通缉期间，终止其抚恤优待；被判处死刑、无期徒刑的，取消其抚恤优待资格。</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6" w:hRule="exact"/>
        </w:trPr>
        <w:tc>
          <w:tcPr>
            <w:tcW w:w="79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8</w:t>
            </w:r>
          </w:p>
        </w:tc>
        <w:tc>
          <w:tcPr>
            <w:tcW w:w="127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行政确认</w:t>
            </w:r>
          </w:p>
        </w:tc>
        <w:tc>
          <w:tcPr>
            <w:tcW w:w="160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带病回乡退伍军人受理</w:t>
            </w:r>
          </w:p>
        </w:tc>
        <w:tc>
          <w:tcPr>
            <w:tcW w:w="80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县退役军人事务局</w:t>
            </w:r>
          </w:p>
        </w:tc>
        <w:tc>
          <w:tcPr>
            <w:tcW w:w="2949"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val="0"/>
                <w:color w:val="000000"/>
                <w:kern w:val="0"/>
                <w:sz w:val="18"/>
                <w:szCs w:val="18"/>
                <w:u w:val="none"/>
                <w:lang w:val="en-US" w:eastAsia="zh-CN"/>
              </w:rPr>
              <w:t>《关于进一步规范带病回乡退伍军人认定工作的通知》冀民[2012]91号</w:t>
            </w:r>
          </w:p>
        </w:tc>
        <w:tc>
          <w:tcPr>
            <w:tcW w:w="3195" w:type="dxa"/>
            <w:vAlign w:val="center"/>
          </w:tcPr>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1、受理责任：依法受理或不予受理</w:t>
            </w:r>
            <w:r>
              <w:rPr>
                <w:rFonts w:hint="eastAsia" w:ascii="宋体" w:hAnsi="宋体" w:eastAsia="宋体" w:cs="宋体"/>
                <w:b w:val="0"/>
                <w:i w:val="0"/>
                <w:snapToGrid/>
                <w:color w:val="000000"/>
                <w:sz w:val="18"/>
                <w:szCs w:val="18"/>
                <w:u w:val="none"/>
                <w:lang w:val="en-US" w:eastAsia="zh-CN"/>
              </w:rPr>
              <w:t>带病回乡退伍军人</w:t>
            </w:r>
            <w:r>
              <w:rPr>
                <w:rFonts w:hint="eastAsia" w:ascii="宋体" w:hAnsi="宋体" w:eastAsia="宋体" w:cs="宋体"/>
                <w:b w:val="0"/>
                <w:i w:val="0"/>
                <w:snapToGrid w:val="0"/>
                <w:color w:val="000000"/>
                <w:kern w:val="0"/>
                <w:sz w:val="18"/>
                <w:szCs w:val="18"/>
                <w:u w:val="none"/>
                <w:lang w:val="en-US" w:eastAsia="zh-CN"/>
              </w:rPr>
              <w:t>提交的材料。</w:t>
            </w:r>
          </w:p>
          <w:p>
            <w:pPr>
              <w:keepNext w:val="0"/>
              <w:keepLines w:val="0"/>
              <w:pageBreakBefore w:val="0"/>
              <w:widowControl w:val="0"/>
              <w:kinsoku/>
              <w:wordWrap/>
              <w:overflowPunct/>
              <w:topLinePunct w:val="0"/>
              <w:autoSpaceDE/>
              <w:autoSpaceDN w:val="0"/>
              <w:bidi w:val="0"/>
              <w:adjustRightInd w:val="0"/>
              <w:snapToGrid w:val="0"/>
              <w:spacing w:line="28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val="0"/>
                <w:color w:val="000000"/>
                <w:kern w:val="0"/>
                <w:sz w:val="18"/>
                <w:szCs w:val="18"/>
                <w:u w:val="none"/>
                <w:lang w:val="en-US" w:eastAsia="zh-CN"/>
              </w:rPr>
              <w:t>2、其他法律法规规章文件规定应履行的责任。</w:t>
            </w:r>
          </w:p>
        </w:tc>
        <w:tc>
          <w:tcPr>
            <w:tcW w:w="3057" w:type="dxa"/>
            <w:vAlign w:val="center"/>
          </w:tcPr>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因不履行或不正确履行行政职责，有下列情形的，行政机关及相关工作人员应承担相应责任：</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default"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1、军人抚恤优待管理单位及其工作人员挪用、截留、私分军人抚恤优待经费的。</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2、军人抚恤优待管理单位及其工作人员、参与军人抚恤优待工作的单位及工作人员有下列行为之一的：</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　　（一）违反规定审批军人抚恤待遇的；</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　　（二）在审批军人抚恤待遇工作中出具虚假诊断、鉴定、证明的；</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　　（三）不按规定的标准、数额、对象审批或者发放抚恤金、补助金、优待金的；</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firstLine="360" w:firstLineChars="20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（四）在军人抚恤优待工作中利用职权谋取私利的。</w:t>
            </w:r>
          </w:p>
          <w:p>
            <w:pPr>
              <w:keepNext w:val="0"/>
              <w:keepLines w:val="0"/>
              <w:pageBreakBefore w:val="0"/>
              <w:widowControl w:val="0"/>
              <w:numPr>
                <w:ilvl w:val="0"/>
                <w:numId w:val="0"/>
              </w:numPr>
              <w:kinsoku/>
              <w:wordWrap/>
              <w:overflowPunct/>
              <w:topLinePunct w:val="0"/>
              <w:autoSpaceDE/>
              <w:autoSpaceDN w:val="0"/>
              <w:bidi w:val="0"/>
              <w:adjustRightInd w:val="0"/>
              <w:snapToGrid w:val="0"/>
              <w:spacing w:line="280" w:lineRule="exact"/>
              <w:ind w:leftChars="0" w:right="0" w:rightChars="0"/>
              <w:jc w:val="left"/>
              <w:textAlignment w:val="center"/>
              <w:outlineLvl w:val="9"/>
              <w:rPr>
                <w:rFonts w:hint="eastAsia" w:ascii="宋体" w:hAnsi="宋体" w:eastAsia="宋体" w:cs="宋体"/>
                <w:b w:val="0"/>
                <w:i w:val="0"/>
                <w:snapToGrid w:val="0"/>
                <w:color w:val="000000"/>
                <w:kern w:val="0"/>
                <w:sz w:val="18"/>
                <w:szCs w:val="18"/>
                <w:u w:val="none"/>
                <w:lang w:val="en-US" w:eastAsia="zh-CN"/>
              </w:rPr>
            </w:pPr>
            <w:r>
              <w:rPr>
                <w:rFonts w:hint="eastAsia" w:ascii="宋体" w:hAnsi="宋体" w:eastAsia="宋体" w:cs="宋体"/>
                <w:b w:val="0"/>
                <w:i w:val="0"/>
                <w:snapToGrid w:val="0"/>
                <w:color w:val="000000"/>
                <w:kern w:val="0"/>
                <w:sz w:val="18"/>
                <w:szCs w:val="18"/>
                <w:u w:val="none"/>
                <w:lang w:val="en-US" w:eastAsia="zh-CN"/>
              </w:rPr>
              <w:t>3、其他违反法律法规规章文件规定的行为。</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b w:val="0"/>
                <w:i w:val="0"/>
                <w:snapToGrid/>
                <w:color w:val="000000"/>
                <w:sz w:val="24"/>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2" w:hRule="exact"/>
        </w:trPr>
        <w:tc>
          <w:tcPr>
            <w:tcW w:w="795"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w:t>
            </w:r>
          </w:p>
        </w:tc>
        <w:tc>
          <w:tcPr>
            <w:tcW w:w="1275" w:type="dxa"/>
            <w:vAlign w:val="center"/>
          </w:tcPr>
          <w:p>
            <w:pPr>
              <w:keepNext w:val="0"/>
              <w:keepLines w:val="0"/>
              <w:widowControl/>
              <w:suppressLineNumbers w:val="0"/>
              <w:jc w:val="center"/>
              <w:textAlignment w:val="center"/>
              <w:rPr>
                <w:rFonts w:hint="default" w:ascii="黑体" w:hAnsi="黑体" w:eastAsia="黑体"/>
                <w:b w:val="0"/>
                <w:i w:val="0"/>
                <w:snapToGrid/>
                <w:color w:val="000000"/>
                <w:sz w:val="18"/>
                <w:szCs w:val="18"/>
                <w:u w:val="none"/>
                <w:lang w:eastAsia="zh-CN"/>
              </w:rPr>
            </w:pPr>
            <w:r>
              <w:rPr>
                <w:rFonts w:hint="eastAsia" w:ascii="宋体" w:hAnsi="宋体" w:eastAsia="宋体" w:cs="宋体"/>
                <w:i w:val="0"/>
                <w:color w:val="000000"/>
                <w:kern w:val="0"/>
                <w:sz w:val="18"/>
                <w:szCs w:val="18"/>
                <w:u w:val="none"/>
                <w:lang w:val="en-US" w:eastAsia="zh-CN" w:bidi="ar"/>
              </w:rPr>
              <w:t>行政确认</w:t>
            </w:r>
          </w:p>
        </w:tc>
        <w:tc>
          <w:tcPr>
            <w:tcW w:w="1605" w:type="dxa"/>
            <w:vAlign w:val="center"/>
          </w:tcPr>
          <w:p>
            <w:pPr>
              <w:keepNext w:val="0"/>
              <w:keepLines w:val="0"/>
              <w:widowControl/>
              <w:suppressLineNumbers w:val="0"/>
              <w:jc w:val="center"/>
              <w:textAlignment w:val="center"/>
              <w:rPr>
                <w:rFonts w:hint="default" w:ascii="黑体" w:hAnsi="黑体" w:eastAsia="黑体"/>
                <w:b w:val="0"/>
                <w:i w:val="0"/>
                <w:snapToGrid/>
                <w:color w:val="000000"/>
                <w:sz w:val="18"/>
                <w:szCs w:val="18"/>
                <w:u w:val="none"/>
                <w:lang w:eastAsia="zh-CN"/>
              </w:rPr>
            </w:pPr>
            <w:r>
              <w:rPr>
                <w:rFonts w:hint="eastAsia" w:ascii="宋体" w:hAnsi="宋体" w:eastAsia="宋体" w:cs="宋体"/>
                <w:i w:val="0"/>
                <w:color w:val="000000"/>
                <w:kern w:val="0"/>
                <w:sz w:val="18"/>
                <w:szCs w:val="18"/>
                <w:u w:val="none"/>
                <w:lang w:val="en-US" w:eastAsia="zh-CN" w:bidi="ar"/>
              </w:rPr>
              <w:t>县级烈士纪念设施申请</w:t>
            </w:r>
          </w:p>
        </w:tc>
        <w:tc>
          <w:tcPr>
            <w:tcW w:w="801" w:type="dxa"/>
            <w:vAlign w:val="center"/>
          </w:tcPr>
          <w:p>
            <w:pPr>
              <w:keepNext w:val="0"/>
              <w:keepLines w:val="0"/>
              <w:widowControl/>
              <w:suppressLineNumbers w:val="0"/>
              <w:jc w:val="center"/>
              <w:textAlignment w:val="center"/>
              <w:rPr>
                <w:rFonts w:hint="default" w:ascii="黑体" w:hAnsi="黑体" w:eastAsia="黑体"/>
                <w:b w:val="0"/>
                <w:i w:val="0"/>
                <w:snapToGrid/>
                <w:color w:val="000000"/>
                <w:sz w:val="18"/>
                <w:szCs w:val="18"/>
                <w:u w:val="none"/>
                <w:lang w:eastAsia="zh-CN"/>
              </w:rPr>
            </w:pPr>
            <w:r>
              <w:rPr>
                <w:rFonts w:hint="eastAsia" w:ascii="宋体" w:hAnsi="宋体" w:eastAsia="宋体" w:cs="宋体"/>
                <w:i w:val="0"/>
                <w:color w:val="000000"/>
                <w:kern w:val="0"/>
                <w:sz w:val="18"/>
                <w:szCs w:val="18"/>
                <w:u w:val="none"/>
                <w:lang w:val="en-US" w:eastAsia="zh-CN" w:bidi="ar"/>
              </w:rPr>
              <w:t>县退役军人事务局</w:t>
            </w:r>
          </w:p>
        </w:tc>
        <w:tc>
          <w:tcPr>
            <w:tcW w:w="2949" w:type="dxa"/>
            <w:vAlign w:val="center"/>
          </w:tcPr>
          <w:p>
            <w:pPr>
              <w:keepNext w:val="0"/>
              <w:keepLines w:val="0"/>
              <w:widowControl/>
              <w:suppressLineNumbers w:val="0"/>
              <w:jc w:val="left"/>
              <w:textAlignment w:val="center"/>
              <w:rPr>
                <w:rFonts w:hint="default" w:ascii="黑体" w:hAnsi="黑体" w:eastAsia="黑体"/>
                <w:b w:val="0"/>
                <w:i w:val="0"/>
                <w:snapToGrid/>
                <w:color w:val="000000"/>
                <w:sz w:val="18"/>
                <w:szCs w:val="18"/>
                <w:u w:val="none"/>
                <w:lang w:eastAsia="zh-CN"/>
              </w:rPr>
            </w:pPr>
            <w:r>
              <w:rPr>
                <w:rFonts w:hint="eastAsia" w:ascii="宋体" w:hAnsi="宋体" w:eastAsia="宋体" w:cs="宋体"/>
                <w:i w:val="0"/>
                <w:color w:val="000000"/>
                <w:kern w:val="0"/>
                <w:sz w:val="18"/>
                <w:szCs w:val="18"/>
                <w:u w:val="none"/>
                <w:lang w:val="en-US" w:eastAsia="zh-CN" w:bidi="ar"/>
              </w:rPr>
              <w:t>1、《烈士褒扬条例》第二十七条“……地方各级烈士纪念设施，由县级以上地方人民政府退役军人事务部门报本级人民政府批准后公布，并报上一级人民政府退役军人事务部门备案。各级人民政府应当确定烈士纪念设施保护单位，并划定烈士纪念设施保护范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2、《烈士纪念设施保护管理办法》第三条：“根据烈士纪念设施的纪念意义和建设规模，对烈士纪念设施实行分级保护管理。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烈士纪念设施分为：（一）国家级烈士纪念设施；（二）省级烈士纪念设施；（三）设区的市级烈士纪念设施；（四）县级烈士纪念设施。”</w:t>
            </w:r>
          </w:p>
        </w:tc>
        <w:tc>
          <w:tcPr>
            <w:tcW w:w="3195" w:type="dxa"/>
            <w:vAlign w:val="center"/>
          </w:tcPr>
          <w:p>
            <w:pPr>
              <w:keepNext w:val="0"/>
              <w:keepLines w:val="0"/>
              <w:widowControl/>
              <w:suppressLineNumbers w:val="0"/>
              <w:jc w:val="left"/>
              <w:textAlignment w:val="center"/>
              <w:rPr>
                <w:rFonts w:hint="default" w:ascii="黑体" w:hAnsi="黑体" w:eastAsia="黑体"/>
                <w:b w:val="0"/>
                <w:i w:val="0"/>
                <w:snapToGrid/>
                <w:color w:val="000000"/>
                <w:sz w:val="15"/>
                <w:szCs w:val="15"/>
                <w:u w:val="none"/>
                <w:lang w:eastAsia="zh-CN"/>
              </w:rPr>
            </w:pPr>
            <w:r>
              <w:rPr>
                <w:rFonts w:hint="eastAsia" w:ascii="宋体" w:hAnsi="宋体" w:eastAsia="宋体" w:cs="宋体"/>
                <w:i w:val="0"/>
                <w:color w:val="000000"/>
                <w:kern w:val="0"/>
                <w:sz w:val="18"/>
                <w:szCs w:val="18"/>
                <w:u w:val="none"/>
                <w:lang w:val="en-US" w:eastAsia="zh-CN" w:bidi="ar"/>
              </w:rPr>
              <w:t>1、申请责任：向县级人民政府提交烈士纪念设施所需认定材料的责任。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2、管理保护责任：对辖区内县级烈士陵园设施负有管理保护的责任。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3、其他法律法规规章文件规定应履行的责任。</w:t>
            </w:r>
          </w:p>
        </w:tc>
        <w:tc>
          <w:tcPr>
            <w:tcW w:w="3057" w:type="dxa"/>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1、烈士纪念设施保护单位的工作人员玩忽职守、徇私舞弊，造成烈士纪念设施、烈士史料或者遗物遭受损失的，依法给予处分；构成犯罪的，依法追究刑事责任。</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2、行政机关公务员、烈士纪念设施保护单位工作人员贪污、挪用烈士褒扬经费的，由上级人民政府退役军人事务部门责令退回、追回，依法给予处分；构成犯罪的，依法追究刑事责任。</w:t>
            </w:r>
          </w:p>
          <w:p>
            <w:pPr>
              <w:keepNext w:val="0"/>
              <w:keepLines w:val="0"/>
              <w:widowControl/>
              <w:suppressLineNumbers w:val="0"/>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51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黑体" w:hAnsi="黑体" w:eastAsia="黑体"/>
                <w:b w:val="0"/>
                <w:i w:val="0"/>
                <w:snapToGrid/>
                <w:color w:val="000000"/>
                <w:sz w:val="18"/>
                <w:szCs w:val="18"/>
                <w:u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8" w:hRule="atLeast"/>
        </w:trPr>
        <w:tc>
          <w:tcPr>
            <w:tcW w:w="795" w:type="dxa"/>
            <w:vAlign w:val="center"/>
          </w:tcPr>
          <w:p>
            <w:pPr>
              <w:tabs>
                <w:tab w:val="left" w:pos="7937"/>
              </w:tabs>
              <w:spacing w:line="260" w:lineRule="exact"/>
              <w:jc w:val="center"/>
              <w:rPr>
                <w:rFonts w:hint="default" w:ascii="宋体" w:hAnsi="宋体" w:eastAsia="宋体"/>
                <w:sz w:val="18"/>
                <w:szCs w:val="18"/>
                <w:vertAlign w:val="baseline"/>
                <w:lang w:val="en-US" w:eastAsia="zh-CN"/>
              </w:rPr>
            </w:pPr>
            <w:r>
              <w:rPr>
                <w:rFonts w:hint="eastAsia" w:ascii="宋体" w:hAnsi="宋体" w:eastAsia="宋体"/>
                <w:sz w:val="18"/>
                <w:szCs w:val="18"/>
                <w:vertAlign w:val="baseline"/>
                <w:lang w:val="en-US" w:eastAsia="zh-CN"/>
              </w:rPr>
              <w:t>10</w:t>
            </w:r>
          </w:p>
        </w:tc>
        <w:tc>
          <w:tcPr>
            <w:tcW w:w="1275" w:type="dxa"/>
            <w:vAlign w:val="center"/>
          </w:tcPr>
          <w:p>
            <w:pPr>
              <w:tabs>
                <w:tab w:val="left" w:pos="7937"/>
              </w:tabs>
              <w:spacing w:line="260" w:lineRule="exact"/>
              <w:jc w:val="center"/>
              <w:rPr>
                <w:rFonts w:hint="eastAsia" w:ascii="宋体" w:hAnsi="宋体" w:eastAsia="宋体"/>
                <w:sz w:val="18"/>
                <w:szCs w:val="18"/>
              </w:rPr>
            </w:pPr>
            <w:r>
              <w:rPr>
                <w:rFonts w:hint="eastAsia" w:ascii="宋体" w:hAnsi="宋体" w:eastAsia="宋体"/>
                <w:sz w:val="18"/>
                <w:szCs w:val="18"/>
                <w:vertAlign w:val="baseline"/>
                <w:lang w:val="en-US" w:eastAsia="zh-CN"/>
              </w:rPr>
              <w:t>其他权力</w:t>
            </w:r>
          </w:p>
        </w:tc>
        <w:tc>
          <w:tcPr>
            <w:tcW w:w="1605" w:type="dxa"/>
            <w:vAlign w:val="center"/>
          </w:tcPr>
          <w:p>
            <w:pPr>
              <w:keepNext w:val="0"/>
              <w:keepLines w:val="0"/>
              <w:widowControl/>
              <w:suppressLineNumbers w:val="0"/>
              <w:jc w:val="center"/>
              <w:textAlignment w:val="center"/>
              <w:rPr>
                <w:rFonts w:hint="eastAsia" w:ascii="宋体" w:hAnsi="宋体" w:eastAsia="宋体"/>
                <w:sz w:val="18"/>
                <w:szCs w:val="18"/>
                <w:vertAlign w:val="baseline"/>
                <w:lang w:eastAsia="zh-CN"/>
              </w:rPr>
            </w:pPr>
            <w:r>
              <w:rPr>
                <w:rFonts w:hint="eastAsia" w:ascii="宋体" w:hAnsi="宋体" w:eastAsia="宋体" w:cs="宋体"/>
                <w:i w:val="0"/>
                <w:color w:val="000000"/>
                <w:kern w:val="0"/>
                <w:sz w:val="18"/>
                <w:szCs w:val="18"/>
                <w:u w:val="none"/>
                <w:lang w:val="en-US" w:eastAsia="zh-CN" w:bidi="ar"/>
              </w:rPr>
              <w:t>烈士纪念设施的保护和管理</w:t>
            </w:r>
          </w:p>
        </w:tc>
        <w:tc>
          <w:tcPr>
            <w:tcW w:w="801" w:type="dxa"/>
            <w:vAlign w:val="center"/>
          </w:tcPr>
          <w:p>
            <w:pPr>
              <w:keepNext w:val="0"/>
              <w:keepLines w:val="0"/>
              <w:widowControl/>
              <w:suppressLineNumbers w:val="0"/>
              <w:jc w:val="center"/>
              <w:textAlignment w:val="center"/>
              <w:rPr>
                <w:rFonts w:hint="eastAsia" w:ascii="宋体" w:hAnsi="宋体" w:eastAsia="宋体"/>
                <w:sz w:val="18"/>
                <w:szCs w:val="18"/>
                <w:vertAlign w:val="baseline"/>
                <w:lang w:eastAsia="zh-CN"/>
              </w:rPr>
            </w:pPr>
            <w:r>
              <w:rPr>
                <w:rFonts w:hint="eastAsia" w:ascii="宋体" w:hAnsi="宋体" w:eastAsia="宋体" w:cs="宋体"/>
                <w:i w:val="0"/>
                <w:color w:val="000000"/>
                <w:kern w:val="0"/>
                <w:sz w:val="18"/>
                <w:szCs w:val="18"/>
                <w:u w:val="none"/>
                <w:lang w:val="en-US" w:eastAsia="zh-CN" w:bidi="ar"/>
              </w:rPr>
              <w:t>县退役军人事务局</w:t>
            </w:r>
          </w:p>
        </w:tc>
        <w:tc>
          <w:tcPr>
            <w:tcW w:w="2949" w:type="dxa"/>
            <w:vAlign w:val="center"/>
          </w:tcPr>
          <w:p>
            <w:pPr>
              <w:keepNext w:val="0"/>
              <w:keepLines w:val="0"/>
              <w:widowControl/>
              <w:suppressLineNumbers w:val="0"/>
              <w:jc w:val="left"/>
              <w:textAlignment w:val="center"/>
              <w:rPr>
                <w:rFonts w:hint="eastAsia" w:ascii="宋体" w:hAnsi="宋体" w:eastAsia="宋体"/>
                <w:spacing w:val="-4"/>
                <w:sz w:val="18"/>
                <w:szCs w:val="18"/>
                <w:lang w:val="en-US" w:eastAsia="zh-CN"/>
              </w:rPr>
            </w:pPr>
            <w:r>
              <w:rPr>
                <w:rFonts w:hint="eastAsia" w:ascii="宋体" w:hAnsi="宋体" w:eastAsia="宋体" w:cs="宋体"/>
                <w:i w:val="0"/>
                <w:color w:val="000000"/>
                <w:kern w:val="0"/>
                <w:sz w:val="18"/>
                <w:szCs w:val="18"/>
                <w:u w:val="none"/>
                <w:lang w:val="en-US" w:eastAsia="zh-CN" w:bidi="ar"/>
              </w:rPr>
              <w:t>1、《英雄烈士保护法》第八条：“县级以上人民政府应当将英雄烈士纪念设施建设和保护纳入国民经济和社会发展规划、城乡规划，加强对英雄烈士纪念设施的保护和管理……”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2、《烈士褒扬条例》第三十条：“县级以上人民政府有关部门应当做好烈士纪念设施的保护和管理工作。”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3、《烈士纪念设施保护管理办法》第四条：“县级以上烈士纪念设施由所在地人民政府负责保护管理，纳入当地国民经济和社会发展规划或者有关专项规划，所需经费列入当地财政预算。……”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4.中共中央办公厅、国务院办公厅、中央军委办公厅印发《烈士纪念设施规划建设修缮管理维护总体工作方案》</w:t>
            </w:r>
          </w:p>
        </w:tc>
        <w:tc>
          <w:tcPr>
            <w:tcW w:w="3195" w:type="dxa"/>
            <w:vAlign w:val="center"/>
          </w:tcPr>
          <w:p>
            <w:pPr>
              <w:keepNext w:val="0"/>
              <w:keepLines w:val="0"/>
              <w:widowControl/>
              <w:suppressLineNumbers w:val="0"/>
              <w:jc w:val="left"/>
              <w:textAlignment w:val="center"/>
              <w:rPr>
                <w:rFonts w:hint="eastAsia" w:ascii="宋体" w:hAnsi="宋体" w:eastAsia="宋体"/>
                <w:sz w:val="18"/>
                <w:szCs w:val="18"/>
              </w:rPr>
            </w:pPr>
            <w:r>
              <w:rPr>
                <w:rFonts w:hint="eastAsia" w:ascii="宋体" w:hAnsi="宋体" w:eastAsia="宋体" w:cs="宋体"/>
                <w:i w:val="0"/>
                <w:color w:val="000000"/>
                <w:kern w:val="0"/>
                <w:sz w:val="18"/>
                <w:szCs w:val="18"/>
                <w:u w:val="none"/>
                <w:lang w:val="en-US" w:eastAsia="zh-CN" w:bidi="ar"/>
              </w:rPr>
              <w:t>1、管理责任：做好烈士纪念设施的保护和管理工作。未经批准，不得新建、改建、扩建或者迁移烈士纪念设施。</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处置责任：在英雄烈士纪念设施保护范围内做有损纪念英雄烈士环境和氛围的活动的，应当及时劝阻；不听劝阻的，由县级以上地方人民政府负责英雄烈士保护工作的部门按照职责规定给予批评教育，责令改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3、移送责任：构成犯罪的，依法追究刑事责任。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4、组织祭扫责任：烈士陵园所在地人民政府退役军人事务部门对前来烈士陵园祭扫的烈士遗属，应当做好接待服务工作；对自行前来祭扫经济上确有困难的，给予适当补助。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3057" w:type="dxa"/>
            <w:vAlign w:val="center"/>
          </w:tcPr>
          <w:p>
            <w:pPr>
              <w:tabs>
                <w:tab w:val="left" w:pos="7937"/>
              </w:tabs>
              <w:spacing w:line="26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sz w:val="18"/>
                <w:szCs w:val="18"/>
              </w:rPr>
              <w:t>因不履行或不正确履行行政职责，有下列情形的，行政机关及相关工作人员应承担相应责任：</w:t>
            </w: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1、行政机关公务员、烈士纪念设施保护单位工作人员贪污、挪用烈士褒扬经费的；</w:t>
            </w: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2、未经批准迁移烈士纪念设施，非法侵占烈士纪念设施保护范围内的土地、设施，破坏、污损烈士纪念设施，或者在烈士纪念设施保护范围内为烈士以外的其他人修建纪念设施、安放骨灰、埋葬遗体的；</w:t>
            </w: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510" w:type="dx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宋体" w:hAnsi="宋体" w:eastAsia="宋体"/>
                <w:sz w:val="18"/>
                <w:szCs w:val="18"/>
                <w:vertAlign w:val="baseline"/>
                <w:lang w:eastAsia="zh-CN"/>
              </w:rPr>
            </w:pPr>
          </w:p>
        </w:tc>
      </w:tr>
    </w:tbl>
    <w:p/>
    <w:sectPr>
      <w:footerReference r:id="rId3" w:type="default"/>
      <w:pgSz w:w="16838" w:h="11906" w:orient="landscape"/>
      <w:pgMar w:top="1417" w:right="1383" w:bottom="1417" w:left="1383" w:header="851" w:footer="992" w:gutter="0"/>
      <w:cols w:space="0" w:num="1"/>
      <w:rtlGutter w:val="0"/>
      <w:docGrid w:type="lines" w:linePitch="45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2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57CC2"/>
    <w:rsid w:val="036733C8"/>
    <w:rsid w:val="05887205"/>
    <w:rsid w:val="08340580"/>
    <w:rsid w:val="12547AE6"/>
    <w:rsid w:val="14EC1E47"/>
    <w:rsid w:val="1AE3183D"/>
    <w:rsid w:val="1B4006E3"/>
    <w:rsid w:val="1EF920CD"/>
    <w:rsid w:val="20C16D90"/>
    <w:rsid w:val="296665FD"/>
    <w:rsid w:val="2C157CC2"/>
    <w:rsid w:val="2C6A7C19"/>
    <w:rsid w:val="34DD18D1"/>
    <w:rsid w:val="38DF1222"/>
    <w:rsid w:val="38FA5E4D"/>
    <w:rsid w:val="39291DC9"/>
    <w:rsid w:val="3AC84654"/>
    <w:rsid w:val="3F0A3DC5"/>
    <w:rsid w:val="41422697"/>
    <w:rsid w:val="416760D9"/>
    <w:rsid w:val="4C266A66"/>
    <w:rsid w:val="57DD0F4B"/>
    <w:rsid w:val="6159741F"/>
    <w:rsid w:val="620822F9"/>
    <w:rsid w:val="62B4060F"/>
    <w:rsid w:val="6AF5534E"/>
    <w:rsid w:val="6FFC1FA2"/>
    <w:rsid w:val="739D347D"/>
    <w:rsid w:val="73D90E89"/>
    <w:rsid w:val="746716A8"/>
    <w:rsid w:val="7BA819AF"/>
    <w:rsid w:val="7C2B2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customStyle="1" w:styleId="5">
    <w:name w:val="font11"/>
    <w:basedOn w:val="4"/>
    <w:qFormat/>
    <w:uiPriority w:val="0"/>
    <w:rPr>
      <w:rFonts w:hint="eastAsia" w:ascii="宋体" w:hAnsi="宋体" w:eastAsia="宋体" w:cs="宋体"/>
      <w:color w:val="000000"/>
      <w:sz w:val="16"/>
      <w:szCs w:val="16"/>
      <w:u w:val="none"/>
    </w:rPr>
  </w:style>
  <w:style w:type="character" w:customStyle="1" w:styleId="6">
    <w:name w:val="font21"/>
    <w:basedOn w:val="4"/>
    <w:qFormat/>
    <w:uiPriority w:val="0"/>
    <w:rPr>
      <w:rFonts w:hint="eastAsia" w:ascii="黑体" w:hAnsi="宋体" w:eastAsia="黑体" w:cs="黑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7642</Words>
  <Characters>7775</Characters>
  <Lines>0</Lines>
  <Paragraphs>0</Paragraphs>
  <TotalTime>1</TotalTime>
  <ScaleCrop>false</ScaleCrop>
  <LinksUpToDate>false</LinksUpToDate>
  <CharactersWithSpaces>7880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2021-05-25T08:02:00Z</dcterms:created>
  <dc:creator>花开年少</dc:creator>
  <cp:lastModifiedBy>Administrator</cp:lastModifiedBy>
  <cp:lastPrinted>2021-05-26T01:44:00Z</cp:lastPrinted>
  <dcterms:modified xsi:type="dcterms:W3CDTF">2026-07-30T07:04:20Z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81E63AE15BF54021AC5901551743FD8A</vt:lpwstr>
  </property>
</Properties>
</file>