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9"/>
        <w:tblW w:w="13988" w:type="dxa"/>
        <w:tblInd w:w="0" w:type="dxa"/>
        <w:shd w:val="clear" w:color="auto" w:fill="auto"/>
        <w:tblLayout w:type="fixed"/>
        <w:tblCellMar>
          <w:top w:w="0" w:type="dxa"/>
          <w:left w:w="0" w:type="dxa"/>
          <w:bottom w:w="0" w:type="dxa"/>
          <w:right w:w="0" w:type="dxa"/>
        </w:tblCellMar>
      </w:tblPr>
      <w:tblGrid>
        <w:gridCol w:w="3191"/>
        <w:gridCol w:w="2815"/>
        <w:gridCol w:w="5844"/>
        <w:gridCol w:w="2138"/>
      </w:tblGrid>
      <w:tr>
        <w:tblPrEx>
          <w:shd w:val="clear" w:color="auto" w:fill="auto"/>
        </w:tblPrEx>
        <w:trPr>
          <w:trHeight w:val="405" w:hRule="atLeast"/>
        </w:trPr>
        <w:tc>
          <w:tcPr>
            <w:tcW w:w="3191"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ascii="黑体" w:hAnsi="宋体" w:eastAsia="黑体" w:cs="黑体"/>
                <w:i w:val="0"/>
                <w:color w:val="000000"/>
                <w:sz w:val="32"/>
                <w:szCs w:val="32"/>
                <w:u w:val="none"/>
              </w:rPr>
            </w:pPr>
          </w:p>
        </w:tc>
        <w:tc>
          <w:tcPr>
            <w:tcW w:w="281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58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3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r>
        <w:tblPrEx>
          <w:tblCellMar>
            <w:top w:w="0" w:type="dxa"/>
            <w:left w:w="0" w:type="dxa"/>
            <w:bottom w:w="0" w:type="dxa"/>
            <w:right w:w="0" w:type="dxa"/>
          </w:tblCellMar>
        </w:tblPrEx>
        <w:trPr>
          <w:trHeight w:val="480" w:hRule="atLeast"/>
        </w:trPr>
        <w:tc>
          <w:tcPr>
            <w:tcW w:w="13988"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高邑县数据和政务服务局（县行政审批局）权责清单事项总表</w:t>
            </w:r>
          </w:p>
        </w:tc>
      </w:tr>
      <w:tr>
        <w:tblPrEx>
          <w:tblCellMar>
            <w:top w:w="0" w:type="dxa"/>
            <w:left w:w="0" w:type="dxa"/>
            <w:bottom w:w="0" w:type="dxa"/>
            <w:right w:w="0" w:type="dxa"/>
          </w:tblCellMar>
        </w:tblPrEx>
        <w:trPr>
          <w:trHeight w:val="405" w:hRule="atLeast"/>
        </w:trPr>
        <w:tc>
          <w:tcPr>
            <w:tcW w:w="13988" w:type="dxa"/>
            <w:gridSpan w:val="4"/>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楷体_GB2312" w:hAnsi="宋体" w:eastAsia="楷体_GB2312" w:cs="楷体_GB2312"/>
                <w:i w:val="0"/>
                <w:color w:val="000000"/>
                <w:sz w:val="32"/>
                <w:szCs w:val="32"/>
                <w:u w:val="none"/>
              </w:rPr>
            </w:pPr>
            <w:r>
              <w:rPr>
                <w:rFonts w:hint="eastAsia" w:ascii="楷体_GB2312" w:hAnsi="宋体" w:eastAsia="楷体_GB2312" w:cs="楷体_GB2312"/>
                <w:i w:val="0"/>
                <w:color w:val="000000"/>
                <w:kern w:val="0"/>
                <w:sz w:val="32"/>
                <w:szCs w:val="32"/>
                <w:u w:val="none"/>
                <w:lang w:val="en-US" w:eastAsia="zh-CN" w:bidi="ar"/>
              </w:rPr>
              <w:t>（共三类、 157项）</w:t>
            </w:r>
          </w:p>
        </w:tc>
      </w:tr>
      <w:tr>
        <w:tblPrEx>
          <w:tblCellMar>
            <w:top w:w="0" w:type="dxa"/>
            <w:left w:w="0" w:type="dxa"/>
            <w:bottom w:w="0" w:type="dxa"/>
            <w:right w:w="0" w:type="dxa"/>
          </w:tblCellMar>
        </w:tblPrEx>
        <w:trPr>
          <w:trHeight w:val="390" w:hRule="atLeast"/>
        </w:trPr>
        <w:tc>
          <w:tcPr>
            <w:tcW w:w="3191"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楷体_GB2312" w:hAnsi="宋体" w:eastAsia="楷体_GB2312" w:cs="楷体_GB2312"/>
                <w:i w:val="0"/>
                <w:color w:val="000000"/>
                <w:sz w:val="28"/>
                <w:szCs w:val="28"/>
                <w:u w:val="none"/>
              </w:rPr>
            </w:pPr>
          </w:p>
        </w:tc>
        <w:tc>
          <w:tcPr>
            <w:tcW w:w="2815"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5844"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c>
          <w:tcPr>
            <w:tcW w:w="2138" w:type="dxa"/>
            <w:tcBorders>
              <w:top w:val="nil"/>
              <w:left w:val="nil"/>
              <w:bottom w:val="nil"/>
              <w:right w:val="nil"/>
            </w:tcBorders>
            <w:shd w:val="clear" w:color="auto" w:fill="auto"/>
            <w:tcMar>
              <w:top w:w="15" w:type="dxa"/>
              <w:left w:w="15" w:type="dxa"/>
              <w:right w:w="15" w:type="dxa"/>
            </w:tcMar>
            <w:vAlign w:val="center"/>
          </w:tcPr>
          <w:p>
            <w:pPr>
              <w:rPr>
                <w:rFonts w:hint="eastAsia" w:ascii="宋体" w:hAnsi="宋体" w:eastAsia="宋体" w:cs="宋体"/>
                <w:i w:val="0"/>
                <w:color w:val="000000"/>
                <w:sz w:val="22"/>
                <w:szCs w:val="22"/>
                <w:u w:val="none"/>
              </w:rPr>
            </w:pPr>
          </w:p>
        </w:tc>
      </w:tr>
    </w:tbl>
    <w:p/>
    <w:tbl>
      <w:tblPr>
        <w:tblStyle w:val="9"/>
        <w:tblW w:w="13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1654"/>
        <w:gridCol w:w="2535"/>
        <w:gridCol w:w="7193"/>
        <w:gridCol w:w="2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总序号</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类别及序号</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项目名称及数量</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一、行政许可</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共137项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公路建设项目施工许可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更新采伐护路林审批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公路水运工程建设项目设计文件审批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公路超限运输许可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占用、挖掘公路、公路用地或者使公路改线审批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在公路增设或改造平面交叉道口审批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设置非公路标志审批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31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跨越、穿越公路及在公路用地范围内架设、埋设管线、电缆等设施，或者利用公路桥梁、公路隧道、涵洞铺设电缆等设施许可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公路建筑控制区内埋设管线、电缆等设施许可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道路旅客运输经营许可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建设项目配套的园林绿化工程设计方案审批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道路货物运输经营许可（普货）</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出租汽车经营资格证、车辆运营证和驾驶员客运资格证核发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公路建设项目竣工验收</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道路旅客运输站（场）经营许可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汽车租赁经营许可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建筑工程施工许可证核发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商品房预售许可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燃气经营者改动市政燃气设施审批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设置大型户外广告及在城市建筑物、设施上悬挂、张贴宣传品审批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市政设施建设类审批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城市建筑垃圾处置核准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城镇污水排入排水管网许可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3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因工程建设需要拆除、改动、迁移供水、排水与污水处理设施审核</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0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特殊车辆在城市道路上行驶（包括经过城市桥梁）审批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关闭、闲置、拆除城市环卫设施许可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工程建设涉及城市绿地、树木审批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取水许可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0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洪水影响评价审批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生产建设项目水土保持方案审批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水利基建项目初步设计文件审批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河道管理范围内有关活动（不含河道采砂）审批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县内客运业户开业、增项经营许可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占用农业灌溉水源、灌排工程设施审批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从事生活垃圾（含粪便）经营性清扫、收集、运输、处理服务审批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临时性建筑物搭建、堆放物料、占道施工审批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改变绿化规划、绿化用地的使用性质审批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城市建设填堵水域、废除围堤审核</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石油天然气管道保护范围内特定施工作业许可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排污许可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建设项目环境影响评价文件审批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节能审查</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4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企业投资项目核准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防空地下室建设审批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人防通信、警报设施拆除、迁移批准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在危及人防工程安全范围内埋设管道、修建地面工程审批及人防工程改造、拆除审批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防治污染设施拆除或闲置审批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在电力设施周围或电力设施保护区内进行可能危及电力设施安全作业的审批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农作物种子生产经营许可证核发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种畜禽生产经营许可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生鲜乳准运证明核发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2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生鲜乳收购许可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兽药经营许可证核发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农药经营许可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食用菌菌种生产经营许可证核发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水产苗种生产审批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5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农药广告审查</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非国家和非省重点保护陆生野生动物狩猎证核发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食品（含保健食品）经营许可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县级权限委托乡镇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动物防疫条件合格证核发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动物诊疗许可证核发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林木种子生产经营许可证核发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草种经营许可证核发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2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临时占用林地审批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6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修筑直接为林业生产经营服务的工程设施占用林地审批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林木采伐许可证核发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建设项目使用林地及在林业部门管理的自然保护区、沙化土地封禁保护区建设审批（核）</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67"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食品（含保健食品）生产许可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药品零售企业许可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水域滩涂养殖证的审核</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危险化学品经营许可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危险化学品建设项目的安全设施设计审查</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危险化学品建设项目的安全条件审查</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烟花爆竹经营（批发）许可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生产、储存烟花爆竹建设项目安全设施设计审查</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烟花爆竹经营（零售）许可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第三类非药品类易制毒化学品经营备案证明</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7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电影放映单位设立审批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从事出版物、包装装潢印刷品和其他印刷品印刷经营活动企业的设立、变更审批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1.“从事其他印刷品印刷经营活动企业的设立、变更审批”下放县（市、区）；</w:t>
            </w:r>
            <w:r>
              <w:rPr>
                <w:rFonts w:hint="eastAsia" w:ascii="仿宋_GB2312" w:hAnsi="仿宋_GB2312" w:eastAsia="仿宋_GB2312" w:cs="仿宋_GB2312"/>
                <w:i w:val="0"/>
                <w:color w:val="000000"/>
                <w:kern w:val="0"/>
                <w:sz w:val="28"/>
                <w:szCs w:val="28"/>
                <w:u w:val="none"/>
                <w:lang w:val="en-US" w:eastAsia="zh-CN" w:bidi="ar"/>
              </w:rPr>
              <w:br w:type="textWrapping"/>
            </w:r>
            <w:r>
              <w:rPr>
                <w:rFonts w:hint="eastAsia" w:ascii="仿宋_GB2312" w:hAnsi="仿宋_GB2312" w:eastAsia="仿宋_GB2312" w:cs="仿宋_GB2312"/>
                <w:i w:val="0"/>
                <w:color w:val="000000"/>
                <w:kern w:val="0"/>
                <w:sz w:val="28"/>
                <w:szCs w:val="28"/>
                <w:u w:val="none"/>
                <w:lang w:val="en-US" w:eastAsia="zh-CN" w:bidi="ar"/>
              </w:rPr>
              <w:t>2.2.“从事包装装潢印刷品印刷经营活动企业的设立、变更审批”委托裕华区、新华区、桥西区、长安区。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内部资料性出版物准印证核发</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出版物零售单位和个体工商户设立、变更审批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校车使用许可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2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实施中等及中等以下学历教育、学前教育、自学考试助学及其他文化教育的学校设立、变更和终止审批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7"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文艺、体育等专业训练的社会组织自行实施义务教育审批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教师资格认定</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4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社会团体修改章程核准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民办非企业单位修改章程核准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社会团体成立、变更、注销登记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民办非企业单位成立、变更、注销登记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8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建设殡仪馆、火葬场、殡仪服务站、骨灰堂、经营性公墓、农村公益性墓地审批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市级、县级审核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公开募捐资格审核</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0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基层法律服务工作者执业、变更、注销许可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7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中介机构从事代理记账业务审批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1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民办职业培训学校设立、分立、合并、变更及终止审批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8"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人力资源服务许可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5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劳务派遣经营许可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企业实行不定时工作制和综合计算工时工作制审批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申请从事互联网上网服务经营活动审批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营业性演出审批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4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娱乐场所从事娱乐场所经营活动审批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文艺表演团体从事营业性演出活动审批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设置卫星电视广播地面接收设施审批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乡镇设立广播电视站和机关、部队、团体、企业事业单位设立有线广播电视站审批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广播电视视频点播业务许可证（乙种）审批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卫星电视广播地面接收设施安装许可审批</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县级初审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7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文物保护单位原址保护措施审批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2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核定为文物保护单位的属于国家所有的纪念建筑物或者古建筑改变用途审批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文物保护单位及未核定为文物保护单位的不可移动文物修缮许可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8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建设工程文物保护和考古许可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02"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有线广播电视传输覆盖网工程建设及验收审核</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33"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母婴保健服务人员资格认定</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64"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112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医疗机构放射性职业病危害建设项目预评价报告审核</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2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医疗机构放射性职业病危害建设项目竣工验收</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114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饮用水供水单位卫生许可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115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乡村医生执业注册</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母婴保健技术服务机构执业许可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医师执业注册</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118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护士执业注册</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119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sz w:val="28"/>
                <w:szCs w:val="28"/>
                <w:u w:val="none"/>
                <w:lang w:val="en-US"/>
              </w:rPr>
            </w:pPr>
            <w:r>
              <w:rPr>
                <w:rFonts w:hint="eastAsia" w:ascii="仿宋_GB2312" w:hAnsi="仿宋_GB2312" w:eastAsia="仿宋_GB2312" w:cs="仿宋_GB2312"/>
                <w:i w:val="0"/>
                <w:color w:val="000000"/>
                <w:kern w:val="0"/>
                <w:sz w:val="28"/>
                <w:szCs w:val="28"/>
                <w:u w:val="none"/>
                <w:lang w:val="en-US" w:eastAsia="zh-CN" w:bidi="ar"/>
              </w:rPr>
              <w:t>119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放射源诊疗技术和医用辐射机构许可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市级权限委托县（市、区）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医疗机构执业登记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公共场所卫生许可（除饭馆，咖啡馆，酒吧，茶座等）</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外籍医师来华短期执业许可台湾地区医师在大陆短期执业许可香港、澳门特别行政区医师在内地短期执业许可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已下放县（市、区）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医疗机构设置审批（含港澳台）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麻醉药品和第一类精神药品购用许可</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经营高危险性体育项目许可</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科研和教学用毒性药品购买审批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举办健身气功活动及设立站点审批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129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第二类非药品类易制毒化学品经营备案证明</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25"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第二、三类非药品类易制毒化学品生产备案证明</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企业设立、变更、注销登记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计量标准器具核准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承担国家法定计量检定机构任务授权</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农民专业合作社设立、变更、注销登记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个体工商户注册、变更、注销登记</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县级权限委托乡镇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特种设备使用登记</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委托县（市、区）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特种设备作业人员资格认定</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sz w:val="28"/>
                <w:szCs w:val="28"/>
                <w:u w:val="none"/>
              </w:rPr>
              <w:t>下放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89" w:hRule="atLeast"/>
        </w:trPr>
        <w:tc>
          <w:tcPr>
            <w:tcW w:w="1654"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Style w:val="13"/>
                <w:rFonts w:hint="eastAsia" w:ascii="仿宋_GB2312" w:hAnsi="仿宋_GB2312" w:eastAsia="仿宋_GB2312" w:cs="仿宋_GB2312"/>
                <w:sz w:val="28"/>
                <w:szCs w:val="28"/>
                <w:lang w:val="en-US" w:eastAsia="zh-CN" w:bidi="ar"/>
              </w:rPr>
              <w:t>二</w:t>
            </w:r>
            <w:r>
              <w:rPr>
                <w:rStyle w:val="14"/>
                <w:rFonts w:hint="eastAsia" w:ascii="仿宋_GB2312" w:hAnsi="仿宋_GB2312" w:eastAsia="仿宋_GB2312" w:cs="仿宋_GB2312"/>
                <w:sz w:val="28"/>
                <w:szCs w:val="28"/>
                <w:lang w:val="en-US" w:eastAsia="zh-CN" w:bidi="ar"/>
              </w:rPr>
              <w:t>、行政确认</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共10项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29"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招投标情况书面报告提交</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仅限房屋建筑和市政基础设施工程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139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建设工程最高限价备案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建设工程竣工结算备案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工程质量监督手续办理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建设工程安全监督备案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45"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招标人自行办理招标备案</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仅限房屋建筑和市政基础设施工程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935"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招标文件备案</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仅限房屋建筑和市政基础设施工程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16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招标人对已发出的招标文件进行必要的澄清或者修改的备案</w:t>
            </w:r>
          </w:p>
        </w:tc>
        <w:tc>
          <w:tcPr>
            <w:tcW w:w="2606"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仅限房屋建筑和市政基础设施工程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股权出质登记</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慈善组织认定</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Style w:val="13"/>
                <w:rFonts w:hint="eastAsia" w:ascii="仿宋_GB2312" w:hAnsi="仿宋_GB2312" w:eastAsia="仿宋_GB2312" w:cs="仿宋_GB2312"/>
                <w:sz w:val="28"/>
                <w:szCs w:val="28"/>
                <w:lang w:val="en-US" w:eastAsia="zh-CN" w:bidi="ar"/>
              </w:rPr>
              <w:t>三、</w:t>
            </w:r>
            <w:r>
              <w:rPr>
                <w:rStyle w:val="14"/>
                <w:rFonts w:hint="eastAsia" w:ascii="仿宋_GB2312" w:hAnsi="仿宋_GB2312" w:eastAsia="仿宋_GB2312" w:cs="仿宋_GB2312"/>
                <w:sz w:val="28"/>
                <w:szCs w:val="28"/>
                <w:lang w:val="en-US" w:eastAsia="zh-CN" w:bidi="ar"/>
              </w:rPr>
              <w:t>其他类</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b/>
                <w:i w:val="0"/>
                <w:color w:val="000000"/>
                <w:sz w:val="28"/>
                <w:szCs w:val="28"/>
                <w:u w:val="none"/>
              </w:rPr>
            </w:pPr>
            <w:r>
              <w:rPr>
                <w:rFonts w:hint="eastAsia" w:ascii="仿宋_GB2312" w:hAnsi="仿宋_GB2312" w:eastAsia="仿宋_GB2312" w:cs="仿宋_GB2312"/>
                <w:b/>
                <w:i w:val="0"/>
                <w:color w:val="000000"/>
                <w:kern w:val="0"/>
                <w:sz w:val="28"/>
                <w:szCs w:val="28"/>
                <w:u w:val="none"/>
                <w:lang w:val="en-US" w:eastAsia="zh-CN" w:bidi="ar"/>
              </w:rPr>
              <w:t>共7项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148</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房屋建筑和市政基础设施工程竣工验收备案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149</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2</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商品住房项目中配建保障房方案审批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150</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3</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政府出资的投资项目审批</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151</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4</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企业投资项目备案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152</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5</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人民防空工程、兼顾人民防空需要的地下工程竣工验收备案（联合验收、统一备案）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153</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6</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企业备案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154</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7</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sz w:val="28"/>
                <w:szCs w:val="28"/>
                <w:u w:val="none"/>
              </w:rPr>
            </w:pPr>
            <w:r>
              <w:rPr>
                <w:rFonts w:hint="eastAsia" w:ascii="仿宋_GB2312" w:hAnsi="仿宋_GB2312" w:eastAsia="仿宋_GB2312" w:cs="仿宋_GB2312"/>
                <w:i w:val="0"/>
                <w:color w:val="000000"/>
                <w:kern w:val="0"/>
                <w:sz w:val="28"/>
                <w:szCs w:val="28"/>
                <w:u w:val="none"/>
                <w:lang w:val="en-US" w:eastAsia="zh-CN" w:bidi="ar"/>
              </w:rPr>
              <w:t>人力资源服务许可变更</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155</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8</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第二类医疗器械经营备案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156</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9</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医疗器械网络销售备案</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0" w:hRule="atLeast"/>
        </w:trPr>
        <w:tc>
          <w:tcPr>
            <w:tcW w:w="1654"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157</w:t>
            </w:r>
          </w:p>
        </w:tc>
        <w:tc>
          <w:tcPr>
            <w:tcW w:w="2535"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10</w:t>
            </w:r>
          </w:p>
        </w:tc>
        <w:tc>
          <w:tcPr>
            <w:tcW w:w="7193" w:type="dxa"/>
            <w:shd w:val="clear" w:color="auto" w:fill="auto"/>
            <w:tcMar>
              <w:top w:w="15" w:type="dxa"/>
              <w:left w:w="15" w:type="dxa"/>
              <w:right w:w="15"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仿宋_GB2312" w:hAnsi="仿宋_GB2312" w:eastAsia="仿宋_GB2312" w:cs="仿宋_GB2312"/>
                <w:i w:val="0"/>
                <w:color w:val="000000"/>
                <w:kern w:val="0"/>
                <w:sz w:val="28"/>
                <w:szCs w:val="28"/>
                <w:u w:val="none"/>
                <w:lang w:val="en-US" w:eastAsia="zh-CN" w:bidi="ar"/>
              </w:rPr>
            </w:pPr>
            <w:r>
              <w:rPr>
                <w:rFonts w:hint="eastAsia" w:ascii="仿宋_GB2312" w:hAnsi="仿宋_GB2312" w:eastAsia="仿宋_GB2312" w:cs="仿宋_GB2312"/>
                <w:i w:val="0"/>
                <w:color w:val="000000"/>
                <w:kern w:val="0"/>
                <w:sz w:val="28"/>
                <w:szCs w:val="28"/>
                <w:u w:val="none"/>
                <w:lang w:val="en-US" w:eastAsia="zh-CN" w:bidi="ar"/>
              </w:rPr>
              <w:t>确需在禁挖期内挖掘新建、扩建、改建、大修的城市道路批准</w:t>
            </w:r>
          </w:p>
        </w:tc>
        <w:tc>
          <w:tcPr>
            <w:tcW w:w="2606" w:type="dxa"/>
            <w:shd w:val="clear" w:color="auto" w:fill="auto"/>
            <w:tcMar>
              <w:top w:w="15" w:type="dxa"/>
              <w:left w:w="15" w:type="dxa"/>
              <w:right w:w="15" w:type="dxa"/>
            </w:tcMar>
            <w:vAlign w:val="center"/>
          </w:tcPr>
          <w:p>
            <w:pPr>
              <w:keepNext w:val="0"/>
              <w:keepLines w:val="0"/>
              <w:pageBreakBefore w:val="0"/>
              <w:kinsoku/>
              <w:wordWrap/>
              <w:overflowPunct/>
              <w:topLinePunct w:val="0"/>
              <w:autoSpaceDE/>
              <w:autoSpaceDN/>
              <w:bidi w:val="0"/>
              <w:adjustRightInd/>
              <w:snapToGrid/>
              <w:spacing w:line="400" w:lineRule="exact"/>
              <w:jc w:val="center"/>
              <w:rPr>
                <w:rFonts w:hint="eastAsia" w:ascii="仿宋_GB2312" w:hAnsi="仿宋_GB2312" w:eastAsia="仿宋_GB2312" w:cs="仿宋_GB2312"/>
                <w:i w:val="0"/>
                <w:color w:val="000000"/>
                <w:sz w:val="28"/>
                <w:szCs w:val="28"/>
                <w:u w:val="none"/>
              </w:rPr>
            </w:pPr>
          </w:p>
        </w:tc>
      </w:tr>
    </w:tbl>
    <w:p/>
    <w:p/>
    <w:p/>
    <w:p/>
    <w:p/>
    <w:p/>
    <w:p/>
    <w:p/>
    <w:p/>
    <w:p/>
    <w:p/>
    <w:p/>
    <w:p/>
    <w:p>
      <w:bookmarkStart w:id="0" w:name="_GoBack"/>
      <w:bookmarkEnd w:id="0"/>
    </w:p>
    <w:p/>
    <w:tbl>
      <w:tblPr>
        <w:tblStyle w:val="9"/>
        <w:tblW w:w="13988" w:type="dxa"/>
        <w:tblInd w:w="0" w:type="dxa"/>
        <w:shd w:val="clear" w:color="auto" w:fill="auto"/>
        <w:tblLayout w:type="fixed"/>
        <w:tblCellMar>
          <w:top w:w="0" w:type="dxa"/>
          <w:left w:w="0" w:type="dxa"/>
          <w:bottom w:w="0" w:type="dxa"/>
          <w:right w:w="0" w:type="dxa"/>
        </w:tblCellMar>
      </w:tblPr>
      <w:tblGrid>
        <w:gridCol w:w="13988"/>
      </w:tblGrid>
      <w:tr>
        <w:tblPrEx>
          <w:shd w:val="clear" w:color="auto" w:fill="auto"/>
          <w:tblCellMar>
            <w:top w:w="0" w:type="dxa"/>
            <w:left w:w="0" w:type="dxa"/>
            <w:bottom w:w="0" w:type="dxa"/>
            <w:right w:w="0" w:type="dxa"/>
          </w:tblCellMar>
        </w:tblPrEx>
        <w:trPr>
          <w:trHeight w:val="480" w:hRule="atLeast"/>
        </w:trPr>
        <w:tc>
          <w:tcPr>
            <w:tcW w:w="13988"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方正小标宋简体" w:hAnsi="方正小标宋简体" w:eastAsia="方正小标宋简体" w:cs="方正小标宋简体"/>
                <w:i w:val="0"/>
                <w:color w:val="000000"/>
                <w:sz w:val="36"/>
                <w:szCs w:val="36"/>
                <w:u w:val="none"/>
              </w:rPr>
            </w:pPr>
            <w:r>
              <w:rPr>
                <w:rFonts w:hint="eastAsia" w:ascii="方正小标宋简体" w:hAnsi="方正小标宋简体" w:eastAsia="方正小标宋简体" w:cs="方正小标宋简体"/>
                <w:i w:val="0"/>
                <w:color w:val="000000"/>
                <w:kern w:val="0"/>
                <w:sz w:val="36"/>
                <w:szCs w:val="36"/>
                <w:u w:val="none"/>
                <w:lang w:val="en-US" w:eastAsia="zh-CN" w:bidi="ar"/>
              </w:rPr>
              <w:t>高邑县数据和政务服务局（县行政审批局）权责清单事项分表</w:t>
            </w:r>
          </w:p>
        </w:tc>
      </w:tr>
      <w:tr>
        <w:tblPrEx>
          <w:tblCellMar>
            <w:top w:w="0" w:type="dxa"/>
            <w:left w:w="0" w:type="dxa"/>
            <w:bottom w:w="0" w:type="dxa"/>
            <w:right w:w="0" w:type="dxa"/>
          </w:tblCellMar>
        </w:tblPrEx>
        <w:trPr>
          <w:trHeight w:val="420" w:hRule="atLeast"/>
        </w:trPr>
        <w:tc>
          <w:tcPr>
            <w:tcW w:w="13988" w:type="dxa"/>
            <w:tcBorders>
              <w:top w:val="nil"/>
              <w:left w:val="nil"/>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ascii="仿宋_GB2312" w:hAnsi="宋体" w:eastAsia="仿宋_GB2312" w:cs="仿宋_GB2312"/>
                <w:b/>
                <w:i w:val="0"/>
                <w:color w:val="000000"/>
                <w:sz w:val="32"/>
                <w:szCs w:val="32"/>
                <w:u w:val="none"/>
              </w:rPr>
            </w:pPr>
            <w:r>
              <w:rPr>
                <w:rFonts w:hint="eastAsia" w:ascii="仿宋_GB2312" w:hAnsi="宋体" w:eastAsia="仿宋_GB2312" w:cs="仿宋_GB2312"/>
                <w:b/>
                <w:i w:val="0"/>
                <w:color w:val="000000"/>
                <w:kern w:val="0"/>
                <w:sz w:val="32"/>
                <w:szCs w:val="32"/>
                <w:u w:val="none"/>
                <w:lang w:val="en-US" w:eastAsia="zh-CN" w:bidi="ar"/>
              </w:rPr>
              <w:t>（共3类、157项）</w:t>
            </w:r>
          </w:p>
        </w:tc>
      </w:tr>
    </w:tbl>
    <w:p/>
    <w:tbl>
      <w:tblPr>
        <w:tblStyle w:val="9"/>
        <w:tblW w:w="139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318"/>
        <w:gridCol w:w="336"/>
        <w:gridCol w:w="1290"/>
        <w:gridCol w:w="363"/>
        <w:gridCol w:w="6053"/>
        <w:gridCol w:w="2456"/>
        <w:gridCol w:w="2339"/>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0" w:hRule="atLeast"/>
        </w:trPr>
        <w:tc>
          <w:tcPr>
            <w:tcW w:w="13988" w:type="dxa"/>
            <w:gridSpan w:val="8"/>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8"/>
                <w:szCs w:val="28"/>
                <w:u w:val="none"/>
              </w:rPr>
            </w:pPr>
            <w:r>
              <w:rPr>
                <w:rStyle w:val="15"/>
                <w:rFonts w:hint="eastAsia" w:ascii="仿宋_GB2312" w:hAnsi="仿宋_GB2312" w:eastAsia="仿宋_GB2312" w:cs="仿宋_GB2312"/>
                <w:sz w:val="32"/>
                <w:szCs w:val="32"/>
                <w:lang w:val="en-US" w:eastAsia="zh-CN" w:bidi="ar"/>
              </w:rPr>
              <w:t>一、</w:t>
            </w:r>
            <w:r>
              <w:rPr>
                <w:rFonts w:hint="eastAsia" w:ascii="仿宋_GB2312" w:hAnsi="仿宋_GB2312" w:eastAsia="仿宋_GB2312" w:cs="仿宋_GB2312"/>
                <w:b/>
                <w:i w:val="0"/>
                <w:color w:val="000000"/>
                <w:kern w:val="0"/>
                <w:sz w:val="32"/>
                <w:szCs w:val="32"/>
                <w:u w:val="none"/>
                <w:lang w:val="en-US" w:eastAsia="zh-CN" w:bidi="ar"/>
              </w:rPr>
              <w:t>行政许可，共137项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0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序号</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权力类型</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权力事项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行政主体</w:t>
            </w:r>
          </w:p>
        </w:tc>
        <w:tc>
          <w:tcPr>
            <w:tcW w:w="605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实施依据</w:t>
            </w:r>
          </w:p>
        </w:tc>
        <w:tc>
          <w:tcPr>
            <w:tcW w:w="245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责任事项</w:t>
            </w:r>
          </w:p>
        </w:tc>
        <w:tc>
          <w:tcPr>
            <w:tcW w:w="2339"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追责情形</w:t>
            </w:r>
          </w:p>
        </w:tc>
        <w:tc>
          <w:tcPr>
            <w:tcW w:w="83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公路建设项目施工许可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1、《中华人民共和国公路法》第二十五条“公路建设项目的施工，须按国务院交通主管部门的规定报请县级以上地方人民政府交通主管部门批准。”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建设市场管理办法》（交通部令2015年第11号修订）第二十四条“公路建设项目依法实行施工许可制度。国家和国务院交通主管部门确定的重点公路建设项目的施工许可由省级人民政府交通运输主管部门实施，其他公路建设项目的施工许可按照项目管理权限由县级以上地方人民政府交通运输主管部门实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更新采伐护路林审批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四十二条“公路绿化工作，由公路管理机构按照公路工程技术标准组织实施。公路用地上的树木，不得任意砍伐；需要更新砍伐的，应当经县级以上地方人民政府交通主管部门同意后，依照《中华人民共和国森林法》的规定办理审批手续，并完成更新补种任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第二十六条“禁止破坏公路、公路用地范围内的绿化物。需要更新采伐护路林的，应当向公路管理机构提出申请，经批准方可更新采伐，并及时补种；不能及时补种的，应当交纳补种所需费用，由公路管理机构代为补种。”</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公路水运工程建设项目设计文件审批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建设工程质量管理条例》（2000年1月30日国务院令第279号）第十一条“施工图设计文件审查的具体办法，由国务院建设行政主管部门、国务院其他有关部门制定。施工图设计文件未经审查批准的，不得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建设工程勘察设计管理条例》（2000年9月25日国务院令293号，2015年6月12日予以修改）第三十三条“县级以上人民政府交通运输等有关部门应当按照职责对施工图设计文件中涉及公共利益、公共安全、工程建设强制性标准的内容进行审查。施工图设计文件未经审查批准的，不得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3、《公路建设市场管理办法》（交通部令2015年第11号修订）第十八条“公路建设项目法人应当按照项目管理隶属关系将施工图设计文件报交通运输主管部门审批。施工图设计文件未经审批的，不得使用。”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6、工作人员徇私舞弊、滥用职权或者玩忽职守的。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8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公路超限运输许可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五十条“超过公路、公路桥梁、公路隧道或者汽车渡船的限载、限高、限宽、限长标准车辆，不得在有限定标准的公路、公路桥梁上或者公路隧道内行驶，不得使用汽车渡船。超过公路或者公路桥梁限载标准准确需行驶的，必须经县级以上地方人民政府交通主管部门批准，并按要求采取有效的防护措施；运载不可解体的超限物品，应当按照指定的时间、路线、时速行驶，并悬挂明显标志。运输单位不能按照前款规定采取防护措施的，由交通主管部门帮助其采取防护措施，所需费用由运输单位承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2011年3月7日国务院令第593号）第三十五条“车辆载运不可解体物品，车货总体的外轮廓尺寸或者总质量超过公路、公路桥梁、公路隧道的限载、限高、限宽、限长标准，确需在公路、公路桥梁、公路隧道行驶的，从事运输的单位和个人应当向公路管理机构申请公路超限运输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路政管理规定》（交通部令2003年2号）第十三条“超过公路、公路桥梁、公路隧道或者汽车渡船的限载、限高、限宽、限长标准的车辆，确需在公路上行驶的，按照《公路法》第五十条和交通部指定的《超限运输车辆行驶公路管理规定》的规定办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超限运输车辆行驶公路管理规定》（中华人民共和国交通运输部令2016年第62号）第六条“载运不可解体物品的超限运输（以下称大件运输）车辆，应当依法办理有关许可手续，采取有效措施后，按照指定的时间、路线、速度行驶公路。未经许可，不得擅自行驶公路。”第十二条“公路管理机构受理公路超限运输许可申请后，应当对承运人提交的申请材料进行审查。属于第十条第二款规定情形的，公路管理机构应当对车货总体外轮廓尺寸、总质量、轴载等数据和护送方案进行核查，并征求同级公安机关交通管理部门意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62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占用、挖掘公路、公路用地或者使公路改线审批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四十四条“任何单位和个人不得擅自占用、挖掘公路。因修建铁路、机场、电站、通信设施、水利工程和进行其他建设工程需要占用、挖掘公路或者使公路改线的，建设单位应当事先征得有关交通主管部门同意；影响交通安全的，还需征得有关公安机关的同意。占用、挖掘公路或者使公路改线的，建设单位应当按照不低于该段公路原有的技术标准予以修复、改建或者给予相应的经济补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第二十七条“进行下列涉路施工活动，建设单位应当向公路管理机构提出申请：（一）因修建铁路、机场、供电、水利、通信等建设工程需要占用、挖掘公路、公路用地或者使公路改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路政管理规定》第九条“因修建铁路、机场、电站、通信设施、水利工程和进行其他建设工程需要占用、挖掘公路、公路用地或者使公路改线的，建设单位应当按照《公路法》第四十四条第二款的规定，事先向交通主管部门或者其设置的公路管理机构提交申请书和设计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在公路增设或改造平面交叉道口审批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1、《中华人民共和国公路法》第五十五条“在公路上增设平面交叉道口，必须按照国家有关规定经过批准，并按照国际按规定的技术标准建设。”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《公路安全保护条例》第二十七条“进行下列涉路施工活动，建设单位应当向公路管理机构提出申请：（六）在公路上增设或者改造平面交叉道口；”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2、《路政管理规定》第十五条“在公路上增设平面交叉道口，应按照《公路法》第五十五条的规定，事先向交通主管部门或者其设置的公路管理机构提交申请书和设计图或者平面布置图。”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设置非公路标志审批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1、《中华人民共和国公路法》第五十四条“任何单位和个人未经县级以上人民政府交通主管部门批准，不得在公路用地范围内设置公路标志以外的其他标志。”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2、《公路安全保护条例》第二十七条“进行下列涉路施工活动，建设单位应当向公路管理机构提出申请：（五）利用跨越公路的设施悬挂非公路标志；”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3、《路政管理规定》第十四“在公路用地范围内设置公路标志以外的其他标志，应当按照《公路法》第无十四条的规定，事先向交通主管部门或者其设置的公路管理机构提交申请书和设计图。”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2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跨越、穿越公路及在公路用地范围内架设、埋设管线、电缆等设施，或者利用公路桥梁、公路隧道、涵洞铺设电缆等设施许可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四十五条“跨越、穿越公路修建桥梁、渡槽或者架设、埋设管线等设施的，以及在公路用地范围内架设、埋设管线、电缆的设施的，应当事先经有关交通主管部门同意；影响交通安全的，还须征得有关公安机关的同意；所修建、架设或者埋设的设施应当符合公路工程技术标准的要求。对公路造成损坏的，应当按照损坏程度给予补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第二十七条“进行下列涉路施工活动，建设单位应当向公路管理机构提出申请：（二）跨越、穿越公路修建桥梁、渡槽或者架设、埋设管道、电缆等设施；（三）在公路用地范围内架设、埋设管道、电缆等设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路政管理规定》第十条“跨越、穿越公路修建桥梁、渡槽或者架设、埋设管线、电缆等设施以及在公路用地范围内架设、埋设管（杆）线、电缆等设施，应当按照《公路法》第四十五条的规定，事先向交通主管部门或者其设置的公路管理机构提交申请书和设计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公路建筑控制区内埋设管线、电缆等设施许可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五十六条“除公路防护、养护需要的以外，禁止在公路两侧建筑控制区内修建建筑物和地面构筑物；需要在建筑控制区内埋设管线、电缆等设施的，应当事先经县级以上人民政府交通主管部门批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2、《公路安全保护条例》第二十七条“进行下列涉路施工活动，建设单位应当向公路管理机构提出申请：（七）在公路建筑控制区内埋设管道、电缆等设施；”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3、《路政管理规定》第十六条“在公路两侧的建筑控制区埋设管（杆）线、电缆等设施，应当按照《公路法》第五十六条第一款的规定，事先向交通主管部门或者其设置的公路管理机构提交申请书和设计图。”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道路旅客运输经营许可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道路运输条例》第十条申请从事客运经营的，应当依法向工商行政管理机关办理有关登记手续后，按照下列规定提出申请并提交符合本条例第八条规定条件的相关材料：（一）从事县级行政区域内客运经营的，向县级道路运输管理机构提出申请；（二）……。</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道路旅客运输及客运站管理规定》第十二条申请从事道路客运经营的，应当依法向市场监督管理部门办理有关登记手续后，按照下列规定提出申请：（一）从事一类、二类、三类客运班线经营或者包车客运经营的，向所在地设区的市级道路运输管理机构提出申请；（二）……。</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4、送达责任：准予许可的制发送达许可证，按规定报国家局备案，信息公开。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建设项目配套的园林绿化工程设计方案审批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《城市绿化条例》（国务院令第676号，2017年3月1日修订）第十一条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实行告知承诺，申请人承诺符合条件并提交材料的，当场作出审批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4、送达责任：准予许可的制发送达许可证，通报监管单位，信息公开。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道路货物运输经营许可（普货）</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道路运输条例》第二十一条“申请从事货运经营的，应当具备下列条件：（一）有与其经营业务相适应并经检测合格的车辆；（二）有符合本条例第二十二条规定条件的驾驶人员；(三）有健全的安全生产管理制度。”、第二十二条“从事货运经营的驾驶人员，应当符合下列条件：（一）取得相应的机动车驾驶证；（二）年龄不超过60周岁；（三）经设区的市际道路运输管理机构对有关货运法律法规、机动车维修和货物装载保管基本知识考试合格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道路运输条例》第二十四条“申请从事货运经营的，应当依法向工商行政管理机关办理有关登记手续后，按照下列规定提出申请并分别提交符合本条例第二十一条、第二十三条规定条件的相关材料：（一）从事危险货物运输经营以外的货运经营的，向县级道路运输管理机构提出申请；（二）从事危险货物经营的，向设区的实际道路运输管理机构提出申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道路货物运输及站场管理规定》第十条“道路运输管理机构应当按照《中华人民共和国道路运输条例》《交通行政许可实施程序规定》和本规定规范的程序实施道路货运经营和混匀站经营的行政许可。”第十一条、“道路运输管理机构对道路货运经营申请予以受理的，应当自受理之日起20日内作出许可或者不予许可的决定；道路运输管理机构对混匀站经营申请予以受理的，应当自受理之日起15日内作出许可或者不予许可的决定。”第十四条“道路货物运输经营者设立子公司的，应当向设立地的到道路运输管理机构申请经营许可；设立分公司的，应当向设立地的道路运输管理机构报备。”</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2、审查责任：按照道路货物运输行业政策，对书面申请材料进行审查，提出是否同意的审核意见，告知申请人、利害相关人享有听证权利；涉及公共利益的重大许可，向社会公告，并举行听证。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6、参与或者变相参与道路货物运输和货运站经营的。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出租汽车经营资格证、车辆运营证和驾驶员客运资格证核发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1、《国务院对确需保留的行政审批项目设定行政许可的决定》第112项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2、《石家庄市出租汽车管理条例》第六条、第七条、第十条至十五条、第二十一条、第二十二条《巡游出租汽车经营和行业规划服务管理规定》第八条、第十条至十五条；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3、《出租汽车驾驶员从业资格管理规定》第三条、六条、七条、第九条至第十五条、第三十条至三十二条。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2、审查责任：按照法定条、类型及等级、技术等级等要求的车辆。对书面申请材料进行审查，提出是否同意的审核意见。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5、执法人员参与或者变相参与出租汽车经营活动的；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公路建设项目竣工验收</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1、《中华人民共和国公路法》第三十三条“公路建设项目和公路修复项目竣工后，应当按照国建有关规定进行验收；未经验收或者验收不合格的，不得交付使用。”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路工程竣（交）工验收办法》第十七条“公路工程符合竣工验收条件后项目法人应按照项目管理权限及时向交通主管部门申请验收。交通主管部门应当自收到申请之日起30日内，对申请人递交的材料进行审查，对于不符合竣工验收条件的，应当及时退回并告知理由；对于符合验收条件的，应自收到申请文件之日起3个月内组织竣工验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2、审查责任：按照公路行业政策，对书面申请材料进行审查，提出是否同意的审核意见，告知申请人、利害相关人享有听证权利；涉及公共利益的重大许可，向社会公告，并举行听证。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道路旅客运输站（场）经营许可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道路运输条例》第三十九条申请从事道路运输站（场）经营和机动车驾驶员培训业务的，应当在依法向工商行政管理机关办理有关登记手续后，向所在地县级道路运输管理机构提出申请，并分别附送符合本条例第三十六条、第三十八条规定条件的相关材料。县级道路运输管理机构应当自受理申请之日起15日内审查完毕，作出许可或者不予许可的决定，并书面通知申请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2、《道路旅客运输及客运站管理规定》第十六条申请从事客运站经营的，应当依法向市场监督管理部门办理有关登记手续后，向所在地县级道路运输管理机构提出申请。</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客运站经营许可实行告知承诺制，申请人承诺具备经营许可条件并提交本规定第十七条规定的相关材料的，道路运输管理机构应当经形式审查后当场作出许可或者不予许可的决定（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客运站经营许可实行告知承诺制，申请人承诺具备经营许可条件并提交本规定第十七条规定的相关材料的，经形式审查后当场作出许可或者不予许可的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汽车租赁经营许可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河北省道路运输条例》（河北省第十二届人民代表大会常务委员会第三十一次会议于2017年7月28日通过）第四十三条“申请从事汽车租赁经营应当具备下列条件：(一)具有符合国家标准的九座以下小型客车;(二)具有与其经营规模相适应的经营场所、停车场地;(三)具有符合国家和本省规定的安全管理制度、服务规程、应急保障措施以及相应的技术服务人员;(四)法律、行政法规规定的其他条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监管部门：交通运输部门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建筑工程施工许可证核发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建筑法》第七条“建筑工程开工前，建设单位应当按照国家有关规定向工程所在地县级以上人民政府建设行政主管部门申请领取施工许可证；但是，国务院建设行政主管部门确定的限额以下的小型工程除外。按照国务院规定的权限和程序批准开工报告的建筑工程，不再领取施工许可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监管部门：住建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商品房预售许可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《中华人民共和国城市房地产管理法》第四十五条“商品房预售，应当符合下列条件：（一）已交付全部土地使用权出让金，取得土地使用权证书；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二）持有建设工程规划许可证；（三）按提供预售的商品房计算，投入开发建设的资金达到工程建设总投资的百分之二十五以上，并已经确定施工进度和竣工交付日期；（四）向县级以上人民政府房产管理部门办理预售登记，取得商品房预售许可证明。</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商品房预售人应当按照国家有关规定将预售合同报县级以上人民政府房产管理部门和土地管理部门登记备案。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商品房预售所得款项，必须用于有关的工程建设。”</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监管部门：住建、自然资源和规划局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燃气经营者改动市政燃气设施审批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《城镇燃气管理条例》（国务院令第583号）第三十八条“燃气经营者改动市政燃气设施，应当制定改动方案，报县级以上地方人民政府燃气管理部门批准。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改动方案应当符合燃气发展规划，明确安全施工要求，有安全防护和保障正常用气的措施。”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设置大型户外广告及在城市建筑物、设施上悬挂、张贴宣传品审批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市容和环境卫生管理条例》第十一条“在城市中设置户外广告、标语牌、画廊、橱窗等，应当内容健康、外型美观，并定期维修、油饰或者拆除。大型户外广告的设置必须征得城市人民政府市容环境卫生行政主管部门同意后，按照有关规定办理审批手续。”</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市政设施建设类审批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《城市道路管理条例》第二十九条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“依附于城市道路建设各种管线、杆线等设施的，应当经市政工程行政主管部门批准，方可建设。”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三十三条“因工程建设需要挖掘城市道路的，应当提交城市规划部门批准签发的文件和有关设计文件，经市政工程行政主管部门和公安交通管理部门批准，方可按照规定挖掘。新建、扩建、改建的城市道路交付使用后5年内、大修的城市道路竣工后3年内不得挖掘；因特殊情况需要挖掘的，须经县级以上城市人民政府批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城市建筑垃圾处置核准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《城市建筑垃圾管理规定》第七条“处置建筑垃圾的单位，应当向城市人民政府市容环境卫生主管部门提出申请，获得城市建筑垃圾处置核准后，方可处置。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城市人民政府市容环境卫生主管部门应当在接到申请后的20日内作出是否核准的决定。予以核准的，颁发核准文件；不予核准的，应当告知申请人，并说明理由。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城市建筑垃圾处置核准的具体条件按照《建设部关于纳入国务院决定的十五项行政许可的条件的规定》执行。”</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城镇污水排入排水管网许可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镇排水与污水处理条例》第二十一条“从事工业、建筑、餐饮、医疗等活动的企业事业单位、个体工商户（以下称排水户）向城镇排水设施排放污水的，应当向城镇排水主管部门申请领取污水排入排水管网许可证。城镇排水主管部门应当按照国家有关标准，重点对影响城镇排水与污水处理设施安全运行的事项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排水户应当按照污水排入排水管网许可证的要求排放污水。”</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监管部门：排水管理中心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因工程建设需要拆除、改动、迁移供水、排水与污水处理设施审核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《城镇排水与污水处理条例》第四十三条“新建、改建、扩建建设工程，不得影响城镇排水与污水处理设施安全。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建设工程开工前，建设单位应当查明工程建设范围内地下城镇排水与污水处理设施的相关情况。城镇排水主管部门及其他相关部门和单位应当及时提供相关资料。</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建设工程施工范围内有排水管网等城镇排水与污水处理设施的，建设单位应当与施工单位、设施维护运营单位……</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《城市供水条例》第三十条“因工程建设确需改装、拆除或者迁移城市公共供水设施的，建设单位应当报经县级以上人民政府城市规划行政主管部门和城市供水行政主管部门批准，并采取相应的补救措施。”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特殊车辆在城市道路上行驶（包括经过城市桥梁）审批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《城市道路管理条例》第二十八条“履带车、铁轮车或者超重、超高、超长车辆需要在城市道路上行驶的，事先须征得市政工程行政主管部门同意，并按照公安交通管理部门指定的时间、路线行驶。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军用车辆执行任务需要在城市道路上行驶的，可以不受前款限制，但是应当按照规定采取安全保护措施。”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监管部门：城管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关闭、闲置、拆除城市环卫设施许可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城市市容和环境卫生条例》第四十一条禁止任何单位和个人占用、损毁环境卫生设施。违反本款规定，责令恢复原状或者赔偿损失，并处以五百元以上二千元以下罚款。任何单位和个人不得擅自拆除、迁移、改建、停用环境卫生设施和改变环境卫生设施用途。违反规定的，责令恢复原状或者赔偿损失，并处以五千元以上一万元以下罚款。因市政工程、房屋拆迁等确需拆除、迁移或者停用环境卫生设施的，应当提前报告市容和环境卫生行政主管部门，并按照规定重建或者补建。</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监管部门：住建局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工程建设涉及城市绿地、树木审批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《城市绿化条例》第二十四条“百年以上树龄的树木，稀有、珍贵树木，具有历史价值或者重要纪念意义的树木，均属古树名木。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严禁砍伐或者迁移古树名木。因特殊需要迁移古树名木，必须经城市人民政府城市绿化行政主管部门审查同意，并报同级或者上级人民政府批准。”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监管部门：园林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取水许可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水法》第四十八条：直接从江河、湖泊或者地下取用水资源的单位和个人，应当按照国家取水许可制度和水资源有偿使用制度的规定，向水行政主管部门或者流域管理机构申请领取取水许可证，并缴纳水资源费，取得取水权。但是，家庭生活和零星散养、圈养畜禽饮用等少量取水的除外。</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洪水影响评价审批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水法》第三十八条：在河道管理范围内建设桥梁、码头和其他拦河、跨河、临河建筑物、构筑物，铺设跨河管道、电缆，应当符合国家规定的防洪标准和其他有关的技术要求，工程建设方案应当依照防洪法的有关规定报经有关水行政主管部门审查同意。</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生产建设项目水土保持方案审批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水土保持法》第二十五条在山区、丘陵区、风沙区以及水土保持规划确定的容易发生水土流失的其他区域开办可能造成水土流失的生产建设项目，生产建设单位应当编制水土保持方案，报县级以上人民政府水行政主管部门审批，并按照经批准的水土保持方案，采取水土流失预防和治理措施。没有能力编制水土保持方案的，应当委托具备相应技术条件的机构编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0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水利基建项目初步设计文件审批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《国务院对确需保留的行政审批项目设定行政许可的决定》（国务院令第412号），附件第172项水利基建项目初步设计文件审批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40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河道管理范围内有关活动（不含河道采砂）审批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河道管理条例》第二十五条：在河道管理范围内进行下列活动，必须报经河道主管机关批准；涉及其他部门的，由河道主管机关会同有关部门批准：（一）采砂、取土、淘金、弃置砂石或者淤泥；（二）爆破、钻探、挖筑鱼塘；（三）在河道滩地存放物料、修建厂房或者其他建筑设施；（四）在河道滩地开采地下资源及进行考古发掘。</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3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县内客运业户开业、增项经营许可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道路运输车辆技术管理规定》交通部令2016年第1号第七条从事道路运输经营的车辆应当符合下列技术要求:（一）车辆的外廓尺寸、轴荷和最大允许总质量应当符合《道路车辆外廓尺寸、轴荷及质量限值》（GB1589）的要求；（二）车辆的技术性能应当符合《道路运输车辆综合性能要求和检验方法》（GB18565）的要求；（三）车型的燃料消耗量限值应当符合《营运客车燃料消耗量限值及测量方法》（JT711）、《营运货车燃料消耗量限值及测量方法》（JT719）的要求。（四）车辆技术等级应当达到三级以上。危货运输车、国际道路运输车辆、从事高速公路客运以及营运线路长度在800公里以上的客车，技术等级应当达到一级。技术等级评定方法应当符合国家有关道路运输车辆技术等级划分和评定的要求；（五）从事高速公路客运、包车客运、国际道路旅客运输，以及营运线路长度在800公里以上客车的类型等级应当达到中级以上。其类型划分和等级评定应当符合国家有关营运客车类型划分及等级评定的要求；（六）危货运输车应当符合《汽车运输危险货物规则》（JT617）的要求。交通运输部关于修改《道路运输从业人员管理规定》的决定交通运输部令2016年第52号第九条经营性道路旅客运输驾驶员应当符合下列条件：（一）取得相应的机动车驾驶证1年以上；（二）年龄不超过60周岁；（三）3年内无重大以上交通责任事故；（四）掌握相关道路旅客运输法规、机动车维修和旅客急救基本知识；（五）经考试合格，取得相应的从业资格证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占用农业灌溉水源、灌排工程设施审批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1.法律法规依据：《国务院对确需保留的行政审批项目设定行政许可的决定》；依据文号：2016年8月25日中华人民共和国国务院令第671号公布，自公布之日起施行；条款号：附件第170项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2.法律法规依据：《国务院关于取消和下放一批行政审批项目的决定》；依据文号：国发〔2014〕5号；条款号：附件第28项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2.审查责任：按照申请条件及相关要求，对书面申请材料进行审查，提出审核意见，组织现场检查验收，告知申请人、利害相关人享有听证权利；涉及公共利益的重大许可，向社会公告，并举行听证。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4.送达责任：准予许可的制发送达许可证，信息公开，通报监管部门。5.其他法律法规规章文件规定应履行的责任。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从事生活垃圾（含粪便）经营性清扫、收集、运输、处理服务审批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国务院对确需保留的行政审批项目设定行政许可的决定》（2004年6月29日国务院令第412号，2009年1月29日予以修改）附件第102项：从事城市生活垃圾经营性清扫、收集、运输、处理服务审批，实施机关：所在城市的市人民政府市容环境卫生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临时性建筑物搭建、堆放物料、占道施工审批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市容和环境卫生管理条例》（国发[1992]101号）第十四条：“任何单位和个人都不得在街道两侧和公共场地堆放物料，搭建建筑物、构筑物或者其他设施。因建设等特殊需要，在街道两侧和公共场地临时堆放物料，搭建非永久性建筑物、构筑物或者其他设施的，必须征得城市人民政府市容环境卫生行政主管部门同意后，按照有关规定办理审批手续。”</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改变绿化规划、绿化用地的使用性质审批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绿化条例》（国务院令第100号）第十八条：（根据2017年3月1日《中华人民共和国国务院令》676号删除第十六条后，条款顺序自动前移），《国务院对确需保留的行政审批项目设定行政许可的决定》（2004年6月29日国务院令第412号，2009年1月29日予以修改）附件确需保留目录第107号。</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212"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城市建设填堵水域、废除围堤审核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《中华人民共和国防洪法》1997年8月29日第八届全国人民代表大会常务委员会第二十七次会议通过，2016年7月2日修正第三十四条</w:t>
            </w:r>
          </w:p>
        </w:tc>
        <w:tc>
          <w:tcPr>
            <w:tcW w:w="2456"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1、受理责任：公示应当提交的材料，一次性告知补正材料，依法受理或不予受理（不予受理应当告知理由）。</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2、审查责任：按照行政许可法，对书面申请材料进行审查，提出是否同意批准的审核意见。</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3、决定责任；作出准予行政许可或者不予行政许可的决定，法定告知（不予许可的应当书面告知理由）。</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4、送达责任：准予许可的制发送达许可证。</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5、其他法律法规规章文件规定应履行的责任。</w:t>
            </w:r>
          </w:p>
        </w:tc>
        <w:tc>
          <w:tcPr>
            <w:tcW w:w="2339"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因不履行或不正确履行行政职责，有下列情形的，行政机关及相关工作人员应承担相应责任：</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1、对符合法定条件的申请人申请不予受理的；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2、对不符合法定条件的申请人准予行政许可或者超越法定职权作出准予行政许可决定的；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3、对符合法定条件的申请人不予行政许可或者不在法定期限内作出准予行政许可决定的；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4、违反法定程序实施行政许可的；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5、应当举行听证而不举行听证的；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6、办理审批过程中索取或者收受他人财物或者谋取其他利益的；</w:t>
            </w:r>
          </w:p>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r>
              <w:rPr>
                <w:rFonts w:hint="eastAsia" w:ascii="宋体" w:hAnsi="宋体" w:eastAsia="宋体" w:cs="宋体"/>
                <w:i w:val="0"/>
                <w:color w:val="000000"/>
                <w:sz w:val="18"/>
                <w:szCs w:val="18"/>
                <w:u w:val="none"/>
              </w:rPr>
              <w:t>监管部门：高邑县水利局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39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石油天然气管道保护范围内特定施工作业许可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《中华人民共和国石油天然气管道保护法》;依据文号:主席令11届第30号</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实行告知承诺，申请人承诺符合条件并提交材料的，当场作出审批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4、送达责任：准予许可的制发送达许可证，通报监管单位，信息公开。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排污许可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环境保护法》第四十五条“国家依照法律规定实行排污许可管理制度。实行排污许可管理的企业事业单位和其他生产经营者应当按照排污许可证的要求排放污染物；未取得排污许可证的，不得排放污染物。”</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1、受理责任：对提交的材料进行实质性审查，一次性告知补正材料，依法受理或不予受理（不予受理应当告知理由）。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4、送达责任：准予许可的制发送达许可证，按规定报国家局备案，信息公开。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监管部门：石家庄市生态环境局高邑县分局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建设项目环境影响评价文件审批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《中华人民共和国环境影响评价法》第二十二条“建设项目的环境影响报告书、报告表，由建设单位按照国务院的规定报有审批权的生态环境主管部门审批。”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1、受理责任：对提交的材料进行实质性审查，一次性告知补正材料，依法受理或不予受理（不予受理应当告知理由）。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4、送达责任：准予许可的制发送达许可证，按规定报国家局备案，信息公开。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监管部门：石家庄市生态环境局高邑县分局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节能审查</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节约能源法》第十五条“国家实行固定资产投资项目节能评估和审查制度。不符合强制性节能标准的项目，建设单位不得开工建设；已经建成的，不得投入生产、使用。政府投资项目不符合强制性节能标准的，依法负责项目审批的机关不得批准建设。具体办法由国务院管理节能工作的部门会同国务院有关部门制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2、审查责任：根据节能法律法规、政策标准等，对项目节能情况进行审查并形成审查意见。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3、决定责任；节能审查机关应在法律规定的时限内出具节能审查意见。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4、送达责任：准予许可的制发送达节能审查意见。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企业投资项目核准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《企业投资项目核准和备案管理条例》第三条“对关系国家安全、涉及全国重大生产力布局、战略性资源开发和重大公共利益等项目，实行核准管理”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2、审查责任：行政机关应当对申请人提交的申请材料进行审查。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4、送达责任：准予许可的制发送达许可证，按规定报国家局备案，信息公开。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4、工作中玩忽职守、滥用职权、徇私舞弊、索贿受贿的；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防空地下室建设审批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《中华人民共和国人民防空法》第二十二条“城市新建民用建筑，按照国家有关规定修建战时可用于防空的地下室。”</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人防通信、警报设施拆除、迁移批准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人民防空工程维护与使用管理条例》第十五条：不得擅自改造人民防空工程。确需改造的，应当经设区的市的人民政府人民防空主管部门批准，并按有关规定进行设计，不得降低原工程的防护等级和密闭性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2、审查责任：按照产业政策，对书面申请材料进行审查，提出是否同意筹建的审核意见。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在危及人防工程安全范围内埋设管道、修建地面工程审批及人防工程改造、拆除审批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《中华人民共和国人民防空法》第二十八条“任何组织或者个人不得擅自拆除本法第二十一条规定的人民防空工程；确需拆除的，必须报经人民防空主管部门批准，并由拆除单位负责补建或者补偿。”</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防治污染设施拆除或闲置审批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《中华人民共和国环境保护法》第二十五条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实行告知承诺，申请人承诺符合条件并提交材料的，当场作出审批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4、送达责任：准予许可的制发送达许可证，通报监管单位，信息公开。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监管部门：石家庄市生态环境局高邑县分局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在电力设施周围或电力设施保护区内进行可能危及电力设施安全作业的审批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电力法》1995年12月28日主席令第90号公布，自1996年4月1日起施行，2018年12月29日第十三届全国人民代表大会常务委员会第七次会议修正第五十二条第二款、第五十四条《电力设施保护条例》1987年9月15日国务院发布，自1987年9月15日起施行，2011年1月8日国务院令第588号修改第十七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实行告知承诺，申请人承诺符合条件并提交材料的，当场作出审批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4、送达责任：准予许可的制发送达许可证，通报监管单位，信息公开。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49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农作物种子生产经营许可证核发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种子法》（2015年修订）（第35号主席令)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此事项受市审批局部分委托行使；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监管单位：农业农村局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76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种畜禽生产经营许可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畜牧法》（2005年12月29日主席令第四十五号，2015年4月24日予以修改）第二十二条：从事种畜禽生产经营或者生产商品代仔畜、雏禽的单位、个人，应当取得种畜禽生产经营许可证。申请人持种畜禽生产经营许可证依法办理工商登记，取得营业执照后，方可从事生产经营活动。申请取得种畜禽生产经营许可证，应当具备下列条件：（一）生产经营的种畜禽必须是通过国家畜禽遗传资源委员会审定或者鉴定的品种、配套系，或者是经批准引进的境外品种、配套系；（二）有与生产经营规模相适应的畜牧兽医技术人员；（三）有与生产经营规模相适应的繁育设施设备；（四）具备法律、行政法规和国务院畜牧兽医行政主管部门规定的种畜禽防疫条件；（五）有完善的质量管理和育种记录制度；（六）具备法律、行政法规规定的其他条件。第二十四条：申请取得生产家畜卵子、冷冻精液、胚胎等遗传材料的生产经营许可证，应当向省级人民政府畜牧兽医行政主管部门提出申请。受理申请的畜牧兽医行政主管部门应当自收到申请之日起三十个工作日内完成审核，并报国务院畜牧兽医行政主管部门审批；国务院畜牧兽医行政主管部门应当自收到申请之日起六十个工作日内依法决定是否发给生产经营许可证。其他种畜禽的生产经营许可证由县级以上地方人民政府畜牧兽医行政主管部门审核发放，具体审核发放办法由省级人民政府规定。种畜禽生产经营许可证样式由国务院畜牧兽医行政主管部门制定，许可证有效期为三年。发放种畜禽生产经营许可证可以收取工本费，具体收费管理办法由国务院财政、价格部门制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2.《家畜遗传材料生产许可办法》农业部令2015年第4号第三条：从事家畜遗传材料生产的单位和个人，应当依照本办法取得省级人民政府畜牧兽医行政主管部门核发的《种畜禽生产经营许可证》。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此事项受市审批局部分委托行使；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监管单位：农业农村局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生鲜乳准运证明核发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品质量安全监督管理条例》（2008年10月9日国务院令第536号）第二十五条：贮存生鲜乳的容器，应当符合国家有关卫生标准，在挤奶后2小时内应当降温至0—4℃。生鲜乳运输车辆应当取得所在地县级人民政府畜牧兽医主管部门核发的生鲜乳准运证明，并随车携带生鲜乳交接单。交接单应当载明生鲜乳收购站的名称、生鲜乳数量、交接时间，并由生鲜乳收购站经手人、押运员、司机、收奶员签字。生鲜乳交接单一式两份，分别由生鲜乳收购站和乳品生产者保存，保存时间2年。准运证明和交接单式样由省、自治区、直辖市人民政府畜牧兽医主管部门制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生鲜乳收购许可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乳品质量安全监督管理条例》（2008年10月9日国务院令第536号）第二十条：生鲜乳收购站应当由取得工商登记的乳制品生产企业、奶畜养殖场、奶农专业生产合作社开办，并具备下列条件，取得所在地县级人民政府畜牧兽医主管部门颁发的生鲜乳收购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（一）符合生鲜乳收购站建设规划布局；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（二）有符合环保和卫生要求的收购场所；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（三）有与收奶量相适应的冷却、冷藏、保鲜设施和低温运输设备；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（四）有与检测项目相适应的化验、计量、检测仪器设备；</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（五）有经培训合格并持有有效健康证明的从业人员；</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六）有卫生管理和质量安全保障制度。生鲜乳收购许可证有效期2年；生鲜乳收购站不再办理工商登记。禁止其他单位或者个人开办生鲜乳收购站。禁止其他单位或者个人收购生鲜乳。国家对生鲜乳收购站给予扶持和补贴，提高其机械化挤奶和生鲜乳冷藏运输能力。</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此事项委托乡镇行使；监管单位：农业农村局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兽药经营许可证核发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兽药管理条例》第二十二条：经营兽药的企业，应当具备下列条件：（一）与所经营的兽药相适应的兽药技术人员；（二）与所经营的兽药相适应的营业场所、设备、仓库设施；（三）与所经营的兽药相适应的质量管理机构或者人员；（四）兽药经营质量管理规范规定的其他经营条件。符合前款规定条件的，申请人方可向市、县人民政府兽医行政管理部门提出申请，并附具符合前款规定条件的证明材料；经营兽用生物制品的，应当向省、自治区、直辖市人民政府兽医行政管理部门提出申请，并附具符合前款规定条件的证明材料。</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2、审查责任：对申请人提交的材料当场进行审查。申请人承诺符合条件，当场做出审批决定。审核不予通过的，书面通知申请人并说明理由。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54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农药经营许可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农药管理条例》（2017年3月16日国务院令第677号）第二十四条：国家实行农药经营许可制度，但经营卫生用农药的除外。农药经营者应当具备下列条件，并按照国务院农业主管部门的规定向县级以上地方人民政府农业主管部门申请农药经营许可证：……经营限制使用农药的，还应当配备相应的用药指导和病虫害防治专业技术人员，并按照所在地省、自治区、直辖市人民政府农业主管部门的规定实行定点经营。县级以上地方人民政府农业主管部门应当自受理申请之日起20个工作日内作出审批决定。符合条件的，核发农药经营许可证；不符合条件的，书面通知申请人并说明理由；2.《农药经营许可管理办法》（2017年农业部令第5号）第三条：在中华人民共和国境内销售农药的，应当取得农药经营许可证。第四条：农业部负监督指导全国农药经营许可管理工作。限制使用农药经营许可由省级人民政府农业主管部门（以下简称省级农业部门）核发；其他农药经营许可由县级以上地方人民政府农业主管部门（以下简称县级以上地方农业部门）根据农药经营者的申请分别核发。</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3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食用菌菌种生产经营许可证核发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种子法》（2015年修订）（第35号主席令，2015年11月4日修正）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第九十三条：草种、烟草种、中药材种、食用菌菌种的种质资源管理和选育、生产经营、管理等活动，参照本法执行。</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食用菌菌种管理办法》（2006年农业部令第62号）第十三条：从事菌种生产经营的单位和个人，应当取得《食用菌菌种生产经营许可证》。仅从事栽培种经营的单位和个人，可以不办理《食用菌菌种生产经营许可证》，但经营者要具备菌种的相关知识，具有相应的菌种贮藏设备和场所，并报县级人民政府农业行政主管部门备案。第十四条：母种和原种《食用菌菌种生产经营许可证》，由所在地县级人民政府农业行政主管部门审核，省级人民政府农业行政主管部门核发，报农业部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8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水产苗种生产审批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渔业法》（1986年1月20日主席令第三十四号）第十六条：国家鼓励和支持水产优良品种的选育、培育和推广。水产新品种必须经全国水产原种和良种审定委员会审定，由国务院渔业行政主管部门公告后推广。水产苗种的进口、出口由国务院渔业行政主管部门或者省、自治区、直辖市人民政府渔业行政主管部门审批。水产苗种的生产由县级以上地方人民政府渔业行政主管部门审批。但是，渔业生产者自育、自用水产苗种的除外。2.《水产苗种管理办法》（2005年1月5日农业部令第46号）第十一条：单位和个人从事水产苗种生产，应当经县级以上地方人民政府渔业行政主管部门批准，取得水产苗种生产许可证。但是，渔业生产者自育、自用水产苗种的除外。省级人民政府渔业行政主管部门负责水产原、良种场的水产苗种生产许可证的核发工作；其他水产苗种生产许可证发放权限由省级人民政府</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 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57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农药广告审查</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广告法》第四十六条：发布医疗、药品、医疗器械、农药、兽药和保健食品广告，以及法律、行政法规规定应当进行审查的其他广告，应当在发布前由有关部门（以下称广告审查机关）对广告内容进行审查；未经审查，不得发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2.《河北省人民政府办公厅关于做好与省政府第二批公布取消下放行政审批项目等事项衔接落实工作的通知》第33条：农药广告审批”下放“各设区市农业行政主管部门。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58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非国家和非省重点保护陆生野生动物狩猎证核发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法律法规名称：《河北省人民政府办公厅关于省政府部门自行取消下放一批行政许可事项的通知》冀政办发﹝2018﹞1号法律法规名称：《河北省路线恒野生动物保护条例》1993年12月22日河北省第八届人大常委会第五次会议通过，2018年5月31日修正第二十一条法律法规名称：《中华人民共和国野生动物保护法》1988年11月8日第七届全国人民代表大会常务委员会第四次会议通过，2018年10月26日第三次修正第二十二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2、审查责任：按照申请条件及相关要求，对书面申请材料进行审查，提出审核意见，组织现场检查验收，告知申请人、厉害相关人享有听证权利；涉及公共利益的重大许可，向社会公告，并举行听证。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4、送达责任：准予许可的制发送达许可证，信息公开，通报监管部门。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5、应当举行听证而不举行挺正的；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监管部门：县自然资源和规划局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59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食品（含保健食品）经营许可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1.《中华人民共和国食品安全法》依据文号：主席令第二十一号，2018年12月29日修正；条款号：第三十五条；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2.《食品经营许可管理办法》依据文号：2015年8月31日国家食品药品监督管理总局令第17号公布，2017年11月7日修正；条款号：第十条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对申请材料进行审查，对入河排污口设置论证报告组织专家评审，并将所需时间告知排污单位。入河排污口设置直接关系他人重大利益的，应当告知该利害关系人。排污单位、利害关系人有权进行陈述和申辩。入河排污口的设置需要听证或者应当听证的，依法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5、应当举行听证而不举行挺正的；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委托乡镇行政综合服务中心行使；监管部门：县市场监督管理局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动物防疫条件合格证核发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动物防疫法》第二十条：兴办动物饲养场（养殖小区）和隔离场所，动物屠宰加工场所，以及动物和动物产品无害化处理场所，应当向县级以上地方人民政府兽医主管部门提出申请，并附具相关材料。受理申请的兽医主管部门应当依照本法和《中华人民共和国行政许可法》的规定进行审查。经审查合格的，发给动物防疫条件合格证；不合格的，应当通知申请人并说明理由。动物防疫条件合格证应当载明申请人的名称、场（厂）址等事项。经营动物、动物产品的集贸市场应当具备国务院兽医主管部门规定的动物防疫条件，并接受动物卫生监督机构的监督检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2.《河北省人民政府办公厅关于省政府部门再取消下放一批行政权力事项的通知》附件2，26条：动物防疫条件合格证核发”下放“各市（含定州、辛集市）畜牧兽医主管局。</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动物诊疗许可证核发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动物防疫法》第五十一条：设立从事动物诊疗活动的机构，应当向县级以上地方人民政府兽医主管部门申请动物诊疗许可证。受理申请的兽医主管部门应当依照本法和《中华人民共和国行政许可法》的规定进行审查。经审查合格的，发给动物诊疗许可证；不合格的，应当通知申请人并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2.《河北省人民政府办公厅关于省政府部门自行取消下放一批行政许可事项的通知》附件2，第37条：动物诊疗许可证核发”下放“县级行政审批局或农（畜牧兽医）行政主管部门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9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林木种子生产经营许可证核发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种子法》;依据文号:2000年7月8日第九届全国人民代表大会常务委员会第十六次会议通过，2015年11月4日修订，自2016年1月1日起施行；第三十一条：从事种子进出口业务的种子生产经营许可证，由省、自治区、直辖市人民政府农业、林业主管部门审核，国务院农业、林业主管部门核发。从事主要农作物杂交种子及其亲本种子、林木良种种子的生产经营以及实行选育生产经营相结合，符合国务院农业、林业主管部门规定条件的种子企业的种子生产经营许可证，由生产经营者所在地县级人民政府农业、林业主管部门审核，省、自治区、直辖市人民政府农业、林业主管部门核发。前两款规定以外的其他种子的生产经营许可证，由生产经营者所在地县级以上地方人民政府农业、林业主管部门核发。只从事非主要农作物种子和非主要林木种子生产的，不需要办理种子生产经营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林木种子生产经营许可证管理办法》（国家林业局令第40号）第九条：申请林木种子进出口业务的林木种子生产经营许可证的，申请人应当向省、自治区、直辖市人民政府林业主管部门提出申请，经省、自治区、直辖市人民政府林业主管部门审核后，由国务院林业主管部门核发。申请林木良种种子的生产经营和选育生产经营相结合的林木种子生产经营许可证的，申请人应当向所在地县级人民政府林业主管部门提出申请，经县级人民政府林业主管部门审核后，由省、自治区、直辖市人民政府林业主管部门核发。申请前两款以外的其他林木种子生产经营许可证的，由生产经营者所在地县级以上地方人民政府林业主管部门核发。只从事非主要林种子生产的，不需办理林木种子生产经营许可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草种经营许可证核发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种子法》（2000年7月8日第九届全国人民代表大会常务委员会第十六次会议通过，2015年11月4日修订，自2016年1月1日起施行）第三十一条：从事种子进出口业务的种子生产经营许可证，由省、自治区、直辖市人民政府农业、林业主管部门审核，国务院农业、林业主管部门核发。第九十三条：草种、烟草种、中药材种、食用菌菌种的种质资源管理和选育、生产经营、管理等活动，参照本法执行2.《草种管理办法》（2006年1月12日农业部令第56号公布，2015年4月29日第三次修正）第二十六条：草种经营实行许可制度。草种经营单位和个人应当先取得草种经营许可证后，凭草种经营许可证向工商行政管理机关申请办理或者变更营业执照，但依照《种子法》规定不需要办理草种经营许可证的除外。主要草种杂交种子及其亲本种子、常规原种种子的经营许可证，由草种经营单位和个人所在地县级人民政府草原行政主管部门审核，省级人民政府草原行政主管部门核发。从事草种进出口业务的，草种经营许可证由草种经营单位或个人所在地省级人民政府草原行政主管部门审核，农业部核发。其他草种经营许可证，由草种经营单位或个人所在地县级人民政府草原行政主管部门核发。</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临时占用林地审批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森林法》（1984年9月20日第六届全国人民代表大会常务委员会第七次会议通过，2019年12月28日修订，自2020年7月1日起施行）第三十八条：需要临时使用林地的，应当经县级以上人民政府林业主管部门批准；临时使用林地的期限一般不超过二年，并不得在临时使用的林地上修建永久性建筑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森林法实施条例》（2000年1月29日中华人民共和国国务院令第278号发布，2018年3月19日第三次修正）第十七条：需要临时占用林地的，应当经县级以上人民政府林业主管部门批准。临时占用林地的期限不得超过两年，并不得在临时占用的林地上修筑永久性建筑物；占用期满后，用地单位必须恢复林业生产条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河北省政府推进政府职能转变和“放管服”改革协调小组办公室关于做好省政府自行下放一批行政许可事项的通知》（〔2019〕一6）第5项“临时占用林地审批”，下放后实施部门：各市（含定州、辛集市）行政审批局或林业和草原主管部门，省属国有林场除外。</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修筑直接为林业生产经营服务的工程设施占用林地审批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森林法实施条例》（国务院令第278号）第十八条：森林经营单位在所经营的林地范围内修筑直接为林业生产服务的工程设施，需要占用林地的，由县级以上人民政府林业主管部门批准；修筑其他工程设施，需要将林地转为非林业建设用地的，必须依法办理建设用地审批手续。</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3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林木采伐许可证核发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森林法》第三十二条：采伐林木必须申请采伐许可证，按许可证的规定进行采伐；农村居民采伐自留地和房前屋后个人所有的零星林木除外。国有林业企业事业单位、机关、团体、部队学校和其他国有企业事业单位采伐林木，由所在地县级以上林业主管部门依照有关规定审核发放采伐许可证。铁路、公路的护路林和城镇林木的更新采伐，由有关主管部门依照有关规定审核发放采伐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农村集体经济组织采伐林木，由县级林业主管部门依照有关规定审核发放采伐许可证。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农村居民采伐自留山和个人承包集体的林木，由县级林业主管部门或者其委托的乡、镇人民政府依照有关规定审核发放采伐许可证。采伐以生产竹材为主要目的的竹林，适用以上各款规定。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森林法实施条例》第三十二条：除森林法已有明确规定的外，林木采伐许可证按照下列规定权限核发：（一）县属国有林场，由所在地的县级人民政府林业主管部门核发；（二）省、自治区、直辖市和设区的市、自治州所属的国有林业企业事业单位、其他国有企业事业单位，由所在地的省、自治区、直辖市人民政府林业主管部门核发；（三）重点林区的国有林业企业事业单位，由国务院林业主管部门核发。第三十三条：利用外资营造的用材林达到一定规模需要采伐的，应当在国务院批准的年森林采伐限额内，由省、自治区、直辖市人民政府林业主管部门批准，实行采伐限额单列。</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2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建设项目使用林地及在林业部门管理的自然保护区、沙化土地封禁保护区建设审批（核）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森林法》第十八条：进行勘查、开采矿藏和各项建设工程，应当不占或者少占林地；必须占用或者征收、征用林地的，经县级以上人民政府林业主管部门审核同意后，依照有关土地管理的法律、行政法规办理建设用地审批手续，并由用地单位依照国务院有关规定缴纳森林植被恢复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2.《中华人民共和国森林法实施条例》第十六条：……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二）占用或者征收、征用防护林林地或者特种用途林林地面积10公顷以上的，用材林、经济林、薪炭林林地及其采伐迹地面积35公顷以上的，其他林地面积70公顷以上的，由国务院林业主管部门审核。......占用或者征收、征用重点林区林地的，由国务院林业主管部门审核。第十七条：需要临时占用林地的，应当经县级以上人民政府林业主管部门批准。临时占用林地的期限不得超过两年，并不得在临时占用的林地上修筑永久性建筑物；占用期满后，用地单位必须恢复林业生产条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食品（含保健食品）生产许可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食品安全法》(2009年2月通过，2018年12月修正)第三十五条：国家对食品生产经营实行许可制度。从事食品生产、食品销售、餐饮服务，应当依法取得许可。但是，销售食用农产品，不需要取得许可。县级以上地方人民政府食品安全监督管理部门应当依照《中华人民共和国行政许可法》的规定，审核申请人提交的本法第三十三条第一款第一项至第四项规定要求的相关资料，必要时对申请人的生产经营场所进行现场核查；对符合规定条件的，准予许可；对不符合规定条件的，不予许可并书面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食品经营许可管理办法》(2015年8月国家食品药品监督管理总局令第17号，2017年11月修正)第二条：在中华人民共和国境内，从事食品销售和餐饮服务活动，应当依法取得食品经营许可。食品经营许可的申请、受理、审查、决定及其监督检查，适用本办法；第六条：国家食品药品监督管理总局负责监督指导全国食品经营许可管理工作。县级以上地方食品药品监督管理部门负责本行政区域内的食品经营许可管理工作。省、自治区、直辖市食品药品监督管理部门可以根据食品类别和食品安全风险状况，确定市、县级食品药品监督管理部门的食品经营许可管理权限。</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69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药品零售企业许可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药品管理法》（1984年9月通过，2019年8月26日修订）第五十一条：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药品经营许可证应当标明有效期和经营范围，到期重新审查发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药品管理法实施条例》（2002年9月通过，2019年3月修改）第十二条：开办药品零售企业，申办人应当向拟办企业所在地设区的市级药品监督管理机构或者省、自治区、直辖市人民政府药品监督管理部门直接设置的县级药品监督管理机构提出申请。受理申请的药品监督管理机构应当自收到申请之日起30个工作日内，依据国务院药品监督管理部门的规定，结合当地常住人口数量、地域、交通状况和实际需要进行审查，作出是否同意筹建的决定。申办人完成拟办企业筹建后，应当向原审批机构申请验收。原审批机构应当自收到申请之日起15个工作日内，依据《药品管理法》第十五条规定的开办条件组织验收；符合条件的发给《药品经营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药品经营许可证管理办法》（2004年2月国家食品药品监督管理局令第6号，2017年11月国家食品药品监督管理总局令第37号修改）第三条:国家食品药品监督管理总局主管全国药品经营许可的监督管理工作。省、自治区、直辖市食品药品监督管理部门负责本辖区内药品批发企业《药品经营许可证》发证、换证、变更和日常监督管理工作，并指导和监督下级食品药品监督管理部门开展《药品经营许可证》的监督管理工作。设区的市级食品药品监督管理部门或省、自治区、直辖市食品药品监督管理部门直接设置的县级食品药品监督管理部门负责本辖区内药品零售企业《药品经营许可证》发证、换证、变更和日常监督管理等工作。</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1、对符合法定条件的行政许可申请不予受理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6、工作中索取或者收受他人财物或者谋取其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水域滩涂养殖证的审核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1.《中华人民共和国渔业法》；依据文号：1986年1月20日主席令第三十四号，2013年12月28日予以修改；条款号：第十一条。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2.《河北省人民政府办公厅关于省政府部门自行取消下放一批行政许可事项的通知》；依据文号：（冀政办发〔2018〕1号）；条款号：附件2，26条。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一次性告知书所需的材料，实行告知承诺，申请人承诺符合条件并提交材料的，当场作出审批决定，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4、送达责任：准予许可的制发送达许可证，通报监管单位，信息公开。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监管部门：高邑县农业农村局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《危险化学品安全管理条例》第三十三条：国家对危险化学品经营（包括仓储经营，下同）实行许可制度。未经许可，任何单位和个人不得经营危险化学品。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危险化学品建设项目的安全设施设计审查</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安全生产法》第三十条第二款：矿山、金属冶炼建设项目和用于生产、储存、装卸危险物品的建设项目的安全设施设计应当按照国家有关规定报经有关部门审查，审查部门及其负责审查的人员对审查结果负责。</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危险化学品建设项目的安全条件审查</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《危险化学品安全管理条例》第十二条：新建、改建、扩建生产、储存危险化学品的建设项目（以下简称建设项目），应当由安监部门进行安全条件审查。</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烟花爆竹经营（批发）许可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生产经营安全规定》第二条：烟花爆竹生产企业(以下简称生产企业)、烟花爆竹批发企业(以下简称批发企业)和烟花爆竹零售经营者(以下简称零售经营者)的安全生产及其监督管理，适用本规定。生产企业、批发企业、零售经营者统称生产经营单位。第五条：生产经营单位应当具备有关法律、行政法规和国家标准或者行业标准规定的安全生产条件，并依法取得相应行政许可。</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2、审查责任：对书面申请材料进行审查，需要对申请文件、资料的实质内容进行核实的，组织现场勘验，提出是否同意通审核意见。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4、送达责任：准予许可的制发送达审查意见，按规定推送相关监管部门，并公开。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1、对符合法定条件的烟花爆竹经营（零售）许可申请不予受理的；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生产、储存烟花爆竹建设项目安全设施设计审查</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安全生产法》第三十条第二款：矿山、金属冶炼建设项目和用于生产、储存、装卸危险物品的建设项目的安全设施设计应当按照国家有关规定报经有关部门审查，审查部门及其负责审查的人员对审查结果负责。</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2、审查责任：按照行政许可法，对书面申请材料进行审查，提出是否同意批准的审核意见。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3、决定责任；作出准予行政许可或者不予行政许可的决定，法定告知（不予许可的应当书面告知理由）。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1、对符合法定条件的申请人申请不予受理的；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6、办理审批过程中索取或者收受他人财物或者谋取其他利益的；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烟花爆竹经营（零售）许可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烟花爆竹生产经营安全规定》第二条：烟花爆竹生产企业(以下简称生产企业)、烟花爆竹批发企业(以下简称批发企业)和烟花爆竹零售经营者(以下简称零售经营者)的安全生产及其监督管理，适用本规定。生产企业、批发企业、零售经营者统称生产经营单位。第五条：生产经营单位应当具备有关法律、行政法规和国家标准或者行业标准规定的安全生产条件，并依法取得相应行政许可。</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2、审查责任：对书面申请材料进行审查，需要对申请文件、资料的实质内容进行核实的，组织现场勘验，提出是否同意通审核意见。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4、送达责任：准予许可的制发送达审查意见，按规定推送相关监管部门，并公开。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1、对符合法定条件的烟花爆竹经营（零售）许可申请不予受理的；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第三类非药品类易制毒化学品经营备案证明</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药品类易制毒化学品生产、经营许可办法》第三条：国家对非药品类易制毒化学品的生产、经营实行许可制度。对第一类非药品类易制毒化学品的生产、经营实行许可证管理，对第二类、第三类易制毒化学品的生产、经营实行备案证明管理。省、自治区、直辖市人民政府安全生产监督管理部门负责本行政区域内第一类非药品类易制毒化学品生产、经营的审批和许可证的颁发工作。设区的市级人民政府安全生产监督管理部门负责本行政区域内第二类非药品类易制毒化学品生产、经营和第三类非药品类易制毒化学品生产的备案证明颁发工作。县级人民政府安全生产监督管理部门负责本行政区域内第三类非药品类易制毒化学品经营的备案证明颁发工作。</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2、审查责任：对书面申请材料进行审查，提出是否同意通过的审核意见。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4、送达责任：准予许可的制发送达审查意见，按规定推送相关监管部门，并公开。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1、对符合法定条件的第类非药品类易制毒化学品经营备案证明申请不予受理的；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9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电影放映单位设立审批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电影管理条例》第三十八条：设立电影放映单位，应当向所在地县或者设区的市人民政府电影行政部门提出申请。所在地县或者设区的市人民政府电影行政部门应当自收到申请书之日起60日内作出批准或者不批准的决定，并通知申请人。批准的，发给《电影放映经营许可证》，申请人持《电影放映经营许可证》到所在地工商行政管理部门登记，依法领取营业执照；不批准的，应当说明理由。第三十九条：电影发行单位、电影放映单位变更业务范围，或者兼并其他电影发行单位、电影放映单位，或者因合并、分立而设立新的电影发行单位、电影放映单位的，应当依照本条例第三十七条：或者第三十八条的规定办理审批手续，并到工商行政管理部门办理相应的登记手续。</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电影产业促进法》第二十四条：企业具有与所从事的电影发行活动相适应的人员、资金条件的，经国务院电影主管部门或者所在地省、自治区、直辖市人民政府电影主管部门批准，可以从事电影发行活动。企业、个体工商户具有与所从事的电影放映活动相适应的人员、场所、技术和设备等条件的，经所在地县级人民政府电影主管部门批准，可以从事电影院等固定放映场所电影放映活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2、审查责任：按照电影行业发展规划和产业政策，对书面申请材料进行审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1、对符合法定条件的电影放映单位设立许可申请不予受理的；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6、办理电影放映单位设立许可，索取或者收受他人财物或者谋取其他利益的；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监管单位：文广体旅局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79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从事出版物、包装装潢印刷品和其他印刷品印刷经营活动企业的设立、变更审批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印刷业管理条例》第十条：设立从事出版物印刷经营活动的企业，应当向所在地省、自治区、直辖市人民政府出版行政部门提出申请。申请人经审核批准的，取得印刷经营许可证，并持印刷经营许可证向工商行政管理部门申请登记注册，取得营业执照。</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第十一条：出版行政部门应当自收到依据本条例提出的申请之日起60日内作出批准或者不批准的决定。批准申请的，应当发给印刷经营许可证；不批准申请的，应当通知申请人并说明理由。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印刷经营许可证应当注明印刷企业所从事的印刷经营活动的种类。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印刷经营许可证不得出售、出租、出借或者以其他形式转让。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企业申请从事包装装潢印刷品和其他印刷品印刷经营活动，应当持营业执照向所在地设区的市级人民政府出版行政部门提出申请，经审核批准的，发给印刷经营许可证。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个人不得从事出版物、包装装潢印刷品印刷经营活动；个人从事其他印刷品印刷经营活动的，依照本条第二款的规定办理审批手续。</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2、审查责任：按照包装装潢印刷品行业发展规划和产业政策，对书面申请材料进行审查。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1、对符合法定条件的申请从事出版物、包装装潢印刷品和其他印刷品印刷经营活动企业的设立、变更审批的申请不予受理的；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6、办理从事出版物、包装装潢印刷品和其他印刷品印刷经营活动企业的设立、变更的申请，索取或者收受他人财物或者谋取其他利益的；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监管单位：文广新局，宣传部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80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内部资料性出版物准印证核发</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内部资料性出版物管理办法》第十条：省、自治区、直辖市新闻出版行政部门自受理申请之日起20日内作出审批决定。决定批准的，核发一次性内部资料或者连续性内部资料《准印证》;不予批准的，应当书面说明理由。</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2、审查责任：按照内部资料性出版物行业发展规划和产业政策，对书面申请材料进行审查。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1、对符合法定条件的内部资料性出版物准印证核发申请不予受理的；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6、办理内部资料性出版物准印证核发的审批，索取或者收受他人财物或者谋取其他利益的；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监管单位：文广新局，宣传部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出版物零售单位和个体工商户设立、变更审批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出版管理条例》第三十五条：单位从事出版物批发业务的，须经省、自治区、直辖市人民政府出版行政主管部门审核许可，取得《出版物经营许可证》。单位和个体工商户从事出版物零售业务的，须经县级人民政府出版行政主管部门审核许可，取得《出版物经营许可证》。第三十七条：从事出版物发行业务的单位和个体工商户变更《出版物经营许可证》登记事项，或者兼并、合并、分立的，应当依照本条例第三十五条的规定办理审批手续。从事出版物发行业务的单位和个体工商户终止经营活动的，应当向原批准的出版行政主管部门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2、审查责任：按照出版物零售单位行业发展规划和产业政策，对书面申请材料进行审查，组织现场检查验收。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1、对符合法定条件的出版物零售单位和个体工商户设立、变更审批申请不予受理的；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6、办理出版物零售单位和个体工商户设立、变更审批，索取或者收受他人财物或者谋取其他利益的；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监管单位：文广新局，宣传部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校车使用许可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校车安全管理条例》(2012年4月国务院令第617号)第十五条：学校或者校车服务提供者申请取得校车使用许可，应当向县级或者设区的市级人民政府教育行政部门提交书面申请和证明其符合本条例第十四条规定条件的材料</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2、审查责任：按照校车行业发展规划和产业政策，对书面申请材料进行审查，组织现场检查验收。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1、对符合法定条件的校车使用许可申请不予受理的；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6、办理校车使用许可</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49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实施中等及中等以下学历教育、学前教育、自学考试助学及其他文化教育的学校设立、变更和终止审批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9"/>
                <w:szCs w:val="19"/>
                <w:u w:val="none"/>
              </w:rPr>
            </w:pPr>
            <w:r>
              <w:rPr>
                <w:rFonts w:hint="eastAsia" w:ascii="宋体" w:hAnsi="宋体" w:eastAsia="宋体" w:cs="宋体"/>
                <w:i w:val="0"/>
                <w:color w:val="000000"/>
                <w:kern w:val="0"/>
                <w:sz w:val="19"/>
                <w:szCs w:val="19"/>
                <w:u w:val="none"/>
                <w:lang w:val="en-US" w:eastAsia="zh-CN" w:bidi="ar"/>
              </w:rPr>
              <w:t>1. 《中华人民共和国教育法》第十四条：国务院和地方各级人民政府根据分级管理、分工负责的原则，领导和管理教育工作。中等及中等以下教育在国务院领导下，由地方人民政府管理。高等教育由国务院和省、自治区、直辖市人民政府管理。第二十八条：学校及其他教育机构的设立、变更和终止，应当按照国家有关规定办理审核、批准、注册或者备案手续。</w:t>
            </w:r>
            <w:r>
              <w:rPr>
                <w:rFonts w:hint="eastAsia" w:ascii="宋体" w:hAnsi="宋体" w:eastAsia="宋体" w:cs="宋体"/>
                <w:i w:val="0"/>
                <w:color w:val="000000"/>
                <w:kern w:val="0"/>
                <w:sz w:val="19"/>
                <w:szCs w:val="19"/>
                <w:u w:val="none"/>
                <w:lang w:val="en-US" w:eastAsia="zh-CN" w:bidi="ar"/>
              </w:rPr>
              <w:br w:type="textWrapping"/>
            </w:r>
            <w:r>
              <w:rPr>
                <w:rFonts w:hint="eastAsia" w:ascii="宋体" w:hAnsi="宋体" w:eastAsia="宋体" w:cs="宋体"/>
                <w:i w:val="0"/>
                <w:color w:val="000000"/>
                <w:kern w:val="0"/>
                <w:sz w:val="19"/>
                <w:szCs w:val="19"/>
                <w:u w:val="none"/>
                <w:lang w:val="en-US" w:eastAsia="zh-CN" w:bidi="ar"/>
              </w:rPr>
              <w:t>《中华人民共和国民办教育促进法》第八条：县级以上地方各级人民政府教育行政部门主管本行政区域内的民办教育工作。县级以上地方各级人民政府人力资源社会保障行政部门及其他有关部门在各自的职责范围内，分别负责有关的民办教育工作。第十一条：设立民办学校应当符合当地教育发展的需求，具备教育法和其他有关法律、法规规定的条件。民办学校的设置标准参照同级同类公办学校的设置标准执行。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第五十四条：民办学校举办者的变更，须由举办者提出，在进行财务清算后，经学校理事会或者董事会同意，报审批机关核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2、审查责任：按照实施中等及中等以下学历教育、学前教育、自学考试助学及其他文化教育的学校设立、变更和终止审批发展规划和政策，对书面申请材料进行审查，组织现场检查验收。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1、对符合法定条件的实施中等及中等以下学历教育、学前教育、自学考试助学及其他文化教育的学校设立、变更和终止审批许可申请不予受理的；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6、办理实施中等及中等以下学历教育、学前教育、自学考试助学及其他</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文艺、体育等专业训练的社会组织自行实施义务教育审批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义务教育法》第十四条：禁止用人单位招用应当接受义务教育的适龄儿童、少年。根据国家有关规定经批准招收适龄儿童、少年进行文艺、体育等专业训练的社会组织，应当保证所招收的适龄儿童、少年接受义务教育；自行实施义务教育的，应当经县级人民政府教育行政部门批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2、审查责任：按照文艺、体育等专业训练的社会组织自行实施义务教育审批发展规划和相关政策，对书面申请材料进行审查，组织现场检查验收。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1、对符合法定条件的文艺、体育等专业训练的社会组织自行实施义务教育审批许可申请不予受理的；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6、办理文艺、体育等专业训练的社会组织自行实施义务教育审批许可，索取或者收受他人财物或者谋取其他利益的；7、其他违反法律法规规章文件规定的行为。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监管单位：教育局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4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教师资格认定</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《教师资格条例》   第十二条　具备教师法规定的学历或者经教师资格考试合格的公民，可以依照本条例的规定申请认定其教师资格。</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河北省中小学和幼儿园教师资格认定实施方案》二、教师资格认定的机构及权限。申请幼儿园、小学、初级中学、高级中学、中等职业学校教师资格和中等职业学校实习指导教师资格，由申请人向申请人户籍所在地或者工作单位所在地县(区)级人民政府教育行政部门提出申请，县(区)级人民政府教育行政部门审查合格后，报市级人民政府教育行政部门认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1、审查责任：非我局职责。申请人户籍或有效期内居住证所在地县（市、区）行政审批局。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2、决定责任；在法定时限内作出是否认定教师资格的决定。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3、送达责任：符合认定条件的制发、送达《教师资格证》，信息公开。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有不履行或不正确履行行政职责，有下列情形之一的，行政机关及相关工作人员应承担相应责任：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1、在教师资格认定过程中，未向申请人、利害关系人履行法定告知义务的；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2、未依法说明不受理行政许可申请或者不予行政许可的理由的；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3、办理教师资格认定过程中，索取或者收受他人财物或者谋取其他利益的。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区级没有审批权，只是确认点，负责发证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70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社会团体修改章程核准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二十条：社会团体的登记事项、备案事项需要变更的,应当自业务主管单位审查同意之日起30日内,向登记管理机关申请变更登记、变更备案（以下统称变更登记）。社会团体修改章程,应当自业务主管单位审查同意之日起30日内,报登记管理机关核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2、审查责任：按照社会团体发展规划和产业政策，对书面申请材料进行审查。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1、对符合法定条件的社会团体许可申请不予受理的；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6、办理社会团体许可，索取或者收受他人财物或者谋取其他利益的；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民办非企业单位修改章程核准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登记管理暂行条例》第十五条：民办非企业单位的登记事项需要变更的，应当自业务主管单位审查同意之日起30日内，向登记管理机关申请变更登记。民办非企业单位修改章程，应当自业务主管单位审查同意之日起30日内，报登记管理机关核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2、审查责任：按照民办非企业单位行业发展规划和产业政策，对书面申请材料进行审查。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1、对符合法定条件的民办非企业单位许可申请不予受理的；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6、办理民办非企业单位许可，索取或者收受他人财物或者谋取其他利益的；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社会团体成立、变更、注销登记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《社会团体登记管理条例》第三条第一款　成立社会团体，应当经其业务主管单位审查同意，并依照本条例的规定进行登记。</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2、审查责任：按照社会团体行业发展规划和产业政策，对书面申请材料进行审查。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1、对符合法定条件的社会团体许可申请不予受理的；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6、办理社会团体许可，索取或者收受他人财物或者谋取其他利益的；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9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89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民办非企业单位成立、变更、注销登记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非企业单位登记管理暂行条例》第三条：成立民办非企业单位，应当经其业务主管单位审查同意，并依照本条例的规定登记。第五条：国务院民政部门和县级以上地方各级人民政府民政部门是本级人民政府的民办非企业单位登记管理机关(以下简称登记管理机关)。国务院有关部门和县级以上地方各级人民政府的有关部门、国务院或者县级以上地方各级人民政府授权的组织，是有关行业、业务范围内民办非企业单位的业务主管单位(以下简称业务主管单位)。法律、行政法规对民办非企业单位的监督管理另有规定的，依照有关法律、行政法规的规定执行。第十五条：民办非企业单位的登记事项需要变更的，应当自业务主管单位审查同意之日起30日内，向登记管理机关申请变更登记。民办非企业单位修改章程，应当自业务主管单位审查同意之日起30日内，报登记管理机关核准。第十六条：民办非企业单位自行解散的，分立、合并的，或者由于其他原因需要注销登记的，应当向登记管理机关办理注销登记。民办非企业单位在办理注销登记前，应当在业务主管单位和其他有关机关的指导下，成立清算组织，完成清算工作。清算期间，民办非企业单位不得开展清算以外的活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2、审查责任：按照民办非企业单位发展规划和产业政策，对书面申请材料进行审查。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1、对符合法定条件的民办非企业单位许可申请不予受理的；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6、办理民办非企业单位许可，索取或者收受他人财物或者谋取其他利益的；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建设殡仪馆、火葬场、殡仪服务站、骨灰堂、经营性公墓、农村公益性墓地审批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《殡葬管理条例》第三条：各级人民政府应将殡葬工作列入城乡基本建设和精神文明建设的整体规划。第八条：火葬区内的公民死亡后，除国家规定可以实行土葬的少数民族外，均应实行火葬。</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2、审查责任：按照殡葬规划和政策，对书面申请材料进行审查，组织现场检查验收。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1、对符合法定条件的殡葬设施建设许可申请不予受理的；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6、办理殡葬设施建设许可，索取或者收受他人财物或者谋取其他利益的；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监管单位：民政局；“设置农村公益性墓地审批”乡镇审核转报项。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7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公开募捐资格审核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《中华人民共和国慈善法》第二十二条：慈善组织开展公开募捐，应当取得公开募捐资格。依法登记满二年的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慈善组织，可以向其登记的民政部门申请公开募捐资格。民政部门应当自受理申请之日起二十日内作出决定。慈善组织符合内部治理结构健全、运作规范的条件的，发给公开募捐资格证书；不符合条件的，不发给公开募捐资格证书并书面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法律、行政法规规定自登记之日起可以公开募捐的基金会和社会团体，由民政部门直接发给公开募捐资格证书。</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2、审查责任：按照公开捐募资格行业发展规划和产业政策，对书面申请材料进行审查，提出是否同意筹建的审核意见。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基层法律服务工作者执业、变更、注销许可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《基层法律工作者管理办法》第九条：设区的市级或者 直辖市的区（县）司法行政机关负责基层法律服务工作 者执业核准，颁发《基层法律服务工作者执业证》</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2、审查责任：按照慈善组织认定政策，对书面申请材料进行审查，提出是否同意筹建的审核意见。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因不履行或不正确履行行政职责，有下列情形的，行政机关及相关工作人员应承担相应责任：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监管单位：司法局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中介机构从事代理记账业务审批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会计法》第三十六条：各单位应当根据会计业务的需要，设置会计机构，或者在有关机构中设置会计人员并指定会计主管人员;不具备设置条件的，应当委托经批准设立从事会计代理记帐业务的中介机构代理记帐。国有的和国有资产占控股地位或者主导地位的大、中型企业必须设置总会计师。总会计师的任职资格、任免程序、职责权限由国务院规定。《代理记账管理办法》第二条第二款，本办法所称代理记账机构是指依法取得代理记账资格，从事代理记账业务的机构。第三条第一款：除会计师事务所以外的机构从事代理记账业务应当经县级以上地方人民政府财政部门(以下简称审批机关)批准，领取由财政部统一规定样式的代理记账许可证书。具体审批机关由省、自治区、直辖市、计划单列市人民政府财政部门确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2、审查责任：按照代理记账行业发展规划和产业政策，对书面申请材料进行审查。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1、对符合法定条件的中介机构从事代理记账业务许可申请不予受理的；2、对不符合法定条件的申请人准予行政许可或 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6、办理中介机构从事代理记账业务许可，索取或者收受他人财物或者谋取其他利益的；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监管单位：财政局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民办职业培训学校设立、分立、合并、变更及终止审批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《中华人民共和国民办教育促进法》第十一条：设立民 办学校应当符合当地教育发展的需求，具备教育法和其 他有关法律、法规规定的条件。民办学校的设置标准参照同级同类公办学校的设置标准执行。第五十三条：民办学校的分立、合并，在进行财务清算后，由学校理事会或者董事会报审批机关批准。申请分立、合并民办学校的，审批机关应当自受理之日起三个月内以书面形式答复;其中申请分立、合并民办高等学校的，审批机关也可以自受理之日起六个月内以书面形式答复。第五十四条：民办学校举办者的变更，须由举办者提出，在进行财务清算后，经学校理事会或者董事会同意，报审批机关核准。第五十五条：民办学校名称、层次、类别的变更，由学校理事会或者董事会报审批机关批准。申请变更为其他民办学校，审批机关应当自受理之日起三个月内以书面形式答复;其中申请变更为民办高等学校的，审批机关也可以自受理之日起六个月内以书面形式答复。第五十六条： 民办学校有下列情形之一的，应当终止:(一)根据学校章程规定要求终止，并经审批机关批准的;(二)被吊销办学许可证的;(三)因资不抵债无法继续办学的。</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2、审查责任：按照民办职业培训学校行业发展规划和政策，对书面申请材料进行审查，组织现场检查验收。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1、对符合法定条件的民办职业培训学校许可申请不予受理的；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6、办理民办职业培训学校许可，索取或者收受他人财物或者谋取其他利益的；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8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人力资源服务许可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就业促进法》第四十条：设立职业中介机构应当具备下列条件：（一）有明确的章程和管理制度；（二）有开展业务必备的固定场所、办公设施和一定数额的开办资金；（三）有一定数量具备相应职业资格的专职工作人员；（四）法律、法规规定的其他条件。设立职业中介机构应当在工商行政管理部门办理登记后，向劳动行政部门申请行政许可。未经依法许可和登记的机构，不得从事职业中介活动。国家对外商投资职业中介机构和向劳动者提供境外就业服务的职业中介机构另有规定的，依照其规定。《国务院对确需保留的行政审批项目设定行政许可的决定》附件第86项，设立人才中介服务机构及其业务范围审批，县级以上人民政府人事行政主管部门。第88项，职业介绍机构资格认定，地方人民政府劳动保障行政主管部门。第89项,设立中外合资(合作)职业介绍机构审批，省级人民政府劳动保障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2、审查责任：按照人力资源服务行业发展规划和产业政策，对书面申请材料进行审查，组织现场检查验收。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1、对符合法定条件的人力资源服务许可申请不予受理的；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6、办理人力资源服务许可，索取或者收受他人财物或者谋取其他利益的；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劳务派遣经营许可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劳动合同法》第五十七条：经营劳务派遣业务应当具备下列条件：（一）注册资本不得少于人民币二百万元；（二）有与开展业务相适应的固定的经营场所和设施；（三）有符合法律、行政法规规定的劳务派遣管理制度；（四）法律、行政法规规定的其他条件。经营劳务派遣业务，应当向劳动行政部门依法申请行政许可；经许可的，依法办理相应的公司登记。未经许可，任何单位和个人不得经营劳务派遣业务。《劳务派遣行政许可实施办法》第二条：劳务派遣行政许可的申请受理、审查批准以及相关的监督检查等，适用本办法。第三条：人力资源社会保障部负责对全国的劳务派遣行政许可工作进行监督指导。县级以上地方人力资源社会保障行政部门按照省、自治区、直辖市人力资源社会保障行政部门确定的许可管辖分工，负责实施本行政区域内劳务派遣行政许可工作以及相关的监督检查。第六条：经营劳务派遣业务，应当向所在地有许可管辖权的人力资源社会保障行政部门(以下称许可机关)依法申请行政许可。未经许可，任何单位和个人不得经营劳务派遣业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2、审查责任：按照劳务派遣行业发展规划和产业政策，对书面申请材料进行审查，组织现场检查验收。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1、对符合法定条件的劳务派遣许可申请不予受理的；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6、办理劳务派遣许可，索取或者收受他人财物或者谋取其他利益的；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企业实行不定时工作制和综合计算工时工作制审批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劳动法》第三十七条：对实行计件工作的劳动者，用人单位应当根据本法第三十六条规定的工时制度合理确定其劳动定额和计件报酬标准。第三十九条：企业因生产特点不能实行本法第三十六条、第三十八条规定的，经劳动行政部门批准，可以实行其他工作和休息办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《国务院关于职工工作时间的规定》第五条：因工作性质或者生产特点的限制,不能实行每日工作8小时、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每周工作40小时标准工时制度的,按照国家有关规定,可以实行其他工作和休息办法。《关于企业实行不定时工作制和综合计算工时工作制的审批办法》第三条：企业因生产特点不能实行《中华人民共和国劳动法》第三十六条、第三十八条规定的，可以实行不定时工作制或综合计算工时工作制等其他工作和休息办法。</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2、审查责任：按照企业实行不定时工作制和综合计算工时工作制审批行业发展规划及相关政策，对书面申请材料进行审查，组织现场检查验收。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1、对符合法定条件的企业申请不予受理的；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6、办理企业实行不定时工作制和综合计算工时工作制使用许可，索取或者收受他人财物或者谋取其他利益的；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7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申请从事互联网上网服务经营活动审批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《互联网上网服务营业场所管理条例》 第四条：县级以上人民政府文化行政部门负责互联网上网服务营业场所经营单位的设立审批，并负责对依法设立的互联网 上网服务营业场所经营单位经营活动的监督管理;公安机关负责对互联网上网服务营业场所经营单位的信息网络安全、治安及消防安全的监督管理;工商行政管理部门负责对互联网上网服务营业场所经营单位登记注册和营业执照的管理，并依法查处无照经营活动;电信管理等其他有关部门在各自职责范围内，依照本条例和 有关法律、行政法规的规定，对互联网上网服务营业场 所经营单位分别实施有关监督管理。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第十三条：互联网上网服务营业场所经营单位变更营业 场所地址或者对营业场所进行改建、扩建，变更计算机 数量或者其他重要事项的，应当经原审核机关同意。互联网上网服务营业场所经营单位变更名称、住所、法 定代表人或者主要负责人、注册资本、网络地址或者终 止经营活动的，应当依法到工商行政管理部门办理变更 登记或者注销登记，并到文化行政部门、公安机关办理 有关手续或者备案。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2、审查责任：按照从事互联网上网服务行业发展规划和产业政策，对书面申请材料进行审查，组织现场检查验收。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 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1、对符合法定条件的申请从事互联网上网服务经营活动审批的申请不予受理的；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6、办理申请从事互联网上网服务经营活动审批，索取或者收受他人财物</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99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营业性演出审批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《营业性演出管理条例》第十三条： 举办营业性演出， 应当向演出所在地县级人民政府文化主管部门提出申 请。县级人民政府文化主管部门应当自受理申请之日起3日内作出决定。对符合本条例第二十五条规定的，发给批准文件;对不符合本条例第二十五条规定的，不予批准，书面通知申请人并说明理由。</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2、审查责任：按照营业性演出行业发展规划和产业政策，对书面申请材料进行审查，组织现场检查验收。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 定，法定告知（不予许可的应当书面告知理由）。4、送达责任：准予许可的制发送达许可证，信息公开。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1、对符合法定条件的营业性演出审批的申请不予受理的；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6、办理营业性演出审批，索取或者收受他人财物或者谋取其他利益的；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娱乐场所从事娱乐场所经营活动审批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《娱乐场所管理条例》 第九条： 娱乐场所申请从事娱乐场所经营活动，应当向所在地县级人民政府文化主管 部门提出申请;中外合资经营、中外合作经营的娱乐场所申请从事娱乐场所经营活动，应当向所在地省、自治区、直辖市人民政府文化主管部门提出申请。娱乐场所申请从事娱乐场所经营活动，应当提交投资人员、拟任的法定代表人和其他负责人没有本条例第五条规定情形的书面声明。申请人应当对书面声明内容的真实性负责。受理申请的文化主管部门应当就书面声明向公安部门或者其他有关单位核查，公安部门或者其他有关单位应当予以配合;经核查属实的，文化主管部门应当依据本条例第七条：、第八条的规定进行实地检查，作出决定。予以批准的，颁发娱乐经营许可证，并根据国务院文化主管部门的规定核定娱乐场所容纳的消费者数量;不予批准的，应当书面通知申请人并说明理由。有关法律、行政法规规定需要办理消防、卫生、环境保护等审批手续的，从其规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2、审查责任：按照娱乐场所经营行业发展规划和产业政策，对书面申请材料进行审查，组织现场检查验收。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1、对符合法定条件的娱乐场所经营活动审批的申请不予受理的；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6、办理娱乐场所经营活动审批，索取或者收受他人财物或者谋取其他利益的；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文艺表演团体从事营业性演出活动审批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营业性演出管理条例》第六条：文艺表演团体申请从事营业性演出活动，应当有与其业务相适应的专职演员和器材设备，并向县级人民政府文化主管部门提出申请;演出经纪机构申请从事营业性演出经营活动，应当有3名以上专职演出经纪人员和与其业务相适应的资金，并向省、自治区、直辖市人民政府文化主管部门提出申请。文化主管部门应当自受理申请之日起20日内作出决定。批准的，颁发营业性演出许可证;不批准的，应当书面通知申请人并说明理由。</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2、审查责任：按照文艺表演团体行业发展规划和产业政策，对书面申请材料进行审查，组织现场检查验收。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1、对符合法定条件的文艺表演团体设立审批的申请不予受理的；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6、办理文艺表演团体设立的审批，索取或者收受他人财物或者谋取其他利益的；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5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设置卫星电视广播地面接收设施审批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卫星电视广播地面接收设施管理规定》第七条：单位设置卫星地面接收设施的，必须向当地县、市人民政府广播电视行政部门提出申请，报省、自治区、直辖市人民政府广播电视行政部门审批，凭审批机关开具的证明购买卫星地面接收设施。卫星地面接收设施安装完毕，由审批机关发给《接收卫星传送的电视节目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lt;卫星电视广播地面接收设施管理规定&gt;实施细则》第五条：凡需设置卫星地面接收设施接收境内电视节目的单位，必须向当地县级以上(含县级)广播电视行政部门提出申请，报地、市级广播电视行政部门审批。省、自治区、直辖市的直属单位可直接报省、自治区、直辖市广播电视行政部门审批。经审查批准的单位，凭审批机关开具的证明购买卫星地面接收设施。卫星地面接收设施安装完毕，经审批机关检验合格后由其发给《接收卫星传送的境内电视节目许可证》(以下简称《许可证》)，并报省、自治区、直辖市广播电视行政部门、国家安全部门备案。此种《许可证》格式由广播电影电视部统一制定，各省、自治区、直辖市自行印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2、审查责任：按照卫星电视广播地面接收行业发展规划和产业政策，对书面申请材料进行审查，组织现场检查验收。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1、对符合法定条件的申请设置卫星电视广播地面接收设施审批的申请不予受理的；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6、办理设置卫星电视广播地面接收设施审批，索取或者收受他人财物或者谋取其他利益的；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乡镇设立广播电视站和机关、部队、团体、企业事业单位设立有线广播电视站审批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1.广播电视管理条例》 第十五条：乡、镇设立广播电视站的,由所在地县级以上人民政府广播电视行政部 门负责审核,并按照国务院广播电视行政部门的有关规定审批。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2.《广播电视站审批管理暂行规定》 第三条： 市辖区、乡镇以及企事业单位、大专院校可申请设立广播电视站。每个申请单位只能设立1个广播电视站，并只能在广播电视行政部门核定的区域范围内播出广播电视节 目。 第五条：申请设立广播电视站，须由申请单位向当地县级以上广播电视行政部门提出申请，逐级审核同意后，报省级广播电视行政部门审批。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2、审查责任：按照设立广播电视站行业发展规划和产业政策，对书面申请材料进行审查，组织现场检查验收。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1、对符合法定条件的乡镇设立广播电视站和机关、部队、团体、企业事业单位设立有线广播电视站审批许可的申请不予受理的；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6、办理乡镇设立广播电视站和机关、部队、团体、企业事业单位设立有线 广播电视站审批，索取或者收受他人财物或者谋 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32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广播电视视频点播业务许可证（乙种）审批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ascii="Arial" w:hAnsi="Arial" w:eastAsia="宋体" w:cs="Arial"/>
                <w:i w:val="0"/>
                <w:color w:val="000000"/>
                <w:sz w:val="18"/>
                <w:szCs w:val="18"/>
                <w:u w:val="none"/>
              </w:rPr>
            </w:pPr>
            <w:r>
              <w:rPr>
                <w:rStyle w:val="17"/>
                <w:rFonts w:eastAsia="宋体"/>
                <w:lang w:val="en-US" w:eastAsia="zh-CN" w:bidi="ar"/>
              </w:rPr>
              <w:t xml:space="preserve"> </w:t>
            </w:r>
            <w:r>
              <w:rPr>
                <w:rStyle w:val="16"/>
                <w:lang w:val="en-US" w:eastAsia="zh-CN" w:bidi="ar"/>
              </w:rPr>
              <w:t>《广播电视视频点播业务管理办法》第十二条：申请</w:t>
            </w:r>
            <w:r>
              <w:rPr>
                <w:rStyle w:val="16"/>
                <w:lang w:val="en-US" w:eastAsia="zh-CN" w:bidi="ar"/>
              </w:rPr>
              <w:br w:type="textWrapping"/>
            </w:r>
            <w:r>
              <w:rPr>
                <w:rStyle w:val="16"/>
                <w:lang w:val="en-US" w:eastAsia="zh-CN" w:bidi="ar"/>
              </w:rPr>
              <w:t>1.《广播电视视频点播业务许可证(乙种)》，应向当地县级以上广播电视行政部门提出申请，并提交符合第十条规定的申报材料。经逐级审核后，报省级广播电视行政部门审批。省级广播电视行政部门对申报材料进行审核，审核合格的，申办机构可以安装视频点播设备。设备安装完毕，省级广播电视行政部门组织验收，根据验收结论做出决定，符合条件的，颁发《广播电视视频点播业务许可证(乙种)》，并在90日内报广电总局备案;不符合条件的，书面通知申办机构并说明理由。</w:t>
            </w:r>
            <w:r>
              <w:rPr>
                <w:rStyle w:val="16"/>
                <w:lang w:val="en-US" w:eastAsia="zh-CN" w:bidi="ar"/>
              </w:rPr>
              <w:br w:type="textWrapping"/>
            </w:r>
            <w:r>
              <w:rPr>
                <w:rStyle w:val="16"/>
                <w:lang w:val="en-US" w:eastAsia="zh-CN" w:bidi="ar"/>
              </w:rPr>
              <w:t>2. 《国务院对确需保留的行政审批项目设定行政许可的决定》 附件第303项内容：开办视频点播业务审批，广电总局省级人民政府广播电视行政主管部门。</w:t>
            </w:r>
            <w:r>
              <w:rPr>
                <w:rStyle w:val="17"/>
                <w:rFonts w:eastAsia="宋体"/>
                <w:lang w:val="en-US" w:eastAsia="zh-CN" w:bidi="ar"/>
              </w:rPr>
              <w:t xml:space="preserve"> </w:t>
            </w:r>
            <w:r>
              <w:rPr>
                <w:rStyle w:val="16"/>
                <w:lang w:val="en-US" w:eastAsia="zh-CN" w:bidi="ar"/>
              </w:rPr>
              <w:t>《国务院对确需保留的行政审批项目设定行政许可的决定》附件第303项内容：开办视频点播业务审批，广电总局省级人民政府广播电视行政主管部门。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2、审查责任：按照广播电视视频点播业务行业发展规划和产业政策，对书面申请材料进行审查。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 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 xml:space="preserve">因不履行或不正确履行行政职责，有下列情形的，行政机关及相关工作人员应承担相应责任： </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1、对符合法定条件的申请广播电视视频点播业务许可证（乙种）审批的申请不予受理的；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5、办理广播电视视频点播业务许可证（乙种）审批，索取或者收受他人财物或者谋取其他利益的；6、其他违反法律法规规章文件规定的行为。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卫星电视广播地面接收设施安装许可审批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1.《卫星电视广播地面接收设施管理规定》第七条： 单位设置卫星地面接收设施的，必须向当地县、市人民政府广播电视行政部门提出申请，报省、自治区、直辖市人民政府广播电视行政部门审批，凭审批机关开具的 证明购买卫星地面接收设施。卫星地面接收设施安装完毕，由审批机关发给《接收卫星传送的电视节目许可证》。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2.《卫星电视广播地面接收设施安装服务暂行办法》第四条： 国家对卫星地面接收设施安装服务实行许可制度。设立卫星地面接收设施安装服务机构，应当取得《 卫星地面接收设施安装服务许可证》。未持有《卫星地 面接收设施安装服务许可证》的单位，不得从事卫星接收的安装施工及其配套供应、售后服务维修和卫星节目 落地代理、收视授权等相关服务活动。卫星地面接收设 施安装服务机构，应当凭用户出具的省、自治区、直辖市人民政府广播影视行政部门核发的购买证明，向用户提供卫星地面接收设施安装服务。所安装的卫星地面接 收设施，应当由省、自治区、直辖市以上人民政府广播 影视行政部门核准的卫星地面接收设施安装服务机构，从合法的卫星地面接收设施生产企业定向进货；进货时，应当核验该企业所持国家统一组织招标的中标通知书和与省、自治区、直辖市人民政府广播影视行政部门 签订的设施采购合同等文件。卫星地面接收设施不得进 入社会市场流通领域。卫星地面接收设施安装服务机构，应当接受卫星节目运营机构的委托，实施卫星节目落地代理、收视授权活动。卫星节目运营机构不得向未取得《卫星地面接收设施安装服务许可证》的单位委托卫星节目落地代理、收视授权。第七条：设立卫星地面接收设施安装服务机构，应当根据拟申请服务区的范围，向所在地县级以上人民政府广播影视行政部门提出申请，经逐级审核后，报省、自治区、直辖市以上人民政府广播影视行政部门审批。省、自治区、直辖市以上人民政府广播影视行政部门应当自收到申请或者初审意见20日内，作出准予许可或者不予许可的决定，准予许可的,发给许可证;不予许可的,应当书面通知申请人并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3.《卫星地面接收设施安装服务许可证》由国务院广播影视行政部门统一印制。</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2、审查责任：按照卫星电视广播地面接收设施安装许可审批行业发展规划和产业政策，对书面申请材料进行审查，组织现场检查验收。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 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1、对符合法定条件的申请卫星电视广播地面接收设施安装许可审批的申请不予受理的；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6、办理卫星电视广播地面接收设施安装许可审批，索取或者收受他人财物或者谋取其他利益的；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文物保护单位原址保护措施审批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文物保护法》第二十条：建设工程选址，应当尽可能避开不可移动文物；因特殊情况不能避开的，对文物保护单位应当尽可能实施原址保护。实施原址保护的，建设单位应当事先确定保护措施，根据文物保护单位的级别报相应的文物行政部门批准；未经批准的，不得开工建设。无法实施原址保护，必须迁移异地保护或者拆除的，应当报省、自治区、直辖市人民政府批准；迁移或者拆除省级文物保护单位的，批准前须征得国务院文物行政部门同意。全国重点文物保护单位不得拆除；需要迁移的，须由省、自治区、直辖市人民政府报国务院批准。依照前款规定拆除的国有不可移动文物中具有收藏价值的壁画、雕塑、建筑构件等，由文物行政部门指定的文物收藏单位收藏。本条规定的原址保护、迁移、拆除所需费用，由建设单位列入建设工程预算。</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2、审查责任：按照县级文物保护单位及未核定为文物保护单位的不可移动文物修缮行业发展规划和产业政策，对书面申请材料进行审查。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1、对符合法定条件的县级文物保护单位及未核定为文物保护单位的不可移动文物修缮审批的申请不予受理的；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核定为文物保护单位的属于国家所有的纪念建筑物或者古建筑改变用途审批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《文物保护法》第二十三条：核定为文物保护单位的属于国家所有的纪念建筑物或者古建筑，除可以建立博物馆、保管所或者辟为参观游览场所外，作其他用途的， 市、县级文物保护单位应当经核定公布该文物保护单位的人民政府文物行政部门征得上一级文物行政部门同意后，报核定公布该文物保护单位的人民政府批准；省级文物保护单位应当经核定公布该文物保护单位的省级人民政府的文物行政部门审核同意后，报该省级人民政府批准；全国重点文物保护单位作其他用途的，应当由省、自治区、直辖市人民政府报国务院批准。国有未核定为文物保护单位的不可移动文物作其他用途的，应当报告县级人民政府文物行政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2、审查责任：按照县级文物保护单位改变用途审核行业发展规划和产业政策，对书面申请材料进行审查，组织现场检查验收。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1、对符合法定条件的申请县级文物保护单位改变用途审核的申请不予受理的；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文物保护单位及未核定为文物保护单位的不可移动文物修缮许可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《中华人民共和国文物保护法》 第二十一条：国有不可移动文物由使用人负责修缮、保养；非国有不可移动 文物由所有人负责修缮、保养。非国有不可移动文物有 损毁危险，所有人不具备修缮能力的，当地人民政府应 当给予帮助；所有人具备修缮能力而拒不依法履行修缮 义务的，县级以上人民政府可以给予抢救修缮，所需费 用由所有人负担。对文物保护单位进行修缮，应当根据 文物保护单位的级别报相应的文物行政部门批准；对未 核定为文物保护单位的不可移动文物进行修缮，应当报 登记的县级人民政府文物行政部门批准。文物保护单位 的修缮、迁移、重建，由取得文物保护工程资质证书的 单位承担。对不可移动文物进行修缮、保养、迁移，必 须遵守不改变文物原状的原则。</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2、审查责任：按照县级文物保护单位及未核定为文物保护单位的不可移动文物修缮行业发展规划和产业政策，对书面申请材料进行审查。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1、对符合法定条件的县级文物保护单位及未核定为文物保护单位的不可移动文物修缮审批的申请不予受理的；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109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建设工程文物保护和考古许可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《中华人民共和国文物保护法》第十七条：文物保护单位的保护范围内不得进行其他建设工程或者爆破、钻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探、挖掘等作业。但是，因特殊情况需要在文物保护单位的保护范围内进行其他建设工程或者爆破、钻探、挖</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掘等作业的，必须保证文物保护单位的安全，并经核定公布该文物保护单位的人民政府批准，在批准前应当征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得上一级人民政府文物行政部门同意；在全国重点文物保护单位的保护范围内进行其他建设工程或者爆破、钻探、挖掘等作业的，必须经省、自治区、直辖市人民政府批准，在批准前应当征得国务院文物行政部门同意。</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第十八条：根据保护文物的实际需要，经省、自治区、直辖市人民政府批准，可以在文物保护单位的周围划出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一定的建设控制地带，并予以公布。在文物保护单位的建设控制地带内进行建设工程，不得破坏文物保护单</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位的历史风貌；工程设计方案应当根据文物保护单位的级别，经相应的文物行政部门同意后，报城乡建设规划</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部门批准。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2、审查责任：按照建设工程文物保护和考古行业政策，对书面申请材料进行审查，提出是否同意筹建的审核意见。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有线广播电视传输覆盖网工程建设及验收审核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广播电视管理条例》第十七条：国务院广播电视行政部门应当对全国广播电视传输覆盖网按照国家的统一标准实行统一规划,并实行分级建设和开发。县级以上地方人民政府广播电视行政部门应当按照国家有关规定,组建和管理本行政区域内的广播电视传输覆盖网。组建广播电视传输覆盖网,包括充分利用国家现有的公用通信等各种网络资源,应当确保广播电视节目传输质量和畅通。本条例所称广播电视传输覆盖网,由广播电视发射台、转播台（包括差转台、收转台,下同）、广播电视卫星、卫星上行站、卫星收转站、微波站、监测台（站）及有线广播电视传输覆盖网等构成。第二十二条：广播电视传输覆盖网的工程选址、设计、施工、安装,应当按照国家有关规定办理,并由依法取得相应资格证书的单位承担。</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2、审查责任：按照有线广播电视传输覆盖网工程建设及验收审核行业发展规划和产业政策，对书面申请材料进行审查，组织现场检查验收。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1、对符合法定条件的有线广播电视传输覆盖网工程建设及验收审核的申请不予受理的；2、对不符合法定条件的申请人准予行政许可或者超越法定职权作出准予行政许可决定的；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6、办理有线广播电视传输覆盖网工程建设及验收审核，索取或者收受他人财物或者谋取其他利益的；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母婴保健服务人员资格认定</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1.《中华人民共和国母婴保健法》第三十三条：从事本法规定的遗传病诊断、产前诊断的人员，必须经过省、自治区、直辖市人民政府卫生行政部门的考核，并取得相应的合格证书。</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计划生育技术服务管理条例》第二十九条：计划生育技术服务人员中依据本条例的规定从事与计划生育有关的临床服务人员，应当依照执业医师法和国家有关护士管理的规定，分别取得执业医师、执业助理医师、乡村医生或者护士的资格，并在依照本条例设立的机构中执业。在计划生育技术服务机构执业的执业医师和执业助理医师应当依照执业医师法的规定向所在地县级以上地方人民政府卫生行政部门申请注册。具体办法由国务院计划生育行政部门、卫生行政部门共同制定。个体医疗机构不得从事计划生育手术。</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2、审查责任：按照母婴保健服务人员资格认定政策，对书面申请材料进行审查，组织现场检查验收。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1、对符合法定条件的母婴保健服务人员资格认定申请不予受理的；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6、办理母婴保健服务人员资格认定，索取或者收受他人财物或者谋取其他利益的；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6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医疗机构放射性职业病危害建设项目预评价报告审核</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职业病防治法》第十七条：新建、扩建、改建建设项目和技术改造、技术引进项目（以下统称建设项目）可能产生职业病危害的，建设单位在可行性论证阶段应当进行职业病危害预评价。医疗机构建设项目可能产生放射性职业病危害的，建设单位应当向卫生行政部门提交放射性职业病危害预评价报告。卫生行政部门应当自收到预评价报告之日起三十日内，作出审核决定并书面通知建设单位。未提交预评价报告或者预评价报告未经卫生行政部门审核同意的，不得开工建设。职业病危害预评价报告应当对建设项目可能产生的职业病危害因素及其对工作场所和劳动者健康的影响作出评价，确定危害类别和职业病防护措施。建设项目职业病危害分类管理办法由国务院安全生产监督管理部门制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放射诊疗管理规定》第十一条：医疗机构设置放射诊疗项目，应当按照其开展的放射诊疗工作的类别，分别向相应的卫生行政部门提出建设项目卫生审查、竣工验收和设置放射诊疗项目申请:(一)开展放射治疗、核医学工作的，向省级卫生行政部门申请办理;(二)开展介入放射学工作的，向设区的市级卫生行政部门申请办理;(三)开展X射线影像诊断工作的，向县级卫生行政部门申请办理。同时开展不同类别放射诊疗工作的，向具有高类别审批权的卫生行政部门申请办理。</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2、审查责任：按照放射诊疗行业发展规划和产业政策，对书面申请材料进行审查，组织现场检查验收。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1、对符合法定条件的医疗机构放射性职业病危害建设项目预评价报告审核许可申请不予受理的；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6、办理医疗机构放射性职业病危害建设项目预评价报告审核许可，索取或者收受他人财物或者谋取其他利益的；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此事项受市审批局委托行使；监管单位：卫健局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医疗机构放射性职业病危害建设项目竣工验收</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职业病防治法》第十八条：建设项目的职业病防护设施所需费用应当纳入建设项目工程预算，并与主体工程同时设计，同时施工，同时投入生产和使用。建设项目的职业病防护设施设计应当符合国家职业卫生标准和卫生要求；其中，医疗机构放射性职业病危害严重的建设项目的防护设施设计，应当经卫生行政部门审查同意后，方可施工。建设项目在竣工验收前，建设单位应当进行职业病危害控制效果评价。医疗机构可能产生放射性职业病危害的建设项目竣工验收时，其放射性职业病防护设施经卫生行政部门验收合格后，方可投入使用；其他建设项目的职业病防护设施应当由建设单位负责依法组织验收，验收合格后，方可投入生产和使用。安全生产监督管理部门应当加强对建设单位组织的验收活动和验收结果的监督核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放射诊疗管理规定》第十三条：医疗机构在放射诊疗建设项目竣工验收前，应当进行职业病危害控制效果评价;并向相应的卫生行政部门提交下列资料，申请进行卫生验收:(一)建设项目竣工卫生验收申请;(二)建设项目卫生审查资料;(三)职业病危害控制效果放射防护评价报告;(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2、审查责任：按照放射诊疗行业发展规划和产业政策，对书面申请材料进行审查，组织现场检查验收。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1、对符合法定条件的放射诊疗使用许可申请不予受理的；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6、办理放射诊疗使用许可，索取或者收受他人财物或者谋取其他利益的；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此事项受市审批局委托行使；监管单位：卫健局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饮用水供水单位卫生许可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《中华人民共和国传染病防治法》第二十九条：用于传染病防治的消毒产品、饮用水供水单位供应的饮用水和涉及饮用水卫生安全的产品，应当符合国家卫生标准和卫生规范。</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2、审查责任：按照饮用水供水单位发展规划和产业政策，对书面申请材料进行审查，组织现场检查验收。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再生育申请不予受理的；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6、办理再生育，索取或者收受他人财物或者谋取其他利益的；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乡村医生执业注册</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《乡村医生从业管理条例》第九条：国家实行乡村医生执业注册制度。县级人民政府卫生行政主管部门负责乡村医生执业注册工作。</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2、审查责任：按照乡村医生行业发展规划和政策，对书面申请材料进行审查，组织现场检查验收。3、决定责任：作出行政许可或者不予行政许可决定，法定告知（不予许可的应当书面告知理由）。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1、对符合法定条件的乡村医生执业注册申请不予受理的；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6、办理乡村医生执业注册，索取或者收受他人财物或者谋取其他利益的；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母婴保健技术服务机构执业许可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母婴保健法》第三十二条：医疗保健机构依照本法规定开展婚前医学检查、遗传病诊断、产前诊断以及施行结扎手术和终止妊娠手术的，必须符合国务院卫生行政部门规定的条件和技术标准，并经县级以上地方人民政府卫生行政部门许可。</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计划生育技术服务管理条例》第二十二条：从事计划生育技术服务的医疗、保健机构，由县级以上地方人民政府卫生行政部门审查批准，在其《医疗机构执业许可证》上注明获准开展的计划生育技术服务项目，并向同级计划生育行政部门通报。第二十四条：计划生育技术服务机构从事产前诊断的，应当经省、自治区、直辖市人民政府计划生育行政部门同意后，由同级卫生行政部门审查批准，并报国务院计划生育行政部门和国务院卫生行政部门备案。从事计划生育技术服务的机构使用辅助生育技术治疗不育症的，由省级以上人民政府卫生行政部门审查批准，并向同级计划生育行政部门通报。使用辅助生育技术治疗不育症的具体管理办法，由国务院卫生行政部门会同国务院计划生育行政部门制定。使用辅助生育技术治疗不育症的技术规范，由国务院卫生行政部门征求国务院计划生育行政部门意见后制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关于第六批取消和调整行政审批项目的决定》附件2（一）第50项，计划生育技术服务机构设立许可《计划生育技术服务管理条例》（国务院令第428号）设区的市级以上地方人民政府人口计生行政部门，县级以上地方人民政府人口计生行政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2、审查责任：按照母婴保健规划和政策，对书面申请材料进行审查，组织现场检查验收。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1、对符合法定条件的母婴保健技术服务机构执业使用许可申请不予受理的；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6、办理母婴保健技术服务机构执业使用许可，索取或者收受他人财物或者谋取其他利益的；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118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医师执业注册</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执业医师法》第十三条：国家实行医师执业注册制度。取得医师资格的，可以向所在地县级以上人民政府卫生行政部门申请注册。除有本法第十五条规定的情形外，受理申请的卫生行政部门应当自收到申请之日起三十日内准予注册，并发给由国务院卫生行政部门统一印制的医师执业证书。医疗、预防、保健机构可以为本机构中的医师集体办理注册手续。第十四条：医师经注册后，可以在医疗、预防、保健机构中按照注册的执业地点、执业类别、执业范围执业，从事相应的医疗、预防、保健业务。未经医师注册取得执业证书，不得从事医师执业活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2、审查责任：按照医师行业发展规划和产业政策，对书面申请材料进行审查，组织现场检查验收。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因不履行或不正确履行行政职责，有下列情形的，行政机关及相关工作人员应承担相应责任：1、对符合法定条件的医师执业注册许可申请不予受理的；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6、办理医师执业注册许可，索取或者收受他人财物或者谋取其他利益的；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119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护士执业注册</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《护士执业注册管理办法》第二条：护士经执业注册取得《护士执业证书》后，方可按照注册的执业地点从事护理工作。未经执业注册取得《护士执业证书》者，不得从事诊疗技术规范规定的护理活动。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2、审查责任：按照护士行业发展规划和政策，对书面申请材料进行审查。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1、对符合法定条件的护士执业注册申请不予受理的；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6、办理护士执业注册，索取或者收受他人财物或者谋取其他利益的；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放射源诊疗技术和医用辐射机构许可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《放射性同位素与射线装置安全和防护条例》第八条：生产、销售、使用放射性同位素和射线装置的单位，应当事先向有审批权的环境保护主管部门提出许可申请，并提交符合本条例第七条规定条件的证明材料。</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使用放射性同位素和射线装置进行放射诊疗的医疗卫生机构，还应当获得放射源诊疗技术和医用辐射机构许可。</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2、审查责任：按照放射诊疗行业发展规划和产业政策，对书面申请材料进行审查，组织现场检查验收。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1、对符合法定条件的放射诊疗使用许可申请不予受理的；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6、办理放射诊疗使用许可，索取或者收受他人财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此事项受市审批局委托行使；监管单位：卫健局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医疗机构执业登记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机构管理条例》第十五条：医疗机构执业，必须进行登记，领取《医疗机构执业许可证》。第十七条：医疗机构的执业登记，由批准其设置的人民政府卫生行政部门办理。按照本条例第十三条规定设置的医疗机构的执业登记，由所在地的省、自治区、直辖市人民政府卫生行政部门办理。机关、企业和事业单位设置的为内部职工服务的门诊部、诊所、卫生所(室)的执业登记，由所在地的县级人民政府卫生行政部门办理。第二十条：医疗机构改变名称、场所、主要负责人、诊疗科目、床位，必须向原登记机关办理变更登记。第二十一条：医疗机构歇业，必须向原登记机关办理注销登记。经登记机关核准后，收缴《医疗机构执业许可证》。医疗机构非因改建、扩建、迁建原因停业超过1年的，视为歇业。</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2、审查责任：按照医疗行业发展规划和产业政策，对书面申请材料进行审查，组织现场检查验收。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1、对符合法定条件的医疗机构执业登记许可申请不予受理的；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6、办理医疗机构执业登记许可，索取或者收受他人财物或者谋取其他利益的；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center"/>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监管单位：卫健局；二级及以下医疗机构的设置审批与执业登记“两证合一”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公共场所卫生许可（除饭馆，咖啡馆，酒吧，茶座等）</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1.《公共场所卫生管理条例》第四条：国家对公共场所以及新建、改建、扩建的公共场所的选址和设计实行"卫生许可证"制度。"卫生许可证"由县以上卫生行政部门签发。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公共场所卫生管理条例实施细则》第二十二条：国家对公共场所实行卫生许可证管理。公共场所经营者应当按照规定向县级以上地方人民政府卫生行政部门申请卫生许可证。未取得卫生许可证的,不得营业。公共场所卫生监督的具体范围由省、自治区、直辖市人民政府卫生行政部门公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3.《国务院关于第六批取消和调整行政审批项目的决定》下放管理层级的行政审批项目第49项。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2、审查责任：按照公共场所卫生许可行业发展规划和产业政策，对书面申请材料进行审查，组织现场检查验收。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1、对符合法定条件的申请公共场所卫生许可的申请不予受理的；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6、办理公共场所卫生许可，索取或者收受他人财物或者谋取其他利益的；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外籍医师来华短期执业许可台湾地区医师在大陆短期执业许可香港、澳门特别行政区医师在内地短期执业许可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《外国医师来华短期行医暂行管理办法》第十七条：外国医疗团体应邀或申请来华短期行医的，由邀请或合作单位所在地的省、自治区、直辖市卫生行政部门依照本办法的有关规定进行审核，报卫生部审批。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1、对符合法定条件的外国医疗团体来华短期行医许可申请不予受理的；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6、办理外国医疗团体来华短期行医许可，索取或者收受他人财物或者谋取其他利益的；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医疗机构设置审批（含港澳台）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医疗机构管理条例》第九条：单位或者个人设置医疗机构，必须经县级以上地方人民政府卫生行政部门审查批准，并取得设置医疗机构批准书。第五十三条：外国人中华人民共和国境内开设医疗机构及香港、澳门、台湾居民在内地开设医疗机构的管理办法，由国务院卫生行政部门另行制定。《国务院关于取消和下放50项行政审批项目等事项的决定》附件1第1项，香港特别行政区、澳门特别行政区、台湾地区投资者在内地设置独资医院审批，国家卫生计生委</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医疗机构管理条例》（国务院令第149号）《香港和澳门服务提供者在内地设立独资医院管理暂行办法》（卫医政发〔2010〕109号）《台湾服务提供者在大陆设立独资医院管理暂行办法》（卫医政发〔2010〕110号），下放省级卫生和计划生育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2、审查责任：按照医疗机构发展规划和产业政策，对书面申请材料进行审查，组织现场检查验收。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1、对符合法定条件的医疗机构设置许可申请不予受理的；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6、办理医疗机构设置许可，索取或者收受他人财物或者谋取其他利益的；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监管单位：卫健局二级及以下医疗机构的设置审批与执业登记“两证合一”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2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麻醉药品和第一类精神药品购用许可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麻醉药品和精神药品管理条例》第三十六条：医疗机构需要使用麻醉药品和第一类精神药品的，应当经所在地设区的市级人民政府卫生主管部门批准，取得麻醉药品、第一类精神药品购用印鉴卡(以下称印鉴卡)。医疗机构应当凭印鉴卡向本省、自治区、直辖市行政区域内的定点批发企业购买麻醉药品和第一类精神药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设区的市级人民政府卫生主管部门发给医疗机构印鉴卡时，应当将取得印鉴卡的医疗机构情况抄送所在地设区的市级药品监督管理部门，并报省、自治区、直辖市人民政府卫生主管部门备案。省、自治区、直辖市人民政府卫生主管部门应当将取得印鉴卡的医疗机构名单向本行政区域内的定点批发企业通报。第三十七条：医疗机构取得印鉴卡应当具备下列条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(一)有专职的麻醉药品和第一类精神药品管理人员;(二)有获得麻醉药品和第一类精神药品处方资格的执业医师;(三)有保证麻醉药品和第一类精神药品安全储存的设施和管理制度。</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2、审查责任：按照麻醉药品和精神药品行业和产业政策，对书面申请材料进行审查。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1、对符合法定条件的麻醉药品和精神药品购用许可申请不予受理的；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6、办理麻醉药品和精神药品购用许可，索取或者收受他人财物或者谋取其他利益的；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此事项受市审批局委托行使；监管单位：卫健局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经营高危险性体育项目许可</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全民健身条例》第三十二条：企业、个体工商户经项目的，应当符合下列条件，并向县级以上地方人民政府体育主管部门提出申请：（一）相关体育设施符合国家标准；（二）具有达到规定数量的取得国家职业资格证书的社会体育指导人员和救助人员；（三）具有相应的安全保障制度和措施。县级以上地方人民政府体育主管部门应当自收到申请之日起30日内进行实地核查，做出批准或者不予批准的决定。批准的，应当发给许可证；不予批准的，应当书面通知申请人并说明理由。国务院体育主管部门应当会同有关部门制定、调整高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险性体育项目目录，经国务院批准后予以公布。</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2.《国务院关于取消和下放一批行政审批项目等事项的决定》第91项。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91内容：经营高危险性体育项目许可，下放省级以下体育行政主管部门。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2、审查责任：按照高危险性体育行业发展规划和产业政策，对书面申请材料进行审查，组织现场检查验收。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1、对符合法定条件的申请经营高危险性体育项目许可的申请不予受理的；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6、办理经营高危险性体育项目许可，索取或者收受他人财物或者谋取其他利益的；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科研和教学用毒性药品购买审批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《医疗用毒性药品管理办法》（1988年12月27日国务院令第23号）第十条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2.审查责任：按照申请条件及相关要求，对书面申请材料进行审查，提出审核意见。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4.送达责任：准予许可的制发送达许可证，信息公开，通报监管部门。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3、对符合法定条件的申请人不予行政许可或者不在法定期限内作出准予行政许可决定的；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6、办理行政许可索取或者收受他人财物或者谋取其他利益的；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监管部门：县卫生健康局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128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举办健身气功活动及设立站点审批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1《国务院对确需保留的行政审批项目设定行政许可的决定》(2004年6月国务院令第412号)第三百三十六项：举办健身气功活动及站点审批。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2《国务院关于第五批取消和下放管理层级行政审批项目的决定》第62项设立健身气功活动站点审批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2、审查责任：按照健身气功活动行业发展规划和产业政策，对书面申请材料进行审查。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1、对符合法定条件的申请举办健身气功活动及设立站点审批的申请不予受理的；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6、举办健身气功活动及设立站点审批，索取或者收受他人财物或者谋取其他利益的；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监管单位：文广新局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rPr>
            </w:pPr>
            <w:r>
              <w:rPr>
                <w:rFonts w:hint="eastAsia" w:ascii="宋体" w:hAnsi="宋体" w:eastAsia="宋体" w:cs="宋体"/>
                <w:i w:val="0"/>
                <w:color w:val="000000"/>
                <w:kern w:val="0"/>
                <w:sz w:val="18"/>
                <w:szCs w:val="18"/>
                <w:u w:val="none"/>
                <w:lang w:val="en-US" w:eastAsia="zh-CN" w:bidi="ar"/>
              </w:rPr>
              <w:t>129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第二类非药品类易制毒化学品经营备案证明</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《非药品类易制毒化学品生产、经营许可办法》 国家安全生产监督管理总局令第5号第三条</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 xml:space="preserve"> 国家对非药品类易制毒化学品的生产、经营实行许可制度。对第一类非药品类易制毒化学品的生产、经营实行许可证管理，对第二类、第三类易制毒化学品的生产、经营实行备案证明管理。省、自治区、直辖市人民政府安全生产监督管理部门负责本行政区域内第一类非药品类易制毒化学品生产、经营的审批和许可证的颁发工作。 　　设区的市级人民政府安全生产监督管理部门负责本行政区域内第二类非药品类易制毒化学品生产、经营和第三类非药品类易制毒化学品生产的备案证明颁发工作。 　　县级人民政府安全生产监督管理部门负责本行政区域内第三类非药品类易制毒化学品经营的备案证明颁发工作。</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第二、三类非药品类易制毒化学品生产备案证明</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《易制毒化学品管理条例》依据文号 （国务院令第445号）条款号 第十三条条款内容 生产第二类、第三类易制毒化学品的，应当自生产之日起30日内，将生产的品种、数量等情况，向所在地的设区的市级人民政府安全生产监督管理部门备案。 经营第二类易制毒化学品的，应当自经营之日起30日内，将经营的品种、数量、主要流向等情况，向所在地的设区的市级人民政府安全生产监督管理部门备案；经营第三类易制毒化学品的，应当自经营之日起30日内，将经营的品种、数量、主要流向等情况，向所在地的县级人民政府安全生产监督管理部门备案。 前两款规定的行政主管部门应当于收到备案材料的当日发给备案证明。</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2、审查责任：按照行业发展规划和产业政策，对书面申请材料进行审查，提出是否同意的审核意见，组织现场检查验收。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监管部门：应急管理局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5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企业设立、变更、注销登记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1、《公司法》(1993年12月通过，2018年10月修正)</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六条：设立公司，应当依法向公司登记机关申请设立登记。第一百九十二条：外国公司在中国境内设立分支机构，必须向中国主管机关提出申请，并提交其公司章程、所属国的公司登记证书等有关文件，经批准后，向公司登记机关依法办理登记，领取营业执照。</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2、《个人独资企业法》(1999年8月通过)第九条：申请设立个人独资企业，应当由投资人或者其委托的代理人向个人独资企业所在地的登记机关提交设立申请书、投资人身份证明、生产经营场所使用证明等文件。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3、《合伙企业法》(1997年2月通过，2006年8月修订)第九条：申请设立合伙企业，应当向企业登记机关提交登记申请书、合伙协议书、合伙人身份证明等文件。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4、《公司登记管理条例》(1994年6月国务院令第156号，2016年2月修正)第二条：有限责任公司和股份有限公司设立、变更、终止，应当依照本条例办理公司登记。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5、《个人独资企业登记管理办法》(2000年1月国家工商行政管理局令第94号，2014年2月修订)第二条：个人独资企业的设立、变更、注销，应当依照《个人独资企业法》和本办法的规定办理企业登记。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6、《合伙企业登记管理办法》(1997年11月国务院令第236号，2014年3月修正)第二条：合伙企业的设立、变更、注销，应当依照合伙企业法和本办法的规定办理企业登记。</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1、受理阶段责任：在办公场所公示依法应当提交的材料；一次性告知补正材料；依法受理或不予受理（不予受理的应当告知理由）。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2、审查阶段责任：依法对企业登记申报材料审核、提出初审意见。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3、决定阶段责任：作出准予或者不予登记的行政许可决定（不予登记的应当告知理由）、按时办结；法定告知。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4、送达阶段责任：制作并送达营业执照，信息公开。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1、对符合规定条件的市场主体登记申请不予办理的或对符合条件的市场主体登记申请不在法定期限内作出许可的；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规定条件的市场主体登记申请予以办理的或超越法定权限作出准予行政许可决定的；3、在受理、审查、决定市场主体登记审批过程中，未向申请人、利害关系人履行法定告知义务或不一次告知申请人必须补正的全部内容的；未依法说明不受理行政许可申请或者不予行政许可的理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4、未严格审查市场主体登记申报材料，造成纠纷或财产损失的；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5、擅自增设、变更市场主体设立、变更、注销登记程序或条件的；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6、在市场主体设立、变更、注销登记中玩忽职守、滥用职权的；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7、在市场主体登记过程中发生的索取或者收受他人财物或者谋取其他利益的腐败行为的；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8、其他违反法律法规政策规定的行为。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此事项部分委托乡镇行使；监管单位：市场监管局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计量标准器具核准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计量法》（1985年9月通过，2009年8月第一次修正，2013年12月第二次修正，2015年4月第三次修正，2017年12月第四次修正）第六条：县级以上地方人民政府计量行政部门根据本地区的需要，建立社会公用计量标准器具，经上级人民政府计量行政部门主持考核合格后使用。第七条：国务院有关主管部门和省、自治区、直辖市人民政府有关主管部门，根据本部门的特殊需要，可以建立本部门使用的计量标准器具，其各项最高计量标准器具经同级人民政府计量行政部门主持考核合格后使用。第八条：企业、事业单位根据需要，可以建立本单位使用的计量标准器具，其各项最高计量标准器具经有关人民政府计量行政部门主持考核合格后使用。”</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计量法实施细则》经国务院批准，1987年2月国家计量局发布，2016年2月第一次修正，2017年3月第二次修正，2018年3月第三次修正）第八条：社会公用计量标准对社会上实施计量监督具有公证作用。县级以上地方人民政府计量行政部门建立的本行政区域内最高等级的社会公用计量标准，须向上一级人民政府计量行政部门申请考核；其他等级的，由当地人民政府计量行政部门主持考核。经考核符合本细则第七条规定条件并取得考核合格证的，由当地县级以上人民政府计量行政部门审批颁发社会公用计量标准证书后，方可使用。第十条：企业、事业单位建立本单位各项最高计量标准，须向与其主管部门同级的人民政府计量行政部门申请考核。乡镇企业向当地县级人民政府计量行政部门申请考核。经考核符合本细则第七条规定条件并取得考核合格证的，企业、事业单位方可使用，并向其主管部门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3.《计量标准考核办法》（国家质检总局令第72号）</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第八条：申请新建计量标准考核，申请计量标准考核的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单位（以下简称申请考核单位）应当向主持考核的质量技术监督部门递2交以下申请资料：（一）计量标准考核（复查）申请书原件2份和计量标准技术报告原件1份，以及电子版；（二）计量标准器及配套的主要计量设备有效检定或者校准证书，以及可以证明计量标准具有相应测量能力的其他技术资料复印件各1份；</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（三）计量检定或者校准人员的能力证明复印件1份。第九条：申请计量标准复查考核，申请考核单位应当向主持考核的质量技术监督部门递交以下申请资料：</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一）计量标准考核（复查）申请书原件2份和计量标准技术报告原件1份，以及电子版；（二）计量标准考核证书有效期内计量标准器及配套的主要计量设备的有效检定或者校准证书，以及可以证明计量标准具有相应测量能力的其他技术资料复印件各1份；（三）《计量标准封存（或注销）申请表》（如果适用）复印件1份；（四）计量检定或校准人员的能力证明复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件1份。</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2.审查责任：按照计量标准器具核准相关法律法规，对书面申请材料进行审查，提出是否同意登记的审核意见。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1.对符合法定条件的药品经营许可申请不予受理的；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6.办理计量标准器具核准时，索取或者收受他人财物或者谋取其他利益的；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7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承担国家法定计量检定机构任务授权</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计量法》（1985年9月通过，2009年8月第一次修正，2013年12月第二次修正，2015年4月第三次修正，2017年12月第四次修正）第二十条：县级以上人民政府计量行政部门可以根据需要设置计量检定机构，或者授权其他单位的计量检定机构，执行强制检定和其他检定、测试任务。执行前款规定的检定、测试任务的人员，必须经考核合格。《中华人民共和国计量法实施细则》（经国务院批准，1987年2月国家计量局发布，2016年2月第一次修正，2017年3月第二次修正，2018年3月第三次修正）第二十五条：县级以上人民政府计量行政部门依法设置的计量检定机构，为国家法定计量检定机构。其职责是：负责研究建立计量基准、社会公用计量标准，进行量值传递，执行强制检定和法律规定的其他检定、测试任务，起草技术规范，为实施计量监督提供技术保证，并承办有关计量监督工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中华人民共和国计量法实施细则》（经国务院批准，1987年2月国家计量局发布，2016年2月第一次修正，2017年3月第二次修正，2018年3月第三次修正）第二十七条：县级以上人民政府计量行政部门可以根据需要，采取以下形式授权其他单位的计量检定机构和技术机构，在规定的范围内执行强制检定和其他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定、测试任务：（一）授权专业性或区域性计量检定机构，作为法定计量检定机构；（二）授权建立社会公用计量标准；（三）授权某一部门或某一单位的计量检定机构，对其内部使用的强制检定计量器具执行强制检定；（四）授权有关技术机构，承担法律规定的其他检定、测试任务。</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2、审查责任：按照承担国家法定计量检定机构任务授权相关法律法规，对书面申请材料进行审查，提出是否同意登记的审核意见。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1.对符合法定条件的药品经营许可申请不予受理的；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6.办理承担国家法定计量检定机构任务授权时，索取或者收受他人财物或者谋取其他利益的；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8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农民专业合作社设立、变更、注销登记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农民专业合作社法》(2006年10月通过，2017年12月修订)第十二条：设立农民专业合作社，应当具备下列条件：（一）有五名以上符合本法第十九条、第二十条规定的成员；（二）有符合本法规定的章程；（三）有符合本法规定的组织机构；（四）有符合法律、行政法规规定的名称和章程确定的住所；（五）有符合章程规定的成员出资。第十六条：设立农民专业合作社，应当向工商行政管理部门提交下列文件，申请设立登记：……农民专业合作社法定登记事项变更的，应当申请变更登记；第五十六条：三个以上的农民专业合作社在自愿的基础上，可以出资设立农民专业合作社联合社。农民专业合作社联合社应当有自己的名称、组织机构和住所，由联合社全体成员制定并承认的章程，以及符合章程规定的成员出资。第五十七条：农民专业合作社联合社依照本法登记，取得法人资格，领取营业执照，登记类型为农民专业合作社联合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农民专业合作社登记管理条例》(2007年5月国务院令第498号，2014年2月修正)第二条：农民专业合作社的设立、变更和注销，应当依照《中华人民共和国农民专业合作社法》和本条例的规定办理登。第四条：工商行政管理部门是农民专业合作社登记机关。国务院工商行政管理部门负责全国的农民专业合作社登记管理工作。农民专业合作社由所在地的县（市）、区工商行政管理部门登记。第十一条：申请设立农民专业合作社，应当由全体设立人指定的代表或者委托的代理人向登记机关提交下列文件。第二十条：农民专业合作社的名称、住所、成员出资总额、业务范围、法定代表人姓名发生变更的，应当自做出变更决定之日起30日内向原登记机关申请变更登记，并提交下列文件；第二十五条：成立清算组的农民专业合作社应当自清算结束之日起30日内，由清算组全体成员指定的代表或者委托的代理人向原登记机关申请注销登记，并提交下列文件，经登记机关注销登记，农民专业合作社终止。第三十条：农民专业合作社可以设立分支机构，并比照本条例有关农民专业合作社登记的规定，向分支机构所在地登记机关申请办理登记。农民专业合作社分支机构不具有法人资格。</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1、受理阶段责任：在办公场所公示依法应当提交的材料；一次性告知补正材</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料；依法受理或不予受理（不予受理的应当告知理由）。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2、审查阶段责任：依法对农民专业合作社登记申报材料审核、提出初审意见。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3、决定阶段责任：作出准予或者不予登记的行政许可决定（不予登记的应当</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告知理由）、按时办结；法定告知。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4、送达阶段责任：制作并送达营业执照，信息公开。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1、对符合规定条件的申请不予办理的或对符合条件的申请不在法定期</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限内作出许可的；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2、对不符合规定条件的申请予以办理的或超越法定权限作出准予行政许可决定的；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3、未严格审查申报材料，造成纠纷或财产损失的；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4、在受理、审查、决定农业专业合作社登记审批过程中，未向申请人、利害关系人履行法定告知义务或不一次告知申请人必须补正的全部内容的；未依法说明不受理行政许可申请或者不予行政许可的理由的。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5、擅自增设、变更农民专业合作社设立、变更、注销登记程序或条件的；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6、在农民专业合作社登记中玩忽职守、滥用职权的；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7、在农民专业合作社登记过程中发生的索取或者收受他人财物或者谋取其他利益的腐败行为的；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8、其他违反法律法规政策规定的行为。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1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135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个体工商户注册、变更、注销登记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1、《个体工商户条例》(2011年4月国务院令第596</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号，2016年2月修正)第二条：有经营能力的公民，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依照本条例规定经工商行政管理部门登记，从事工商业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经营的，为个体工商户。第三条：县、自治县、不设区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的市、市辖区工商行政管理部门为个体工商户的登记机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关（以下简称登记机关）。登记机关按照国务院工商行政管理部门的规定，可以委托其下属工商行政管理所办理个体工商户登记。第八条：申请登记为个体工商户，应当向经营场所所在地登记机关申请注册登记。申请人应当提交登记申请书、身份证明和经营场所证明。第十条：个体工商户登记事项变更的，应当向登记机关申请办理变更登记。第十二条：个体工商户不再从事经营活动的，应当到登记机关办理注销登记。</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个体工商户登记管理办法》(2011年9月国家工商行政管理总局令第56号，2014年2月修订)第十三条：申请个体工商户登记，申请人或者其委托的代理人可以直接到经营场所所在地登记机关登记；登记机关委托其下属工商所办理个体工商户登记的，到经营场所所在地工商所登记。</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1、受理阶段责任：在办公场所公示依法应当提交的材料；一次性告知补正材料；依法受理或不予受理（不予受理的应当告知理由）。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2、审查阶段责任：依法对个体工商户登记申报材料审核、提出初审意见。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3、决定阶段责任：作出准予或者不予登记的行政许可决定（不予登记的应当告知理由）、按时办结；法定告知。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4、送达阶段责任：制作并送达营业执照，信息公开。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1、对符合规定条件的申请不予办理的或对符合条件的申请不在法定期限内作出许可的；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2、对不符合规定条件的申请予以办理的或超越法定权限作出准予行政许可决定的；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3、未严格审查申报材料，造成纠纷或财产损失的；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4、在受理、审查、决定个体工商户登记审批过程中，未向申请人、利害关系人履行法定告知义务或不一次告知申请人必须补正的全部内容的；未依法说明不受理行政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许可申请或者不予行政许可的理由的。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5、擅自增设、变更个体工商户设立、变更、注销登记程序或条件的；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6、在个体工商户设立、变更、注销登记中玩忽职守、滥用职权的；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7、在个体工商户登记过程中发生的索取或者收受他人财物或者谋取其他利益的腐败行为的；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8、其他违反法律法规政策规定的行为。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此事项委托乡镇行使；监管单位：市场监管局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8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136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特种设备使用登记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中华人民共和国特种设备安全法》第五条：国务院负责特种设备安全监督管理的部门对全国特种设备安全实施监督管理。县级以上地方各级人民政府负责特种设备安全监督管理的部门对本行政区域内特种设备安全实施监督管理。县级以上地方各级人民政府负责特种设备安全监督管理的部门对本行政区域内特种设备安全实施监督管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特种设备安全法》第三十三条：特种设备使用单位应当在特种设备投入使用前或者投入使用后三十日内，向负责特种设备安全监督管理的部门办理使用登记，取得使用登记证书。登记标志应当置于该特种设备的显著位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特种设备安全监察条例》第二十五条：特种设备在投入使用前或者投入使用后30日内，特种设备使用单位应当向直辖市或者设区的市的特种设备安全监督管理部门登记。登记标志应当置于或者附着于该特种设备的显著位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特种设备使用管理规则》3.1一般要求（1）特种设备在投入使用后30日内，是哟用单位应当向特种设备所在地的直辖市或者设区市的特种设备安全监管部门申请办理使用登记，办理使用登记的直辖市或者设区市的特种设备安全监管部门，可以委托其下一级特种设</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备安全监管部门（以下简称登记机关）办理使用登记；对于整机出厂的特种设备，一般应当在投入使用前办理使用登记。</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2.审查责任：按照特种设备相关法律法规，对书面申请材料进行审查，提出是否同意登记的审核意见。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1.对符合法定条件的特种设备使用登记申请不予受理的；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6.办理特种设备使用登记时，索取或者收受他人财物或者谋取其他利益的；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top"/>
          </w:tcPr>
          <w:p>
            <w:pPr>
              <w:keepNext w:val="0"/>
              <w:keepLines w:val="0"/>
              <w:widowControl/>
              <w:suppressLineNumbers w:val="0"/>
              <w:jc w:val="left"/>
              <w:textAlignment w:val="top"/>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此事项受市审批局委托行使；</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8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137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lang w:val="en-US" w:eastAsia="zh-CN"/>
              </w:rPr>
            </w:pPr>
            <w:r>
              <w:rPr>
                <w:rFonts w:hint="eastAsia" w:ascii="宋体" w:hAnsi="宋体" w:eastAsia="宋体" w:cs="宋体"/>
                <w:i w:val="0"/>
                <w:color w:val="000000"/>
                <w:sz w:val="18"/>
                <w:szCs w:val="18"/>
                <w:u w:val="none"/>
                <w:lang w:val="en-US" w:eastAsia="zh-CN"/>
              </w:rPr>
              <w:t>行政许可</w:t>
            </w:r>
          </w:p>
        </w:tc>
        <w:tc>
          <w:tcPr>
            <w:tcW w:w="1290"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特种设备作业人员资质认定</w:t>
            </w:r>
          </w:p>
        </w:tc>
        <w:tc>
          <w:tcPr>
            <w:tcW w:w="36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《中华人民共和国特种设备安全法》</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第十四条特种设备安全管理人员、检测人员和作业人员应当按照国家有关规定取得相应资格，方可从事相关工作。</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还应当履行相关法律法规。</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2、审查责任：对申请人提交的申请材料进行审查。委托考试机构报名组织考试。</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3、决定责任；发证机关收到考试结果后，20个工作日完成审批发证。</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4、送达责任：发证后20个工作日内将取证人员信息上传“全国特种设备公示信息查询平台”。</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1、对符合法定条件的特种设备作业人员资质认定申请不予受理的；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4、违反法定程序实施行政许可的；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5、应当举行听证而不举行听证的；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6、办理特惠总色号被作业人员资质认定、实施监督检查，索取或者收受他人财物或者谋取其他利益的；</w:t>
            </w:r>
          </w:p>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监管部门：  市场监督管理部门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90" w:hRule="atLeast"/>
        </w:trPr>
        <w:tc>
          <w:tcPr>
            <w:tcW w:w="13988" w:type="dxa"/>
            <w:gridSpan w:val="8"/>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28"/>
                <w:szCs w:val="28"/>
                <w:u w:val="none"/>
              </w:rPr>
            </w:pPr>
            <w:r>
              <w:rPr>
                <w:rStyle w:val="15"/>
                <w:rFonts w:hint="eastAsia" w:ascii="仿宋_GB2312" w:hAnsi="仿宋_GB2312" w:eastAsia="仿宋_GB2312" w:cs="仿宋_GB2312"/>
                <w:sz w:val="32"/>
                <w:szCs w:val="32"/>
                <w:lang w:val="en-US" w:eastAsia="zh-CN" w:bidi="ar"/>
              </w:rPr>
              <w:t>二、</w:t>
            </w:r>
            <w:r>
              <w:rPr>
                <w:rFonts w:hint="eastAsia" w:ascii="仿宋_GB2312" w:hAnsi="仿宋_GB2312" w:eastAsia="仿宋_GB2312" w:cs="仿宋_GB2312"/>
                <w:b/>
                <w:i w:val="0"/>
                <w:color w:val="000000"/>
                <w:kern w:val="0"/>
                <w:sz w:val="32"/>
                <w:szCs w:val="32"/>
                <w:u w:val="none"/>
                <w:lang w:val="en-US" w:eastAsia="zh-CN" w:bidi="ar"/>
              </w:rPr>
              <w:t>行政确认，共10项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招投标情况书面报告提交</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1.《中华人民共和国建筑法》第十九条“建筑工程依法实行招标发包，对不适于招标发包的可以直接发包。”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2.《中华人民共和国招标投标法》第四十七条“依法必须进行招标的项目，招标人应当自确定中标人之日起十五日内，向有关行政监督部门提交招标投标情况的书面报告。”</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建设工程最高限价备案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建筑和市政基础设施工程施工招标投标管理办法》（建设部令第89号）第四十七条招标人和中标人应当自中标通知书发出之日起30日内，按照招标文件和中标人的投标文件订立书面合同；招标人和中标人不得再行订立背离合同实质性内容的其他协议。订立书面合同后7日内，中标人应当将合同送工程所在地的县级以上地方人民政府建设行政主管部门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中标人不与招标人订立合同的，投标保证金不予退还并取消其中标资格，给招标人造成的损失超过投标保证金数额的，应当对超过部分予以赔偿；没有提交投标保证金的，应当对招标人的损失承担赔偿责任。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招标人无正当理由不与中标人签订合同，给中标人造成损失的，招标人应当给予赔偿。</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1、备案责任：按规定向有关机关备案。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建设工程竣工结算备案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建筑和市政基础设施工程施工招标投标管理办法》（建设部令第89号）第四十七条招标人和中标人应当自中标通知书发出之日起30日内，按照招标文件和中标人的投标文件订立书面合同；招标人和中标人不得再行订立背离合同实质性内容的其他协议。订立书面合同后7日内，中标人应当将合同送工程所在地的县级以上地方人民政府建设行政主管部门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中标人不与招标人订立合同的，投标保证金不予退还并取消其中标资格，给招标人造成的损失超过投标保证金数额的，应当对超过部分予以赔偿；没有提交投标保证金的，应当对招标人的损失承担赔偿责任。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招标人无正当理由不与中标人签订合同，给中标人造成损失的，招标人应当给予赔偿。</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1、备案责任：按规定向有关机关备案。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工程质量监督手续办理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fldChar w:fldCharType="begin"/>
            </w:r>
            <w:r>
              <w:rPr>
                <w:rFonts w:hint="eastAsia" w:ascii="宋体" w:hAnsi="宋体" w:eastAsia="宋体" w:cs="宋体"/>
                <w:i w:val="0"/>
                <w:color w:val="auto"/>
                <w:kern w:val="0"/>
                <w:sz w:val="18"/>
                <w:szCs w:val="18"/>
                <w:u w:val="none"/>
                <w:lang w:val="en-US" w:eastAsia="zh-CN" w:bidi="ar"/>
              </w:rPr>
              <w:instrText xml:space="preserve"> HYPERLINK "https://baike.baidu.com/item/%E7%AB%A3%E5%B7%A5%E9%AA%8C%E6%94%B6%E6%8A%A5%E5%91%8A" \o "https://baike.baidu.com/item/%E7%AB%A3%E5%B7%A5%E9%AA%8C%E6%94%B6%E6%8A%A5%E5%91%8A" </w:instrText>
            </w:r>
            <w:r>
              <w:rPr>
                <w:rFonts w:hint="eastAsia" w:ascii="宋体" w:hAnsi="宋体" w:eastAsia="宋体" w:cs="宋体"/>
                <w:i w:val="0"/>
                <w:color w:val="auto"/>
                <w:kern w:val="0"/>
                <w:sz w:val="18"/>
                <w:szCs w:val="18"/>
                <w:u w:val="none"/>
                <w:lang w:val="en-US" w:eastAsia="zh-CN" w:bidi="ar"/>
              </w:rPr>
              <w:fldChar w:fldCharType="separate"/>
            </w:r>
            <w:r>
              <w:rPr>
                <w:rStyle w:val="11"/>
                <w:rFonts w:hint="eastAsia" w:ascii="宋体" w:hAnsi="宋体" w:eastAsia="宋体" w:cs="宋体"/>
                <w:i w:val="0"/>
                <w:color w:val="auto"/>
                <w:sz w:val="18"/>
                <w:szCs w:val="18"/>
                <w:u w:val="none"/>
              </w:rPr>
              <w:t>1.《建设工程质量管理条例》第四十九条“建设单位应当自建设工程竣工验收合格之日起15日内，将建设工程竣工验收报告和规划、公安消防、环保等部门出具的认可文件或者准许使用文件报建设行政主管部门或者其他有关部门备案。</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建设行政主管部门或者其他有关部门发现建设单位在竣工验收过程中有违反国家有关建设工程质量管理规定行为的，责令停止使用，重新组织竣工验收。”</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2.《城镇燃气管理条例》（国务院令第583号）第十一条“进行新区建设、旧区改造，应当按照城乡规划和燃气发展规划配套建设燃气设施或者预留燃气设施建设用地。</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对燃气发展规划范围内的燃气设施建设工程，城乡规划主管部门在依法核发选址意见书时，应当就燃气设施建设是否符合燃气发展规划征求燃气管理部门的意见；不需要核发选址意见书的，城乡规划主管部门在依法核发建设用地规划许可证或者乡村建设规划许可证时，应当就燃气设施建设是否符合燃气发展规划征求燃气管理部门的意见。</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燃气设施建设工程竣工后，建设单位应当依法组织竣工验收，并自竣工验收合格之日起15日内，将竣工验收情况报燃气管理部门备案。”</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3.《建设工程质量管理条例》（国务院令第279号2000年）第四条“县级以上人民政府建设行政主管部门和其他有关部门应当加强对建设工程质量的监督管理。”</w:t>
            </w:r>
            <w:r>
              <w:rPr>
                <w:rFonts w:hint="eastAsia" w:ascii="宋体" w:hAnsi="宋体" w:eastAsia="宋体" w:cs="宋体"/>
                <w:i w:val="0"/>
                <w:color w:val="auto"/>
                <w:kern w:val="0"/>
                <w:sz w:val="18"/>
                <w:szCs w:val="18"/>
                <w:u w:val="none"/>
                <w:lang w:val="en-US" w:eastAsia="zh-CN" w:bidi="ar"/>
              </w:rPr>
              <w:fldChar w:fldCharType="end"/>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1、备案责任：按规定向有关机关备案。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建设工程安全监督备案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fldChar w:fldCharType="begin"/>
            </w:r>
            <w:r>
              <w:rPr>
                <w:rFonts w:hint="eastAsia" w:ascii="宋体" w:hAnsi="宋体" w:eastAsia="宋体" w:cs="宋体"/>
                <w:i w:val="0"/>
                <w:color w:val="auto"/>
                <w:kern w:val="0"/>
                <w:sz w:val="18"/>
                <w:szCs w:val="18"/>
                <w:u w:val="none"/>
                <w:lang w:val="en-US" w:eastAsia="zh-CN" w:bidi="ar"/>
              </w:rPr>
              <w:instrText xml:space="preserve"> HYPERLINK "https://baike.so.com/doc/5114591-5343453.html" \o "https://baike.so.com/doc/5114591-5343453.html" </w:instrText>
            </w:r>
            <w:r>
              <w:rPr>
                <w:rFonts w:hint="eastAsia" w:ascii="宋体" w:hAnsi="宋体" w:eastAsia="宋体" w:cs="宋体"/>
                <w:i w:val="0"/>
                <w:color w:val="auto"/>
                <w:kern w:val="0"/>
                <w:sz w:val="18"/>
                <w:szCs w:val="18"/>
                <w:u w:val="none"/>
                <w:lang w:val="en-US" w:eastAsia="zh-CN" w:bidi="ar"/>
              </w:rPr>
              <w:fldChar w:fldCharType="separate"/>
            </w:r>
            <w:r>
              <w:rPr>
                <w:rStyle w:val="11"/>
                <w:rFonts w:hint="eastAsia" w:ascii="宋体" w:hAnsi="宋体" w:eastAsia="宋体" w:cs="宋体"/>
                <w:i w:val="0"/>
                <w:color w:val="auto"/>
                <w:sz w:val="18"/>
                <w:szCs w:val="18"/>
                <w:u w:val="none"/>
              </w:rPr>
              <w:t>《建设工程安全生产管理条例》第十条建设单位在申请领取施工许可证时，应当提供建设工程有关安全施工措施的资料。</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依法批准开工报告的建设工程，建设单位应当自开工报告批准之日起15日内，将保证安全施工的措施报送建设工程所在地的县级以上地方人民政府建设行政主管部门或者其他有关部门备案。</w:t>
            </w:r>
            <w:r>
              <w:rPr>
                <w:rFonts w:hint="eastAsia" w:ascii="宋体" w:hAnsi="宋体" w:eastAsia="宋体" w:cs="宋体"/>
                <w:i w:val="0"/>
                <w:color w:val="auto"/>
                <w:kern w:val="0"/>
                <w:sz w:val="18"/>
                <w:szCs w:val="18"/>
                <w:u w:val="none"/>
                <w:lang w:val="en-US" w:eastAsia="zh-CN" w:bidi="ar"/>
              </w:rPr>
              <w:fldChar w:fldCharType="end"/>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94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招标人自行办理招标备案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《招标投标法》第十二条第三款“依法必须进行招标的项目，招标人自行办理招标事宜的，应当向有关行政监督部门备案。”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1、备案责任：按规定向有关机关备案。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1、超越法定职权予以核准或备案的；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2、对不符合法定条件的项目予以核准的；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3、对符合法定条件的项目不予核准的；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4、擅自增减核准审查条件的，或者以备案名义变相审批、核准的；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5、不在法定期限内作出核准决定的；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6、在项目核准、备案以及相关审批手续办理过程中玩忽职守、滥用职权、徇私舞弊、索贿受贿的；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事后监管部门：住建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招标文件备案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1.《中华人民共和国建筑法》第十九条“建筑工程依法实行招标发包，对不适于招标发包的可以直接发包。”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2.《中华人民共和国招标投标法》第四十七条“依法必须进行招标的项目，招标人应当自确定中标人之日起十五日内，向有关行政监督部门提交招标投标情况的书面报告。”</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15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8</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招标人对已发出的招标文件进行必要的澄清或者修改的备案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1.《中华人民共和国建筑法》第十九条“建筑工程依法实行招标发包，对不适于招标发包的可以直接发包。”</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2.《中华人民共和国招标投标法》第四十七条“依法必须进行招标的项目，招标人应当自确定中标人之日起十五日内，向有关行政监督部门提交招标投标情况的书面报告。”</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54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股权出质登记</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中华人民共和国物权法》（主席令第62号）第二百二十三条：债务人或者第三人有权处分的下列权利可以出质：（四）可以转让的基金份额、股权；第二百二十六条：以基金份额、股权出质的，当事人应当订立书面合同。以基金份额、证券登记结算机构登记的股权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质的，质权自证券登记结算机构办理出质登记时设立；以其他股权出质的，质权自工商行政管理部门办理出质登记时设立。</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工商行政管理机关股权出质登记办法》（2008年9月1日国家工商行政管理总局令第32号公布，根据2016年4月29日国家工商行政管理总局令第86号修订）第三条：负责出质股权所在公司登记的工商行政管理机关是股权出质登记机关（以下简称登记机关）。各级工商行政管理机关的企业登记机构是股权出质登记机构。第六条：申请股权出质设立登记、变更登记和注销登记，应当由出质人和质权人共同提出。申请股权出质撤销登记，可以由出质人或者质权人单方提出。第八条：出质股权数额变更，以及出质人、质权人姓名(名称)或者出质股权所在公司名称更改的，应当申请办理变更登记。第十条：出现主债权消灭、质权实现、质权人放弃质权或法律规定的其他情形导致质权消灭的，应当申请办理注销登记。</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1、受理阶段责任：在办公场所公示依法应当提交的材料；一次性告知补正材料；依法受理或不予受理（不予受理的应当告知理由）。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2、审查阶段责任：依法对企业登记申报材料审核、提出初审意见。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3、决定阶段责任：作出准予或者不予登记的行政许可决定（不予登记的应当告知理由）、按时办结；法定告知。</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4、送达阶段责任：发放准予登记通知书，信息公开。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5、其他法律法规政策规定应履行的责任。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行政职责，有下列情形的，行政机关及相关工作人员应承担相应责任：1、对符合法定条件的申请不予受理的；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监管单位：市场监管局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7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行政确认</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慈善组织认定</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慈善法》第十条：设立慈善组织，应当向县级以上人民政府民政部门申请登记，民政部门应当自受理申请之日起三十日内作出决定。符合本法规定条件的，准予登记并向社会公告；不符合本法规定条件的，不予登记并书面说明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本法公布前已经设立的基金会、社会团体、社会服务机构等非营利性组织，可以向其登记的民政部门申请认定为慈善组织，民政部门应当自受理申请之日起二十日内作出决定。符合慈善组织条件的，予以认定并向社会公告；不符合慈善组织条件的，不予认定并书面说明理由。</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2、审查责任：按照慈善组织认定政策，对书面申请材料进行审查，提出是否同意筹建的审核意见。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6、办理时，索取或者收受他人财物或者谋取其他利益的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监管单位：民政局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5" w:hRule="atLeast"/>
        </w:trPr>
        <w:tc>
          <w:tcPr>
            <w:tcW w:w="13988" w:type="dxa"/>
            <w:gridSpan w:val="8"/>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b/>
                <w:i w:val="0"/>
                <w:color w:val="000000"/>
                <w:sz w:val="30"/>
                <w:szCs w:val="30"/>
                <w:u w:val="none"/>
              </w:rPr>
            </w:pPr>
            <w:r>
              <w:rPr>
                <w:rFonts w:hint="eastAsia" w:ascii="仿宋_GB2312" w:hAnsi="仿宋_GB2312" w:eastAsia="仿宋_GB2312" w:cs="仿宋_GB2312"/>
                <w:b/>
                <w:i w:val="0"/>
                <w:color w:val="000000"/>
                <w:kern w:val="0"/>
                <w:sz w:val="32"/>
                <w:szCs w:val="32"/>
                <w:u w:val="none"/>
                <w:lang w:val="en-US" w:eastAsia="zh-CN" w:bidi="ar"/>
              </w:rPr>
              <w:t>三、其他权力，共7项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60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房屋建筑和市政基础设施工程竣工验收备案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u w:val="none"/>
              </w:rPr>
            </w:pPr>
            <w:r>
              <w:rPr>
                <w:rFonts w:hint="eastAsia" w:ascii="宋体" w:hAnsi="宋体" w:eastAsia="宋体" w:cs="宋体"/>
                <w:i w:val="0"/>
                <w:color w:val="auto"/>
                <w:kern w:val="0"/>
                <w:sz w:val="18"/>
                <w:szCs w:val="18"/>
                <w:u w:val="none"/>
                <w:lang w:val="en-US" w:eastAsia="zh-CN" w:bidi="ar"/>
              </w:rPr>
              <w:fldChar w:fldCharType="begin"/>
            </w:r>
            <w:r>
              <w:rPr>
                <w:rFonts w:hint="eastAsia" w:ascii="宋体" w:hAnsi="宋体" w:eastAsia="宋体" w:cs="宋体"/>
                <w:i w:val="0"/>
                <w:color w:val="auto"/>
                <w:kern w:val="0"/>
                <w:sz w:val="18"/>
                <w:szCs w:val="18"/>
                <w:u w:val="none"/>
                <w:lang w:val="en-US" w:eastAsia="zh-CN" w:bidi="ar"/>
              </w:rPr>
              <w:instrText xml:space="preserve"> HYPERLINK "https://baike.baidu.com/item/%E7%AB%A3%E5%B7%A5%E9%AA%8C%E6%94%B6%E6%8A%A5%E5%91%8A" \o "https://baike.baidu.com/item/%E7%AB%A3%E5%B7%A5%E9%AA%8C%E6%94%B6%E6%8A%A5%E5%91%8A" </w:instrText>
            </w:r>
            <w:r>
              <w:rPr>
                <w:rFonts w:hint="eastAsia" w:ascii="宋体" w:hAnsi="宋体" w:eastAsia="宋体" w:cs="宋体"/>
                <w:i w:val="0"/>
                <w:color w:val="auto"/>
                <w:kern w:val="0"/>
                <w:sz w:val="18"/>
                <w:szCs w:val="18"/>
                <w:u w:val="none"/>
                <w:lang w:val="en-US" w:eastAsia="zh-CN" w:bidi="ar"/>
              </w:rPr>
              <w:fldChar w:fldCharType="separate"/>
            </w:r>
            <w:r>
              <w:rPr>
                <w:rStyle w:val="11"/>
                <w:rFonts w:hint="eastAsia" w:ascii="宋体" w:hAnsi="宋体" w:eastAsia="宋体" w:cs="宋体"/>
                <w:i w:val="0"/>
                <w:color w:val="auto"/>
                <w:sz w:val="18"/>
                <w:szCs w:val="18"/>
                <w:u w:val="none"/>
              </w:rPr>
              <w:t>1.《建设工程质量管理条例》第四十九条“建设单位应当自建设工程竣工验收合格之日起15日内，将建设工程竣工验收报告和规划、公安消防、环保等部门出具的认可文件或者准许使用文件报建设行政主管部门或者其他有关部门备案。</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建设行政主管部门或者其他有关部门发现建设单位在竣工验收过程中有违反国家有关建设工程质量管理规定行为的，责令停止使用，重新组织竣工验收。”</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2.《城镇燃气管理条例》（国务院令第583号）第十一条“进行新区建设、旧区改造，应当按照城乡规划和燃气发展规划配套建设燃气设施或者预留燃气设施建设用地。</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对燃气发展规划范围内的燃气设施建设工程，城乡规划主管部门在依法核发选址意见书时，应当就燃气设施建设是否符合燃气发展规划征求燃气管理部门的意见；不需要核发选址意见书的，城乡规划主管部门在依法核发建设用地规划许可证或者乡村建设规划许可证时，应当就燃气设施建设是否符合燃气发展规划征求燃气管理部门的意见。</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燃气设施建设工程竣工后，建设单位应当依法组织竣工验收，并自竣工验收合格之日起15日内，将竣工验收情况报燃气管理部门备案。”</w:t>
            </w:r>
            <w:r>
              <w:rPr>
                <w:rStyle w:val="11"/>
                <w:rFonts w:hint="eastAsia" w:ascii="宋体" w:hAnsi="宋体" w:eastAsia="宋体" w:cs="宋体"/>
                <w:i w:val="0"/>
                <w:color w:val="auto"/>
                <w:sz w:val="18"/>
                <w:szCs w:val="18"/>
                <w:u w:val="none"/>
              </w:rPr>
              <w:br w:type="textWrapping"/>
            </w:r>
            <w:r>
              <w:rPr>
                <w:rStyle w:val="11"/>
                <w:rFonts w:hint="eastAsia" w:ascii="宋体" w:hAnsi="宋体" w:eastAsia="宋体" w:cs="宋体"/>
                <w:i w:val="0"/>
                <w:color w:val="auto"/>
                <w:sz w:val="18"/>
                <w:szCs w:val="18"/>
                <w:u w:val="none"/>
              </w:rPr>
              <w:t>3.《建设工程质量管理条例》（国务院令第279号2000年）第四条“县级以上人民政府建设行政主管部门和其他有关部门应当加强对建设工程质量的监督管理。”</w:t>
            </w:r>
            <w:r>
              <w:rPr>
                <w:rFonts w:hint="eastAsia" w:ascii="宋体" w:hAnsi="宋体" w:eastAsia="宋体" w:cs="宋体"/>
                <w:i w:val="0"/>
                <w:color w:val="auto"/>
                <w:kern w:val="0"/>
                <w:sz w:val="18"/>
                <w:szCs w:val="18"/>
                <w:u w:val="none"/>
                <w:lang w:val="en-US" w:eastAsia="zh-CN" w:bidi="ar"/>
              </w:rPr>
              <w:fldChar w:fldCharType="end"/>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1、备案责任：按规定向有关机关备案。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9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商品住房项目中配建保障房方案审批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石家庄市人民政府办公厅《关于进一步加强保障性安居工程建设和管理的实施意见》的通知（石政办发[2012]11号）第三条第四款：强制配建保障性住房。市域内2010年6月1日后新建商品住房项目按住宅总建筑面积5%比例配建廉租住房；2011年3月1日起，出让的商品住房用地项目，须按照项目总建筑面积10%（5%为廉租住房、5%为公共租赁住房）以上的比例配建公共保障房。配建的廉租住房无偿移交政府；配建的公共租赁住房，由政府按建筑安装成本价回购。城中村改造、旧城改造项目按规划住宅总建筑面积扣除回迁安置面积后5%的比例配建保障性租赁住房，政府按建筑安装成本价回购。经济适用住房项目、棚户区（危陋住宅区）改造项目，不再配建保障性租赁住房。强制配建的公共保障房产权归政府所有。建筑安装成本价以财政评审中心的评审价为准，每年三月底向社会公布。配建的保障性租赁住房应优先开工建设，应与所在小区住房统一质量标准，统一质监验收，统一物业管理和服务。保障性租赁住房配建方案未经市保障性安居工程领导小组办公室审批通过的，规划、建设、房管部门不得办理建设工程规划许可证、建筑工程施工许可证、商品房预售许可证等手续。</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1、失职、渎职，对不符合有关法律法规的而予以审查通过的；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2、发生腐败行为；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3、其他违反法律法规规章文件规定的行为。</w:t>
            </w:r>
          </w:p>
        </w:tc>
        <w:tc>
          <w:tcPr>
            <w:tcW w:w="833" w:type="dxa"/>
            <w:shd w:val="clear" w:color="auto" w:fill="auto"/>
            <w:tcMar>
              <w:top w:w="15" w:type="dxa"/>
              <w:left w:w="15" w:type="dxa"/>
              <w:right w:w="15" w:type="dxa"/>
            </w:tcMar>
            <w:vAlign w:val="center"/>
          </w:tcPr>
          <w:p>
            <w:pPr>
              <w:jc w:val="left"/>
              <w:rPr>
                <w:rFonts w:hint="eastAsia" w:ascii="宋体" w:hAnsi="宋体" w:eastAsia="宋体" w:cs="宋体"/>
                <w:i w:val="0"/>
                <w:color w:val="00000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390"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政府出资的投资项目审批</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政府投资条例》（国务院令第712号）第九条“政府采取直接投资方式、资本金注入方式投资的项目（以下统称政府投资项目），项目单位应当编制项目建议书、可行性研究报告、初步设计，按照政府投资管理权限和规定的程序，报投资主管部门或者其他有关部门审批”。《河北省政府投资管理办法》（冀政办字〔2019〕82号）第六条“项目审批部门包括投资主管部门、行政审批部门及其他具有审批职能的部门，按照部门职能履行相应职责。各级发展改革部门为本级政府投资主管部门，履行政府投资综合管理职责。其他有关部门依照规定的职责分工，履行相应的政府投资管理职责。”第七条“除上级政府及有关部门另有规定外，原则上使用本级政府预算安排资金的项目由本级项目审批部门审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1、审批责任：项目单位应当编制项目建议书、可行性研究报告、初步设计，按照政府投资管理权限和规定的程序，报投资主管部门或者其他有关部门审批。</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1、超越审批权限审批政府投资项目；</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2、对不符合规定的政府投资项目予以批准；</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3、未按照规定核定或者调整政府投资项目的投资概算；</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4、为不符合规定的项目安排投资补助、贷款贴息等政府投资资金；</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5、履行政府投资管理职责中其他玩忽职守、滥用职权、徇私舞弊的情形。</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7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企业投资项目备案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公司登记管理条例》第三十六条公司章程修改未涉及登记事项的，公司应当将修改后的公司章程或者公司章程修正案送原公司登记机关备案；第三十七条公司董事、监事、经理发生变动的，应当向原公司登记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中华人民共和国企业法人登记管理条例施行细则》第三十三条企业法人因主管部门改变，涉及原主要登记事项的，应当分别情况，持有关文件申请变更、开业、注销登记。不涉及原主要登记事项变更的，企业法人应当持主管部门改变的有关文件，及时向原登记主管机关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1、备案责任：对申请人提交的备案材料进行审查，审查材料是否齐全、符合法定形式，不予备案的应当书面告知理由，准予备案的发放准予备案通知书，并将备案信息公示。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1.对不符合规定条件的公司登记申请予以登记，或者对符合规定条件的登记申请不予登记的。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2、严重失职、滥用职权、营私舞弊、索贿受贿或者侵害企业法人合法权益的。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3、对不符合法规定条件的登记申请予以登记，或者对符合本法规定条件的登记申请不予登记的，或者对违法登记进行包庇的。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1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其他行政权力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人民防空工程、兼顾人民防空需要的地下工程竣工验收备案（联合验收、统一备案）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河北省结合民用建筑修建防空地下室管理规定》（河北省人民政府令〔2011〕第22号）第十七条“防空地下室竣工验收实行备案制度。建设单位在向建设主管部门备案时，应当出具人民政府人民防空主管部门的认可文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第十八条“防空地下室竣工后，应当有人民政府人民防空主管部门参加联合验收。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经验收合格的，建设单位应当向人民政府人民防空主管部门移交有关资料。验收不合格的，建设单位应当进行整改；整改后仍不合格的，按规定缴纳防空地下室易地建设费。”</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2、审查责任：按照相关政策，对书面申请材料进行审查，提出是否同意的审核意见，告知申请人、利害相关人享有听证权利；涉及公共利益的重大许可，向社会公告，并举行听证。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1、对符合法定条件的许可申请不予受理的；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7、办理许可索取或者收受他人财物或者谋取其他利益的；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监管部门：人防办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271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6</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企业备案</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公司登记管理条例》第三十六条公司章程修改未涉及登记事项的，公司应当将修改后的公司章程或者公司章程修正案送原公司登记机关备案；第三十七条公司董事、监事、经理发生变动的，应当向原公司登记机关备案；</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中华人民共和国企业法人登记管理条例施行细则》第三十三条企业法人因主管部门改变，涉及原主要登记事项的，应当分别情况，持有关文件申请变更、开业、注销登记。不涉及原主要登记事项变更的，企业法人应当持主管部门改变的有关文件，及时向原登记主管机关备案。</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1、备案责任：对申请人提交的备案材料进行审查，审查材料是否齐全、符合法定形式，不予备案的应当书面告知理由，准予备案的发放准予备案通知书，并将备案信息公示。</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1.对不符合规定条件的公司登记申请予以登记，或者对符合规定条件的登记申请不予登记的。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2、严重失职、滥用职权、营私舞弊、索贿受贿或者侵害企业法人合法权益的。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3、对不符合法规定条件的登记申请予以登记，或者对符合本法规定条件的登记申请不予登记的，或者对违法登记进行包庇的。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监管部门：县发改委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其他行政权力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人力资源服务许可变更</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中华人民共和国就业促进法》第四十条：设立职业中介机构应当具备下列条件：（一）有明确的章程和管理制度；（二）有开展业务必备的固定场所、办公设施和一定数额的开办资金；（三）有一定数量具备相应职业资格的专职工作人员；（四）法律、法规规定的其他条件。设立职业中介机构应当在工商行政管理部门办理登记后，向劳动行政部门申请行政许可。未经依法许可和登记的机构，不得从事职业中介活动。国家对外商投资职业中介机构和向劳动者提供境外就业服务的职业中介机构另有规定的，依照其规定。</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国务院对确需保留的行政审批项目设定行政许可的决定》附件第86项，设立人才中介服务机构及其业务范围审批，县级以上人民政府人事行政主管部门。第88项，职业介绍机构资格认定，地方人民政府劳动保障行政主管部门。第89项,设立中外合资(合作)职业介绍机构审批，省级人民政府劳动保障行政主管部门。</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1、受理责任：公示应当提交的材料，一次性告知补正材料，依法受理或不予受理（不予受理应当告知理由）。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2、审查责任：按照人力资源服务行业发展规划和产业政策，对书面申请材料进行审查，组织现场检查验收。</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3、决定责任：作出行政许可或者不予行政许可决定，法定告知（不予许可的应当书面告知理由）。</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4、送达责任：准予许可的制发送达许可证，信息公开。</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1、对符合法定条件的人力资源服务许可申请不予受理的；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5、工作中玩忽职守、滥用职权的；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6、办理人力资源服务许可，索取或者收受他人财物或者谋取其他利益的；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监管单位：人社局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8</w:t>
            </w:r>
          </w:p>
        </w:tc>
        <w:tc>
          <w:tcPr>
            <w:tcW w:w="336" w:type="dxa"/>
            <w:shd w:val="clear" w:color="auto" w:fill="auto"/>
            <w:tcMar>
              <w:top w:w="15" w:type="dxa"/>
              <w:left w:w="15" w:type="dxa"/>
              <w:right w:w="15" w:type="dxa"/>
            </w:tcMar>
            <w:vAlign w:val="center"/>
          </w:tcPr>
          <w:p>
            <w:pPr>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其他权力</w:t>
            </w:r>
          </w:p>
        </w:tc>
        <w:tc>
          <w:tcPr>
            <w:tcW w:w="1290"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第二类医疗器械经营备案</w:t>
            </w:r>
          </w:p>
        </w:tc>
        <w:tc>
          <w:tcPr>
            <w:tcW w:w="363" w:type="dxa"/>
            <w:shd w:val="clear" w:color="auto" w:fill="auto"/>
            <w:tcMar>
              <w:top w:w="15" w:type="dxa"/>
              <w:left w:w="15" w:type="dxa"/>
              <w:right w:w="15" w:type="dxa"/>
            </w:tcMar>
            <w:vAlign w:val="center"/>
          </w:tcPr>
          <w:p>
            <w:pPr>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高邑县</w:t>
            </w:r>
            <w:r>
              <w:rPr>
                <w:rFonts w:hint="eastAsia" w:ascii="宋体" w:hAnsi="宋体" w:eastAsia="宋体" w:cs="Times New Roman"/>
                <w:sz w:val="18"/>
                <w:szCs w:val="18"/>
                <w:lang w:eastAsia="zh-CN"/>
              </w:rPr>
              <w:t>行政审批局</w:t>
            </w:r>
          </w:p>
        </w:tc>
        <w:tc>
          <w:tcPr>
            <w:tcW w:w="6053"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医疗器械监督管理条例》（中华人民共和国国务院令第650号）第三十条：“从事第二类医疗器械经营的，由经营企业向所在地设区的市级人民政府食品药品监督管理部门备案并提交其符合本条例第二十九条规定条件的证明材料。”</w:t>
            </w:r>
          </w:p>
        </w:tc>
        <w:tc>
          <w:tcPr>
            <w:tcW w:w="2456"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1.备案责任：应当对企业提交资料的完整性进行核对，符合规定的予以备案，发给第二类医疗器械经营备案凭证（电子证照）。</w:t>
            </w:r>
          </w:p>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2.其他法律法规规章文件规定应履行的责任。</w:t>
            </w:r>
          </w:p>
        </w:tc>
        <w:tc>
          <w:tcPr>
            <w:tcW w:w="2339"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因不履行或不正确履行行政职责，有下列情形的，行政机关及相关工作人员应承担相应责任：</w:t>
            </w:r>
          </w:p>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1.工作中玩忽职守、滥用职权的；</w:t>
            </w:r>
          </w:p>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2.其他违反法律法规规章文件规定的行为。</w:t>
            </w:r>
          </w:p>
        </w:tc>
        <w:tc>
          <w:tcPr>
            <w:tcW w:w="833"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监管部门：市场监督管理部门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9</w:t>
            </w:r>
          </w:p>
        </w:tc>
        <w:tc>
          <w:tcPr>
            <w:tcW w:w="336" w:type="dxa"/>
            <w:shd w:val="clear" w:color="auto" w:fill="auto"/>
            <w:tcMar>
              <w:top w:w="15" w:type="dxa"/>
              <w:left w:w="15" w:type="dxa"/>
              <w:right w:w="15" w:type="dxa"/>
            </w:tcMar>
            <w:vAlign w:val="center"/>
          </w:tcPr>
          <w:p>
            <w:pPr>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其他权力</w:t>
            </w:r>
          </w:p>
        </w:tc>
        <w:tc>
          <w:tcPr>
            <w:tcW w:w="1290"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医疗器械网络销售备案</w:t>
            </w:r>
          </w:p>
        </w:tc>
        <w:tc>
          <w:tcPr>
            <w:tcW w:w="363" w:type="dxa"/>
            <w:shd w:val="clear" w:color="auto" w:fill="auto"/>
            <w:tcMar>
              <w:top w:w="15" w:type="dxa"/>
              <w:left w:w="15" w:type="dxa"/>
              <w:right w:w="15" w:type="dxa"/>
            </w:tcMar>
            <w:vAlign w:val="center"/>
          </w:tcPr>
          <w:p>
            <w:pPr>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高邑县</w:t>
            </w:r>
            <w:r>
              <w:rPr>
                <w:rFonts w:hint="eastAsia" w:ascii="宋体" w:hAnsi="宋体" w:eastAsia="宋体" w:cs="Times New Roman"/>
                <w:sz w:val="18"/>
                <w:szCs w:val="18"/>
                <w:lang w:eastAsia="zh-CN"/>
              </w:rPr>
              <w:t>行政审批局</w:t>
            </w:r>
          </w:p>
        </w:tc>
        <w:tc>
          <w:tcPr>
            <w:tcW w:w="6053"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《医疗器械网络销售监督管理办法》第八条 从事医疗器械网络销售的企业，应当填写医疗器械网络销售信息表，将企业名称、法定代表人或者主要负责人、网站名称、网络客户端应用程序名、网站域名、网站IP地址、电信业务经营许可证或者非经营性互联网信息服务备案编号、医疗器械生产经营许可证件或者备案凭证编号等信息事先向所在地设区的市级食品药品监督管理部门备案。相关信息发生变化的，应当及时变更备案。</w:t>
            </w:r>
          </w:p>
        </w:tc>
        <w:tc>
          <w:tcPr>
            <w:tcW w:w="2456"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1.备案责任：对填报的信息进行核实，符合规定的，在专网审核通过息。</w:t>
            </w:r>
          </w:p>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2.其他法律法规规章文件规定应履行的责任。</w:t>
            </w:r>
          </w:p>
        </w:tc>
        <w:tc>
          <w:tcPr>
            <w:tcW w:w="2339"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因不履行或不正确履行行政职责，有下列情形的，行政机关及相关工作人员应承担相应责任：</w:t>
            </w:r>
          </w:p>
          <w:p>
            <w:pPr>
              <w:tabs>
                <w:tab w:val="left" w:pos="7937"/>
              </w:tabs>
              <w:spacing w:line="28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lang w:val="en-US" w:eastAsia="zh-CN"/>
              </w:rPr>
              <w:t>1.工作中玩忽职守、滥用职权的；</w:t>
            </w:r>
          </w:p>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2.其他违反法律法规规章文件规定的行为。</w:t>
            </w:r>
          </w:p>
        </w:tc>
        <w:tc>
          <w:tcPr>
            <w:tcW w:w="833" w:type="dxa"/>
            <w:shd w:val="clear" w:color="auto" w:fill="auto"/>
            <w:tcMar>
              <w:top w:w="15" w:type="dxa"/>
              <w:left w:w="15" w:type="dxa"/>
              <w:right w:w="15" w:type="dxa"/>
            </w:tcMar>
            <w:vAlign w:val="center"/>
          </w:tcPr>
          <w:p>
            <w:pPr>
              <w:tabs>
                <w:tab w:val="left" w:pos="7937"/>
              </w:tabs>
              <w:spacing w:line="280" w:lineRule="exact"/>
              <w:rPr>
                <w:rFonts w:hint="eastAsia" w:ascii="宋体" w:hAnsi="宋体" w:eastAsia="宋体" w:cs="宋体"/>
                <w:i w:val="0"/>
                <w:color w:val="000000"/>
                <w:kern w:val="0"/>
                <w:sz w:val="18"/>
                <w:szCs w:val="18"/>
                <w:u w:val="none"/>
                <w:lang w:val="en-US" w:eastAsia="zh-CN" w:bidi="ar"/>
              </w:rPr>
            </w:pPr>
            <w:r>
              <w:rPr>
                <w:rFonts w:hint="eastAsia" w:ascii="宋体" w:hAnsi="宋体" w:eastAsia="宋体" w:cs="Times New Roman"/>
                <w:sz w:val="18"/>
                <w:szCs w:val="18"/>
                <w:lang w:val="en-US" w:eastAsia="zh-CN"/>
              </w:rPr>
              <w:t>监管部门：市场监督管理部门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5" w:hRule="atLeast"/>
        </w:trPr>
        <w:tc>
          <w:tcPr>
            <w:tcW w:w="318"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10</w:t>
            </w:r>
          </w:p>
        </w:tc>
        <w:tc>
          <w:tcPr>
            <w:tcW w:w="336"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其他行政权力</w:t>
            </w:r>
          </w:p>
        </w:tc>
        <w:tc>
          <w:tcPr>
            <w:tcW w:w="1290"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确需在禁挖期内挖掘新建、扩建、改建、大修的城市道路批准</w:t>
            </w:r>
          </w:p>
        </w:tc>
        <w:tc>
          <w:tcPr>
            <w:tcW w:w="363" w:type="dxa"/>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高邑县行政审批局</w:t>
            </w:r>
          </w:p>
        </w:tc>
        <w:tc>
          <w:tcPr>
            <w:tcW w:w="605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Style w:val="16"/>
                <w:lang w:val="en-US" w:eastAsia="zh-CN" w:bidi="ar"/>
              </w:rPr>
              <w:t>《城市道路管理条例》（2011年1月8日修订）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r>
              <w:rPr>
                <w:rFonts w:hint="eastAsia" w:ascii="宋体" w:hAnsi="宋体" w:eastAsia="宋体" w:cs="宋体"/>
                <w:i w:val="0"/>
                <w:color w:val="000000"/>
                <w:kern w:val="0"/>
                <w:sz w:val="24"/>
                <w:szCs w:val="24"/>
                <w:u w:val="none"/>
                <w:lang w:val="en-US" w:eastAsia="zh-CN" w:bidi="ar"/>
              </w:rPr>
              <w:t>”</w:t>
            </w:r>
          </w:p>
        </w:tc>
        <w:tc>
          <w:tcPr>
            <w:tcW w:w="2456"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1、审查责任：按照相关政策，对书面申请材料进行审查，提出是否同意的审核意见.</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2、其他法律法规规章文件规定应履行的责任。</w:t>
            </w:r>
          </w:p>
        </w:tc>
        <w:tc>
          <w:tcPr>
            <w:tcW w:w="2339"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eastAsia="宋体" w:cs="宋体"/>
                <w:i w:val="0"/>
                <w:color w:val="000000"/>
                <w:kern w:val="0"/>
                <w:sz w:val="18"/>
                <w:szCs w:val="18"/>
                <w:u w:val="none"/>
                <w:lang w:val="en-US" w:eastAsia="zh-CN" w:bidi="ar"/>
              </w:rPr>
              <w:t>因不履行或不正确履行行政职责，有下列情形的，行政机关及相关工作人员应承担相应责任：</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1、对符合法定条件的申请不予受理的；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2、对不符合法定条件的申请人准予行政许可或者超越法定职权作出准予行政许可决定的；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3、对符合法定条件的申请人不予行政许可或者不在法定期限内作出准予行政许可决定的；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4、违反法定程序实施行政许可的；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5、应当举行听证而不举行听证的；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6、工作人员玩忽职守、徇私舞弊、滥用职权的；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7、工作中索取或者收受他人财物或者谋取其他利益的；</w:t>
            </w:r>
            <w:r>
              <w:rPr>
                <w:rFonts w:hint="eastAsia" w:ascii="宋体" w:hAnsi="宋体" w:eastAsia="宋体" w:cs="宋体"/>
                <w:i w:val="0"/>
                <w:color w:val="000000"/>
                <w:kern w:val="0"/>
                <w:sz w:val="18"/>
                <w:szCs w:val="18"/>
                <w:u w:val="none"/>
                <w:lang w:val="en-US" w:eastAsia="zh-CN" w:bidi="ar"/>
              </w:rPr>
              <w:br w:type="textWrapping"/>
            </w:r>
            <w:r>
              <w:rPr>
                <w:rFonts w:hint="eastAsia" w:ascii="宋体" w:hAnsi="宋体" w:eastAsia="宋体" w:cs="宋体"/>
                <w:i w:val="0"/>
                <w:color w:val="000000"/>
                <w:kern w:val="0"/>
                <w:sz w:val="18"/>
                <w:szCs w:val="18"/>
                <w:u w:val="none"/>
                <w:lang w:val="en-US" w:eastAsia="zh-CN" w:bidi="ar"/>
              </w:rPr>
              <w:t>8、其他违反法律法规规章文件规定的行为。</w:t>
            </w:r>
          </w:p>
        </w:tc>
        <w:tc>
          <w:tcPr>
            <w:tcW w:w="833" w:type="dxa"/>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18"/>
                <w:szCs w:val="18"/>
                <w:u w:val="none"/>
                <w:lang w:val="en-US" w:eastAsia="zh-CN" w:bidi="ar"/>
              </w:rPr>
            </w:pPr>
          </w:p>
        </w:tc>
      </w:tr>
    </w:tbl>
    <w:p/>
    <w:p/>
    <w:p/>
    <w:p/>
    <w:sectPr>
      <w:footerReference r:id="rId3" w:type="default"/>
      <w:pgSz w:w="16838" w:h="11906" w:orient="landscape"/>
      <w:pgMar w:top="1800" w:right="1440" w:bottom="1800" w:left="144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eastAsiaTheme="minorEastAsia"/>
                              <w:lang w:eastAsia="zh-CN"/>
                            </w:rPr>
                          </w:pPr>
                          <w:r>
                            <w:rPr>
                              <w:rFonts w:hint="default" w:ascii="Courier New" w:hAnsi="Courier New" w:cs="Courier New"/>
                              <w:sz w:val="28"/>
                              <w:szCs w:val="28"/>
                              <w:lang w:eastAsia="zh-CN"/>
                            </w:rPr>
                            <w:fldChar w:fldCharType="begin"/>
                          </w:r>
                          <w:r>
                            <w:rPr>
                              <w:rFonts w:hint="default" w:ascii="Courier New" w:hAnsi="Courier New" w:cs="Courier New"/>
                              <w:sz w:val="28"/>
                              <w:szCs w:val="28"/>
                              <w:lang w:eastAsia="zh-CN"/>
                            </w:rPr>
                            <w:instrText xml:space="preserve"> PAGE  \* MERGEFORMAT </w:instrText>
                          </w:r>
                          <w:r>
                            <w:rPr>
                              <w:rFonts w:hint="default" w:ascii="Courier New" w:hAnsi="Courier New" w:cs="Courier New"/>
                              <w:sz w:val="28"/>
                              <w:szCs w:val="28"/>
                              <w:lang w:eastAsia="zh-CN"/>
                            </w:rPr>
                            <w:fldChar w:fldCharType="separate"/>
                          </w:r>
                          <w:r>
                            <w:rPr>
                              <w:rFonts w:hint="default" w:ascii="Courier New" w:hAnsi="Courier New" w:cs="Courier New"/>
                              <w:sz w:val="28"/>
                              <w:szCs w:val="28"/>
                              <w:lang w:eastAsia="zh-CN"/>
                            </w:rPr>
                            <w:t>1</w:t>
                          </w:r>
                          <w:r>
                            <w:rPr>
                              <w:rFonts w:hint="default" w:ascii="Courier New" w:hAnsi="Courier New" w:cs="Courier New"/>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rFonts w:hint="eastAsia" w:eastAsiaTheme="minorEastAsia"/>
                        <w:lang w:eastAsia="zh-CN"/>
                      </w:rPr>
                    </w:pPr>
                    <w:r>
                      <w:rPr>
                        <w:rFonts w:hint="default" w:ascii="Courier New" w:hAnsi="Courier New" w:cs="Courier New"/>
                        <w:sz w:val="28"/>
                        <w:szCs w:val="28"/>
                        <w:lang w:eastAsia="zh-CN"/>
                      </w:rPr>
                      <w:fldChar w:fldCharType="begin"/>
                    </w:r>
                    <w:r>
                      <w:rPr>
                        <w:rFonts w:hint="default" w:ascii="Courier New" w:hAnsi="Courier New" w:cs="Courier New"/>
                        <w:sz w:val="28"/>
                        <w:szCs w:val="28"/>
                        <w:lang w:eastAsia="zh-CN"/>
                      </w:rPr>
                      <w:instrText xml:space="preserve"> PAGE  \* MERGEFORMAT </w:instrText>
                    </w:r>
                    <w:r>
                      <w:rPr>
                        <w:rFonts w:hint="default" w:ascii="Courier New" w:hAnsi="Courier New" w:cs="Courier New"/>
                        <w:sz w:val="28"/>
                        <w:szCs w:val="28"/>
                        <w:lang w:eastAsia="zh-CN"/>
                      </w:rPr>
                      <w:fldChar w:fldCharType="separate"/>
                    </w:r>
                    <w:r>
                      <w:rPr>
                        <w:rFonts w:hint="default" w:ascii="Courier New" w:hAnsi="Courier New" w:cs="Courier New"/>
                        <w:sz w:val="28"/>
                        <w:szCs w:val="28"/>
                        <w:lang w:eastAsia="zh-CN"/>
                      </w:rPr>
                      <w:t>1</w:t>
                    </w:r>
                    <w:r>
                      <w:rPr>
                        <w:rFonts w:hint="default" w:ascii="Courier New" w:hAnsi="Courier New" w:cs="Courier New"/>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DD6B9F"/>
    <w:rsid w:val="0CDD6B9F"/>
    <w:rsid w:val="16667E26"/>
    <w:rsid w:val="19D42768"/>
    <w:rsid w:val="240566E3"/>
    <w:rsid w:val="27570FD9"/>
    <w:rsid w:val="28047BB8"/>
    <w:rsid w:val="4C8C3453"/>
    <w:rsid w:val="4E1159AA"/>
    <w:rsid w:val="672A091C"/>
    <w:rsid w:val="6F074B8A"/>
    <w:rsid w:val="77DD4386"/>
    <w:rsid w:val="79385F16"/>
    <w:rsid w:val="7EDA41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next w:val="4"/>
    <w:qFormat/>
    <w:uiPriority w:val="0"/>
    <w:pPr>
      <w:jc w:val="center"/>
    </w:pPr>
    <w:rPr>
      <w:rFonts w:eastAsia="仿宋_GB2312"/>
      <w:sz w:val="28"/>
    </w:rPr>
  </w:style>
  <w:style w:type="paragraph" w:customStyle="1" w:styleId="4">
    <w:name w:val="正文部分 Char Char Char"/>
    <w:basedOn w:val="3"/>
    <w:next w:val="5"/>
    <w:qFormat/>
    <w:uiPriority w:val="0"/>
    <w:pPr>
      <w:adjustRightInd w:val="0"/>
      <w:spacing w:line="460" w:lineRule="exact"/>
      <w:textAlignment w:val="baseline"/>
    </w:pPr>
    <w:rPr>
      <w:rFonts w:hAnsi="Calibri"/>
      <w:sz w:val="24"/>
    </w:rPr>
  </w:style>
  <w:style w:type="paragraph" w:customStyle="1" w:styleId="5">
    <w:name w:val="章标题"/>
    <w:basedOn w:val="6"/>
    <w:qFormat/>
    <w:uiPriority w:val="0"/>
    <w:pPr>
      <w:spacing w:line="360" w:lineRule="auto"/>
    </w:pPr>
  </w:style>
  <w:style w:type="paragraph" w:styleId="6">
    <w:name w:val="Title"/>
    <w:basedOn w:val="1"/>
    <w:next w:val="1"/>
    <w:qFormat/>
    <w:uiPriority w:val="0"/>
    <w:pPr>
      <w:spacing w:before="240" w:after="60"/>
      <w:jc w:val="center"/>
      <w:outlineLvl w:val="0"/>
    </w:pPr>
    <w:rPr>
      <w:rFonts w:ascii="Cambria" w:hAnsi="Cambria"/>
      <w:b/>
      <w:bCs/>
      <w:kern w:val="0"/>
      <w:sz w:val="32"/>
      <w:szCs w:val="32"/>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1">
    <w:name w:val="Hyperlink"/>
    <w:basedOn w:val="10"/>
    <w:qFormat/>
    <w:uiPriority w:val="0"/>
    <w:rPr>
      <w:color w:val="0000FF"/>
      <w:u w:val="single"/>
    </w:rPr>
  </w:style>
  <w:style w:type="character" w:customStyle="1" w:styleId="12">
    <w:name w:val="font71"/>
    <w:basedOn w:val="10"/>
    <w:qFormat/>
    <w:uiPriority w:val="0"/>
    <w:rPr>
      <w:rFonts w:hint="eastAsia" w:ascii="楷体_GB2312" w:eastAsia="楷体_GB2312" w:cs="楷体_GB2312"/>
      <w:color w:val="000000"/>
      <w:sz w:val="28"/>
      <w:szCs w:val="28"/>
      <w:u w:val="none"/>
    </w:rPr>
  </w:style>
  <w:style w:type="character" w:customStyle="1" w:styleId="13">
    <w:name w:val="font51"/>
    <w:basedOn w:val="10"/>
    <w:qFormat/>
    <w:uiPriority w:val="0"/>
    <w:rPr>
      <w:rFonts w:hint="eastAsia" w:ascii="仿宋_GB2312" w:eastAsia="仿宋_GB2312" w:cs="仿宋_GB2312"/>
      <w:b/>
      <w:color w:val="000000"/>
      <w:sz w:val="32"/>
      <w:szCs w:val="32"/>
      <w:u w:val="none"/>
    </w:rPr>
  </w:style>
  <w:style w:type="character" w:customStyle="1" w:styleId="14">
    <w:name w:val="font61"/>
    <w:basedOn w:val="10"/>
    <w:qFormat/>
    <w:uiPriority w:val="0"/>
    <w:rPr>
      <w:rFonts w:hint="eastAsia" w:ascii="仿宋_GB2312" w:eastAsia="仿宋_GB2312" w:cs="仿宋_GB2312"/>
      <w:b/>
      <w:color w:val="000000"/>
      <w:sz w:val="32"/>
      <w:szCs w:val="32"/>
      <w:u w:val="none"/>
    </w:rPr>
  </w:style>
  <w:style w:type="character" w:customStyle="1" w:styleId="15">
    <w:name w:val="font31"/>
    <w:basedOn w:val="10"/>
    <w:qFormat/>
    <w:uiPriority w:val="0"/>
    <w:rPr>
      <w:rFonts w:hint="eastAsia" w:ascii="宋体" w:hAnsi="宋体" w:eastAsia="宋体" w:cs="宋体"/>
      <w:b/>
      <w:color w:val="000000"/>
      <w:sz w:val="28"/>
      <w:szCs w:val="28"/>
      <w:u w:val="none"/>
    </w:rPr>
  </w:style>
  <w:style w:type="character" w:customStyle="1" w:styleId="16">
    <w:name w:val="font91"/>
    <w:basedOn w:val="10"/>
    <w:qFormat/>
    <w:uiPriority w:val="0"/>
    <w:rPr>
      <w:rFonts w:hint="eastAsia" w:ascii="宋体" w:hAnsi="宋体" w:eastAsia="宋体" w:cs="宋体"/>
      <w:color w:val="000000"/>
      <w:sz w:val="18"/>
      <w:szCs w:val="18"/>
      <w:u w:val="none"/>
    </w:rPr>
  </w:style>
  <w:style w:type="character" w:customStyle="1" w:styleId="17">
    <w:name w:val="font41"/>
    <w:basedOn w:val="10"/>
    <w:qFormat/>
    <w:uiPriority w:val="0"/>
    <w:rPr>
      <w:rFonts w:hint="default" w:ascii="Arial" w:hAnsi="Arial" w:cs="Arial"/>
      <w:color w:val="000000"/>
      <w:sz w:val="18"/>
      <w:szCs w:val="1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176</Pages>
  <Words>0</Words>
  <Characters>0</Characters>
  <Lines>0</Lines>
  <Paragraphs>0</Paragraphs>
  <TotalTime>1</TotalTime>
  <ScaleCrop>false</ScaleCrop>
  <LinksUpToDate>false</LinksUpToDate>
  <CharactersWithSpaces>0</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2022-05-07T04:50:00Z</dcterms:created>
  <dc:creator>Administrator</dc:creator>
  <cp:lastModifiedBy>Administrator</cp:lastModifiedBy>
  <dcterms:modified xsi:type="dcterms:W3CDTF">2026-08-11T01:03:47Z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F5252D43786948D8B915570ECDCAA9F3</vt:lpwstr>
  </property>
</Properties>
</file>