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90" w:line="233" w:lineRule="auto"/>
        <w:ind w:left="1226" w:right="1181" w:hanging="210"/>
        <w:outlineLvl w:val="0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-9"/>
          <w:sz w:val="46"/>
          <w:szCs w:val="46"/>
        </w:rPr>
        <w:t>关于高邑县2021年预算执行情况</w:t>
      </w:r>
      <w:r>
        <w:rPr>
          <w:rFonts w:ascii="宋体" w:hAnsi="宋体" w:eastAsia="宋体" w:cs="宋体"/>
          <w:spacing w:val="12"/>
          <w:sz w:val="46"/>
          <w:szCs w:val="46"/>
        </w:rPr>
        <w:t xml:space="preserve"> </w:t>
      </w:r>
      <w:r>
        <w:rPr>
          <w:rFonts w:ascii="宋体" w:hAnsi="宋体" w:eastAsia="宋体" w:cs="宋体"/>
          <w:b/>
          <w:bCs/>
          <w:spacing w:val="21"/>
          <w:sz w:val="46"/>
          <w:szCs w:val="46"/>
        </w:rPr>
        <w:t>和2022年预算(草案)的报告</w:t>
      </w:r>
    </w:p>
    <w:p>
      <w:pPr>
        <w:spacing w:line="327" w:lineRule="auto"/>
        <w:rPr>
          <w:rFonts w:ascii="Arial"/>
          <w:sz w:val="21"/>
        </w:rPr>
      </w:pPr>
    </w:p>
    <w:p>
      <w:pPr>
        <w:spacing w:line="327" w:lineRule="auto"/>
        <w:rPr>
          <w:rFonts w:ascii="Arial"/>
          <w:sz w:val="21"/>
        </w:rPr>
      </w:pPr>
    </w:p>
    <w:p>
      <w:pPr>
        <w:spacing w:before="107" w:line="329" w:lineRule="auto"/>
        <w:ind w:left="2319" w:right="185" w:hanging="1870"/>
        <w:rPr>
          <w:rFonts w:ascii="楷体" w:hAnsi="楷体" w:eastAsia="楷体" w:cs="楷体"/>
          <w:sz w:val="33"/>
          <w:szCs w:val="33"/>
        </w:rPr>
      </w:pPr>
      <w:r>
        <w:rPr>
          <w:rFonts w:hint="eastAsia" w:ascii="黑体" w:hAnsi="黑体" w:eastAsia="黑体" w:cs="楷体_GB2312"/>
          <w:sz w:val="32"/>
          <w:szCs w:val="32"/>
        </w:rPr>
        <w:t>——</w:t>
      </w:r>
      <w:r>
        <w:rPr>
          <w:rFonts w:hint="eastAsia" w:ascii="楷体_GB2312" w:hAnsi="楷体_GB2312" w:eastAsia="楷体_GB2312" w:cs="楷体_GB2312"/>
          <w:snapToGrid/>
          <w:kern w:val="2"/>
          <w:sz w:val="32"/>
          <w:szCs w:val="32"/>
          <w:lang w:val="en-US" w:eastAsia="zh-CN" w:bidi="ar-SA"/>
        </w:rPr>
        <w:t>20</w:t>
      </w:r>
      <w:r>
        <w:rPr>
          <w:rFonts w:hint="eastAsia" w:ascii="楷体_GB2312" w:hAnsi="楷体_GB2312" w:eastAsia="楷体_GB2312" w:cs="楷体_GB2312"/>
          <w:snapToGrid/>
          <w:kern w:val="2"/>
          <w:sz w:val="32"/>
          <w:szCs w:val="32"/>
          <w:lang w:val="en-US" w:eastAsia="zh-CN" w:bidi="ar-SA"/>
        </w:rPr>
        <w:t>22年1月28日在高邑县第十七届人民代表大会第二次会议上 高邑县财政局局长  任现计</w:t>
      </w: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pStyle w:val="2"/>
        <w:spacing w:before="108" w:line="222" w:lineRule="auto"/>
      </w:pPr>
      <w:r>
        <w:rPr>
          <w:spacing w:val="-16"/>
        </w:rPr>
        <w:t>各位代表：</w:t>
      </w:r>
    </w:p>
    <w:p>
      <w:pPr>
        <w:pStyle w:val="2"/>
        <w:spacing w:before="194" w:line="341" w:lineRule="auto"/>
        <w:ind w:right="103" w:firstLine="649"/>
        <w:jc w:val="both"/>
      </w:pPr>
      <w:r>
        <w:rPr>
          <w:spacing w:val="-3"/>
        </w:rPr>
        <w:t>受县政府委托，现将高邑县2021年预算执行情</w:t>
      </w:r>
      <w:r>
        <w:rPr>
          <w:spacing w:val="-4"/>
        </w:rPr>
        <w:t>况和2022</w:t>
      </w:r>
      <w:r>
        <w:t xml:space="preserve"> </w:t>
      </w:r>
      <w:r>
        <w:rPr>
          <w:spacing w:val="-5"/>
        </w:rPr>
        <w:t>年预算(草案)提请大会审议，并请各位政协委员和其他列席</w:t>
      </w:r>
      <w:r>
        <w:rPr>
          <w:spacing w:val="12"/>
        </w:rPr>
        <w:t xml:space="preserve"> </w:t>
      </w:r>
      <w:r>
        <w:rPr>
          <w:spacing w:val="-13"/>
        </w:rPr>
        <w:t>同志提出意见。</w:t>
      </w:r>
    </w:p>
    <w:p>
      <w:pPr>
        <w:spacing w:line="219" w:lineRule="auto"/>
        <w:ind w:left="649"/>
        <w:rPr>
          <w:rFonts w:ascii="黑体" w:hAnsi="黑体" w:eastAsia="黑体" w:cs="黑体"/>
          <w:sz w:val="33"/>
          <w:szCs w:val="33"/>
        </w:rPr>
      </w:pPr>
      <w:r>
        <w:rPr>
          <w:rFonts w:ascii="黑体" w:hAnsi="黑体" w:eastAsia="黑体" w:cs="黑体"/>
          <w:spacing w:val="-6"/>
          <w:sz w:val="33"/>
          <w:szCs w:val="33"/>
        </w:rPr>
        <w:t>一、2021年预算执行情况</w:t>
      </w:r>
    </w:p>
    <w:p>
      <w:pPr>
        <w:pStyle w:val="2"/>
        <w:spacing w:before="187" w:line="330" w:lineRule="auto"/>
        <w:ind w:firstLine="649"/>
        <w:jc w:val="both"/>
      </w:pPr>
      <w:r>
        <w:rPr>
          <w:spacing w:val="-2"/>
        </w:rPr>
        <w:t>2021年，全县财政部门在县委坚强领导及县人大、县政</w:t>
      </w:r>
      <w:r>
        <w:rPr>
          <w:spacing w:val="15"/>
        </w:rPr>
        <w:t xml:space="preserve"> </w:t>
      </w:r>
      <w:r>
        <w:rPr>
          <w:spacing w:val="-17"/>
        </w:rPr>
        <w:t>协监督支持下，坚持以习近平新时代中国特色社会主义思想为</w:t>
      </w:r>
      <w:r>
        <w:rPr>
          <w:spacing w:val="14"/>
        </w:rPr>
        <w:t xml:space="preserve"> </w:t>
      </w:r>
      <w:r>
        <w:rPr>
          <w:spacing w:val="-17"/>
        </w:rPr>
        <w:t>指导，深入学习贯彻党的十九大和十九届历次全会精</w:t>
      </w:r>
      <w:r>
        <w:rPr>
          <w:spacing w:val="-18"/>
        </w:rPr>
        <w:t>神，牢牢</w:t>
      </w:r>
      <w:r>
        <w:t xml:space="preserve"> </w:t>
      </w:r>
      <w:r>
        <w:rPr>
          <w:spacing w:val="-18"/>
        </w:rPr>
        <w:t>把握稳中求进工作总基调，落实新发展理念，积极应对新冠肺</w:t>
      </w:r>
      <w:r>
        <w:rPr>
          <w:spacing w:val="7"/>
        </w:rPr>
        <w:t xml:space="preserve">  </w:t>
      </w:r>
      <w:r>
        <w:rPr>
          <w:spacing w:val="-16"/>
        </w:rPr>
        <w:t>炎疫情、经济下行压力等一系列风险挑战，围绕“</w:t>
      </w:r>
      <w:r>
        <w:rPr>
          <w:spacing w:val="-17"/>
        </w:rPr>
        <w:t>1359”强县</w:t>
      </w:r>
      <w:r>
        <w:t xml:space="preserve"> </w:t>
      </w:r>
      <w:r>
        <w:rPr>
          <w:spacing w:val="-12"/>
        </w:rPr>
        <w:t>思路不动摇，全力组织收入，优化支出结构，加强监督</w:t>
      </w:r>
      <w:r>
        <w:rPr>
          <w:spacing w:val="-13"/>
        </w:rPr>
        <w:t>管理，</w:t>
      </w:r>
      <w:r>
        <w:t xml:space="preserve"> </w:t>
      </w:r>
      <w:r>
        <w:rPr>
          <w:spacing w:val="-18"/>
        </w:rPr>
        <w:t>深化财政改革，圆满完成了县十六届人大五次会议确定的目标</w:t>
      </w:r>
      <w:r>
        <w:rPr>
          <w:spacing w:val="7"/>
        </w:rPr>
        <w:t xml:space="preserve">  </w:t>
      </w:r>
      <w:r>
        <w:rPr>
          <w:spacing w:val="-14"/>
        </w:rPr>
        <w:t>任务，全县财政工作实现“十四五”良好开局。</w:t>
      </w:r>
    </w:p>
    <w:p>
      <w:pPr>
        <w:spacing w:before="75" w:line="227" w:lineRule="auto"/>
        <w:ind w:left="809"/>
        <w:rPr>
          <w:rFonts w:ascii="楷体" w:hAnsi="楷体" w:eastAsia="楷体" w:cs="楷体"/>
          <w:sz w:val="33"/>
          <w:szCs w:val="33"/>
        </w:rPr>
      </w:pPr>
      <w:r>
        <w:rPr>
          <w:rFonts w:ascii="楷体" w:hAnsi="楷体" w:eastAsia="楷体" w:cs="楷体"/>
          <w:spacing w:val="4"/>
          <w:sz w:val="33"/>
          <w:szCs w:val="33"/>
        </w:rPr>
        <w:t>(一)一般公共预算执行情况</w:t>
      </w:r>
    </w:p>
    <w:p>
      <w:pPr>
        <w:pStyle w:val="2"/>
        <w:spacing w:before="164" w:line="222" w:lineRule="auto"/>
        <w:ind w:left="649"/>
      </w:pPr>
      <w:r>
        <w:rPr>
          <w:spacing w:val="3"/>
        </w:rPr>
        <w:t>2021年，全县全部财政收入完成80677万元，同比增长</w:t>
      </w:r>
    </w:p>
    <w:p>
      <w:pPr>
        <w:pStyle w:val="2"/>
        <w:spacing w:before="201" w:line="222" w:lineRule="auto"/>
      </w:pPr>
      <w:r>
        <w:rPr>
          <w:spacing w:val="7"/>
        </w:rPr>
        <w:t>5.1%,其中，一般公共预算收入完成65</w:t>
      </w:r>
      <w:r>
        <w:rPr>
          <w:spacing w:val="6"/>
        </w:rPr>
        <w:t>232万元，同比增长</w:t>
      </w:r>
    </w:p>
    <w:p>
      <w:pPr>
        <w:spacing w:line="222" w:lineRule="auto"/>
        <w:sectPr>
          <w:footerReference r:id="rId5" w:type="default"/>
          <w:pgSz w:w="11900" w:h="16820"/>
          <w:pgMar w:top="1429" w:right="1605" w:bottom="1453" w:left="1710" w:header="0" w:footer="1114" w:gutter="0"/>
          <w:cols w:space="720" w:num="1"/>
        </w:sectPr>
      </w:pPr>
    </w:p>
    <w:p>
      <w:pPr>
        <w:spacing w:line="361" w:lineRule="auto"/>
        <w:rPr>
          <w:rFonts w:ascii="Arial"/>
          <w:sz w:val="21"/>
        </w:rPr>
      </w:pPr>
    </w:p>
    <w:p>
      <w:pPr>
        <w:pStyle w:val="2"/>
        <w:spacing w:before="107" w:line="328" w:lineRule="auto"/>
        <w:ind w:right="26"/>
        <w:jc w:val="both"/>
      </w:pPr>
      <w:r>
        <w:rPr>
          <w:spacing w:val="-17"/>
        </w:rPr>
        <w:t>8.1%。收入加上级专项补助、一般债券等，全年支出预算调整</w:t>
      </w:r>
      <w:r>
        <w:rPr>
          <w:spacing w:val="13"/>
        </w:rPr>
        <w:t xml:space="preserve"> </w:t>
      </w:r>
      <w:r>
        <w:rPr>
          <w:spacing w:val="-3"/>
        </w:rPr>
        <w:t>为184672万元，实际支出178843万元，占调</w:t>
      </w:r>
      <w:r>
        <w:rPr>
          <w:spacing w:val="-4"/>
        </w:rPr>
        <w:t>整预算的96.8%,</w:t>
      </w:r>
      <w:r>
        <w:t xml:space="preserve"> </w:t>
      </w:r>
      <w:r>
        <w:rPr>
          <w:spacing w:val="-6"/>
        </w:rPr>
        <w:t>结转下年支出5829万元。</w:t>
      </w:r>
    </w:p>
    <w:p>
      <w:pPr>
        <w:spacing w:before="22" w:line="227" w:lineRule="auto"/>
        <w:ind w:left="789"/>
        <w:rPr>
          <w:rFonts w:ascii="楷体" w:hAnsi="楷体" w:eastAsia="楷体" w:cs="楷体"/>
          <w:sz w:val="33"/>
          <w:szCs w:val="33"/>
        </w:rPr>
      </w:pPr>
      <w:r>
        <w:rPr>
          <w:rFonts w:ascii="楷体" w:hAnsi="楷体" w:eastAsia="楷体" w:cs="楷体"/>
          <w:spacing w:val="1"/>
          <w:sz w:val="33"/>
          <w:szCs w:val="33"/>
        </w:rPr>
        <w:t>(二)政府性基金预算执行情况</w:t>
      </w:r>
    </w:p>
    <w:p>
      <w:pPr>
        <w:pStyle w:val="2"/>
        <w:spacing w:before="243" w:line="330" w:lineRule="auto"/>
        <w:ind w:right="55" w:firstLine="639"/>
        <w:jc w:val="both"/>
      </w:pPr>
      <w:r>
        <w:rPr>
          <w:spacing w:val="-11"/>
        </w:rPr>
        <w:t>全县政府性基金收入完成56480万元，加上年结余、上级</w:t>
      </w:r>
      <w:r>
        <w:rPr>
          <w:spacing w:val="4"/>
        </w:rPr>
        <w:t xml:space="preserve"> </w:t>
      </w:r>
      <w:r>
        <w:rPr>
          <w:spacing w:val="-5"/>
        </w:rPr>
        <w:t>专项补助、专项债券，全年基金收入144925万元；全县政府</w:t>
      </w:r>
      <w:r>
        <w:rPr>
          <w:spacing w:val="1"/>
        </w:rPr>
        <w:t xml:space="preserve"> </w:t>
      </w:r>
      <w:r>
        <w:rPr>
          <w:spacing w:val="11"/>
        </w:rPr>
        <w:t>性基金支出90757万元，占调整预算的62.6%,结转下年支</w:t>
      </w:r>
      <w:r>
        <w:rPr>
          <w:spacing w:val="18"/>
        </w:rPr>
        <w:t xml:space="preserve"> </w:t>
      </w:r>
      <w:r>
        <w:rPr>
          <w:spacing w:val="-1"/>
        </w:rPr>
        <w:t>出54168万元。</w:t>
      </w:r>
    </w:p>
    <w:p>
      <w:pPr>
        <w:spacing w:line="225" w:lineRule="auto"/>
        <w:ind w:left="789"/>
        <w:rPr>
          <w:rFonts w:ascii="楷体" w:hAnsi="楷体" w:eastAsia="楷体" w:cs="楷体"/>
          <w:sz w:val="33"/>
          <w:szCs w:val="33"/>
        </w:rPr>
      </w:pPr>
      <w:r>
        <w:rPr>
          <w:rFonts w:ascii="楷体" w:hAnsi="楷体" w:eastAsia="楷体" w:cs="楷体"/>
          <w:sz w:val="33"/>
          <w:szCs w:val="33"/>
        </w:rPr>
        <w:t>(三)国有资本经营预算执行情况</w:t>
      </w:r>
    </w:p>
    <w:p>
      <w:pPr>
        <w:pStyle w:val="2"/>
        <w:spacing w:before="216" w:line="350" w:lineRule="auto"/>
        <w:ind w:right="32" w:firstLine="639"/>
        <w:rPr>
          <w:sz w:val="32"/>
          <w:szCs w:val="32"/>
        </w:rPr>
      </w:pPr>
      <w:r>
        <w:rPr>
          <w:spacing w:val="5"/>
          <w:sz w:val="32"/>
          <w:szCs w:val="32"/>
        </w:rPr>
        <w:t>全县国有资本经营收入上级补助6万元，当年支出完成3</w:t>
      </w:r>
      <w:r>
        <w:rPr>
          <w:spacing w:val="15"/>
          <w:sz w:val="32"/>
          <w:szCs w:val="32"/>
        </w:rPr>
        <w:t xml:space="preserve"> </w:t>
      </w:r>
      <w:r>
        <w:rPr>
          <w:spacing w:val="-3"/>
          <w:sz w:val="32"/>
          <w:szCs w:val="32"/>
        </w:rPr>
        <w:t>万元，占调整预算的50%。</w:t>
      </w:r>
    </w:p>
    <w:p>
      <w:pPr>
        <w:spacing w:line="226" w:lineRule="auto"/>
        <w:ind w:left="789"/>
        <w:rPr>
          <w:rFonts w:ascii="楷体" w:hAnsi="楷体" w:eastAsia="楷体" w:cs="楷体"/>
          <w:sz w:val="33"/>
          <w:szCs w:val="33"/>
        </w:rPr>
      </w:pPr>
      <w:r>
        <w:rPr>
          <w:rFonts w:ascii="楷体" w:hAnsi="楷体" w:eastAsia="楷体" w:cs="楷体"/>
          <w:sz w:val="33"/>
          <w:szCs w:val="33"/>
        </w:rPr>
        <w:t>(四)社会保险基金预算执行情况</w:t>
      </w:r>
    </w:p>
    <w:p>
      <w:pPr>
        <w:pStyle w:val="2"/>
        <w:spacing w:before="191" w:line="345" w:lineRule="auto"/>
        <w:ind w:right="50" w:firstLine="639"/>
        <w:rPr>
          <w:sz w:val="32"/>
          <w:szCs w:val="32"/>
        </w:rPr>
      </w:pPr>
      <w:r>
        <w:rPr>
          <w:spacing w:val="11"/>
          <w:sz w:val="32"/>
          <w:szCs w:val="32"/>
        </w:rPr>
        <w:t>全县社会保险基金收入完成21632万元，当</w:t>
      </w:r>
      <w:r>
        <w:rPr>
          <w:spacing w:val="10"/>
          <w:sz w:val="32"/>
          <w:szCs w:val="32"/>
        </w:rPr>
        <w:t>年支出完成</w:t>
      </w:r>
      <w:r>
        <w:rPr>
          <w:sz w:val="32"/>
          <w:szCs w:val="32"/>
        </w:rPr>
        <w:t xml:space="preserve"> </w:t>
      </w:r>
      <w:r>
        <w:rPr>
          <w:spacing w:val="3"/>
          <w:sz w:val="32"/>
          <w:szCs w:val="32"/>
        </w:rPr>
        <w:t>26448万元，占调整预算的100%。</w:t>
      </w:r>
    </w:p>
    <w:p>
      <w:pPr>
        <w:spacing w:before="1" w:line="227" w:lineRule="auto"/>
        <w:ind w:left="78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19"/>
          <w:sz w:val="31"/>
          <w:szCs w:val="31"/>
        </w:rPr>
        <w:t>(五)预算执行的主要成效</w:t>
      </w:r>
    </w:p>
    <w:p>
      <w:pPr>
        <w:spacing w:before="159" w:line="220" w:lineRule="auto"/>
        <w:jc w:val="right"/>
        <w:rPr>
          <w:rFonts w:ascii="楷体" w:hAnsi="楷体" w:eastAsia="楷体" w:cs="楷体"/>
          <w:sz w:val="33"/>
          <w:szCs w:val="33"/>
        </w:rPr>
      </w:pPr>
      <w:r>
        <w:rPr>
          <w:rFonts w:ascii="楷体" w:hAnsi="楷体" w:eastAsia="楷体" w:cs="楷体"/>
          <w:b/>
          <w:bCs/>
          <w:spacing w:val="-8"/>
          <w:sz w:val="33"/>
          <w:szCs w:val="33"/>
        </w:rPr>
        <w:t>——强化调控、精准发力，财政收入实现平稳</w:t>
      </w:r>
      <w:r>
        <w:rPr>
          <w:rFonts w:ascii="楷体" w:hAnsi="楷体" w:eastAsia="楷体" w:cs="楷体"/>
          <w:b/>
          <w:bCs/>
          <w:spacing w:val="-9"/>
          <w:sz w:val="33"/>
          <w:szCs w:val="33"/>
        </w:rPr>
        <w:t>增长。一</w:t>
      </w:r>
    </w:p>
    <w:p>
      <w:pPr>
        <w:pStyle w:val="2"/>
        <w:spacing w:before="223" w:line="336" w:lineRule="auto"/>
        <w:ind w:right="58"/>
        <w:jc w:val="both"/>
      </w:pPr>
      <w:r>
        <w:rPr>
          <w:spacing w:val="-18"/>
        </w:rPr>
        <w:t>是打出组织收入“组合拳”。重新调整了全县综合治税工作领</w:t>
      </w:r>
      <w:r>
        <w:rPr>
          <w:spacing w:val="8"/>
        </w:rPr>
        <w:t xml:space="preserve"> </w:t>
      </w:r>
      <w:r>
        <w:rPr>
          <w:spacing w:val="-18"/>
        </w:rPr>
        <w:t>导小组，完善了横向互动、纵向联动的综合治税工作格局；定</w:t>
      </w:r>
      <w:r>
        <w:rPr>
          <w:spacing w:val="6"/>
        </w:rPr>
        <w:t xml:space="preserve"> </w:t>
      </w:r>
      <w:r>
        <w:rPr>
          <w:spacing w:val="-18"/>
        </w:rPr>
        <w:t>期召开财税联席会、收入分析座谈会，研判财税形势，强化税</w:t>
      </w:r>
      <w:r>
        <w:rPr>
          <w:spacing w:val="6"/>
        </w:rPr>
        <w:t xml:space="preserve"> </w:t>
      </w:r>
      <w:r>
        <w:rPr>
          <w:spacing w:val="-18"/>
        </w:rPr>
        <w:t>源监控，大力开展建陶、房地产、运输、化工行业专项核查行</w:t>
      </w:r>
      <w:r>
        <w:rPr>
          <w:spacing w:val="6"/>
        </w:rPr>
        <w:t xml:space="preserve"> </w:t>
      </w:r>
      <w:r>
        <w:rPr>
          <w:spacing w:val="-18"/>
        </w:rPr>
        <w:t>动，挖掘增收潜力，确保应收尽收。二是精耕非税收入“责任</w:t>
      </w:r>
      <w:r>
        <w:rPr>
          <w:spacing w:val="9"/>
        </w:rPr>
        <w:t xml:space="preserve"> </w:t>
      </w:r>
      <w:r>
        <w:rPr>
          <w:rFonts w:ascii="宋体" w:hAnsi="宋体" w:eastAsia="宋体" w:cs="宋体"/>
          <w:spacing w:val="-18"/>
        </w:rPr>
        <w:t>田”。</w:t>
      </w:r>
      <w:r>
        <w:rPr>
          <w:spacing w:val="-18"/>
        </w:rPr>
        <w:t>加强土地出让金、收费、罚没等非税收入清缴入库，确</w:t>
      </w:r>
    </w:p>
    <w:p>
      <w:pPr>
        <w:spacing w:line="336" w:lineRule="auto"/>
        <w:sectPr>
          <w:footerReference r:id="rId6" w:type="default"/>
          <w:pgSz w:w="11900" w:h="16820"/>
          <w:pgMar w:top="1429" w:right="1696" w:bottom="1493" w:left="1710" w:header="0" w:footer="1279" w:gutter="0"/>
          <w:cols w:space="720" w:num="1"/>
        </w:sectPr>
      </w:pPr>
    </w:p>
    <w:p>
      <w:pPr>
        <w:spacing w:line="349" w:lineRule="auto"/>
        <w:rPr>
          <w:rFonts w:ascii="Arial"/>
          <w:sz w:val="21"/>
        </w:rPr>
      </w:pPr>
    </w:p>
    <w:p>
      <w:pPr>
        <w:pStyle w:val="2"/>
        <w:spacing w:before="107" w:line="336" w:lineRule="auto"/>
        <w:jc w:val="both"/>
      </w:pPr>
      <w:r>
        <w:rPr>
          <w:spacing w:val="-7"/>
        </w:rPr>
        <w:t>保依法征收、规范征收；开展了“乱收费、乱罚</w:t>
      </w:r>
      <w:r>
        <w:rPr>
          <w:spacing w:val="-8"/>
        </w:rPr>
        <w:t>款、乱摊派”</w:t>
      </w:r>
      <w:r>
        <w:t xml:space="preserve"> </w:t>
      </w:r>
      <w:r>
        <w:rPr>
          <w:spacing w:val="-18"/>
        </w:rPr>
        <w:t>专项整治行动，有效维护了市场主体合法权益；深化非税收入</w:t>
      </w:r>
      <w:r>
        <w:rPr>
          <w:spacing w:val="7"/>
        </w:rPr>
        <w:t xml:space="preserve">  </w:t>
      </w:r>
      <w:r>
        <w:rPr>
          <w:spacing w:val="6"/>
        </w:rPr>
        <w:t xml:space="preserve">收缴电子化改革，全县78家行政事业单位(团体)开通了财  </w:t>
      </w:r>
      <w:r>
        <w:rPr>
          <w:spacing w:val="-18"/>
        </w:rPr>
        <w:t>政电子票据业务。三是打好向上问计“主动仗”。始终把争资</w:t>
      </w:r>
      <w:r>
        <w:rPr>
          <w:spacing w:val="3"/>
        </w:rPr>
        <w:t xml:space="preserve">  </w:t>
      </w:r>
      <w:r>
        <w:rPr>
          <w:spacing w:val="-18"/>
        </w:rPr>
        <w:t>争项作为财政工作的重中之重，以开展“争资金、跑项目、要</w:t>
      </w:r>
      <w:r>
        <w:t xml:space="preserve">  </w:t>
      </w:r>
      <w:r>
        <w:rPr>
          <w:spacing w:val="-11"/>
        </w:rPr>
        <w:t>政策”活动为抓手，加强沟通对接，争取上级补助资金94661</w:t>
      </w:r>
      <w:r>
        <w:rPr>
          <w:spacing w:val="3"/>
        </w:rPr>
        <w:t xml:space="preserve">  </w:t>
      </w:r>
      <w:r>
        <w:rPr>
          <w:spacing w:val="-11"/>
        </w:rPr>
        <w:t>万元，同比增长10.9%。紧盯国家和省市政策导向，全力做好</w:t>
      </w:r>
      <w:r>
        <w:rPr>
          <w:spacing w:val="6"/>
        </w:rPr>
        <w:t xml:space="preserve">  </w:t>
      </w:r>
      <w:r>
        <w:rPr>
          <w:spacing w:val="1"/>
        </w:rPr>
        <w:t>债券项目谋划、储备和申报工作，争取专项债券资</w:t>
      </w:r>
      <w:r>
        <w:t xml:space="preserve">金59900  </w:t>
      </w:r>
      <w:r>
        <w:rPr>
          <w:spacing w:val="1"/>
        </w:rPr>
        <w:t>万元，是2020年的4.5倍，创历史新高，有力保障了石家庄</w:t>
      </w:r>
      <w:r>
        <w:t xml:space="preserve">  </w:t>
      </w:r>
      <w:r>
        <w:rPr>
          <w:spacing w:val="-18"/>
        </w:rPr>
        <w:t>国际陆港跨境电商交易中心、高铁西站雨污水管网</w:t>
      </w:r>
      <w:r>
        <w:rPr>
          <w:spacing w:val="-19"/>
        </w:rPr>
        <w:t>工程、企业</w:t>
      </w:r>
      <w:r>
        <w:t xml:space="preserve">  </w:t>
      </w:r>
      <w:r>
        <w:rPr>
          <w:spacing w:val="-7"/>
        </w:rPr>
        <w:t>水源置换等11个项目的实施推进。</w:t>
      </w:r>
    </w:p>
    <w:p>
      <w:pPr>
        <w:spacing w:before="10" w:line="220" w:lineRule="auto"/>
        <w:ind w:left="664"/>
        <w:rPr>
          <w:rFonts w:ascii="楷体" w:hAnsi="楷体" w:eastAsia="楷体" w:cs="楷体"/>
          <w:sz w:val="33"/>
          <w:szCs w:val="33"/>
        </w:rPr>
      </w:pPr>
      <w:r>
        <w:rPr>
          <w:rFonts w:ascii="楷体" w:hAnsi="楷体" w:eastAsia="楷体" w:cs="楷体"/>
          <w:b/>
          <w:bCs/>
          <w:spacing w:val="-8"/>
          <w:sz w:val="33"/>
          <w:szCs w:val="33"/>
        </w:rPr>
        <w:t>——迅速响应、用足政策，财政保障能力不断提高。牢</w:t>
      </w:r>
    </w:p>
    <w:p>
      <w:pPr>
        <w:pStyle w:val="2"/>
        <w:spacing w:before="208" w:line="330" w:lineRule="auto"/>
        <w:ind w:right="151"/>
        <w:jc w:val="both"/>
      </w:pPr>
      <w:r>
        <w:rPr>
          <w:spacing w:val="-24"/>
        </w:rPr>
        <w:t>固树立过“紧日子”思想，严控新增支出，优化调整支</w:t>
      </w:r>
      <w:r>
        <w:rPr>
          <w:spacing w:val="-25"/>
        </w:rPr>
        <w:t>出结构，</w:t>
      </w:r>
      <w:r>
        <w:t xml:space="preserve"> </w:t>
      </w:r>
      <w:r>
        <w:rPr>
          <w:spacing w:val="-4"/>
        </w:rPr>
        <w:t>保障疫情防控和经济社会发展大局。一是筑牢防疫资</w:t>
      </w:r>
      <w:r>
        <w:rPr>
          <w:spacing w:val="-5"/>
        </w:rPr>
        <w:t>金“屏</w:t>
      </w:r>
      <w:r>
        <w:t xml:space="preserve"> </w:t>
      </w:r>
      <w:r>
        <w:rPr>
          <w:spacing w:val="-12"/>
        </w:rPr>
        <w:t>障”。建立了资金拨付和物资采购“绿色通道”,全年共拨付</w:t>
      </w:r>
      <w:r>
        <w:t xml:space="preserve"> </w:t>
      </w:r>
      <w:r>
        <w:rPr>
          <w:spacing w:val="-12"/>
        </w:rPr>
        <w:t>疫情防控资金2987万元，主要用于核酸检测、防疫物资采购、</w:t>
      </w:r>
      <w:r>
        <w:rPr>
          <w:spacing w:val="2"/>
        </w:rPr>
        <w:t xml:space="preserve"> </w:t>
      </w:r>
      <w:r>
        <w:rPr>
          <w:spacing w:val="-18"/>
        </w:rPr>
        <w:t>重症病区与发热门诊改造、发放疫情防控人员工作补助等。二</w:t>
      </w:r>
      <w:r>
        <w:rPr>
          <w:spacing w:val="4"/>
        </w:rPr>
        <w:t xml:space="preserve"> </w:t>
      </w:r>
      <w:r>
        <w:rPr>
          <w:spacing w:val="-18"/>
        </w:rPr>
        <w:t>是大力优化营商环境。全面落实减税降费优惠政策，清理</w:t>
      </w:r>
      <w:r>
        <w:rPr>
          <w:spacing w:val="-19"/>
        </w:rPr>
        <w:t>行政</w:t>
      </w:r>
      <w:r>
        <w:t xml:space="preserve"> </w:t>
      </w:r>
      <w:r>
        <w:rPr>
          <w:spacing w:val="-18"/>
        </w:rPr>
        <w:t>事业性收费，帮助市场主体减轻负担、增强活力，全年减</w:t>
      </w:r>
      <w:r>
        <w:rPr>
          <w:spacing w:val="-19"/>
        </w:rPr>
        <w:t>税降</w:t>
      </w:r>
      <w:r>
        <w:t xml:space="preserve"> </w:t>
      </w:r>
      <w:r>
        <w:rPr>
          <w:spacing w:val="-6"/>
        </w:rPr>
        <w:t>费约1.12亿元。持续加大工业企业技改财政奖励投入，</w:t>
      </w:r>
      <w:r>
        <w:rPr>
          <w:spacing w:val="-7"/>
        </w:rPr>
        <w:t>推动</w:t>
      </w:r>
      <w:r>
        <w:t xml:space="preserve">  </w:t>
      </w:r>
      <w:r>
        <w:rPr>
          <w:spacing w:val="-18"/>
        </w:rPr>
        <w:t>建陶、纺织等传统产业转型升级；积极争取中欧班列补贴资金</w:t>
      </w:r>
      <w:r>
        <w:rPr>
          <w:spacing w:val="16"/>
        </w:rPr>
        <w:t xml:space="preserve"> </w:t>
      </w:r>
      <w:r>
        <w:rPr>
          <w:spacing w:val="-3"/>
        </w:rPr>
        <w:t>6246万元，助力石家庄国际陆港发展壮大。三是推进</w:t>
      </w:r>
      <w:r>
        <w:rPr>
          <w:rFonts w:ascii="Times New Roman" w:hAnsi="Times New Roman" w:eastAsia="Times New Roman" w:cs="Times New Roman"/>
          <w:spacing w:val="-3"/>
        </w:rPr>
        <w:t xml:space="preserve">PPP </w:t>
      </w:r>
      <w:r>
        <w:rPr>
          <w:spacing w:val="-3"/>
        </w:rPr>
        <w:t>项</w:t>
      </w:r>
    </w:p>
    <w:p>
      <w:pPr>
        <w:spacing w:line="330" w:lineRule="auto"/>
        <w:sectPr>
          <w:footerReference r:id="rId7" w:type="default"/>
          <w:pgSz w:w="11900" w:h="16820"/>
          <w:pgMar w:top="1429" w:right="1493" w:bottom="1514" w:left="1690" w:header="0" w:footer="1190" w:gutter="0"/>
          <w:cols w:space="720" w:num="1"/>
        </w:sectPr>
      </w:pPr>
    </w:p>
    <w:p>
      <w:pPr>
        <w:spacing w:line="356" w:lineRule="auto"/>
        <w:rPr>
          <w:rFonts w:ascii="Arial"/>
          <w:sz w:val="21"/>
        </w:rPr>
      </w:pPr>
    </w:p>
    <w:p>
      <w:pPr>
        <w:pStyle w:val="2"/>
        <w:spacing w:before="107" w:line="330" w:lineRule="auto"/>
        <w:ind w:right="104"/>
      </w:pPr>
      <w:r>
        <w:rPr>
          <w:spacing w:val="-18"/>
        </w:rPr>
        <w:t>目运作。积极推动政府与社会资本合作，加强基础设施和公共</w:t>
      </w:r>
      <w:r>
        <w:rPr>
          <w:spacing w:val="5"/>
        </w:rPr>
        <w:t xml:space="preserve"> </w:t>
      </w:r>
      <w:r>
        <w:rPr>
          <w:spacing w:val="-16"/>
        </w:rPr>
        <w:t>服务建设，“智慧高邑”项目通过国家财政部</w:t>
      </w:r>
      <w:r>
        <w:rPr>
          <w:spacing w:val="-92"/>
        </w:rPr>
        <w:t xml:space="preserve"> </w:t>
      </w:r>
      <w:r>
        <w:rPr>
          <w:rFonts w:ascii="Times New Roman" w:hAnsi="Times New Roman" w:eastAsia="Times New Roman" w:cs="Times New Roman"/>
          <w:spacing w:val="-16"/>
        </w:rPr>
        <w:t>PPP</w:t>
      </w:r>
      <w:r>
        <w:rPr>
          <w:spacing w:val="-16"/>
        </w:rPr>
        <w:t>中心审</w:t>
      </w:r>
      <w:r>
        <w:rPr>
          <w:spacing w:val="-17"/>
        </w:rPr>
        <w:t>核。</w:t>
      </w:r>
    </w:p>
    <w:p>
      <w:pPr>
        <w:pStyle w:val="2"/>
        <w:spacing w:before="6" w:line="332" w:lineRule="auto"/>
        <w:ind w:firstLine="629"/>
        <w:jc w:val="both"/>
      </w:pPr>
      <w:r>
        <w:rPr>
          <w:rFonts w:ascii="楷体" w:hAnsi="楷体" w:eastAsia="楷体" w:cs="楷体"/>
          <w:spacing w:val="-9"/>
        </w:rPr>
        <w:t>—</w:t>
      </w:r>
      <w:r>
        <w:rPr>
          <w:rFonts w:ascii="楷体" w:hAnsi="楷体" w:eastAsia="楷体" w:cs="楷体"/>
          <w:b/>
          <w:bCs/>
          <w:spacing w:val="-9"/>
        </w:rPr>
        <w:t>—统筹兼顾、突出重点，民生事业持续向前发展。坚</w:t>
      </w:r>
      <w:r>
        <w:rPr>
          <w:rFonts w:ascii="楷体" w:hAnsi="楷体" w:eastAsia="楷体" w:cs="楷体"/>
          <w:spacing w:val="5"/>
        </w:rPr>
        <w:t xml:space="preserve">  </w:t>
      </w:r>
      <w:r>
        <w:rPr>
          <w:spacing w:val="-14"/>
        </w:rPr>
        <w:t>持以人民为中心的发展思想，财政支出更多向民生领域倾斜，</w:t>
      </w:r>
      <w:r>
        <w:rPr>
          <w:spacing w:val="2"/>
        </w:rPr>
        <w:t xml:space="preserve"> </w:t>
      </w:r>
      <w:r>
        <w:rPr>
          <w:spacing w:val="-19"/>
        </w:rPr>
        <w:t>努力让人民群众的获得感成色更足、幸福感更可持续、安全感</w:t>
      </w:r>
      <w:r>
        <w:rPr>
          <w:spacing w:val="8"/>
        </w:rPr>
        <w:t xml:space="preserve"> </w:t>
      </w:r>
      <w:r>
        <w:rPr>
          <w:spacing w:val="-5"/>
        </w:rPr>
        <w:t>更有保障。全年民生领域支出148439万元，占一般公共预算</w:t>
      </w:r>
      <w:r>
        <w:t xml:space="preserve"> </w:t>
      </w:r>
      <w:r>
        <w:rPr>
          <w:spacing w:val="-5"/>
        </w:rPr>
        <w:t>支出比重达83%。保工资支出37218万元，保障了全县公教人</w:t>
      </w:r>
      <w:r>
        <w:t xml:space="preserve"> </w:t>
      </w:r>
      <w:r>
        <w:rPr>
          <w:spacing w:val="-19"/>
        </w:rPr>
        <w:t>员工资、离退休人员离退休费及各项增资政策。教育方面支出</w:t>
      </w:r>
      <w:r>
        <w:rPr>
          <w:spacing w:val="17"/>
        </w:rPr>
        <w:t xml:space="preserve"> </w:t>
      </w:r>
      <w:r>
        <w:rPr>
          <w:spacing w:val="-11"/>
        </w:rPr>
        <w:t>30090万元。大力支持教育提升三年行动，城乡义务教育公用</w:t>
      </w:r>
      <w:r>
        <w:t xml:space="preserve"> </w:t>
      </w:r>
      <w:r>
        <w:rPr>
          <w:spacing w:val="-18"/>
        </w:rPr>
        <w:t>经费、寄宿生生活、建档立卡贫困学生、薄弱学校改造等多项</w:t>
      </w:r>
      <w:r>
        <w:rPr>
          <w:spacing w:val="8"/>
        </w:rPr>
        <w:t xml:space="preserve"> </w:t>
      </w:r>
      <w:r>
        <w:rPr>
          <w:spacing w:val="-18"/>
        </w:rPr>
        <w:t>补助资金落实到位；加大普惠性学前教育资源供给，改善中小</w:t>
      </w:r>
      <w:r>
        <w:rPr>
          <w:spacing w:val="16"/>
        </w:rPr>
        <w:t xml:space="preserve"> </w:t>
      </w:r>
      <w:r>
        <w:rPr>
          <w:spacing w:val="-18"/>
        </w:rPr>
        <w:t>学办学条件，义务教育教师工资实现了逐年提高；大力推进职</w:t>
      </w:r>
      <w:r>
        <w:rPr>
          <w:spacing w:val="3"/>
        </w:rPr>
        <w:t xml:space="preserve"> </w:t>
      </w:r>
      <w:r>
        <w:rPr>
          <w:spacing w:val="-5"/>
        </w:rPr>
        <w:t>业教育发展，争取专项债券资金1000万元，支持了职教园区</w:t>
      </w:r>
      <w:r>
        <w:t xml:space="preserve"> </w:t>
      </w:r>
      <w:r>
        <w:rPr>
          <w:spacing w:val="-11"/>
        </w:rPr>
        <w:t>建设。社会保障和就业方面支出23180万元。加大各类群体就</w:t>
      </w:r>
      <w:r>
        <w:rPr>
          <w:spacing w:val="10"/>
        </w:rPr>
        <w:t xml:space="preserve"> </w:t>
      </w:r>
      <w:r>
        <w:rPr>
          <w:spacing w:val="-10"/>
        </w:rPr>
        <w:t>业扶持力度，拨付就业补助资金984万元，新增城镇就业3</w:t>
      </w:r>
      <w:r>
        <w:rPr>
          <w:spacing w:val="-11"/>
        </w:rPr>
        <w:t>231</w:t>
      </w:r>
      <w:r>
        <w:t xml:space="preserve"> </w:t>
      </w:r>
      <w:r>
        <w:rPr>
          <w:spacing w:val="-18"/>
        </w:rPr>
        <w:t>人；落实了城乡居民养老、低保、特困人员、残疾人生活保障</w:t>
      </w:r>
      <w:r>
        <w:rPr>
          <w:spacing w:val="8"/>
        </w:rPr>
        <w:t xml:space="preserve"> </w:t>
      </w:r>
      <w:r>
        <w:rPr>
          <w:spacing w:val="6"/>
        </w:rPr>
        <w:t>等补助标准与物价上涨挂钩联动机制。医疗卫生方面支出</w:t>
      </w:r>
      <w:r>
        <w:rPr>
          <w:spacing w:val="16"/>
        </w:rPr>
        <w:t xml:space="preserve"> </w:t>
      </w:r>
      <w:r>
        <w:rPr>
          <w:spacing w:val="-7"/>
        </w:rPr>
        <w:t>12079万元。基本公共卫生服务补助标准按79元/年/人执行；</w:t>
      </w:r>
      <w:r>
        <w:rPr>
          <w:spacing w:val="6"/>
        </w:rPr>
        <w:t xml:space="preserve"> </w:t>
      </w:r>
      <w:r>
        <w:rPr>
          <w:spacing w:val="-25"/>
        </w:rPr>
        <w:t>推进医药卫生体制改革，大力支持公立医院、乡镇</w:t>
      </w:r>
      <w:r>
        <w:rPr>
          <w:spacing w:val="-26"/>
        </w:rPr>
        <w:t>卫生院建设，</w:t>
      </w:r>
      <w:r>
        <w:t xml:space="preserve"> </w:t>
      </w:r>
      <w:r>
        <w:rPr>
          <w:spacing w:val="-18"/>
        </w:rPr>
        <w:t>县域医疗服务水平进一步提升，增强了突发重大公共卫生事件</w:t>
      </w:r>
      <w:r>
        <w:rPr>
          <w:spacing w:val="5"/>
        </w:rPr>
        <w:t xml:space="preserve"> </w:t>
      </w:r>
      <w:r>
        <w:rPr>
          <w:spacing w:val="-12"/>
        </w:rPr>
        <w:t>的应对处置能力。农林水方面支出19619万元。兑现</w:t>
      </w:r>
      <w:r>
        <w:rPr>
          <w:spacing w:val="-13"/>
        </w:rPr>
        <w:t>了耕地地</w:t>
      </w:r>
      <w:r>
        <w:t xml:space="preserve"> </w:t>
      </w:r>
      <w:r>
        <w:rPr>
          <w:spacing w:val="-18"/>
        </w:rPr>
        <w:t>力保护、农机购置、政策性农业保险等各项惠农政</w:t>
      </w:r>
      <w:r>
        <w:rPr>
          <w:spacing w:val="-19"/>
        </w:rPr>
        <w:t>策，推进厕</w:t>
      </w:r>
    </w:p>
    <w:p>
      <w:pPr>
        <w:spacing w:line="332" w:lineRule="auto"/>
        <w:sectPr>
          <w:footerReference r:id="rId8" w:type="default"/>
          <w:pgSz w:w="11900" w:h="16820"/>
          <w:pgMar w:top="1429" w:right="1664" w:bottom="1467" w:left="1700" w:header="0" w:footer="1167" w:gutter="0"/>
          <w:cols w:space="720" w:num="1"/>
        </w:sectPr>
      </w:pPr>
    </w:p>
    <w:p>
      <w:pPr>
        <w:spacing w:line="341" w:lineRule="auto"/>
        <w:rPr>
          <w:rFonts w:ascii="Arial"/>
          <w:sz w:val="21"/>
        </w:rPr>
      </w:pPr>
    </w:p>
    <w:p>
      <w:pPr>
        <w:pStyle w:val="2"/>
        <w:spacing w:before="107" w:line="336" w:lineRule="auto"/>
        <w:jc w:val="both"/>
      </w:pPr>
      <w:r>
        <w:rPr>
          <w:spacing w:val="-18"/>
        </w:rPr>
        <w:t>所革命、街巷硬化、小游园建设等农村人居环境整治，巩固拓</w:t>
      </w:r>
      <w:r>
        <w:rPr>
          <w:spacing w:val="4"/>
        </w:rPr>
        <w:t xml:space="preserve"> </w:t>
      </w:r>
      <w:r>
        <w:rPr>
          <w:spacing w:val="-14"/>
        </w:rPr>
        <w:t>展脱贫坚成果同乡村振兴有效衔接；扶持农村集体经济发展，</w:t>
      </w:r>
      <w:r>
        <w:rPr>
          <w:spacing w:val="11"/>
        </w:rPr>
        <w:t xml:space="preserve"> </w:t>
      </w:r>
      <w:r>
        <w:rPr>
          <w:spacing w:val="-6"/>
        </w:rPr>
        <w:t>成功跑办3个扶持壮大村集体项目、1个农村综合改革示范村</w:t>
      </w:r>
      <w:r>
        <w:rPr>
          <w:spacing w:val="12"/>
        </w:rPr>
        <w:t xml:space="preserve"> </w:t>
      </w:r>
      <w:r>
        <w:t>项目、18个农村“一事一议”项目，共争取上级资金789万</w:t>
      </w:r>
      <w:r>
        <w:rPr>
          <w:spacing w:val="16"/>
        </w:rPr>
        <w:t xml:space="preserve"> </w:t>
      </w:r>
      <w:r>
        <w:rPr>
          <w:spacing w:val="-5"/>
        </w:rPr>
        <w:t>元。节能环保方面支出8283万元。着重支持</w:t>
      </w:r>
      <w:r>
        <w:rPr>
          <w:spacing w:val="-6"/>
        </w:rPr>
        <w:t>农村双代、洁净</w:t>
      </w:r>
      <w:r>
        <w:t xml:space="preserve"> </w:t>
      </w:r>
      <w:r>
        <w:rPr>
          <w:spacing w:val="-18"/>
        </w:rPr>
        <w:t>型煤推广、淘汰燃煤锅炉、城乡垃圾处理一体化、地下水超采</w:t>
      </w:r>
      <w:r>
        <w:rPr>
          <w:spacing w:val="11"/>
        </w:rPr>
        <w:t xml:space="preserve"> </w:t>
      </w:r>
      <w:r>
        <w:rPr>
          <w:spacing w:val="-17"/>
        </w:rPr>
        <w:t>综合治理等，全县生态环境质量进一步改善。</w:t>
      </w:r>
    </w:p>
    <w:p>
      <w:pPr>
        <w:spacing w:before="10" w:line="220" w:lineRule="auto"/>
        <w:ind w:right="39"/>
        <w:jc w:val="right"/>
        <w:rPr>
          <w:rFonts w:ascii="楷体" w:hAnsi="楷体" w:eastAsia="楷体" w:cs="楷体"/>
          <w:sz w:val="33"/>
          <w:szCs w:val="33"/>
        </w:rPr>
      </w:pPr>
      <w:r>
        <w:rPr>
          <w:rFonts w:ascii="楷体" w:hAnsi="楷体" w:eastAsia="楷体" w:cs="楷体"/>
          <w:b/>
          <w:bCs/>
          <w:spacing w:val="-8"/>
          <w:sz w:val="33"/>
          <w:szCs w:val="33"/>
        </w:rPr>
        <w:t>——严肃纪律、规范理财，财政管理水平不断提升。一</w:t>
      </w:r>
    </w:p>
    <w:p>
      <w:pPr>
        <w:pStyle w:val="2"/>
        <w:spacing w:before="246" w:line="331" w:lineRule="auto"/>
        <w:ind w:right="20"/>
        <w:jc w:val="both"/>
      </w:pPr>
      <w:r>
        <w:rPr>
          <w:spacing w:val="-18"/>
        </w:rPr>
        <w:t>是开展专项行动。组织开展了粮食购销领域腐败问题、违规发</w:t>
      </w:r>
      <w:r>
        <w:rPr>
          <w:spacing w:val="9"/>
        </w:rPr>
        <w:t xml:space="preserve"> </w:t>
      </w:r>
      <w:r>
        <w:rPr>
          <w:spacing w:val="-18"/>
        </w:rPr>
        <w:t>放津补贴、县级运转专项核查等多项财经纪律检查行动，配合</w:t>
      </w:r>
      <w:r>
        <w:rPr>
          <w:spacing w:val="2"/>
        </w:rPr>
        <w:t xml:space="preserve"> </w:t>
      </w:r>
      <w:r>
        <w:rPr>
          <w:spacing w:val="-20"/>
        </w:rPr>
        <w:t>省、市审计部门开展了经济责任、自然资源资产和乡村振兴审</w:t>
      </w:r>
      <w:r>
        <w:rPr>
          <w:spacing w:val="18"/>
        </w:rPr>
        <w:t xml:space="preserve"> </w:t>
      </w:r>
      <w:r>
        <w:rPr>
          <w:spacing w:val="-18"/>
        </w:rPr>
        <w:t>计。二是加强信息公开。积极配合推进人大预算联网监督，及</w:t>
      </w:r>
      <w:r>
        <w:rPr>
          <w:spacing w:val="8"/>
        </w:rPr>
        <w:t xml:space="preserve"> </w:t>
      </w:r>
      <w:r>
        <w:rPr>
          <w:spacing w:val="-6"/>
        </w:rPr>
        <w:t>时在县政府网站公开财政预决算、惠民惠农财政补贴“一卡</w:t>
      </w:r>
      <w:r>
        <w:rPr>
          <w:spacing w:val="10"/>
        </w:rPr>
        <w:t xml:space="preserve"> </w:t>
      </w:r>
      <w:r>
        <w:rPr>
          <w:spacing w:val="-17"/>
        </w:rPr>
        <w:t>通”、乡村振兴衔接资金等信息，接受社会各界监督，努力打</w:t>
      </w:r>
      <w:r>
        <w:rPr>
          <w:spacing w:val="1"/>
        </w:rPr>
        <w:t xml:space="preserve"> </w:t>
      </w:r>
      <w:r>
        <w:rPr>
          <w:spacing w:val="-18"/>
        </w:rPr>
        <w:t>造阳光财政。三是加强评审管理。紧紧围绕重点项目建设，强</w:t>
      </w:r>
      <w:r>
        <w:rPr>
          <w:spacing w:val="10"/>
        </w:rPr>
        <w:t xml:space="preserve"> </w:t>
      </w:r>
      <w:r>
        <w:rPr>
          <w:spacing w:val="-18"/>
        </w:rPr>
        <w:t>化预算评审质量管理，严控政府投资成本，全年完成评审项目</w:t>
      </w:r>
      <w:r>
        <w:rPr>
          <w:spacing w:val="2"/>
        </w:rPr>
        <w:t xml:space="preserve"> </w:t>
      </w:r>
      <w:r>
        <w:rPr>
          <w:spacing w:val="-5"/>
        </w:rPr>
        <w:t>75个，送审金额46640万元，审定金额40390万元，审减金额</w:t>
      </w:r>
      <w:r>
        <w:rPr>
          <w:spacing w:val="11"/>
        </w:rPr>
        <w:t xml:space="preserve"> </w:t>
      </w:r>
      <w:r>
        <w:rPr>
          <w:spacing w:val="-10"/>
        </w:rPr>
        <w:t>6250万元，审减率13.4%。四是建立完善机制</w:t>
      </w:r>
      <w:r>
        <w:rPr>
          <w:spacing w:val="-11"/>
        </w:rPr>
        <w:t>。全年接收中央</w:t>
      </w:r>
      <w:r>
        <w:t xml:space="preserve"> </w:t>
      </w:r>
      <w:r>
        <w:rPr>
          <w:spacing w:val="-19"/>
        </w:rPr>
        <w:t>直达资金38539万元，做好直达资金分配、拨付、使用和监管，</w:t>
      </w:r>
      <w:r>
        <w:rPr>
          <w:spacing w:val="18"/>
        </w:rPr>
        <w:t xml:space="preserve"> </w:t>
      </w:r>
      <w:r>
        <w:rPr>
          <w:spacing w:val="-18"/>
        </w:rPr>
        <w:t>有效推动惠企利民政策精准落实。</w:t>
      </w:r>
    </w:p>
    <w:p>
      <w:pPr>
        <w:spacing w:before="30" w:line="220" w:lineRule="auto"/>
        <w:ind w:left="694"/>
        <w:rPr>
          <w:rFonts w:ascii="楷体" w:hAnsi="楷体" w:eastAsia="楷体" w:cs="楷体"/>
          <w:sz w:val="33"/>
          <w:szCs w:val="33"/>
        </w:rPr>
      </w:pPr>
      <w:r>
        <w:rPr>
          <w:rFonts w:ascii="楷体" w:hAnsi="楷体" w:eastAsia="楷体" w:cs="楷体"/>
          <w:b/>
          <w:bCs/>
          <w:spacing w:val="-10"/>
          <w:sz w:val="33"/>
          <w:szCs w:val="33"/>
        </w:rPr>
        <w:t>——勇于创新、锐意改革，财政运行机制更加顺畅。聚</w:t>
      </w:r>
    </w:p>
    <w:p>
      <w:pPr>
        <w:pStyle w:val="2"/>
        <w:spacing w:before="210" w:line="222" w:lineRule="auto"/>
      </w:pPr>
      <w:r>
        <w:rPr>
          <w:spacing w:val="-17"/>
        </w:rPr>
        <w:t>焦财政重点领域和关键环节，纵深推进改革责任事项，促进财</w:t>
      </w:r>
    </w:p>
    <w:p>
      <w:pPr>
        <w:spacing w:line="222" w:lineRule="auto"/>
        <w:sectPr>
          <w:footerReference r:id="rId9" w:type="default"/>
          <w:pgSz w:w="11900" w:h="16820"/>
          <w:pgMar w:top="1429" w:right="1664" w:bottom="1531" w:left="1690" w:header="0" w:footer="1231" w:gutter="0"/>
          <w:cols w:space="720" w:num="1"/>
        </w:sectPr>
      </w:pPr>
    </w:p>
    <w:p>
      <w:pPr>
        <w:spacing w:line="253" w:lineRule="auto"/>
        <w:rPr>
          <w:rFonts w:ascii="Arial"/>
          <w:sz w:val="21"/>
        </w:rPr>
      </w:pPr>
    </w:p>
    <w:p>
      <w:pPr>
        <w:pStyle w:val="2"/>
        <w:spacing w:before="113" w:line="340" w:lineRule="auto"/>
      </w:pPr>
      <w:r>
        <w:rPr>
          <w:spacing w:val="-38"/>
          <w:sz w:val="35"/>
          <w:szCs w:val="35"/>
        </w:rPr>
        <w:t>政工作提质增效。一是推进预算绩效改革。深入开展“预算绩</w:t>
      </w:r>
      <w:r>
        <w:rPr>
          <w:spacing w:val="2"/>
          <w:sz w:val="35"/>
          <w:szCs w:val="35"/>
        </w:rPr>
        <w:t xml:space="preserve">  </w:t>
      </w:r>
      <w:r>
        <w:rPr>
          <w:spacing w:val="-13"/>
        </w:rPr>
        <w:t>效管理提升年”活动，推进预算管理一体化平台2.0系统上线，</w:t>
      </w:r>
      <w:r>
        <w:rPr>
          <w:spacing w:val="14"/>
        </w:rPr>
        <w:t xml:space="preserve"> </w:t>
      </w:r>
      <w:r>
        <w:rPr>
          <w:spacing w:val="-2"/>
        </w:rPr>
        <w:t>用好“零基预算”,强化事前绩效评估，延续了县级全方位、</w:t>
      </w:r>
      <w:r>
        <w:t xml:space="preserve"> </w:t>
      </w:r>
      <w:r>
        <w:rPr>
          <w:spacing w:val="-6"/>
        </w:rPr>
        <w:t>全过程、全覆盖的预算绩效管理体系。组织预算单位对1202</w:t>
      </w:r>
      <w:r>
        <w:rPr>
          <w:spacing w:val="4"/>
        </w:rPr>
        <w:t xml:space="preserve">  </w:t>
      </w:r>
      <w:r>
        <w:rPr>
          <w:spacing w:val="-6"/>
        </w:rPr>
        <w:t>个预算项目开展了绩效自评，为2022年预算编制提供了重要</w:t>
      </w:r>
      <w:r>
        <w:rPr>
          <w:spacing w:val="6"/>
        </w:rPr>
        <w:t xml:space="preserve">  </w:t>
      </w:r>
      <w:r>
        <w:rPr>
          <w:spacing w:val="-13"/>
        </w:rPr>
        <w:t>依据。二是推进政府采购改革。持续推进“互联网+政府采购”</w:t>
      </w:r>
      <w:r>
        <w:rPr>
          <w:spacing w:val="1"/>
        </w:rPr>
        <w:t xml:space="preserve"> </w:t>
      </w:r>
      <w:r>
        <w:rPr>
          <w:spacing w:val="-18"/>
        </w:rPr>
        <w:t>模式，着力培育公开、公平、公正的竞争机制和市场环境。全</w:t>
      </w:r>
      <w:r>
        <w:rPr>
          <w:spacing w:val="6"/>
        </w:rPr>
        <w:t xml:space="preserve">  </w:t>
      </w:r>
      <w:r>
        <w:t>年完成采购项目74个，采购预算总额138</w:t>
      </w:r>
      <w:r>
        <w:rPr>
          <w:spacing w:val="-1"/>
        </w:rPr>
        <w:t>00万元；实际支出</w:t>
      </w:r>
      <w:r>
        <w:t xml:space="preserve">  </w:t>
      </w:r>
      <w:r>
        <w:rPr>
          <w:spacing w:val="-5"/>
        </w:rPr>
        <w:t>13528万元，按时办结率100%,全部实行电子化招投</w:t>
      </w:r>
      <w:r>
        <w:rPr>
          <w:spacing w:val="-6"/>
        </w:rPr>
        <w:t>标。推进</w:t>
      </w:r>
      <w:r>
        <w:t xml:space="preserve">  </w:t>
      </w:r>
      <w:r>
        <w:rPr>
          <w:spacing w:val="-6"/>
        </w:rPr>
        <w:t>精准消费扶贫，完成贫困地区农副产品采购11.8万元。三是</w:t>
      </w:r>
      <w:r>
        <w:rPr>
          <w:spacing w:val="4"/>
        </w:rPr>
        <w:t xml:space="preserve">  </w:t>
      </w:r>
      <w:r>
        <w:rPr>
          <w:spacing w:val="-18"/>
        </w:rPr>
        <w:t>推进国库集中支付改革。优化审批流程，建立完善涵盖政</w:t>
      </w:r>
      <w:r>
        <w:rPr>
          <w:spacing w:val="-19"/>
        </w:rPr>
        <w:t>府预</w:t>
      </w:r>
      <w:r>
        <w:t xml:space="preserve">  </w:t>
      </w:r>
      <w:r>
        <w:rPr>
          <w:spacing w:val="-18"/>
        </w:rPr>
        <w:t>算、财政专户以及往来资金的国库集中支付体系，大大提升了</w:t>
      </w:r>
      <w:r>
        <w:rPr>
          <w:spacing w:val="4"/>
        </w:rPr>
        <w:t xml:space="preserve">  </w:t>
      </w:r>
      <w:r>
        <w:rPr>
          <w:spacing w:val="-21"/>
        </w:rPr>
        <w:t>办公效率。</w:t>
      </w:r>
    </w:p>
    <w:p>
      <w:pPr>
        <w:pStyle w:val="2"/>
        <w:spacing w:before="5" w:line="330" w:lineRule="auto"/>
        <w:ind w:right="148" w:firstLine="699"/>
        <w:jc w:val="both"/>
      </w:pPr>
      <w:r>
        <w:rPr>
          <w:spacing w:val="-5"/>
        </w:rPr>
        <w:t>总的看，2021年预算执行情况总体平稳</w:t>
      </w:r>
      <w:r>
        <w:rPr>
          <w:spacing w:val="-6"/>
        </w:rPr>
        <w:t>，财政改革发展</w:t>
      </w:r>
      <w:r>
        <w:t xml:space="preserve"> </w:t>
      </w:r>
      <w:r>
        <w:rPr>
          <w:spacing w:val="-18"/>
        </w:rPr>
        <w:t>工作取得新进展，这是县委统揽全局、坚强领导的</w:t>
      </w:r>
      <w:r>
        <w:rPr>
          <w:spacing w:val="-19"/>
        </w:rPr>
        <w:t>结果，是县</w:t>
      </w:r>
      <w:r>
        <w:t xml:space="preserve"> </w:t>
      </w:r>
      <w:r>
        <w:rPr>
          <w:spacing w:val="-24"/>
        </w:rPr>
        <w:t>人大、政协有效监督、鼎</w:t>
      </w:r>
      <w:r>
        <w:rPr>
          <w:rFonts w:hint="eastAsia"/>
          <w:spacing w:val="-24"/>
          <w:lang w:val="en-US" w:eastAsia="zh-CN"/>
        </w:rPr>
        <w:t>力</w:t>
      </w:r>
      <w:bookmarkStart w:id="0" w:name="_GoBack"/>
      <w:bookmarkEnd w:id="0"/>
      <w:r>
        <w:rPr>
          <w:spacing w:val="-24"/>
        </w:rPr>
        <w:t>支持的结果，是全县上下</w:t>
      </w:r>
      <w:r>
        <w:rPr>
          <w:spacing w:val="-25"/>
        </w:rPr>
        <w:t>鹨力同心、</w:t>
      </w:r>
      <w:r>
        <w:t xml:space="preserve"> </w:t>
      </w:r>
      <w:r>
        <w:rPr>
          <w:spacing w:val="-18"/>
        </w:rPr>
        <w:t>苦干实干的结果。同时，我们也清醒认识到，我县财政运行和</w:t>
      </w:r>
      <w:r>
        <w:rPr>
          <w:spacing w:val="9"/>
        </w:rPr>
        <w:t xml:space="preserve"> </w:t>
      </w:r>
      <w:r>
        <w:rPr>
          <w:spacing w:val="-18"/>
        </w:rPr>
        <w:t>管理还存在一些困难和问题，主要是：经济下行压力、疫情局</w:t>
      </w:r>
      <w:r>
        <w:rPr>
          <w:spacing w:val="15"/>
        </w:rPr>
        <w:t xml:space="preserve"> </w:t>
      </w:r>
      <w:r>
        <w:rPr>
          <w:spacing w:val="-18"/>
        </w:rPr>
        <w:t>部多点散发等因素对实体经济造成冲击，财政增收难度持续加</w:t>
      </w:r>
      <w:r>
        <w:rPr>
          <w:spacing w:val="6"/>
        </w:rPr>
        <w:t xml:space="preserve"> </w:t>
      </w:r>
      <w:r>
        <w:rPr>
          <w:spacing w:val="-18"/>
        </w:rPr>
        <w:t>大，收入质量有待提高；随着保工资、保民生等刚性支出不断</w:t>
      </w:r>
      <w:r>
        <w:t xml:space="preserve"> </w:t>
      </w:r>
      <w:r>
        <w:rPr>
          <w:spacing w:val="-24"/>
        </w:rPr>
        <w:t>增加，资金供需矛盾日益突出，财政长期处于“紧平</w:t>
      </w:r>
      <w:r>
        <w:rPr>
          <w:spacing w:val="-25"/>
        </w:rPr>
        <w:t>衡”状态；</w:t>
      </w:r>
      <w:r>
        <w:t xml:space="preserve"> </w:t>
      </w:r>
      <w:r>
        <w:rPr>
          <w:spacing w:val="-17"/>
        </w:rPr>
        <w:t>政府偿债压力巨大，防控风险任务繁重。对</w:t>
      </w:r>
      <w:r>
        <w:rPr>
          <w:spacing w:val="-18"/>
        </w:rPr>
        <w:t>此，我们必须直面</w:t>
      </w:r>
    </w:p>
    <w:p>
      <w:pPr>
        <w:spacing w:line="330" w:lineRule="auto"/>
        <w:sectPr>
          <w:footerReference r:id="rId10" w:type="default"/>
          <w:pgSz w:w="11900" w:h="16820"/>
          <w:pgMar w:top="1429" w:right="1506" w:bottom="1488" w:left="1680" w:header="0" w:footer="1203" w:gutter="0"/>
          <w:cols w:space="720" w:num="1"/>
        </w:sectPr>
      </w:pPr>
    </w:p>
    <w:p>
      <w:pPr>
        <w:spacing w:line="289" w:lineRule="auto"/>
        <w:rPr>
          <w:rFonts w:ascii="Arial"/>
          <w:sz w:val="21"/>
        </w:rPr>
      </w:pPr>
    </w:p>
    <w:p>
      <w:pPr>
        <w:pStyle w:val="2"/>
        <w:spacing w:before="108" w:line="345" w:lineRule="auto"/>
        <w:ind w:right="311"/>
      </w:pPr>
      <w:r>
        <w:rPr>
          <w:spacing w:val="-18"/>
        </w:rPr>
        <w:t>问题，高度重视，下大力予以解决。同时，恳请各位代表、委</w:t>
      </w:r>
      <w:r>
        <w:rPr>
          <w:spacing w:val="1"/>
        </w:rPr>
        <w:t xml:space="preserve"> </w:t>
      </w:r>
      <w:r>
        <w:rPr>
          <w:spacing w:val="-18"/>
        </w:rPr>
        <w:t>员对财政工作提出宝贵意见和建议。</w:t>
      </w:r>
    </w:p>
    <w:p>
      <w:pPr>
        <w:spacing w:line="221" w:lineRule="auto"/>
        <w:ind w:left="62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3"/>
          <w:sz w:val="32"/>
          <w:szCs w:val="32"/>
        </w:rPr>
        <w:t>二、2022年财政预算草案</w:t>
      </w:r>
    </w:p>
    <w:p>
      <w:pPr>
        <w:pStyle w:val="2"/>
        <w:spacing w:before="214" w:line="346" w:lineRule="auto"/>
        <w:ind w:firstLine="620"/>
        <w:jc w:val="both"/>
        <w:rPr>
          <w:rFonts w:ascii="黑体" w:hAnsi="黑体" w:eastAsia="黑体" w:cs="黑体"/>
          <w:sz w:val="32"/>
          <w:szCs w:val="32"/>
        </w:rPr>
      </w:pPr>
      <w:r>
        <w:rPr>
          <w:spacing w:val="4"/>
          <w:sz w:val="32"/>
          <w:szCs w:val="32"/>
        </w:rPr>
        <w:t xml:space="preserve">2022年是党的二十大召开之年，是实施“十四五”规划   </w:t>
      </w:r>
      <w:r>
        <w:rPr>
          <w:spacing w:val="-8"/>
          <w:sz w:val="32"/>
          <w:szCs w:val="32"/>
        </w:rPr>
        <w:t>承上启下的关键一年，做好今年财政工作，责任重大、意义深</w:t>
      </w:r>
      <w:r>
        <w:rPr>
          <w:spacing w:val="7"/>
          <w:sz w:val="32"/>
          <w:szCs w:val="32"/>
        </w:rPr>
        <w:t xml:space="preserve">  </w:t>
      </w:r>
      <w:r>
        <w:rPr>
          <w:spacing w:val="4"/>
          <w:sz w:val="32"/>
          <w:szCs w:val="32"/>
        </w:rPr>
        <w:t>远。根据当前面临形势及全县经济社会发展实际，2022年全</w:t>
      </w:r>
      <w:r>
        <w:rPr>
          <w:spacing w:val="2"/>
          <w:sz w:val="32"/>
          <w:szCs w:val="32"/>
        </w:rPr>
        <w:t xml:space="preserve">  </w:t>
      </w:r>
      <w:r>
        <w:rPr>
          <w:spacing w:val="-8"/>
          <w:sz w:val="32"/>
          <w:szCs w:val="32"/>
        </w:rPr>
        <w:t>县财政工作的指导思想是：</w:t>
      </w:r>
      <w:r>
        <w:rPr>
          <w:rFonts w:ascii="黑体" w:hAnsi="黑体" w:eastAsia="黑体" w:cs="黑体"/>
          <w:spacing w:val="-8"/>
          <w:sz w:val="32"/>
          <w:szCs w:val="32"/>
        </w:rPr>
        <w:t>坚持以习近平新时代中国特色社会</w:t>
      </w:r>
      <w:r>
        <w:rPr>
          <w:rFonts w:ascii="黑体" w:hAnsi="黑体" w:eastAsia="黑体" w:cs="黑体"/>
          <w:spacing w:val="2"/>
          <w:sz w:val="32"/>
          <w:szCs w:val="32"/>
        </w:rPr>
        <w:t xml:space="preserve">   </w:t>
      </w:r>
      <w:r>
        <w:rPr>
          <w:rFonts w:ascii="黑体" w:hAnsi="黑体" w:eastAsia="黑体" w:cs="黑体"/>
          <w:spacing w:val="-8"/>
          <w:sz w:val="32"/>
          <w:szCs w:val="32"/>
        </w:rPr>
        <w:t>主义思想为指导，深入贯彻党的十九届六中全会、省第十次党</w:t>
      </w:r>
      <w:r>
        <w:rPr>
          <w:rFonts w:ascii="黑体" w:hAnsi="黑体" w:eastAsia="黑体" w:cs="黑体"/>
          <w:spacing w:val="4"/>
          <w:sz w:val="32"/>
          <w:szCs w:val="32"/>
        </w:rPr>
        <w:t xml:space="preserve">   </w:t>
      </w:r>
      <w:r>
        <w:rPr>
          <w:rFonts w:ascii="黑体" w:hAnsi="黑体" w:eastAsia="黑体" w:cs="黑体"/>
          <w:spacing w:val="-8"/>
          <w:sz w:val="32"/>
          <w:szCs w:val="32"/>
        </w:rPr>
        <w:t>代会、市第十一次党代会、县第十三次党代会精神，认真落实</w:t>
      </w:r>
      <w:r>
        <w:rPr>
          <w:rFonts w:ascii="黑体" w:hAnsi="黑体" w:eastAsia="黑体" w:cs="黑体"/>
          <w:spacing w:val="7"/>
          <w:sz w:val="32"/>
          <w:szCs w:val="32"/>
        </w:rPr>
        <w:t xml:space="preserve">  </w:t>
      </w:r>
      <w:r>
        <w:rPr>
          <w:rFonts w:ascii="黑体" w:hAnsi="黑体" w:eastAsia="黑体" w:cs="黑体"/>
          <w:spacing w:val="-8"/>
          <w:sz w:val="32"/>
          <w:szCs w:val="32"/>
        </w:rPr>
        <w:t>中央、省市经济工作会议、全省财政工作会议部署要求，增强</w:t>
      </w:r>
      <w:r>
        <w:rPr>
          <w:rFonts w:ascii="黑体" w:hAnsi="黑体" w:eastAsia="黑体" w:cs="黑体"/>
          <w:spacing w:val="2"/>
          <w:sz w:val="32"/>
          <w:szCs w:val="32"/>
        </w:rPr>
        <w:t xml:space="preserve">   </w:t>
      </w:r>
      <w:r>
        <w:rPr>
          <w:rFonts w:ascii="黑体" w:hAnsi="黑体" w:eastAsia="黑体" w:cs="黑体"/>
          <w:spacing w:val="-7"/>
          <w:sz w:val="32"/>
          <w:szCs w:val="32"/>
        </w:rPr>
        <w:t>“四个意识”、坚定“四个自信”、做到“两个维护”、拥护</w:t>
      </w:r>
      <w:r>
        <w:rPr>
          <w:rFonts w:ascii="黑体" w:hAnsi="黑体" w:eastAsia="黑体" w:cs="黑体"/>
          <w:spacing w:val="5"/>
          <w:sz w:val="32"/>
          <w:szCs w:val="32"/>
        </w:rPr>
        <w:t xml:space="preserve">  </w:t>
      </w:r>
      <w:r>
        <w:rPr>
          <w:rFonts w:ascii="黑体" w:hAnsi="黑体" w:eastAsia="黑体" w:cs="黑体"/>
          <w:spacing w:val="-1"/>
          <w:sz w:val="32"/>
          <w:szCs w:val="32"/>
        </w:rPr>
        <w:t>“两个确立”,立足新发展阶段，贯彻新发展理念，服务和融</w:t>
      </w:r>
      <w:r>
        <w:rPr>
          <w:rFonts w:ascii="黑体" w:hAnsi="黑体" w:eastAsia="黑体" w:cs="黑体"/>
          <w:spacing w:val="2"/>
          <w:sz w:val="32"/>
          <w:szCs w:val="32"/>
        </w:rPr>
        <w:t xml:space="preserve">  </w:t>
      </w:r>
      <w:r>
        <w:rPr>
          <w:rFonts w:ascii="黑体" w:hAnsi="黑体" w:eastAsia="黑体" w:cs="黑体"/>
          <w:spacing w:val="3"/>
          <w:sz w:val="32"/>
          <w:szCs w:val="32"/>
        </w:rPr>
        <w:t>入新发展格局，坚持稳中求进工作总基调，深入践行“1359”</w:t>
      </w:r>
      <w:r>
        <w:rPr>
          <w:rFonts w:ascii="黑体" w:hAnsi="黑体" w:eastAsia="黑体" w:cs="黑体"/>
          <w:spacing w:val="10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-8"/>
          <w:sz w:val="32"/>
          <w:szCs w:val="32"/>
        </w:rPr>
        <w:t>强县思路，继续做好“六稳”、“六保”工作，精准有效落实</w:t>
      </w:r>
      <w:r>
        <w:rPr>
          <w:rFonts w:ascii="黑体" w:hAnsi="黑体" w:eastAsia="黑体" w:cs="黑体"/>
          <w:spacing w:val="7"/>
          <w:sz w:val="32"/>
          <w:szCs w:val="32"/>
        </w:rPr>
        <w:t xml:space="preserve">  </w:t>
      </w:r>
      <w:r>
        <w:rPr>
          <w:rFonts w:ascii="黑体" w:hAnsi="黑体" w:eastAsia="黑体" w:cs="黑体"/>
          <w:spacing w:val="-8"/>
          <w:sz w:val="32"/>
          <w:szCs w:val="32"/>
        </w:rPr>
        <w:t>积极的财政政策，加强财政资源统筹，优化财政支出结构，增</w:t>
      </w:r>
      <w:r>
        <w:rPr>
          <w:rFonts w:ascii="黑体" w:hAnsi="黑体" w:eastAsia="黑体" w:cs="黑体"/>
          <w:spacing w:val="7"/>
          <w:sz w:val="32"/>
          <w:szCs w:val="32"/>
        </w:rPr>
        <w:t xml:space="preserve">  </w:t>
      </w:r>
      <w:r>
        <w:rPr>
          <w:rFonts w:ascii="黑体" w:hAnsi="黑体" w:eastAsia="黑体" w:cs="黑体"/>
          <w:spacing w:val="-8"/>
          <w:sz w:val="32"/>
          <w:szCs w:val="32"/>
        </w:rPr>
        <w:t>强重大决策部署财力保障，深化预算管理制度改革，强化绩效</w:t>
      </w:r>
      <w:r>
        <w:rPr>
          <w:rFonts w:ascii="黑体" w:hAnsi="黑体" w:eastAsia="黑体" w:cs="黑体"/>
          <w:spacing w:val="1"/>
          <w:sz w:val="32"/>
          <w:szCs w:val="32"/>
        </w:rPr>
        <w:t xml:space="preserve">   </w:t>
      </w:r>
      <w:r>
        <w:rPr>
          <w:rFonts w:ascii="黑体" w:hAnsi="黑体" w:eastAsia="黑体" w:cs="黑体"/>
          <w:spacing w:val="-8"/>
          <w:sz w:val="32"/>
          <w:szCs w:val="32"/>
        </w:rPr>
        <w:t>管理和预算约束，严格落实过紧日子要求，有效防范化解财政</w:t>
      </w:r>
      <w:r>
        <w:rPr>
          <w:rFonts w:ascii="黑体" w:hAnsi="黑体" w:eastAsia="黑体" w:cs="黑体"/>
          <w:spacing w:val="1"/>
          <w:sz w:val="32"/>
          <w:szCs w:val="32"/>
        </w:rPr>
        <w:t xml:space="preserve">   </w:t>
      </w:r>
      <w:r>
        <w:rPr>
          <w:rFonts w:ascii="黑体" w:hAnsi="黑体" w:eastAsia="黑体" w:cs="黑体"/>
          <w:spacing w:val="-7"/>
          <w:sz w:val="32"/>
          <w:szCs w:val="32"/>
        </w:rPr>
        <w:t>风险，更好发挥财政职能作用，为全县经济社会发展</w:t>
      </w:r>
      <w:r>
        <w:rPr>
          <w:rFonts w:ascii="黑体" w:hAnsi="黑体" w:eastAsia="黑体" w:cs="黑体"/>
          <w:spacing w:val="-8"/>
          <w:sz w:val="32"/>
          <w:szCs w:val="32"/>
        </w:rPr>
        <w:t>提供有力</w:t>
      </w:r>
      <w:r>
        <w:rPr>
          <w:rFonts w:ascii="黑体" w:hAnsi="黑体" w:eastAsia="黑体" w:cs="黑体"/>
          <w:sz w:val="32"/>
          <w:szCs w:val="32"/>
        </w:rPr>
        <w:t xml:space="preserve">  </w:t>
      </w:r>
      <w:r>
        <w:rPr>
          <w:rFonts w:ascii="黑体" w:hAnsi="黑体" w:eastAsia="黑体" w:cs="黑体"/>
          <w:spacing w:val="-6"/>
          <w:sz w:val="32"/>
          <w:szCs w:val="32"/>
        </w:rPr>
        <w:t>支撑，以优异成绩迎接党的二十大胜利召开。</w:t>
      </w:r>
    </w:p>
    <w:p>
      <w:pPr>
        <w:pStyle w:val="2"/>
        <w:spacing w:before="36" w:line="330" w:lineRule="auto"/>
        <w:ind w:right="295" w:firstLine="619"/>
        <w:jc w:val="both"/>
      </w:pPr>
      <w:r>
        <w:rPr>
          <w:spacing w:val="-8"/>
        </w:rPr>
        <w:t>基于上述指导思想，2022年预算编制主要遵循以下基本</w:t>
      </w:r>
      <w:r>
        <w:rPr>
          <w:spacing w:val="17"/>
        </w:rPr>
        <w:t xml:space="preserve"> </w:t>
      </w:r>
      <w:r>
        <w:rPr>
          <w:spacing w:val="-18"/>
        </w:rPr>
        <w:t>原则：一是深化改革。全面落实中央和省市县改革要求，加快</w:t>
      </w:r>
      <w:r>
        <w:rPr>
          <w:spacing w:val="16"/>
        </w:rPr>
        <w:t xml:space="preserve"> </w:t>
      </w:r>
      <w:r>
        <w:rPr>
          <w:spacing w:val="-18"/>
        </w:rPr>
        <w:t>建立现代财税体制，推进全面实施预算绩效管理，完善标准科</w:t>
      </w:r>
    </w:p>
    <w:p>
      <w:pPr>
        <w:spacing w:line="330" w:lineRule="auto"/>
        <w:sectPr>
          <w:footerReference r:id="rId11" w:type="default"/>
          <w:pgSz w:w="11900" w:h="16820"/>
          <w:pgMar w:top="1429" w:right="1451" w:bottom="1478" w:left="1709" w:header="0" w:footer="1193" w:gutter="0"/>
          <w:cols w:space="720" w:num="1"/>
        </w:sectPr>
      </w:pPr>
    </w:p>
    <w:p>
      <w:pPr>
        <w:spacing w:line="363" w:lineRule="auto"/>
        <w:rPr>
          <w:rFonts w:ascii="Arial"/>
          <w:sz w:val="21"/>
        </w:rPr>
      </w:pPr>
    </w:p>
    <w:p>
      <w:pPr>
        <w:pStyle w:val="2"/>
        <w:spacing w:before="108" w:line="336" w:lineRule="auto"/>
        <w:jc w:val="both"/>
      </w:pPr>
      <w:r>
        <w:rPr>
          <w:spacing w:val="-18"/>
        </w:rPr>
        <w:t>学、规范透明、约束有力的预算制度。二是突出重点。紧紧围</w:t>
      </w:r>
      <w:r>
        <w:rPr>
          <w:spacing w:val="7"/>
        </w:rPr>
        <w:t xml:space="preserve">  </w:t>
      </w:r>
      <w:r>
        <w:rPr>
          <w:spacing w:val="-8"/>
        </w:rPr>
        <w:t>绕县委决策部署，着力保障重大战略、重点项目的有效实施，</w:t>
      </w:r>
      <w:r>
        <w:rPr>
          <w:spacing w:val="15"/>
        </w:rPr>
        <w:t xml:space="preserve"> </w:t>
      </w:r>
      <w:r>
        <w:rPr>
          <w:spacing w:val="-18"/>
        </w:rPr>
        <w:t>推进科技创新、转型升级、生态治理、乡村振兴，</w:t>
      </w:r>
      <w:r>
        <w:rPr>
          <w:spacing w:val="-19"/>
        </w:rPr>
        <w:t>保障和改善</w:t>
      </w:r>
      <w:r>
        <w:t xml:space="preserve">  </w:t>
      </w:r>
      <w:r>
        <w:rPr>
          <w:spacing w:val="-19"/>
        </w:rPr>
        <w:t>民生，增强人民群众获得感、幸福感、安全感。三是优化结构。</w:t>
      </w:r>
      <w:r>
        <w:rPr>
          <w:spacing w:val="1"/>
        </w:rPr>
        <w:t xml:space="preserve"> </w:t>
      </w:r>
      <w:r>
        <w:rPr>
          <w:spacing w:val="-18"/>
        </w:rPr>
        <w:t>坚持量入为出，有保有压，区分支出事项轻重缓急，</w:t>
      </w:r>
      <w:r>
        <w:rPr>
          <w:spacing w:val="-19"/>
        </w:rPr>
        <w:t>运用零基</w:t>
      </w:r>
      <w:r>
        <w:t xml:space="preserve">  </w:t>
      </w:r>
      <w:r>
        <w:rPr>
          <w:spacing w:val="-18"/>
        </w:rPr>
        <w:t>预算理念，优化资金投向，全面提升财政资源配置</w:t>
      </w:r>
      <w:r>
        <w:rPr>
          <w:spacing w:val="-19"/>
        </w:rPr>
        <w:t>效率。四是</w:t>
      </w:r>
      <w:r>
        <w:t xml:space="preserve">  </w:t>
      </w:r>
      <w:r>
        <w:rPr>
          <w:spacing w:val="-18"/>
        </w:rPr>
        <w:t>厉行节约。坚决落实政府过紧日子要求，坚持勤俭节约，精打</w:t>
      </w:r>
      <w:r>
        <w:rPr>
          <w:spacing w:val="9"/>
        </w:rPr>
        <w:t xml:space="preserve">  </w:t>
      </w:r>
      <w:r>
        <w:rPr>
          <w:spacing w:val="-19"/>
        </w:rPr>
        <w:t>细算，从紧安排项目支出，大力压减一般性支出，严控“三公”</w:t>
      </w:r>
      <w:r>
        <w:rPr>
          <w:spacing w:val="1"/>
        </w:rPr>
        <w:t xml:space="preserve"> </w:t>
      </w:r>
      <w:r>
        <w:rPr>
          <w:spacing w:val="-18"/>
        </w:rPr>
        <w:t>经费。五是讲求绩效。牢固树立绩效意识，将部门和单位预算</w:t>
      </w:r>
      <w:r>
        <w:t xml:space="preserve">  </w:t>
      </w:r>
      <w:r>
        <w:rPr>
          <w:spacing w:val="-18"/>
        </w:rPr>
        <w:t>收支全部纳入绩效管理，使绩效评价结果与预算安排、政策调</w:t>
      </w:r>
      <w:r>
        <w:rPr>
          <w:spacing w:val="4"/>
        </w:rPr>
        <w:t xml:space="preserve">  </w:t>
      </w:r>
      <w:r>
        <w:rPr>
          <w:spacing w:val="-18"/>
        </w:rPr>
        <w:t>整挂钩，确保资金效益最大化。六是防范风险。统筹考虑</w:t>
      </w:r>
      <w:r>
        <w:rPr>
          <w:spacing w:val="-19"/>
        </w:rPr>
        <w:t>县级</w:t>
      </w:r>
      <w:r>
        <w:t xml:space="preserve">  </w:t>
      </w:r>
      <w:r>
        <w:rPr>
          <w:spacing w:val="-18"/>
        </w:rPr>
        <w:t>财力和支出需求，对政府投资项目进行财政承受能力评估，坚</w:t>
      </w:r>
      <w:r>
        <w:t xml:space="preserve">  </w:t>
      </w:r>
      <w:r>
        <w:rPr>
          <w:spacing w:val="-18"/>
        </w:rPr>
        <w:t>持尽力而为、量力而行，合理确定保障范围和政策</w:t>
      </w:r>
      <w:r>
        <w:rPr>
          <w:spacing w:val="-19"/>
        </w:rPr>
        <w:t>力度。坚决</w:t>
      </w:r>
      <w:r>
        <w:t xml:space="preserve">  </w:t>
      </w:r>
      <w:r>
        <w:rPr>
          <w:spacing w:val="-18"/>
        </w:rPr>
        <w:t>遏制隐性债务增量，防范财政风险。七是依法理财</w:t>
      </w:r>
      <w:r>
        <w:rPr>
          <w:spacing w:val="-19"/>
        </w:rPr>
        <w:t>。继续完善</w:t>
      </w:r>
      <w:r>
        <w:t xml:space="preserve">  </w:t>
      </w:r>
      <w:r>
        <w:rPr>
          <w:spacing w:val="-19"/>
        </w:rPr>
        <w:t>政府预算体系，改进预算管理与控制方式，硬化预算刚性约束，</w:t>
      </w:r>
      <w:r>
        <w:rPr>
          <w:spacing w:val="1"/>
        </w:rPr>
        <w:t xml:space="preserve"> </w:t>
      </w:r>
      <w:r>
        <w:rPr>
          <w:spacing w:val="-15"/>
        </w:rPr>
        <w:t>加强资金监督管理，着力推进预决算公开。</w:t>
      </w:r>
    </w:p>
    <w:p>
      <w:pPr>
        <w:spacing w:before="2" w:line="223" w:lineRule="auto"/>
        <w:ind w:left="799"/>
        <w:rPr>
          <w:rFonts w:ascii="楷体" w:hAnsi="楷体" w:eastAsia="楷体" w:cs="楷体"/>
          <w:sz w:val="33"/>
          <w:szCs w:val="33"/>
        </w:rPr>
      </w:pPr>
      <w:r>
        <w:rPr>
          <w:rFonts w:ascii="楷体" w:hAnsi="楷体" w:eastAsia="楷体" w:cs="楷体"/>
          <w:spacing w:val="2"/>
          <w:sz w:val="33"/>
          <w:szCs w:val="33"/>
        </w:rPr>
        <w:t>(一)一般公共预算安排情况</w:t>
      </w:r>
    </w:p>
    <w:p>
      <w:pPr>
        <w:pStyle w:val="2"/>
        <w:spacing w:before="172" w:line="330" w:lineRule="auto"/>
        <w:ind w:right="166" w:firstLine="659"/>
      </w:pPr>
      <w:r>
        <w:t>全县一般公共预算收入安排70451万元，同比增长8</w:t>
      </w:r>
      <w:r>
        <w:rPr>
          <w:spacing w:val="-1"/>
        </w:rPr>
        <w:t>%。</w:t>
      </w:r>
      <w:r>
        <w:t xml:space="preserve"> </w:t>
      </w:r>
      <w:r>
        <w:rPr>
          <w:spacing w:val="-18"/>
        </w:rPr>
        <w:t>当年收入加上级补助、上年结余等，按照收支平衡</w:t>
      </w:r>
      <w:r>
        <w:rPr>
          <w:spacing w:val="-19"/>
        </w:rPr>
        <w:t>原则，全县</w:t>
      </w:r>
      <w:r>
        <w:t xml:space="preserve"> </w:t>
      </w:r>
      <w:r>
        <w:rPr>
          <w:spacing w:val="-6"/>
        </w:rPr>
        <w:t>一般公共预算支出安排170604万元(财力性资金12717</w:t>
      </w:r>
      <w:r>
        <w:rPr>
          <w:spacing w:val="-7"/>
        </w:rPr>
        <w:t>5万元、</w:t>
      </w:r>
      <w:r>
        <w:t xml:space="preserve"> </w:t>
      </w:r>
      <w:r>
        <w:rPr>
          <w:spacing w:val="6"/>
        </w:rPr>
        <w:t>专项性资金43429万元)。</w:t>
      </w:r>
    </w:p>
    <w:p>
      <w:pPr>
        <w:spacing w:before="49" w:line="223" w:lineRule="auto"/>
        <w:ind w:left="809"/>
        <w:rPr>
          <w:rFonts w:ascii="楷体" w:hAnsi="楷体" w:eastAsia="楷体" w:cs="楷体"/>
          <w:sz w:val="33"/>
          <w:szCs w:val="33"/>
        </w:rPr>
      </w:pPr>
      <w:r>
        <w:rPr>
          <w:rFonts w:ascii="楷体" w:hAnsi="楷体" w:eastAsia="楷体" w:cs="楷体"/>
          <w:spacing w:val="1"/>
          <w:sz w:val="33"/>
          <w:szCs w:val="33"/>
        </w:rPr>
        <w:t>(二)政府性基金预算安排情况</w:t>
      </w:r>
    </w:p>
    <w:p>
      <w:pPr>
        <w:spacing w:line="223" w:lineRule="auto"/>
        <w:rPr>
          <w:rFonts w:ascii="楷体" w:hAnsi="楷体" w:eastAsia="楷体" w:cs="楷体"/>
          <w:sz w:val="33"/>
          <w:szCs w:val="33"/>
        </w:rPr>
        <w:sectPr>
          <w:footerReference r:id="rId12" w:type="default"/>
          <w:pgSz w:w="11900" w:h="16820"/>
          <w:pgMar w:top="1429" w:right="1478" w:bottom="1467" w:left="1710" w:header="0" w:footer="1169" w:gutter="0"/>
          <w:cols w:space="720" w:num="1"/>
        </w:sectPr>
      </w:pPr>
    </w:p>
    <w:p>
      <w:pPr>
        <w:spacing w:line="368" w:lineRule="auto"/>
        <w:rPr>
          <w:rFonts w:ascii="Arial"/>
          <w:sz w:val="21"/>
        </w:rPr>
      </w:pPr>
    </w:p>
    <w:p>
      <w:pPr>
        <w:pStyle w:val="2"/>
        <w:spacing w:before="107" w:line="334" w:lineRule="auto"/>
        <w:ind w:firstLine="629"/>
        <w:jc w:val="both"/>
      </w:pPr>
      <w:r>
        <w:rPr>
          <w:spacing w:val="-10"/>
        </w:rPr>
        <w:t>全县政府性基金县级收入安排86711万元，当年收入加上</w:t>
      </w:r>
      <w:r>
        <w:rPr>
          <w:spacing w:val="15"/>
        </w:rPr>
        <w:t xml:space="preserve"> </w:t>
      </w:r>
      <w:r>
        <w:rPr>
          <w:spacing w:val="-5"/>
        </w:rPr>
        <w:t>级补助、上年结余，政府性基金总收入153026</w:t>
      </w:r>
      <w:r>
        <w:rPr>
          <w:spacing w:val="-6"/>
        </w:rPr>
        <w:t>万元；按照收</w:t>
      </w:r>
      <w:r>
        <w:t xml:space="preserve"> </w:t>
      </w:r>
      <w:r>
        <w:rPr>
          <w:spacing w:val="-5"/>
        </w:rPr>
        <w:t>支平衡和专款专用原则，全县政府性基金支出安排153</w:t>
      </w:r>
      <w:r>
        <w:rPr>
          <w:spacing w:val="-6"/>
        </w:rPr>
        <w:t>026万</w:t>
      </w:r>
      <w:r>
        <w:t xml:space="preserve"> </w:t>
      </w:r>
      <w:r>
        <w:rPr>
          <w:spacing w:val="-14"/>
        </w:rPr>
        <w:t>元。</w:t>
      </w:r>
    </w:p>
    <w:p>
      <w:pPr>
        <w:spacing w:before="1" w:line="222" w:lineRule="auto"/>
        <w:ind w:left="789"/>
        <w:rPr>
          <w:rFonts w:ascii="楷体" w:hAnsi="楷体" w:eastAsia="楷体" w:cs="楷体"/>
          <w:sz w:val="33"/>
          <w:szCs w:val="33"/>
        </w:rPr>
      </w:pPr>
      <w:r>
        <w:rPr>
          <w:rFonts w:ascii="楷体" w:hAnsi="楷体" w:eastAsia="楷体" w:cs="楷体"/>
          <w:sz w:val="33"/>
          <w:szCs w:val="33"/>
        </w:rPr>
        <w:t>(三)国有资本经营预算安排情况</w:t>
      </w:r>
    </w:p>
    <w:p>
      <w:pPr>
        <w:pStyle w:val="2"/>
        <w:spacing w:before="233" w:line="334" w:lineRule="auto"/>
        <w:ind w:right="1" w:firstLine="639"/>
        <w:jc w:val="both"/>
      </w:pPr>
      <w:r>
        <w:rPr>
          <w:spacing w:val="-11"/>
        </w:rPr>
        <w:t>全县国有资本经营预算收入上级补助6万元，为上年结余</w:t>
      </w:r>
      <w:r>
        <w:rPr>
          <w:spacing w:val="8"/>
        </w:rPr>
        <w:t xml:space="preserve"> </w:t>
      </w:r>
      <w:r>
        <w:rPr>
          <w:spacing w:val="-5"/>
        </w:rPr>
        <w:t>和提前下达2022年国有企业退休人员社会化管理</w:t>
      </w:r>
      <w:r>
        <w:rPr>
          <w:spacing w:val="-6"/>
        </w:rPr>
        <w:t>中央财政补</w:t>
      </w:r>
      <w:r>
        <w:t xml:space="preserve"> </w:t>
      </w:r>
      <w:r>
        <w:rPr>
          <w:spacing w:val="-12"/>
        </w:rPr>
        <w:t>助资金；按照收支平衡和专款专用原则，支出安排6万元，用</w:t>
      </w:r>
      <w:r>
        <w:rPr>
          <w:spacing w:val="15"/>
        </w:rPr>
        <w:t xml:space="preserve"> </w:t>
      </w:r>
      <w:r>
        <w:rPr>
          <w:spacing w:val="-16"/>
        </w:rPr>
        <w:t>于国有企业退休人员社会化管理补助支出。</w:t>
      </w:r>
    </w:p>
    <w:p>
      <w:pPr>
        <w:spacing w:before="1" w:line="222" w:lineRule="auto"/>
        <w:ind w:left="789"/>
        <w:rPr>
          <w:rFonts w:ascii="楷体" w:hAnsi="楷体" w:eastAsia="楷体" w:cs="楷体"/>
          <w:sz w:val="33"/>
          <w:szCs w:val="33"/>
        </w:rPr>
      </w:pPr>
      <w:r>
        <w:rPr>
          <w:rFonts w:ascii="楷体" w:hAnsi="楷体" w:eastAsia="楷体" w:cs="楷体"/>
          <w:sz w:val="33"/>
          <w:szCs w:val="33"/>
        </w:rPr>
        <w:t>(四)社会保险基金预算安排情况</w:t>
      </w:r>
    </w:p>
    <w:p>
      <w:pPr>
        <w:pStyle w:val="2"/>
        <w:spacing w:before="271" w:line="326" w:lineRule="auto"/>
        <w:ind w:right="1" w:firstLine="669"/>
        <w:jc w:val="both"/>
      </w:pPr>
      <w:r>
        <w:rPr>
          <w:spacing w:val="-10"/>
        </w:rPr>
        <w:t>全县社会保险基金收入安排18998万元，加上</w:t>
      </w:r>
      <w:r>
        <w:rPr>
          <w:spacing w:val="-11"/>
        </w:rPr>
        <w:t>级补助1288</w:t>
      </w:r>
      <w:r>
        <w:t xml:space="preserve"> </w:t>
      </w:r>
      <w:r>
        <w:rPr>
          <w:spacing w:val="12"/>
        </w:rPr>
        <w:t>万元、上年结余13887万元、转移收入19万元，收入总计</w:t>
      </w:r>
      <w:r>
        <w:rPr>
          <w:spacing w:val="11"/>
        </w:rPr>
        <w:t xml:space="preserve"> </w:t>
      </w:r>
      <w:r>
        <w:rPr>
          <w:spacing w:val="-5"/>
        </w:rPr>
        <w:t>34192万元；全县社会保险基金支出安排19110万元，加转移</w:t>
      </w:r>
      <w:r>
        <w:rPr>
          <w:spacing w:val="6"/>
        </w:rPr>
        <w:t xml:space="preserve"> </w:t>
      </w:r>
      <w:r>
        <w:rPr>
          <w:spacing w:val="4"/>
        </w:rPr>
        <w:t>支出30万元、滚存结余15052万元，支出总计34192万元。</w:t>
      </w:r>
    </w:p>
    <w:p>
      <w:pPr>
        <w:spacing w:before="29" w:line="223" w:lineRule="auto"/>
        <w:ind w:left="78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18"/>
          <w:sz w:val="31"/>
          <w:szCs w:val="31"/>
        </w:rPr>
        <w:t>(五)县本级重点支出预算安排情况</w:t>
      </w:r>
    </w:p>
    <w:p>
      <w:pPr>
        <w:pStyle w:val="2"/>
        <w:spacing w:before="208" w:line="341" w:lineRule="auto"/>
        <w:ind w:right="12" w:firstLine="689"/>
        <w:jc w:val="both"/>
        <w:rPr>
          <w:sz w:val="32"/>
          <w:szCs w:val="32"/>
        </w:rPr>
      </w:pP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1.</w:t>
      </w:r>
      <w:r>
        <w:rPr>
          <w:rFonts w:ascii="Times New Roman" w:hAnsi="Times New Roman" w:eastAsia="Times New Roman" w:cs="Times New Roman"/>
          <w:spacing w:val="-23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>保工资。安排预算61799万元，确保公教人</w:t>
      </w:r>
      <w:r>
        <w:rPr>
          <w:spacing w:val="-3"/>
          <w:sz w:val="32"/>
          <w:szCs w:val="32"/>
        </w:rPr>
        <w:t>员、离退休</w:t>
      </w:r>
      <w:r>
        <w:rPr>
          <w:sz w:val="32"/>
          <w:szCs w:val="32"/>
        </w:rPr>
        <w:t xml:space="preserve"> </w:t>
      </w:r>
      <w:r>
        <w:rPr>
          <w:spacing w:val="-12"/>
          <w:sz w:val="32"/>
          <w:szCs w:val="32"/>
        </w:rPr>
        <w:t>人员工资发放，全面落实增资政策。2.保运转。安排预算10337</w:t>
      </w:r>
      <w:r>
        <w:rPr>
          <w:sz w:val="32"/>
          <w:szCs w:val="32"/>
        </w:rPr>
        <w:t xml:space="preserve"> </w:t>
      </w:r>
      <w:r>
        <w:rPr>
          <w:spacing w:val="-8"/>
          <w:sz w:val="32"/>
          <w:szCs w:val="32"/>
        </w:rPr>
        <w:t>万元，完善县级基本财力保障机制，全力以赴保障各部门正常</w:t>
      </w:r>
      <w:r>
        <w:rPr>
          <w:spacing w:val="14"/>
          <w:sz w:val="32"/>
          <w:szCs w:val="32"/>
        </w:rPr>
        <w:t xml:space="preserve"> </w:t>
      </w:r>
      <w:r>
        <w:rPr>
          <w:spacing w:val="-8"/>
          <w:sz w:val="32"/>
          <w:szCs w:val="32"/>
        </w:rPr>
        <w:t>运转，确保上级重大决策部署落地落实。3.保民生。安排预算</w:t>
      </w:r>
      <w:r>
        <w:rPr>
          <w:spacing w:val="17"/>
          <w:sz w:val="32"/>
          <w:szCs w:val="32"/>
        </w:rPr>
        <w:t xml:space="preserve"> </w:t>
      </w:r>
      <w:r>
        <w:rPr>
          <w:spacing w:val="32"/>
          <w:sz w:val="32"/>
          <w:szCs w:val="32"/>
        </w:rPr>
        <w:t>138190万元，占全部支出的81%。其中，安排教育支出</w:t>
      </w:r>
      <w:r>
        <w:rPr>
          <w:spacing w:val="9"/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27063万元，用于保障落实教育经费、</w:t>
      </w:r>
      <w:r>
        <w:rPr>
          <w:spacing w:val="-2"/>
          <w:sz w:val="32"/>
          <w:szCs w:val="32"/>
        </w:rPr>
        <w:t>教师职工工资发放、加</w:t>
      </w:r>
      <w:r>
        <w:rPr>
          <w:sz w:val="32"/>
          <w:szCs w:val="32"/>
        </w:rPr>
        <w:t xml:space="preserve"> </w:t>
      </w:r>
      <w:r>
        <w:rPr>
          <w:spacing w:val="-1"/>
          <w:sz w:val="32"/>
          <w:szCs w:val="32"/>
        </w:rPr>
        <w:t>强教育基础设施建设等；安排医疗卫生支出12170万</w:t>
      </w:r>
      <w:r>
        <w:rPr>
          <w:spacing w:val="-2"/>
          <w:sz w:val="32"/>
          <w:szCs w:val="32"/>
        </w:rPr>
        <w:t>元，推进</w:t>
      </w:r>
    </w:p>
    <w:p>
      <w:pPr>
        <w:spacing w:line="341" w:lineRule="auto"/>
        <w:rPr>
          <w:sz w:val="32"/>
          <w:szCs w:val="32"/>
        </w:rPr>
        <w:sectPr>
          <w:footerReference r:id="rId13" w:type="default"/>
          <w:pgSz w:w="11900" w:h="16820"/>
          <w:pgMar w:top="1429" w:right="1738" w:bottom="1542" w:left="1700" w:header="0" w:footer="1201" w:gutter="0"/>
          <w:cols w:space="720" w:num="1"/>
        </w:sectPr>
      </w:pPr>
    </w:p>
    <w:p>
      <w:pPr>
        <w:spacing w:line="369" w:lineRule="auto"/>
        <w:rPr>
          <w:rFonts w:ascii="Arial"/>
          <w:sz w:val="21"/>
        </w:rPr>
      </w:pPr>
    </w:p>
    <w:p>
      <w:pPr>
        <w:pStyle w:val="2"/>
        <w:spacing w:before="107" w:line="336" w:lineRule="auto"/>
        <w:jc w:val="both"/>
      </w:pPr>
      <w:r>
        <w:rPr>
          <w:spacing w:val="-18"/>
        </w:rPr>
        <w:t>医药卫生体制改革，支持公立医院、养老院建设，改</w:t>
      </w:r>
      <w:r>
        <w:rPr>
          <w:spacing w:val="-19"/>
        </w:rPr>
        <w:t>善医疗卫</w:t>
      </w:r>
      <w:r>
        <w:t xml:space="preserve"> </w:t>
      </w:r>
      <w:r>
        <w:rPr>
          <w:spacing w:val="-6"/>
        </w:rPr>
        <w:t>生条件；安排村级组织运转经费2184万元，主要用于保障村</w:t>
      </w:r>
      <w:r>
        <w:rPr>
          <w:spacing w:val="8"/>
        </w:rPr>
        <w:t xml:space="preserve"> </w:t>
      </w:r>
      <w:r>
        <w:rPr>
          <w:spacing w:val="-18"/>
        </w:rPr>
        <w:t>干部基本报酬、村级组织办公经费和其他村级必要支</w:t>
      </w:r>
      <w:r>
        <w:rPr>
          <w:spacing w:val="-19"/>
        </w:rPr>
        <w:t>出；安排</w:t>
      </w:r>
      <w:r>
        <w:t xml:space="preserve"> </w:t>
      </w:r>
      <w:r>
        <w:rPr>
          <w:spacing w:val="-11"/>
        </w:rPr>
        <w:t>农林水支出11343万元，助力实施乡村振兴战略、发</w:t>
      </w:r>
      <w:r>
        <w:rPr>
          <w:spacing w:val="-12"/>
        </w:rPr>
        <w:t>展现代农</w:t>
      </w:r>
      <w:r>
        <w:t xml:space="preserve"> </w:t>
      </w:r>
      <w:r>
        <w:rPr>
          <w:spacing w:val="-6"/>
        </w:rPr>
        <w:t>业产业等；安排保障性住房支出8193万元，主要用于支持安</w:t>
      </w:r>
      <w:r>
        <w:rPr>
          <w:spacing w:val="8"/>
        </w:rPr>
        <w:t xml:space="preserve"> </w:t>
      </w:r>
      <w:r>
        <w:rPr>
          <w:spacing w:val="-11"/>
        </w:rPr>
        <w:t>置住房建设；安排社会保障和就业支出33609万元，用于鼓励</w:t>
      </w:r>
      <w:r>
        <w:t xml:space="preserve"> </w:t>
      </w:r>
      <w:r>
        <w:rPr>
          <w:spacing w:val="-18"/>
        </w:rPr>
        <w:t>创业就业，保障城乡低保、退役安置、优待抚恤、社会福利等</w:t>
      </w:r>
      <w:r>
        <w:rPr>
          <w:spacing w:val="4"/>
        </w:rPr>
        <w:t xml:space="preserve"> </w:t>
      </w:r>
      <w:r>
        <w:rPr>
          <w:spacing w:val="-5"/>
        </w:rPr>
        <w:t>政策落实到位；安排乡村振兴衔接资金2422万元，促进巩固</w:t>
      </w:r>
      <w:r>
        <w:rPr>
          <w:spacing w:val="6"/>
        </w:rPr>
        <w:t xml:space="preserve"> </w:t>
      </w:r>
      <w:r>
        <w:rPr>
          <w:spacing w:val="-18"/>
        </w:rPr>
        <w:t>拓展脱贫坚成果同乡村振兴有效衔接；安排文化体育与传</w:t>
      </w:r>
      <w:r>
        <w:rPr>
          <w:spacing w:val="-19"/>
        </w:rPr>
        <w:t>媒支</w:t>
      </w:r>
      <w:r>
        <w:t xml:space="preserve"> </w:t>
      </w:r>
      <w:r>
        <w:rPr>
          <w:spacing w:val="-16"/>
        </w:rPr>
        <w:t>出1119万元，促进全县文化体育事业发展；安排环保支出2581</w:t>
      </w:r>
      <w:r>
        <w:rPr>
          <w:spacing w:val="17"/>
        </w:rPr>
        <w:t xml:space="preserve"> </w:t>
      </w:r>
      <w:r>
        <w:rPr>
          <w:spacing w:val="-18"/>
        </w:rPr>
        <w:t>万元，用于大气污染防治和水土污染治理。4.保稳定。安排预</w:t>
      </w:r>
      <w:r>
        <w:rPr>
          <w:spacing w:val="16"/>
        </w:rPr>
        <w:t xml:space="preserve"> </w:t>
      </w:r>
      <w:r>
        <w:rPr>
          <w:spacing w:val="-11"/>
        </w:rPr>
        <w:t>算15505万元，支持“平安高邑”建设，推动扫黑除恶常</w:t>
      </w:r>
      <w:r>
        <w:rPr>
          <w:spacing w:val="2"/>
        </w:rPr>
        <w:t xml:space="preserve"> </w:t>
      </w:r>
      <w:r>
        <w:rPr>
          <w:spacing w:val="-18"/>
        </w:rPr>
        <w:t>态化开展，维护社会信访稳定和长治久安。5.保重点</w:t>
      </w:r>
      <w:r>
        <w:rPr>
          <w:spacing w:val="-19"/>
        </w:rPr>
        <w:t>。安排预</w:t>
      </w:r>
      <w:r>
        <w:t xml:space="preserve">  </w:t>
      </w:r>
      <w:r>
        <w:rPr>
          <w:spacing w:val="-12"/>
        </w:rPr>
        <w:t>算8762万元，支持县城扩容提质、人居环境整治等重点工作。</w:t>
      </w:r>
    </w:p>
    <w:p>
      <w:pPr>
        <w:spacing w:before="62" w:line="221" w:lineRule="auto"/>
        <w:ind w:left="67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三、确保完成预算任务的主要措施</w:t>
      </w:r>
    </w:p>
    <w:p>
      <w:pPr>
        <w:pStyle w:val="2"/>
        <w:spacing w:before="189" w:line="337" w:lineRule="auto"/>
        <w:ind w:right="111" w:firstLine="669"/>
        <w:jc w:val="both"/>
        <w:rPr>
          <w:sz w:val="32"/>
          <w:szCs w:val="32"/>
        </w:rPr>
      </w:pPr>
      <w:r>
        <w:rPr>
          <w:spacing w:val="3"/>
          <w:sz w:val="32"/>
          <w:szCs w:val="32"/>
        </w:rPr>
        <w:t>2022年，我们将紧紧围绕“1359”强县思路，坚持稳字</w:t>
      </w:r>
      <w:r>
        <w:rPr>
          <w:spacing w:val="18"/>
          <w:sz w:val="32"/>
          <w:szCs w:val="32"/>
        </w:rPr>
        <w:t xml:space="preserve"> </w:t>
      </w:r>
      <w:r>
        <w:rPr>
          <w:spacing w:val="-8"/>
          <w:sz w:val="32"/>
          <w:szCs w:val="32"/>
        </w:rPr>
        <w:t>当头、稳中求进，积极开源节流，优化支出结构，全力防范风</w:t>
      </w:r>
      <w:r>
        <w:rPr>
          <w:spacing w:val="2"/>
          <w:sz w:val="32"/>
          <w:szCs w:val="32"/>
        </w:rPr>
        <w:t xml:space="preserve"> </w:t>
      </w:r>
      <w:r>
        <w:rPr>
          <w:spacing w:val="-8"/>
          <w:sz w:val="32"/>
          <w:szCs w:val="32"/>
        </w:rPr>
        <w:t>险，确保完成财政各项工作任务。</w:t>
      </w:r>
    </w:p>
    <w:p>
      <w:pPr>
        <w:pStyle w:val="2"/>
        <w:spacing w:before="2" w:line="347" w:lineRule="auto"/>
        <w:ind w:right="123" w:firstLine="799"/>
        <w:jc w:val="both"/>
        <w:rPr>
          <w:sz w:val="32"/>
          <w:szCs w:val="32"/>
        </w:rPr>
      </w:pPr>
      <w:r>
        <w:rPr>
          <w:rFonts w:ascii="楷体" w:hAnsi="楷体" w:eastAsia="楷体" w:cs="楷体"/>
          <w:spacing w:val="-2"/>
          <w:sz w:val="32"/>
          <w:szCs w:val="32"/>
        </w:rPr>
        <w:t>(一)狠抓财源建设，科学组织收入。</w:t>
      </w:r>
      <w:r>
        <w:rPr>
          <w:spacing w:val="-2"/>
          <w:sz w:val="32"/>
          <w:szCs w:val="32"/>
        </w:rPr>
        <w:t>发挥综合治税职能</w:t>
      </w:r>
      <w:r>
        <w:rPr>
          <w:sz w:val="32"/>
          <w:szCs w:val="32"/>
        </w:rPr>
        <w:t xml:space="preserve"> </w:t>
      </w:r>
      <w:r>
        <w:rPr>
          <w:spacing w:val="-8"/>
          <w:sz w:val="32"/>
          <w:szCs w:val="32"/>
        </w:rPr>
        <w:t>作用，加大对重点行业、重点企业和重点税种的征收监管，依</w:t>
      </w:r>
      <w:r>
        <w:rPr>
          <w:spacing w:val="16"/>
          <w:sz w:val="32"/>
          <w:szCs w:val="32"/>
        </w:rPr>
        <w:t xml:space="preserve"> </w:t>
      </w:r>
      <w:r>
        <w:rPr>
          <w:spacing w:val="-8"/>
          <w:sz w:val="32"/>
          <w:szCs w:val="32"/>
        </w:rPr>
        <w:t>法征收、应收尽收，努力提高收入质量，全年地方一般公</w:t>
      </w:r>
      <w:r>
        <w:rPr>
          <w:spacing w:val="-9"/>
          <w:sz w:val="32"/>
          <w:szCs w:val="32"/>
        </w:rPr>
        <w:t>共预</w:t>
      </w:r>
      <w:r>
        <w:rPr>
          <w:sz w:val="32"/>
          <w:szCs w:val="32"/>
        </w:rPr>
        <w:t xml:space="preserve"> </w:t>
      </w:r>
      <w:r>
        <w:rPr>
          <w:spacing w:val="3"/>
          <w:sz w:val="32"/>
          <w:szCs w:val="32"/>
        </w:rPr>
        <w:t>算收入增速达到8%;严格执行“收支两条线”,扎实开展“乱</w:t>
      </w:r>
    </w:p>
    <w:p>
      <w:pPr>
        <w:spacing w:line="347" w:lineRule="auto"/>
        <w:rPr>
          <w:sz w:val="32"/>
          <w:szCs w:val="32"/>
        </w:rPr>
        <w:sectPr>
          <w:footerReference r:id="rId14" w:type="default"/>
          <w:pgSz w:w="11900" w:h="16820"/>
          <w:pgMar w:top="1429" w:right="1645" w:bottom="1462" w:left="1690" w:header="0" w:footer="1179" w:gutter="0"/>
          <w:cols w:space="720" w:num="1"/>
        </w:sectPr>
      </w:pPr>
    </w:p>
    <w:p>
      <w:pPr>
        <w:spacing w:line="370" w:lineRule="auto"/>
        <w:rPr>
          <w:rFonts w:ascii="Arial"/>
          <w:sz w:val="21"/>
        </w:rPr>
      </w:pPr>
    </w:p>
    <w:p>
      <w:pPr>
        <w:pStyle w:val="2"/>
        <w:spacing w:before="107" w:line="333" w:lineRule="auto"/>
        <w:ind w:right="147"/>
      </w:pPr>
      <w:r>
        <w:rPr>
          <w:spacing w:val="-18"/>
        </w:rPr>
        <w:t>收费、乱罚款、乱摊派”专项整治行动，坚决取消不合法、不</w:t>
      </w:r>
      <w:r>
        <w:rPr>
          <w:spacing w:val="13"/>
        </w:rPr>
        <w:t xml:space="preserve"> </w:t>
      </w:r>
      <w:r>
        <w:rPr>
          <w:spacing w:val="-24"/>
        </w:rPr>
        <w:t>合理的收费项目；继续推进财政电子票据改革，提高办结效率。</w:t>
      </w:r>
    </w:p>
    <w:p>
      <w:pPr>
        <w:pStyle w:val="2"/>
        <w:spacing w:before="14" w:line="323" w:lineRule="auto"/>
        <w:ind w:right="147" w:firstLine="779"/>
      </w:pPr>
      <w:r>
        <w:rPr>
          <w:rFonts w:ascii="楷体" w:hAnsi="楷体" w:eastAsia="楷体" w:cs="楷体"/>
          <w:spacing w:val="-18"/>
        </w:rPr>
        <w:t>(二)用足用好政策，服务经济发展。</w:t>
      </w:r>
      <w:r>
        <w:rPr>
          <w:spacing w:val="-18"/>
        </w:rPr>
        <w:t>牢固树立“抓投资、</w:t>
      </w:r>
      <w:r>
        <w:rPr>
          <w:spacing w:val="12"/>
        </w:rPr>
        <w:t xml:space="preserve"> </w:t>
      </w:r>
      <w:r>
        <w:rPr>
          <w:spacing w:val="-10"/>
        </w:rPr>
        <w:t>上项目、促发展”这一理念，聚焦“1+5+</w:t>
      </w:r>
      <w:r>
        <w:rPr>
          <w:rFonts w:ascii="Times New Roman" w:hAnsi="Times New Roman" w:eastAsia="Times New Roman" w:cs="Times New Roman"/>
          <w:spacing w:val="-10"/>
        </w:rPr>
        <w:t>N”</w:t>
      </w:r>
      <w:r>
        <w:rPr>
          <w:rFonts w:ascii="Times New Roman" w:hAnsi="Times New Roman" w:eastAsia="Times New Roman" w:cs="Times New Roman"/>
          <w:spacing w:val="61"/>
        </w:rPr>
        <w:t xml:space="preserve"> </w:t>
      </w:r>
      <w:r>
        <w:rPr>
          <w:spacing w:val="-10"/>
        </w:rPr>
        <w:t>现代产业格局，</w:t>
      </w:r>
      <w:r>
        <w:t xml:space="preserve"> </w:t>
      </w:r>
      <w:r>
        <w:rPr>
          <w:spacing w:val="-6"/>
        </w:rPr>
        <w:t>发挥财税政策和财政资金的导向作用，助力传统产业升级换</w:t>
      </w:r>
      <w:r>
        <w:rPr>
          <w:spacing w:val="5"/>
        </w:rPr>
        <w:t xml:space="preserve"> </w:t>
      </w:r>
      <w:r>
        <w:rPr>
          <w:spacing w:val="-18"/>
        </w:rPr>
        <w:t>代，培育壮大数字经济、智能创意鞋服、现代商贸物流等新兴</w:t>
      </w:r>
      <w:r>
        <w:rPr>
          <w:spacing w:val="9"/>
        </w:rPr>
        <w:t xml:space="preserve"> </w:t>
      </w:r>
      <w:r>
        <w:rPr>
          <w:spacing w:val="-18"/>
        </w:rPr>
        <w:t>产业，打造县域经济发展新增长极，为财政增收积蓄后劲；不</w:t>
      </w:r>
      <w:r>
        <w:rPr>
          <w:spacing w:val="13"/>
        </w:rPr>
        <w:t xml:space="preserve"> </w:t>
      </w:r>
      <w:r>
        <w:rPr>
          <w:spacing w:val="-18"/>
        </w:rPr>
        <w:t>折不扣落实减税降费政策，通过税收调节分配，保护和激发市</w:t>
      </w:r>
      <w:r>
        <w:rPr>
          <w:spacing w:val="5"/>
        </w:rPr>
        <w:t xml:space="preserve"> </w:t>
      </w:r>
      <w:r>
        <w:rPr>
          <w:spacing w:val="-18"/>
        </w:rPr>
        <w:t>场主体活力，优化营商环境；紧盯上级政策窗口，加大“争跑</w:t>
      </w:r>
      <w:r>
        <w:rPr>
          <w:spacing w:val="8"/>
        </w:rPr>
        <w:t xml:space="preserve"> </w:t>
      </w:r>
      <w:r>
        <w:rPr>
          <w:spacing w:val="-18"/>
        </w:rPr>
        <w:t>要”力度，积极争取上级补助资金和政府债券，为全县项目建</w:t>
      </w:r>
      <w:r>
        <w:rPr>
          <w:spacing w:val="6"/>
        </w:rPr>
        <w:t xml:space="preserve"> </w:t>
      </w:r>
      <w:r>
        <w:rPr>
          <w:spacing w:val="-19"/>
        </w:rPr>
        <w:t>设提供资金支撑。</w:t>
      </w:r>
    </w:p>
    <w:p>
      <w:pPr>
        <w:pStyle w:val="2"/>
        <w:spacing w:before="208" w:line="283" w:lineRule="auto"/>
        <w:ind w:left="39" w:firstLine="740"/>
        <w:rPr>
          <w:sz w:val="32"/>
          <w:szCs w:val="32"/>
        </w:rPr>
      </w:pPr>
      <w:r>
        <w:rPr>
          <w:rFonts w:ascii="楷体" w:hAnsi="楷体" w:eastAsia="楷体" w:cs="楷体"/>
          <w:spacing w:val="6"/>
          <w:sz w:val="32"/>
          <w:szCs w:val="32"/>
        </w:rPr>
        <w:t>(三)强化资金支出，办好民生实事。</w:t>
      </w:r>
      <w:r>
        <w:rPr>
          <w:rFonts w:ascii="楷体" w:hAnsi="楷体" w:eastAsia="楷体" w:cs="楷体"/>
          <w:spacing w:val="-49"/>
          <w:sz w:val="32"/>
          <w:szCs w:val="32"/>
        </w:rPr>
        <w:t xml:space="preserve"> </w:t>
      </w:r>
      <w:r>
        <w:rPr>
          <w:spacing w:val="6"/>
          <w:sz w:val="32"/>
          <w:szCs w:val="32"/>
        </w:rPr>
        <w:t>全面落实“六稳”</w:t>
      </w:r>
      <w:r>
        <w:rPr>
          <w:sz w:val="32"/>
          <w:szCs w:val="32"/>
        </w:rPr>
        <w:t xml:space="preserve"> </w:t>
      </w:r>
      <w:r>
        <w:rPr>
          <w:spacing w:val="-8"/>
          <w:sz w:val="32"/>
          <w:szCs w:val="32"/>
        </w:rPr>
        <w:t>“六保”财政保障责任，优化支出结构，提高资金绩效，</w:t>
      </w:r>
      <w:r>
        <w:rPr>
          <w:spacing w:val="-9"/>
          <w:sz w:val="32"/>
          <w:szCs w:val="32"/>
        </w:rPr>
        <w:t>加强</w:t>
      </w:r>
    </w:p>
    <w:p>
      <w:pPr>
        <w:pStyle w:val="2"/>
        <w:spacing w:before="202" w:line="340" w:lineRule="auto"/>
        <w:ind w:right="280"/>
        <w:jc w:val="both"/>
        <w:rPr>
          <w:sz w:val="32"/>
          <w:szCs w:val="32"/>
        </w:rPr>
      </w:pPr>
      <w:r>
        <w:rPr>
          <w:spacing w:val="-8"/>
          <w:sz w:val="32"/>
          <w:szCs w:val="32"/>
        </w:rPr>
        <w:t>结转结余资金管理，积极盘活财政存量资金，统筹财力</w:t>
      </w:r>
      <w:r>
        <w:rPr>
          <w:spacing w:val="-9"/>
          <w:sz w:val="32"/>
          <w:szCs w:val="32"/>
        </w:rPr>
        <w:t>重点向</w:t>
      </w:r>
      <w:r>
        <w:rPr>
          <w:sz w:val="32"/>
          <w:szCs w:val="32"/>
        </w:rPr>
        <w:t xml:space="preserve"> </w:t>
      </w:r>
      <w:r>
        <w:rPr>
          <w:spacing w:val="-8"/>
          <w:sz w:val="32"/>
          <w:szCs w:val="32"/>
        </w:rPr>
        <w:t>公共服务、社会事业和民生领域倾斜。坚持“勤俭节约、艰苦</w:t>
      </w:r>
      <w:r>
        <w:rPr>
          <w:spacing w:val="5"/>
          <w:sz w:val="32"/>
          <w:szCs w:val="32"/>
        </w:rPr>
        <w:t xml:space="preserve"> </w:t>
      </w:r>
      <w:r>
        <w:rPr>
          <w:spacing w:val="-8"/>
          <w:sz w:val="32"/>
          <w:szCs w:val="32"/>
        </w:rPr>
        <w:t>朴素”的作风，严控县级各部门一般性支出预算，大力压减非</w:t>
      </w:r>
      <w:r>
        <w:rPr>
          <w:spacing w:val="16"/>
          <w:sz w:val="32"/>
          <w:szCs w:val="32"/>
        </w:rPr>
        <w:t xml:space="preserve"> </w:t>
      </w:r>
      <w:r>
        <w:rPr>
          <w:spacing w:val="-5"/>
          <w:sz w:val="32"/>
          <w:szCs w:val="32"/>
        </w:rPr>
        <w:t>重点、非刚性支出，集中财力保民生、保重点、办大事。</w:t>
      </w:r>
    </w:p>
    <w:p>
      <w:pPr>
        <w:pStyle w:val="2"/>
        <w:spacing w:before="2" w:line="348" w:lineRule="auto"/>
        <w:ind w:right="269" w:firstLine="779"/>
        <w:jc w:val="both"/>
        <w:rPr>
          <w:sz w:val="32"/>
          <w:szCs w:val="32"/>
        </w:rPr>
      </w:pPr>
      <w:r>
        <w:rPr>
          <w:rFonts w:ascii="楷体" w:hAnsi="楷体" w:eastAsia="楷体" w:cs="楷体"/>
          <w:spacing w:val="-1"/>
          <w:sz w:val="32"/>
          <w:szCs w:val="32"/>
        </w:rPr>
        <w:t>(四)加强监督管理，防范财政风险。</w:t>
      </w:r>
      <w:r>
        <w:rPr>
          <w:spacing w:val="-1"/>
          <w:sz w:val="32"/>
          <w:szCs w:val="32"/>
        </w:rPr>
        <w:t>进一步严肃财经纪</w:t>
      </w:r>
      <w:r>
        <w:rPr>
          <w:spacing w:val="17"/>
          <w:sz w:val="32"/>
          <w:szCs w:val="32"/>
        </w:rPr>
        <w:t xml:space="preserve"> </w:t>
      </w:r>
      <w:r>
        <w:rPr>
          <w:spacing w:val="-8"/>
          <w:sz w:val="32"/>
          <w:szCs w:val="32"/>
        </w:rPr>
        <w:t>律，完善财政内控制度，规范业务运作程序，保证财政资金安</w:t>
      </w:r>
      <w:r>
        <w:rPr>
          <w:spacing w:val="5"/>
          <w:sz w:val="32"/>
          <w:szCs w:val="32"/>
        </w:rPr>
        <w:t xml:space="preserve"> </w:t>
      </w:r>
      <w:r>
        <w:rPr>
          <w:spacing w:val="-8"/>
          <w:sz w:val="32"/>
          <w:szCs w:val="32"/>
        </w:rPr>
        <w:t>全，自觉接受人大、政协、审计和社会公众监督，打造阳光透</w:t>
      </w:r>
      <w:r>
        <w:rPr>
          <w:spacing w:val="8"/>
          <w:sz w:val="32"/>
          <w:szCs w:val="32"/>
        </w:rPr>
        <w:t xml:space="preserve"> </w:t>
      </w:r>
      <w:r>
        <w:rPr>
          <w:spacing w:val="-9"/>
          <w:sz w:val="32"/>
          <w:szCs w:val="32"/>
        </w:rPr>
        <w:t>明财政；牢牢守住政府性债务风险底线，加强政府投资公司市</w:t>
      </w:r>
      <w:r>
        <w:rPr>
          <w:spacing w:val="2"/>
          <w:sz w:val="32"/>
          <w:szCs w:val="32"/>
        </w:rPr>
        <w:t xml:space="preserve"> </w:t>
      </w:r>
      <w:r>
        <w:rPr>
          <w:spacing w:val="-7"/>
          <w:sz w:val="32"/>
          <w:szCs w:val="32"/>
        </w:rPr>
        <w:t>场化运作，提高投融资能力，做大做强平台</w:t>
      </w:r>
      <w:r>
        <w:rPr>
          <w:spacing w:val="-8"/>
          <w:sz w:val="32"/>
          <w:szCs w:val="32"/>
        </w:rPr>
        <w:t>公司资产，以政府</w:t>
      </w:r>
    </w:p>
    <w:p>
      <w:pPr>
        <w:spacing w:line="348" w:lineRule="auto"/>
        <w:rPr>
          <w:sz w:val="32"/>
          <w:szCs w:val="32"/>
        </w:rPr>
        <w:sectPr>
          <w:footerReference r:id="rId15" w:type="default"/>
          <w:pgSz w:w="11900" w:h="16820"/>
          <w:pgMar w:top="1429" w:right="1457" w:bottom="1490" w:left="1720" w:header="0" w:footer="1276" w:gutter="0"/>
          <w:cols w:space="720" w:num="1"/>
        </w:sectPr>
      </w:pPr>
    </w:p>
    <w:p>
      <w:pPr>
        <w:spacing w:line="316" w:lineRule="auto"/>
        <w:rPr>
          <w:rFonts w:ascii="Arial"/>
          <w:sz w:val="21"/>
        </w:rPr>
      </w:pPr>
    </w:p>
    <w:p>
      <w:pPr>
        <w:pStyle w:val="2"/>
        <w:spacing w:before="107" w:line="348" w:lineRule="auto"/>
      </w:pPr>
      <w:r>
        <w:rPr>
          <w:spacing w:val="-14"/>
        </w:rPr>
        <w:t>投资公司实质转型带动隐性债务合规转化为企业经营性债务，</w:t>
      </w:r>
      <w:r>
        <w:rPr>
          <w:spacing w:val="11"/>
        </w:rPr>
        <w:t xml:space="preserve"> </w:t>
      </w:r>
      <w:r>
        <w:rPr>
          <w:spacing w:val="-18"/>
        </w:rPr>
        <w:t>降低政府债务隐性风险。</w:t>
      </w:r>
    </w:p>
    <w:p>
      <w:pPr>
        <w:pStyle w:val="2"/>
        <w:spacing w:before="6" w:line="330" w:lineRule="auto"/>
        <w:ind w:firstLine="619"/>
        <w:jc w:val="both"/>
      </w:pPr>
      <w:r>
        <w:rPr>
          <w:spacing w:val="-12"/>
        </w:rPr>
        <w:t>各位代表!唯有奋斗才能不负新时代，唯有实干才能不辱</w:t>
      </w:r>
      <w:r>
        <w:rPr>
          <w:spacing w:val="1"/>
        </w:rPr>
        <w:t xml:space="preserve"> </w:t>
      </w:r>
      <w:r>
        <w:rPr>
          <w:spacing w:val="-18"/>
        </w:rPr>
        <w:t>新使命。让我们更加紧密地团结在以习近平同志为核心的党中</w:t>
      </w:r>
      <w:r>
        <w:rPr>
          <w:spacing w:val="5"/>
        </w:rPr>
        <w:t xml:space="preserve"> </w:t>
      </w:r>
      <w:r>
        <w:rPr>
          <w:spacing w:val="-25"/>
        </w:rPr>
        <w:t>央周围，在县委的坚强领导下，在县人大、政协的监督支持下，</w:t>
      </w:r>
      <w:r>
        <w:rPr>
          <w:spacing w:val="3"/>
        </w:rPr>
        <w:t xml:space="preserve"> </w:t>
      </w:r>
      <w:r>
        <w:rPr>
          <w:spacing w:val="-18"/>
        </w:rPr>
        <w:t>栉风沐雨、砥砺前行，为建设经济强县、大美高邑作出新的更</w:t>
      </w:r>
      <w:r>
        <w:t xml:space="preserve"> </w:t>
      </w:r>
      <w:r>
        <w:rPr>
          <w:spacing w:val="-13"/>
        </w:rPr>
        <w:t>大贡献，以优异成绩迎接党的二十大胜利召开!</w:t>
      </w:r>
    </w:p>
    <w:p>
      <w:pPr>
        <w:spacing w:line="330" w:lineRule="auto"/>
        <w:sectPr>
          <w:footerReference r:id="rId16" w:type="default"/>
          <w:pgSz w:w="11900" w:h="16820"/>
          <w:pgMar w:top="1429" w:right="1654" w:bottom="1513" w:left="1700" w:header="0" w:footer="1173" w:gutter="0"/>
          <w:cols w:space="720" w:num="1"/>
        </w:sectPr>
      </w:pPr>
    </w:p>
    <w:p>
      <w:pPr>
        <w:spacing w:before="51" w:line="221" w:lineRule="auto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b/>
          <w:bCs/>
          <w:spacing w:val="-6"/>
          <w:sz w:val="26"/>
          <w:szCs w:val="26"/>
        </w:rPr>
        <w:t>表</w:t>
      </w:r>
      <w:r>
        <w:rPr>
          <w:rFonts w:ascii="宋体" w:hAnsi="宋体" w:eastAsia="宋体" w:cs="宋体"/>
          <w:spacing w:val="-6"/>
          <w:sz w:val="26"/>
          <w:szCs w:val="26"/>
        </w:rPr>
        <w:t>1</w:t>
      </w:r>
    </w:p>
    <w:p>
      <w:pPr>
        <w:spacing w:before="71" w:line="219" w:lineRule="auto"/>
        <w:ind w:left="1371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b/>
          <w:bCs/>
          <w:spacing w:val="-30"/>
          <w:sz w:val="39"/>
          <w:szCs w:val="39"/>
        </w:rPr>
        <w:t>2021年高邑县一般公共预算收入完成情</w:t>
      </w:r>
      <w:r>
        <w:rPr>
          <w:rFonts w:ascii="宋体" w:hAnsi="宋体" w:eastAsia="宋体" w:cs="宋体"/>
          <w:b/>
          <w:bCs/>
          <w:spacing w:val="-31"/>
          <w:sz w:val="39"/>
          <w:szCs w:val="39"/>
        </w:rPr>
        <w:t>况表</w:t>
      </w:r>
    </w:p>
    <w:p>
      <w:pPr>
        <w:spacing w:before="67" w:line="220" w:lineRule="auto"/>
        <w:jc w:val="right"/>
        <w:rPr>
          <w:rFonts w:ascii="宋体" w:hAnsi="宋体" w:eastAsia="宋体" w:cs="宋体"/>
          <w:sz w:val="25"/>
          <w:szCs w:val="25"/>
        </w:rPr>
      </w:pPr>
      <w:r>
        <w:rPr>
          <w:rFonts w:ascii="宋体" w:hAnsi="宋体" w:eastAsia="宋体" w:cs="宋体"/>
          <w:spacing w:val="-3"/>
          <w:sz w:val="25"/>
          <w:szCs w:val="25"/>
        </w:rPr>
        <w:t>单位：万元</w:t>
      </w:r>
    </w:p>
    <w:p>
      <w:pPr>
        <w:spacing w:line="46" w:lineRule="exact"/>
      </w:pPr>
    </w:p>
    <w:tbl>
      <w:tblPr>
        <w:tblStyle w:val="6"/>
        <w:tblW w:w="9579" w:type="dxa"/>
        <w:tblInd w:w="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92"/>
        <w:gridCol w:w="1768"/>
        <w:gridCol w:w="1778"/>
        <w:gridCol w:w="1778"/>
        <w:gridCol w:w="176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84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223" w:line="219" w:lineRule="auto"/>
              <w:ind w:left="744"/>
            </w:pPr>
            <w:r>
              <w:rPr>
                <w:spacing w:val="3"/>
              </w:rPr>
              <w:t>科目名称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225" w:line="219" w:lineRule="auto"/>
              <w:ind w:left="372"/>
            </w:pPr>
            <w:r>
              <w:rPr>
                <w:spacing w:val="2"/>
              </w:rPr>
              <w:t>年初预算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225" w:line="219" w:lineRule="auto"/>
              <w:ind w:left="384"/>
            </w:pPr>
            <w:r>
              <w:rPr>
                <w:spacing w:val="2"/>
              </w:rPr>
              <w:t>实际完成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84" w:line="217" w:lineRule="auto"/>
              <w:ind w:left="447" w:right="396" w:firstLine="59"/>
            </w:pPr>
            <w:r>
              <w:rPr>
                <w:spacing w:val="4"/>
              </w:rPr>
              <w:t>占年初</w:t>
            </w:r>
            <w:r>
              <w:t xml:space="preserve"> </w:t>
            </w:r>
            <w:r>
              <w:rPr>
                <w:spacing w:val="9"/>
              </w:rPr>
              <w:t>预算(%)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83" w:line="215" w:lineRule="auto"/>
              <w:ind w:left="439" w:right="389" w:firstLine="59"/>
            </w:pPr>
            <w:r>
              <w:rPr>
                <w:spacing w:val="3"/>
              </w:rPr>
              <w:t>比上年</w:t>
            </w:r>
            <w:r>
              <w:t xml:space="preserve"> </w:t>
            </w:r>
            <w:r>
              <w:rPr>
                <w:spacing w:val="9"/>
              </w:rPr>
              <w:t>增长(%)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1" w:line="219" w:lineRule="auto"/>
              <w:ind w:left="4"/>
            </w:pPr>
            <w:r>
              <w:rPr>
                <w:spacing w:val="-1"/>
              </w:rPr>
              <w:t>一、税收收入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5"/>
              <w:ind w:left="562"/>
            </w:pPr>
            <w:r>
              <w:rPr>
                <w:spacing w:val="-3"/>
              </w:rPr>
              <w:t>33275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5"/>
              <w:ind w:left="564"/>
            </w:pPr>
            <w:r>
              <w:rPr>
                <w:spacing w:val="-3"/>
              </w:rPr>
              <w:t>24160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5" w:line="239" w:lineRule="auto"/>
              <w:ind w:left="636"/>
            </w:pPr>
            <w:r>
              <w:rPr>
                <w:spacing w:val="-3"/>
              </w:rPr>
              <w:t>72.6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5" w:line="239" w:lineRule="auto"/>
              <w:ind w:left="628"/>
            </w:pPr>
            <w:r>
              <w:rPr>
                <w:spacing w:val="-2"/>
              </w:rPr>
              <w:t>-9.5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1" w:line="219" w:lineRule="auto"/>
              <w:ind w:left="4"/>
            </w:pPr>
            <w:r>
              <w:rPr>
                <w:spacing w:val="3"/>
              </w:rPr>
              <w:t>增值税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6" w:line="239" w:lineRule="auto"/>
              <w:ind w:left="622"/>
            </w:pPr>
            <w:r>
              <w:rPr>
                <w:spacing w:val="-3"/>
              </w:rPr>
              <w:t>8610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6" w:line="239" w:lineRule="auto"/>
              <w:ind w:left="634"/>
            </w:pPr>
            <w:r>
              <w:rPr>
                <w:spacing w:val="-3"/>
              </w:rPr>
              <w:t>6419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6" w:line="239" w:lineRule="auto"/>
              <w:ind w:left="636"/>
            </w:pPr>
            <w:r>
              <w:rPr>
                <w:color w:val="001020"/>
                <w:spacing w:val="-4"/>
              </w:rPr>
              <w:t>7</w:t>
            </w:r>
            <w:r>
              <w:rPr>
                <w:spacing w:val="-4"/>
              </w:rPr>
              <w:t>4.6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6" w:line="239" w:lineRule="auto"/>
              <w:ind w:left="558"/>
            </w:pPr>
            <w:r>
              <w:rPr>
                <w:spacing w:val="-2"/>
              </w:rPr>
              <w:t>-10.3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1" w:line="219" w:lineRule="auto"/>
              <w:ind w:left="4"/>
            </w:pPr>
            <w:r>
              <w:rPr>
                <w:spacing w:val="2"/>
              </w:rPr>
              <w:t>企业所得税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5"/>
              <w:ind w:left="682"/>
            </w:pPr>
            <w:r>
              <w:rPr>
                <w:spacing w:val="-3"/>
              </w:rPr>
              <w:t>840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5"/>
              <w:ind w:left="694"/>
            </w:pPr>
            <w:r>
              <w:rPr>
                <w:spacing w:val="-3"/>
              </w:rPr>
              <w:t>684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6" w:line="239" w:lineRule="auto"/>
              <w:ind w:left="636"/>
            </w:pPr>
            <w:r>
              <w:rPr>
                <w:spacing w:val="-3"/>
              </w:rPr>
              <w:t>81.4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6" w:line="239" w:lineRule="auto"/>
              <w:ind w:left="628"/>
            </w:pPr>
            <w:r>
              <w:rPr>
                <w:spacing w:val="-2"/>
              </w:rPr>
              <w:t>-5.3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8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1" w:line="219" w:lineRule="auto"/>
              <w:ind w:left="4"/>
            </w:pPr>
            <w:r>
              <w:rPr>
                <w:spacing w:val="2"/>
              </w:rPr>
              <w:t>个人所得税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6" w:line="239" w:lineRule="auto"/>
              <w:ind w:left="682"/>
            </w:pPr>
            <w:r>
              <w:rPr>
                <w:spacing w:val="-7"/>
              </w:rPr>
              <w:t>185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6" w:line="239" w:lineRule="auto"/>
              <w:ind w:left="694"/>
            </w:pPr>
            <w:r>
              <w:rPr>
                <w:spacing w:val="-7"/>
              </w:rPr>
              <w:t>143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6" w:line="239" w:lineRule="auto"/>
              <w:ind w:left="636"/>
            </w:pPr>
            <w:r>
              <w:rPr>
                <w:spacing w:val="-3"/>
              </w:rPr>
              <w:t>77.4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6" w:line="239" w:lineRule="auto"/>
              <w:ind w:left="628"/>
            </w:pPr>
            <w:r>
              <w:rPr>
                <w:spacing w:val="-2"/>
              </w:rPr>
              <w:t>-9.2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9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2" w:line="220" w:lineRule="auto"/>
              <w:ind w:left="4"/>
            </w:pPr>
            <w:r>
              <w:rPr>
                <w:spacing w:val="3"/>
              </w:rPr>
              <w:t>资源税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5"/>
              <w:ind w:left="753"/>
            </w:pPr>
            <w:r>
              <w:rPr>
                <w:spacing w:val="-3"/>
              </w:rPr>
              <w:t>47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5"/>
              <w:ind w:left="755"/>
            </w:pPr>
            <w:r>
              <w:rPr>
                <w:spacing w:val="-4"/>
              </w:rPr>
              <w:t>29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6" w:line="239" w:lineRule="auto"/>
              <w:ind w:left="636"/>
            </w:pPr>
            <w:r>
              <w:rPr>
                <w:spacing w:val="-3"/>
              </w:rPr>
              <w:t>61.7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6" w:line="239" w:lineRule="auto"/>
              <w:ind w:left="558"/>
            </w:pPr>
            <w:r>
              <w:rPr>
                <w:spacing w:val="-2"/>
              </w:rPr>
              <w:t>-38.5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1" w:line="219" w:lineRule="auto"/>
              <w:ind w:left="4"/>
            </w:pPr>
            <w:r>
              <w:rPr>
                <w:spacing w:val="1"/>
              </w:rPr>
              <w:t>城市维护建设税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5"/>
              <w:ind w:left="622"/>
            </w:pPr>
            <w:r>
              <w:rPr>
                <w:spacing w:val="-6"/>
              </w:rPr>
              <w:t>1169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5"/>
              <w:ind w:left="694"/>
            </w:pPr>
            <w:r>
              <w:rPr>
                <w:spacing w:val="-3"/>
              </w:rPr>
              <w:t>909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6" w:line="239" w:lineRule="auto"/>
              <w:ind w:left="636"/>
            </w:pPr>
            <w:r>
              <w:rPr>
                <w:spacing w:val="-3"/>
              </w:rPr>
              <w:t>77.8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6" w:line="239" w:lineRule="auto"/>
              <w:ind w:left="628"/>
            </w:pPr>
            <w:r>
              <w:rPr>
                <w:spacing w:val="-2"/>
              </w:rPr>
              <w:t>-6.5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2" w:line="219" w:lineRule="auto"/>
              <w:ind w:left="4"/>
            </w:pPr>
            <w:r>
              <w:rPr>
                <w:spacing w:val="3"/>
              </w:rPr>
              <w:t>房产税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7" w:line="238" w:lineRule="auto"/>
              <w:ind w:left="682"/>
            </w:pPr>
            <w:r>
              <w:rPr>
                <w:spacing w:val="-3"/>
              </w:rPr>
              <w:t>850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7" w:line="238" w:lineRule="auto"/>
              <w:ind w:left="694"/>
            </w:pPr>
            <w:r>
              <w:rPr>
                <w:spacing w:val="-3"/>
              </w:rPr>
              <w:t>659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7" w:line="238" w:lineRule="auto"/>
              <w:ind w:left="636"/>
            </w:pPr>
            <w:r>
              <w:rPr>
                <w:spacing w:val="-3"/>
              </w:rPr>
              <w:t>77.5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7" w:line="238" w:lineRule="auto"/>
              <w:ind w:left="688"/>
            </w:pPr>
            <w:r>
              <w:rPr>
                <w:spacing w:val="-2"/>
              </w:rPr>
              <w:t>4.2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2" w:line="219" w:lineRule="auto"/>
              <w:ind w:left="4"/>
            </w:pPr>
            <w:r>
              <w:rPr>
                <w:spacing w:val="3"/>
              </w:rPr>
              <w:t>印花税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6"/>
              <w:ind w:left="682"/>
            </w:pPr>
            <w:r>
              <w:rPr>
                <w:spacing w:val="-3"/>
              </w:rPr>
              <w:t>600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6"/>
              <w:ind w:left="694"/>
            </w:pPr>
            <w:r>
              <w:rPr>
                <w:spacing w:val="-2"/>
              </w:rPr>
              <w:t>453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6" w:line="239" w:lineRule="auto"/>
              <w:ind w:left="636"/>
            </w:pPr>
            <w:r>
              <w:rPr>
                <w:spacing w:val="-3"/>
              </w:rPr>
              <w:t>75.5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6" w:line="239" w:lineRule="auto"/>
              <w:ind w:left="558"/>
            </w:pPr>
            <w:r>
              <w:rPr>
                <w:spacing w:val="-2"/>
              </w:rPr>
              <w:t>-10.2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3" w:line="219" w:lineRule="auto"/>
              <w:ind w:left="4"/>
            </w:pPr>
            <w:r>
              <w:rPr>
                <w:spacing w:val="1"/>
              </w:rPr>
              <w:t>城镇土地使用税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7"/>
              <w:ind w:left="622"/>
            </w:pPr>
            <w:r>
              <w:rPr>
                <w:spacing w:val="-3"/>
              </w:rPr>
              <w:t>3700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7"/>
              <w:ind w:left="634"/>
            </w:pPr>
            <w:r>
              <w:rPr>
                <w:spacing w:val="-3"/>
              </w:rPr>
              <w:t>2885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8" w:line="239" w:lineRule="auto"/>
              <w:ind w:left="636"/>
            </w:pPr>
            <w:r>
              <w:rPr>
                <w:spacing w:val="-3"/>
              </w:rPr>
              <w:t>78.0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8" w:line="239" w:lineRule="auto"/>
              <w:ind w:left="628"/>
            </w:pPr>
            <w:r>
              <w:rPr>
                <w:spacing w:val="-6"/>
              </w:rPr>
              <w:t>15.0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79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3" w:line="219" w:lineRule="auto"/>
              <w:ind w:left="4"/>
            </w:pPr>
            <w:r>
              <w:rPr>
                <w:spacing w:val="2"/>
              </w:rPr>
              <w:t>土地增值税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8" w:line="237" w:lineRule="auto"/>
              <w:ind w:left="622"/>
            </w:pPr>
            <w:r>
              <w:rPr>
                <w:spacing w:val="-3"/>
              </w:rPr>
              <w:t>3581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8" w:line="237" w:lineRule="auto"/>
              <w:ind w:left="634"/>
            </w:pPr>
            <w:r>
              <w:rPr>
                <w:spacing w:val="-3"/>
              </w:rPr>
              <w:t>2407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8" w:line="237" w:lineRule="auto"/>
              <w:ind w:left="636"/>
            </w:pPr>
            <w:r>
              <w:rPr>
                <w:spacing w:val="-3"/>
              </w:rPr>
              <w:t>67.2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8" w:line="237" w:lineRule="auto"/>
              <w:ind w:left="628"/>
            </w:pPr>
            <w:r>
              <w:rPr>
                <w:spacing w:val="-3"/>
              </w:rPr>
              <w:t>23.4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4" w:line="219" w:lineRule="auto"/>
              <w:ind w:left="4"/>
            </w:pPr>
            <w:r>
              <w:rPr>
                <w:spacing w:val="3"/>
              </w:rPr>
              <w:t>车船税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9" w:line="236" w:lineRule="auto"/>
              <w:ind w:left="622"/>
            </w:pPr>
            <w:r>
              <w:rPr>
                <w:spacing w:val="-3"/>
              </w:rPr>
              <w:t>2000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9" w:line="236" w:lineRule="auto"/>
              <w:ind w:left="634"/>
            </w:pPr>
            <w:r>
              <w:rPr>
                <w:spacing w:val="-6"/>
              </w:rPr>
              <w:t>1586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9" w:line="236" w:lineRule="auto"/>
              <w:ind w:left="636"/>
            </w:pPr>
            <w:r>
              <w:rPr>
                <w:spacing w:val="-3"/>
              </w:rPr>
              <w:t>79.3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9" w:line="236" w:lineRule="auto"/>
              <w:ind w:left="558"/>
            </w:pPr>
            <w:r>
              <w:rPr>
                <w:spacing w:val="-2"/>
              </w:rPr>
              <w:t>-10.2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3" w:line="219" w:lineRule="auto"/>
              <w:ind w:left="4"/>
            </w:pPr>
            <w:r>
              <w:rPr>
                <w:spacing w:val="2"/>
              </w:rPr>
              <w:t>耕地占用税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9"/>
              <w:ind w:left="622"/>
            </w:pPr>
            <w:r>
              <w:rPr>
                <w:spacing w:val="-3"/>
              </w:rPr>
              <w:t>8000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9"/>
              <w:ind w:left="634"/>
            </w:pPr>
            <w:r>
              <w:rPr>
                <w:spacing w:val="-3"/>
              </w:rPr>
              <w:t>2273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9" w:line="239" w:lineRule="auto"/>
              <w:ind w:left="636"/>
            </w:pPr>
            <w:r>
              <w:rPr>
                <w:spacing w:val="-3"/>
              </w:rPr>
              <w:t>28.4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9" w:line="239" w:lineRule="auto"/>
              <w:ind w:left="558"/>
            </w:pPr>
            <w:r>
              <w:rPr>
                <w:spacing w:val="-2"/>
              </w:rPr>
              <w:t>-68.8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9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5" w:line="219" w:lineRule="auto"/>
              <w:ind w:left="4"/>
            </w:pPr>
            <w:r>
              <w:rPr>
                <w:spacing w:val="5"/>
              </w:rPr>
              <w:t>契税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9"/>
              <w:ind w:left="622"/>
            </w:pPr>
            <w:r>
              <w:rPr>
                <w:spacing w:val="-3"/>
              </w:rPr>
              <w:t>3300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9"/>
              <w:ind w:left="634"/>
            </w:pPr>
            <w:r>
              <w:rPr>
                <w:spacing w:val="-3"/>
              </w:rPr>
              <w:t>5498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0" w:line="239" w:lineRule="auto"/>
              <w:ind w:left="566"/>
            </w:pPr>
            <w:r>
              <w:rPr>
                <w:spacing w:val="-5"/>
              </w:rPr>
              <w:t>166.6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50" w:line="239" w:lineRule="auto"/>
              <w:ind w:left="628"/>
            </w:pPr>
            <w:r>
              <w:rPr>
                <w:spacing w:val="-3"/>
              </w:rPr>
              <w:t>90.6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6" w:line="220" w:lineRule="auto"/>
              <w:ind w:left="4"/>
            </w:pPr>
            <w:r>
              <w:rPr>
                <w:spacing w:val="2"/>
              </w:rPr>
              <w:t>环境保护税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0" w:line="235" w:lineRule="auto"/>
              <w:ind w:left="682"/>
            </w:pPr>
            <w:r>
              <w:rPr>
                <w:spacing w:val="-4"/>
              </w:rPr>
              <w:t>393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0" w:line="235" w:lineRule="auto"/>
              <w:ind w:left="694"/>
            </w:pPr>
            <w:r>
              <w:rPr>
                <w:spacing w:val="-3"/>
              </w:rPr>
              <w:t>215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0" w:line="235" w:lineRule="auto"/>
              <w:ind w:left="636"/>
            </w:pPr>
            <w:r>
              <w:rPr>
                <w:spacing w:val="-3"/>
              </w:rPr>
              <w:t>54.7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50" w:line="235" w:lineRule="auto"/>
              <w:ind w:left="558"/>
            </w:pPr>
            <w:r>
              <w:rPr>
                <w:color w:val="401010"/>
                <w:spacing w:val="-4"/>
              </w:rPr>
              <w:t>-</w:t>
            </w:r>
            <w:r>
              <w:rPr>
                <w:spacing w:val="-4"/>
              </w:rPr>
              <w:t>27.2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16" w:line="219" w:lineRule="auto"/>
              <w:ind w:left="4"/>
            </w:pPr>
            <w:r>
              <w:rPr>
                <w:spacing w:val="2"/>
              </w:rPr>
              <w:t>其他税收</w:t>
            </w:r>
          </w:p>
        </w:tc>
        <w:tc>
          <w:tcPr>
            <w:tcW w:w="176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1" w:line="235" w:lineRule="auto"/>
              <w:ind w:left="814"/>
            </w:pPr>
            <w:r>
              <w:t>0</w:t>
            </w: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1" w:line="235" w:lineRule="auto"/>
              <w:ind w:left="499"/>
            </w:pPr>
            <w:r>
              <w:rPr>
                <w:spacing w:val="-2"/>
              </w:rPr>
              <w:t>-100.0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6" w:line="219" w:lineRule="auto"/>
              <w:ind w:left="4"/>
            </w:pPr>
            <w:r>
              <w:rPr>
                <w:spacing w:val="1"/>
              </w:rPr>
              <w:t>二、非税收入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0" w:line="235" w:lineRule="auto"/>
              <w:ind w:left="562"/>
            </w:pPr>
            <w:r>
              <w:rPr>
                <w:spacing w:val="-3"/>
              </w:rPr>
              <w:t>31292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0" w:line="235" w:lineRule="auto"/>
              <w:ind w:left="564"/>
            </w:pPr>
            <w:r>
              <w:rPr>
                <w:spacing w:val="-2"/>
              </w:rPr>
              <w:t>41072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0" w:line="235" w:lineRule="auto"/>
              <w:ind w:left="566"/>
            </w:pPr>
            <w:r>
              <w:rPr>
                <w:spacing w:val="-5"/>
              </w:rPr>
              <w:t>131.3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50" w:line="235" w:lineRule="auto"/>
              <w:ind w:left="628"/>
            </w:pPr>
            <w:r>
              <w:rPr>
                <w:spacing w:val="-3"/>
              </w:rPr>
              <w:t>22.0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7" w:line="219" w:lineRule="auto"/>
              <w:ind w:left="4"/>
            </w:pPr>
            <w:r>
              <w:rPr>
                <w:spacing w:val="2"/>
              </w:rPr>
              <w:t>专项收入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2" w:line="234" w:lineRule="auto"/>
              <w:ind w:left="682"/>
            </w:pPr>
            <w:r>
              <w:rPr>
                <w:spacing w:val="-3"/>
              </w:rPr>
              <w:t>990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2" w:line="234" w:lineRule="auto"/>
              <w:ind w:left="634"/>
            </w:pPr>
            <w:r>
              <w:rPr>
                <w:spacing w:val="-6"/>
              </w:rPr>
              <w:t>1552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2" w:line="234" w:lineRule="auto"/>
              <w:ind w:left="566"/>
            </w:pPr>
            <w:r>
              <w:rPr>
                <w:spacing w:val="-5"/>
              </w:rPr>
              <w:t>156.8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52" w:line="234" w:lineRule="auto"/>
              <w:ind w:left="628"/>
            </w:pPr>
            <w:r>
              <w:rPr>
                <w:spacing w:val="-3"/>
              </w:rPr>
              <w:t>96.2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8" w:line="219" w:lineRule="auto"/>
              <w:ind w:left="4"/>
            </w:pPr>
            <w:r>
              <w:rPr>
                <w:spacing w:val="2"/>
              </w:rPr>
              <w:t>行政事业性收费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3" w:line="234" w:lineRule="auto"/>
              <w:ind w:left="622"/>
            </w:pPr>
            <w:r>
              <w:rPr>
                <w:spacing w:val="-3"/>
              </w:rPr>
              <w:t>5569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3" w:line="234" w:lineRule="auto"/>
              <w:ind w:left="694"/>
            </w:pPr>
            <w:r>
              <w:rPr>
                <w:spacing w:val="-3"/>
              </w:rPr>
              <w:t>950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3" w:line="234" w:lineRule="auto"/>
              <w:ind w:left="636"/>
            </w:pPr>
            <w:r>
              <w:rPr>
                <w:spacing w:val="-6"/>
              </w:rPr>
              <w:t>17.1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53" w:line="234" w:lineRule="auto"/>
              <w:ind w:left="558"/>
            </w:pPr>
            <w:r>
              <w:rPr>
                <w:spacing w:val="-2"/>
              </w:rPr>
              <w:t>-69.7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8" w:line="219" w:lineRule="auto"/>
              <w:ind w:left="4"/>
            </w:pPr>
            <w:r>
              <w:rPr>
                <w:spacing w:val="2"/>
              </w:rPr>
              <w:t>罚没收入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3" w:line="234" w:lineRule="auto"/>
              <w:ind w:left="622"/>
            </w:pPr>
            <w:r>
              <w:rPr>
                <w:spacing w:val="-3"/>
              </w:rPr>
              <w:t>8477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3" w:line="234" w:lineRule="auto"/>
              <w:ind w:left="634"/>
            </w:pPr>
            <w:r>
              <w:rPr>
                <w:spacing w:val="-3"/>
              </w:rPr>
              <w:t>3058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3" w:line="234" w:lineRule="auto"/>
              <w:ind w:left="636"/>
            </w:pPr>
            <w:r>
              <w:rPr>
                <w:spacing w:val="-3"/>
              </w:rPr>
              <w:t>36.1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53" w:line="234" w:lineRule="auto"/>
              <w:ind w:left="558"/>
            </w:pPr>
            <w:r>
              <w:rPr>
                <w:spacing w:val="-2"/>
              </w:rPr>
              <w:t>-31.4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7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18" w:line="219" w:lineRule="auto"/>
              <w:jc w:val="right"/>
            </w:pPr>
            <w:r>
              <w:rPr>
                <w:spacing w:val="-4"/>
              </w:rPr>
              <w:t>国有资产有偿使用收入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3" w:line="234" w:lineRule="auto"/>
              <w:ind w:left="562"/>
            </w:pPr>
            <w:r>
              <w:rPr>
                <w:spacing w:val="-5"/>
              </w:rPr>
              <w:t>16080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3" w:line="234" w:lineRule="auto"/>
              <w:ind w:left="564"/>
            </w:pPr>
            <w:r>
              <w:rPr>
                <w:spacing w:val="-3"/>
              </w:rPr>
              <w:t>30233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3" w:line="234" w:lineRule="auto"/>
              <w:ind w:left="566"/>
            </w:pPr>
            <w:r>
              <w:rPr>
                <w:spacing w:val="-5"/>
              </w:rPr>
              <w:t>188.0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3" w:line="234" w:lineRule="auto"/>
              <w:ind w:left="628"/>
            </w:pPr>
            <w:r>
              <w:rPr>
                <w:spacing w:val="-3"/>
              </w:rPr>
              <w:t>26.0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8" w:line="219" w:lineRule="auto"/>
              <w:ind w:left="4"/>
            </w:pPr>
            <w:r>
              <w:rPr>
                <w:spacing w:val="-2"/>
              </w:rPr>
              <w:t>捐赠收入</w:t>
            </w:r>
          </w:p>
        </w:tc>
        <w:tc>
          <w:tcPr>
            <w:tcW w:w="176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3" w:line="234" w:lineRule="auto"/>
              <w:ind w:left="755"/>
            </w:pPr>
            <w:r>
              <w:rPr>
                <w:spacing w:val="-4"/>
              </w:rPr>
              <w:t>24</w:t>
            </w: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3" w:type="dxa"/>
            <w:vAlign w:val="top"/>
          </w:tcPr>
          <w:p>
            <w:pPr>
              <w:pStyle w:val="7"/>
              <w:spacing w:before="153" w:line="234" w:lineRule="auto"/>
              <w:ind w:left="558"/>
            </w:pPr>
            <w:r>
              <w:rPr>
                <w:spacing w:val="-5"/>
              </w:rPr>
              <w:t>166.7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6" w:line="219" w:lineRule="auto"/>
              <w:ind w:left="4"/>
            </w:pPr>
            <w:r>
              <w:rPr>
                <w:spacing w:val="-1"/>
              </w:rPr>
              <w:t>政府住房基金收入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3" w:line="233" w:lineRule="auto"/>
              <w:ind w:left="682"/>
            </w:pPr>
            <w:r>
              <w:rPr>
                <w:spacing w:val="-7"/>
              </w:rPr>
              <w:t>130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3" w:line="233" w:lineRule="auto"/>
              <w:ind w:left="634"/>
            </w:pPr>
            <w:r>
              <w:rPr>
                <w:spacing w:val="-6"/>
              </w:rPr>
              <w:t>1982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3" w:line="233" w:lineRule="auto"/>
              <w:ind w:left="506"/>
            </w:pPr>
            <w:r>
              <w:rPr>
                <w:spacing w:val="-4"/>
              </w:rPr>
              <w:t>1524.3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53" w:line="233" w:lineRule="auto"/>
              <w:ind w:left="558"/>
            </w:pPr>
            <w:r>
              <w:rPr>
                <w:spacing w:val="-3"/>
              </w:rPr>
              <w:t>221.2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9" w:line="219" w:lineRule="auto"/>
              <w:ind w:left="4"/>
            </w:pPr>
            <w:r>
              <w:rPr>
                <w:spacing w:val="2"/>
              </w:rPr>
              <w:t>其他收入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4" w:line="233" w:lineRule="auto"/>
              <w:ind w:left="753"/>
            </w:pPr>
            <w:r>
              <w:rPr>
                <w:spacing w:val="-3"/>
              </w:rPr>
              <w:t>46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4" w:line="233" w:lineRule="auto"/>
              <w:ind w:left="634"/>
            </w:pPr>
            <w:r>
              <w:rPr>
                <w:spacing w:val="-3"/>
              </w:rPr>
              <w:t>3274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4" w:line="233" w:lineRule="auto"/>
              <w:ind w:left="506"/>
            </w:pPr>
            <w:r>
              <w:rPr>
                <w:spacing w:val="-3"/>
              </w:rPr>
              <w:t>7117.6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54" w:line="233" w:lineRule="auto"/>
              <w:ind w:left="558"/>
            </w:pPr>
            <w:r>
              <w:rPr>
                <w:spacing w:val="-3"/>
              </w:rPr>
              <w:t>387.2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2492" w:type="dxa"/>
            <w:vAlign w:val="top"/>
          </w:tcPr>
          <w:p>
            <w:pPr>
              <w:pStyle w:val="7"/>
              <w:spacing w:before="120" w:line="221" w:lineRule="auto"/>
              <w:ind w:left="815"/>
            </w:pPr>
            <w:r>
              <w:rPr>
                <w:spacing w:val="-6"/>
              </w:rPr>
              <w:t>合</w:t>
            </w:r>
            <w:r>
              <w:rPr>
                <w:spacing w:val="5"/>
              </w:rPr>
              <w:t xml:space="preserve">  </w:t>
            </w:r>
            <w:r>
              <w:rPr>
                <w:spacing w:val="-6"/>
              </w:rPr>
              <w:t>计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3" w:line="229" w:lineRule="auto"/>
              <w:ind w:left="562"/>
            </w:pPr>
            <w:r>
              <w:rPr>
                <w:spacing w:val="-2"/>
              </w:rPr>
              <w:t>64567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3" w:line="229" w:lineRule="auto"/>
              <w:ind w:left="564"/>
            </w:pPr>
            <w:r>
              <w:rPr>
                <w:spacing w:val="-2"/>
              </w:rPr>
              <w:t>65232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3" w:line="229" w:lineRule="auto"/>
              <w:ind w:left="566"/>
            </w:pPr>
            <w:r>
              <w:rPr>
                <w:spacing w:val="-5"/>
              </w:rPr>
              <w:t>101.0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43" w:line="229" w:lineRule="auto"/>
              <w:ind w:left="688"/>
            </w:pPr>
            <w:r>
              <w:rPr>
                <w:spacing w:val="-3"/>
              </w:rPr>
              <w:t>8.1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7" w:type="default"/>
          <w:pgSz w:w="11900" w:h="16820"/>
          <w:pgMar w:top="1426" w:right="1161" w:bottom="400" w:left="1113" w:header="0" w:footer="0" w:gutter="0"/>
          <w:cols w:space="720" w:num="1"/>
        </w:sectPr>
      </w:pPr>
    </w:p>
    <w:p>
      <w:pPr>
        <w:spacing w:before="128" w:line="221" w:lineRule="auto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b/>
          <w:bCs/>
          <w:spacing w:val="-6"/>
          <w:sz w:val="26"/>
          <w:szCs w:val="26"/>
        </w:rPr>
        <w:t>表</w:t>
      </w:r>
      <w:r>
        <w:rPr>
          <w:rFonts w:ascii="宋体" w:hAnsi="宋体" w:eastAsia="宋体" w:cs="宋体"/>
          <w:spacing w:val="-6"/>
          <w:sz w:val="26"/>
          <w:szCs w:val="26"/>
        </w:rPr>
        <w:t>2</w:t>
      </w:r>
    </w:p>
    <w:p>
      <w:pPr>
        <w:spacing w:before="261" w:line="219" w:lineRule="auto"/>
        <w:ind w:left="1421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b/>
          <w:bCs/>
          <w:spacing w:val="-31"/>
          <w:sz w:val="39"/>
          <w:szCs w:val="39"/>
        </w:rPr>
        <w:t>2021年高邑县一般公共预算支出完成情况表</w:t>
      </w:r>
    </w:p>
    <w:p>
      <w:pPr>
        <w:spacing w:before="167" w:line="220" w:lineRule="auto"/>
        <w:jc w:val="right"/>
        <w:rPr>
          <w:rFonts w:ascii="宋体" w:hAnsi="宋体" w:eastAsia="宋体" w:cs="宋体"/>
          <w:sz w:val="25"/>
          <w:szCs w:val="25"/>
        </w:rPr>
      </w:pPr>
      <w:r>
        <w:rPr>
          <w:rFonts w:ascii="宋体" w:hAnsi="宋体" w:eastAsia="宋体" w:cs="宋体"/>
          <w:spacing w:val="-3"/>
          <w:sz w:val="25"/>
          <w:szCs w:val="25"/>
        </w:rPr>
        <w:t>单位：万元</w:t>
      </w:r>
    </w:p>
    <w:p>
      <w:pPr>
        <w:spacing w:line="25" w:lineRule="exact"/>
      </w:pPr>
    </w:p>
    <w:tbl>
      <w:tblPr>
        <w:tblStyle w:val="6"/>
        <w:tblW w:w="9649" w:type="dxa"/>
        <w:tblInd w:w="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52"/>
        <w:gridCol w:w="1778"/>
        <w:gridCol w:w="1778"/>
        <w:gridCol w:w="1768"/>
        <w:gridCol w:w="177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223" w:line="219" w:lineRule="auto"/>
              <w:ind w:left="784"/>
            </w:pPr>
            <w:r>
              <w:rPr>
                <w:spacing w:val="3"/>
              </w:rPr>
              <w:t>科目名称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225" w:line="219" w:lineRule="auto"/>
              <w:ind w:left="383"/>
            </w:pPr>
            <w:r>
              <w:rPr>
                <w:spacing w:val="2"/>
              </w:rPr>
              <w:t>调整预算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225" w:line="219" w:lineRule="auto"/>
              <w:ind w:left="385"/>
            </w:pPr>
            <w:r>
              <w:rPr>
                <w:spacing w:val="2"/>
              </w:rPr>
              <w:t>实际完成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77" w:line="224" w:lineRule="auto"/>
              <w:ind w:left="436" w:right="386" w:firstLine="69"/>
            </w:pPr>
            <w:r>
              <w:rPr>
                <w:spacing w:val="4"/>
              </w:rPr>
              <w:t>占调整</w:t>
            </w:r>
            <w:r>
              <w:t xml:space="preserve"> </w:t>
            </w:r>
            <w:r>
              <w:rPr>
                <w:spacing w:val="11"/>
              </w:rPr>
              <w:t>预算(%)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95" w:line="208" w:lineRule="auto"/>
              <w:ind w:left="129"/>
            </w:pPr>
            <w:r>
              <w:rPr>
                <w:spacing w:val="7"/>
              </w:rPr>
              <w:t>比上年(可比)</w:t>
            </w:r>
          </w:p>
          <w:p>
            <w:pPr>
              <w:pStyle w:val="7"/>
              <w:spacing w:before="1" w:line="220" w:lineRule="auto"/>
              <w:ind w:left="439"/>
            </w:pPr>
            <w:r>
              <w:rPr>
                <w:spacing w:val="11"/>
              </w:rPr>
              <w:t>增长(%)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1" w:line="219" w:lineRule="auto"/>
              <w:ind w:left="14"/>
            </w:pPr>
            <w:r>
              <w:rPr>
                <w:spacing w:val="1"/>
              </w:rPr>
              <w:t>一般公共服务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5"/>
              <w:ind w:left="562"/>
            </w:pPr>
            <w:r>
              <w:rPr>
                <w:spacing w:val="-3"/>
              </w:rPr>
              <w:t>20210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5"/>
              <w:ind w:left="564"/>
            </w:pPr>
            <w:r>
              <w:rPr>
                <w:spacing w:val="-3"/>
              </w:rPr>
              <w:t>20210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5" w:line="239" w:lineRule="auto"/>
              <w:ind w:left="566"/>
            </w:pPr>
            <w:r>
              <w:rPr>
                <w:spacing w:val="-5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45" w:line="239" w:lineRule="auto"/>
              <w:ind w:left="628"/>
            </w:pPr>
            <w:r>
              <w:rPr>
                <w:spacing w:val="-3"/>
              </w:rPr>
              <w:t>26.7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3" w:line="220" w:lineRule="auto"/>
              <w:ind w:left="14"/>
            </w:pPr>
            <w:r>
              <w:rPr>
                <w:spacing w:val="7"/>
              </w:rPr>
              <w:t>国防支出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7" w:line="238" w:lineRule="auto"/>
              <w:ind w:left="693"/>
            </w:pPr>
            <w:r>
              <w:rPr>
                <w:spacing w:val="-4"/>
              </w:rPr>
              <w:t>504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7" w:line="238" w:lineRule="auto"/>
              <w:ind w:left="695"/>
            </w:pPr>
            <w:r>
              <w:rPr>
                <w:spacing w:val="-4"/>
              </w:rPr>
              <w:t>504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7" w:line="238" w:lineRule="auto"/>
              <w:ind w:left="566"/>
            </w:pPr>
            <w:r>
              <w:rPr>
                <w:spacing w:val="-5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2" w:line="219" w:lineRule="auto"/>
              <w:ind w:left="14"/>
            </w:pPr>
            <w:r>
              <w:rPr>
                <w:spacing w:val="2"/>
              </w:rPr>
              <w:t>公共安全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6"/>
              <w:ind w:left="632"/>
            </w:pPr>
            <w:r>
              <w:rPr>
                <w:spacing w:val="-3"/>
              </w:rPr>
              <w:t>7347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6"/>
              <w:ind w:left="634"/>
            </w:pPr>
            <w:r>
              <w:rPr>
                <w:spacing w:val="-3"/>
              </w:rPr>
              <w:t>7347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6" w:line="239" w:lineRule="auto"/>
              <w:ind w:left="566"/>
            </w:pPr>
            <w:r>
              <w:rPr>
                <w:spacing w:val="-5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46" w:line="239" w:lineRule="auto"/>
              <w:ind w:left="628"/>
            </w:pPr>
            <w:r>
              <w:rPr>
                <w:spacing w:val="-6"/>
              </w:rPr>
              <w:t>14.2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3" w:line="219" w:lineRule="auto"/>
              <w:ind w:left="14"/>
            </w:pPr>
            <w:r>
              <w:rPr>
                <w:spacing w:val="10"/>
              </w:rPr>
              <w:t>教育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8" w:line="237" w:lineRule="auto"/>
              <w:ind w:left="562"/>
            </w:pPr>
            <w:r>
              <w:rPr>
                <w:spacing w:val="-3"/>
              </w:rPr>
              <w:t>30590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8" w:line="237" w:lineRule="auto"/>
              <w:ind w:left="564"/>
            </w:pPr>
            <w:r>
              <w:rPr>
                <w:spacing w:val="-3"/>
              </w:rPr>
              <w:t>30090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8" w:line="237" w:lineRule="auto"/>
              <w:ind w:left="626"/>
            </w:pPr>
            <w:r>
              <w:rPr>
                <w:spacing w:val="-3"/>
              </w:rPr>
              <w:t>98.4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48" w:line="237" w:lineRule="auto"/>
              <w:ind w:left="689"/>
            </w:pPr>
            <w:r>
              <w:rPr>
                <w:spacing w:val="-3"/>
              </w:rPr>
              <w:t>0.0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2" w:line="219" w:lineRule="auto"/>
              <w:ind w:left="14"/>
            </w:pPr>
            <w:r>
              <w:rPr>
                <w:spacing w:val="2"/>
              </w:rPr>
              <w:t>科学技术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8"/>
              <w:ind w:left="693"/>
            </w:pPr>
            <w:r>
              <w:rPr>
                <w:spacing w:val="-7"/>
              </w:rPr>
              <w:t>138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8"/>
              <w:ind w:left="695"/>
            </w:pPr>
            <w:r>
              <w:rPr>
                <w:spacing w:val="-7"/>
              </w:rPr>
              <w:t>138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8" w:line="239" w:lineRule="auto"/>
              <w:ind w:left="566"/>
            </w:pPr>
            <w:r>
              <w:rPr>
                <w:spacing w:val="-5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48" w:line="239" w:lineRule="auto"/>
              <w:ind w:left="568"/>
            </w:pPr>
            <w:r>
              <w:rPr>
                <w:spacing w:val="-2"/>
              </w:rPr>
              <w:t>-37.</w:t>
            </w:r>
            <w:r>
              <w:rPr>
                <w:color w:val="100020"/>
                <w:spacing w:val="-2"/>
              </w:rPr>
              <w:t>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2" w:line="219" w:lineRule="auto"/>
              <w:ind w:left="14"/>
            </w:pPr>
            <w:r>
              <w:rPr>
                <w:spacing w:val="1"/>
              </w:rPr>
              <w:t>文化体育与传媒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9" w:line="236" w:lineRule="auto"/>
              <w:ind w:left="632"/>
            </w:pPr>
            <w:r>
              <w:rPr>
                <w:spacing w:val="-6"/>
              </w:rPr>
              <w:t>1643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9" w:line="236" w:lineRule="auto"/>
              <w:ind w:left="634"/>
            </w:pPr>
            <w:r>
              <w:rPr>
                <w:spacing w:val="-6"/>
              </w:rPr>
              <w:t>1643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9" w:line="236" w:lineRule="auto"/>
              <w:ind w:left="566"/>
            </w:pPr>
            <w:r>
              <w:rPr>
                <w:spacing w:val="-5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49" w:line="236" w:lineRule="auto"/>
              <w:ind w:left="568"/>
            </w:pPr>
            <w:r>
              <w:rPr>
                <w:spacing w:val="-2"/>
              </w:rPr>
              <w:t>-48.5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3" w:line="219" w:lineRule="auto"/>
              <w:ind w:left="14"/>
            </w:pPr>
            <w:r>
              <w:rPr>
                <w:spacing w:val="1"/>
              </w:rPr>
              <w:t>社会保障和就业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0" w:line="235" w:lineRule="auto"/>
              <w:ind w:left="562"/>
            </w:pPr>
            <w:r>
              <w:rPr>
                <w:spacing w:val="-3"/>
              </w:rPr>
              <w:t>23180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0" w:line="235" w:lineRule="auto"/>
              <w:ind w:left="564"/>
            </w:pPr>
            <w:r>
              <w:rPr>
                <w:spacing w:val="-3"/>
              </w:rPr>
              <w:t>23180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0" w:line="235" w:lineRule="auto"/>
              <w:ind w:left="566"/>
            </w:pPr>
            <w:r>
              <w:rPr>
                <w:spacing w:val="-5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0" w:line="235" w:lineRule="auto"/>
              <w:ind w:left="628"/>
            </w:pPr>
            <w:r>
              <w:rPr>
                <w:spacing w:val="-2"/>
              </w:rPr>
              <w:t>-9.0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7" w:line="220" w:lineRule="auto"/>
              <w:ind w:left="14"/>
            </w:pPr>
            <w:r>
              <w:rPr>
                <w:spacing w:val="2"/>
              </w:rPr>
              <w:t>医疗卫生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0"/>
              <w:ind w:left="562"/>
            </w:pPr>
            <w:r>
              <w:rPr>
                <w:spacing w:val="-5"/>
              </w:rPr>
              <w:t>12079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0"/>
              <w:ind w:left="564"/>
            </w:pPr>
            <w:r>
              <w:rPr>
                <w:spacing w:val="-5"/>
              </w:rPr>
              <w:t>12079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0" w:line="239" w:lineRule="auto"/>
              <w:ind w:left="566"/>
            </w:pPr>
            <w:r>
              <w:rPr>
                <w:spacing w:val="-5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0" w:line="239" w:lineRule="auto"/>
              <w:ind w:left="568"/>
            </w:pPr>
            <w:r>
              <w:rPr>
                <w:spacing w:val="-2"/>
              </w:rPr>
              <w:t>-40.6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7" w:line="220" w:lineRule="auto"/>
              <w:ind w:left="14"/>
            </w:pPr>
            <w:r>
              <w:rPr>
                <w:spacing w:val="-2"/>
              </w:rPr>
              <w:t>节能环保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1" w:line="235" w:lineRule="auto"/>
              <w:ind w:left="632"/>
            </w:pPr>
            <w:r>
              <w:rPr>
                <w:spacing w:val="-3"/>
              </w:rPr>
              <w:t>8283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1" w:line="235" w:lineRule="auto"/>
              <w:ind w:left="634"/>
            </w:pPr>
            <w:r>
              <w:rPr>
                <w:spacing w:val="-3"/>
              </w:rPr>
              <w:t>8283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1" w:line="235" w:lineRule="auto"/>
              <w:ind w:left="566"/>
            </w:pPr>
            <w:r>
              <w:rPr>
                <w:spacing w:val="-5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1" w:line="235" w:lineRule="auto"/>
              <w:ind w:left="628"/>
            </w:pPr>
            <w:r>
              <w:rPr>
                <w:spacing w:val="-2"/>
              </w:rPr>
              <w:t>-9.8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6" w:line="219" w:lineRule="auto"/>
              <w:ind w:left="14"/>
            </w:pPr>
            <w:r>
              <w:rPr>
                <w:spacing w:val="1"/>
              </w:rPr>
              <w:t>城乡社区事务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0"/>
              <w:ind w:left="562"/>
            </w:pPr>
            <w:r>
              <w:rPr>
                <w:spacing w:val="-3"/>
              </w:rPr>
              <w:t>33835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0"/>
              <w:ind w:left="564"/>
            </w:pPr>
            <w:r>
              <w:rPr>
                <w:spacing w:val="-3"/>
              </w:rPr>
              <w:t>33835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0" w:line="239" w:lineRule="auto"/>
              <w:ind w:left="566"/>
            </w:pPr>
            <w:r>
              <w:rPr>
                <w:spacing w:val="-5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0" w:line="239" w:lineRule="auto"/>
              <w:ind w:left="628"/>
            </w:pPr>
            <w:r>
              <w:rPr>
                <w:spacing w:val="-3"/>
              </w:rPr>
              <w:t>24.5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6" w:line="219" w:lineRule="auto"/>
              <w:ind w:left="14"/>
            </w:pPr>
            <w:r>
              <w:rPr>
                <w:spacing w:val="2"/>
              </w:rPr>
              <w:t>农林水事务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0" w:line="235" w:lineRule="auto"/>
              <w:ind w:left="562"/>
            </w:pPr>
            <w:r>
              <w:rPr>
                <w:spacing w:val="-3"/>
              </w:rPr>
              <w:t>21394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0" w:line="235" w:lineRule="auto"/>
              <w:ind w:left="564"/>
            </w:pPr>
            <w:r>
              <w:rPr>
                <w:spacing w:val="-5"/>
              </w:rPr>
              <w:t>19619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0" w:line="235" w:lineRule="auto"/>
              <w:ind w:left="626"/>
            </w:pPr>
            <w:r>
              <w:rPr>
                <w:spacing w:val="-3"/>
              </w:rPr>
              <w:t>91.7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0" w:line="235" w:lineRule="auto"/>
              <w:ind w:left="628"/>
            </w:pPr>
            <w:r>
              <w:rPr>
                <w:spacing w:val="-2"/>
              </w:rPr>
              <w:t>-8.5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7" w:line="219" w:lineRule="auto"/>
              <w:ind w:left="14"/>
            </w:pPr>
            <w:r>
              <w:rPr>
                <w:spacing w:val="2"/>
              </w:rPr>
              <w:t>交通运输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1"/>
              <w:ind w:left="632"/>
            </w:pPr>
            <w:r>
              <w:rPr>
                <w:spacing w:val="-3"/>
              </w:rPr>
              <w:t>9558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1"/>
              <w:ind w:left="634"/>
            </w:pPr>
            <w:r>
              <w:rPr>
                <w:spacing w:val="-3"/>
              </w:rPr>
              <w:t>9447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1" w:line="239" w:lineRule="auto"/>
              <w:ind w:left="626"/>
            </w:pPr>
            <w:r>
              <w:rPr>
                <w:spacing w:val="-3"/>
              </w:rPr>
              <w:t>98.8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1" w:line="239" w:lineRule="auto"/>
              <w:ind w:left="568"/>
            </w:pPr>
            <w:r>
              <w:rPr>
                <w:spacing w:val="-5"/>
              </w:rPr>
              <w:t>126.6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7" w:line="219" w:lineRule="auto"/>
              <w:ind w:left="14"/>
            </w:pPr>
            <w:r>
              <w:rPr>
                <w:spacing w:val="1"/>
              </w:rPr>
              <w:t>资源勘探电力信息事务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1"/>
              <w:ind w:left="632"/>
            </w:pPr>
            <w:r>
              <w:rPr>
                <w:spacing w:val="-6"/>
              </w:rPr>
              <w:t>1858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1"/>
              <w:ind w:left="634"/>
            </w:pPr>
            <w:r>
              <w:rPr>
                <w:spacing w:val="-6"/>
              </w:rPr>
              <w:t>1807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2" w:line="239" w:lineRule="auto"/>
              <w:ind w:left="626"/>
            </w:pPr>
            <w:r>
              <w:rPr>
                <w:spacing w:val="-3"/>
              </w:rPr>
              <w:t>97.3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2" w:line="239" w:lineRule="auto"/>
              <w:ind w:left="568"/>
            </w:pPr>
            <w:r>
              <w:rPr>
                <w:spacing w:val="-2"/>
              </w:rPr>
              <w:t>662.4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8" w:line="219" w:lineRule="auto"/>
              <w:ind w:left="14"/>
            </w:pPr>
            <w:r>
              <w:rPr>
                <w:spacing w:val="1"/>
              </w:rPr>
              <w:t>商业服务业等事务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3" w:line="234" w:lineRule="auto"/>
              <w:ind w:left="632"/>
            </w:pPr>
            <w:r>
              <w:rPr>
                <w:spacing w:val="-6"/>
              </w:rPr>
              <w:t>1808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3" w:line="234" w:lineRule="auto"/>
              <w:ind w:left="634"/>
            </w:pPr>
            <w:r>
              <w:rPr>
                <w:spacing w:val="-6"/>
              </w:rPr>
              <w:t>1793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3" w:line="234" w:lineRule="auto"/>
              <w:ind w:left="626"/>
            </w:pPr>
            <w:r>
              <w:rPr>
                <w:spacing w:val="-3"/>
              </w:rPr>
              <w:t>99.2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3" w:line="234" w:lineRule="auto"/>
              <w:ind w:left="568"/>
            </w:pPr>
            <w:r>
              <w:rPr>
                <w:spacing w:val="-5"/>
              </w:rPr>
              <w:t>125.5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19" w:line="220" w:lineRule="auto"/>
              <w:ind w:left="14"/>
            </w:pPr>
            <w:r>
              <w:rPr>
                <w:spacing w:val="7"/>
              </w:rPr>
              <w:t>金融支出</w:t>
            </w: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73" w:type="dxa"/>
            <w:vAlign w:val="top"/>
          </w:tcPr>
          <w:p>
            <w:pPr>
              <w:pStyle w:val="7"/>
              <w:spacing w:before="142" w:line="227" w:lineRule="auto"/>
              <w:ind w:left="508"/>
            </w:pPr>
            <w:r>
              <w:rPr>
                <w:color w:val="501020"/>
                <w:spacing w:val="-5"/>
              </w:rPr>
              <w:t>-</w:t>
            </w:r>
            <w:r>
              <w:rPr>
                <w:spacing w:val="-5"/>
              </w:rPr>
              <w:t>100.0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8" w:line="219" w:lineRule="auto"/>
              <w:ind w:left="14"/>
            </w:pPr>
            <w:r>
              <w:rPr>
                <w:spacing w:val="1"/>
              </w:rPr>
              <w:t>国土资源气象等事务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3" w:line="233" w:lineRule="auto"/>
              <w:ind w:left="632"/>
            </w:pPr>
            <w:r>
              <w:rPr>
                <w:spacing w:val="-6"/>
              </w:rPr>
              <w:t>1296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3" w:line="233" w:lineRule="auto"/>
              <w:ind w:left="634"/>
            </w:pPr>
            <w:r>
              <w:rPr>
                <w:spacing w:val="-6"/>
              </w:rPr>
              <w:t>1296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3" w:line="233" w:lineRule="auto"/>
              <w:ind w:left="566"/>
            </w:pPr>
            <w:r>
              <w:rPr>
                <w:spacing w:val="-5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3" w:line="233" w:lineRule="auto"/>
              <w:ind w:left="568"/>
            </w:pPr>
            <w:r>
              <w:rPr>
                <w:spacing w:val="-2"/>
              </w:rPr>
              <w:t>-16.1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9" w:line="219" w:lineRule="auto"/>
              <w:ind w:left="14"/>
            </w:pPr>
            <w:r>
              <w:rPr>
                <w:spacing w:val="5"/>
              </w:rPr>
              <w:t>住房保障支出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3"/>
              <w:ind w:left="632"/>
            </w:pPr>
            <w:r>
              <w:rPr>
                <w:spacing w:val="-3"/>
              </w:rPr>
              <w:t>5677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3"/>
              <w:ind w:left="634"/>
            </w:pPr>
            <w:r>
              <w:rPr>
                <w:spacing w:val="-3"/>
              </w:rPr>
              <w:t>3377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3" w:line="239" w:lineRule="auto"/>
              <w:ind w:left="626"/>
            </w:pPr>
            <w:r>
              <w:rPr>
                <w:spacing w:val="-3"/>
              </w:rPr>
              <w:t>59.5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3" w:line="239" w:lineRule="auto"/>
              <w:ind w:left="689"/>
            </w:pPr>
            <w:r>
              <w:rPr>
                <w:spacing w:val="-2"/>
              </w:rPr>
              <w:t>4.2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7" w:line="219" w:lineRule="auto"/>
              <w:ind w:left="14"/>
            </w:pPr>
            <w:r>
              <w:rPr>
                <w:spacing w:val="3"/>
              </w:rPr>
              <w:t>粮油物资储备支出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4" w:line="233" w:lineRule="auto"/>
              <w:ind w:left="693"/>
            </w:pPr>
            <w:r>
              <w:rPr>
                <w:spacing w:val="-4"/>
              </w:rPr>
              <w:t>314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4" w:line="233" w:lineRule="auto"/>
              <w:ind w:left="695"/>
            </w:pPr>
            <w:r>
              <w:rPr>
                <w:spacing w:val="-4"/>
              </w:rPr>
              <w:t>314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4" w:line="233" w:lineRule="auto"/>
              <w:ind w:left="566"/>
            </w:pPr>
            <w:r>
              <w:rPr>
                <w:spacing w:val="-5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4" w:line="233" w:lineRule="auto"/>
              <w:ind w:left="568"/>
            </w:pPr>
            <w:r>
              <w:rPr>
                <w:spacing w:val="-2"/>
              </w:rPr>
              <w:t>-48.4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19" w:line="219" w:lineRule="auto"/>
              <w:jc w:val="right"/>
            </w:pPr>
            <w:r>
              <w:rPr>
                <w:spacing w:val="-21"/>
              </w:rPr>
              <w:t>灾害防治及应急管理支出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4" w:line="233" w:lineRule="auto"/>
              <w:ind w:left="632"/>
            </w:pPr>
            <w:r>
              <w:rPr>
                <w:spacing w:val="-6"/>
              </w:rPr>
              <w:t>1328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44" w:line="233" w:lineRule="auto"/>
              <w:ind w:left="634"/>
            </w:pPr>
            <w:r>
              <w:rPr>
                <w:spacing w:val="-6"/>
              </w:rPr>
              <w:t>1327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44" w:line="233" w:lineRule="auto"/>
              <w:ind w:left="626"/>
            </w:pPr>
            <w:r>
              <w:rPr>
                <w:spacing w:val="-3"/>
              </w:rPr>
              <w:t>99.9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44" w:line="233" w:lineRule="auto"/>
              <w:ind w:left="628"/>
            </w:pPr>
            <w:r>
              <w:rPr>
                <w:spacing w:val="-3"/>
              </w:rPr>
              <w:t>56.3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29" w:line="220" w:lineRule="auto"/>
              <w:ind w:left="14"/>
            </w:pPr>
            <w:r>
              <w:rPr>
                <w:spacing w:val="7"/>
              </w:rPr>
              <w:t>其他支出</w:t>
            </w: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4" w:line="232" w:lineRule="auto"/>
              <w:ind w:left="508"/>
            </w:pPr>
            <w:r>
              <w:rPr>
                <w:spacing w:val="-2"/>
              </w:rPr>
              <w:t>-100.0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30" w:line="219" w:lineRule="auto"/>
              <w:ind w:left="14"/>
            </w:pPr>
            <w:r>
              <w:rPr>
                <w:spacing w:val="5"/>
              </w:rPr>
              <w:t>债务付息支出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5" w:line="232" w:lineRule="auto"/>
              <w:ind w:left="632"/>
            </w:pPr>
            <w:r>
              <w:rPr>
                <w:spacing w:val="-3"/>
              </w:rPr>
              <w:t>2505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5" w:line="232" w:lineRule="auto"/>
              <w:ind w:left="634"/>
            </w:pPr>
            <w:r>
              <w:rPr>
                <w:spacing w:val="-3"/>
              </w:rPr>
              <w:t>2505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5" w:line="232" w:lineRule="auto"/>
              <w:ind w:left="566"/>
            </w:pPr>
            <w:r>
              <w:rPr>
                <w:spacing w:val="-5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5" w:line="232" w:lineRule="auto"/>
              <w:ind w:left="628"/>
            </w:pPr>
            <w:r>
              <w:rPr>
                <w:spacing w:val="-3"/>
              </w:rPr>
              <w:t>29.1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30" w:line="219" w:lineRule="auto"/>
              <w:ind w:left="14"/>
            </w:pPr>
            <w:r>
              <w:rPr>
                <w:spacing w:val="3"/>
              </w:rPr>
              <w:t>债务发行费用支出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4"/>
              <w:ind w:left="752"/>
            </w:pPr>
            <w:r>
              <w:rPr>
                <w:spacing w:val="-3"/>
              </w:rPr>
              <w:t>49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54"/>
              <w:ind w:left="754"/>
            </w:pPr>
            <w:r>
              <w:rPr>
                <w:spacing w:val="-3"/>
              </w:rPr>
              <w:t>49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55" w:line="239" w:lineRule="auto"/>
              <w:ind w:left="566"/>
            </w:pPr>
            <w:r>
              <w:rPr>
                <w:spacing w:val="-5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5" w:line="239" w:lineRule="auto"/>
              <w:ind w:left="689"/>
            </w:pPr>
            <w:r>
              <w:rPr>
                <w:spacing w:val="-3"/>
              </w:rPr>
              <w:t>8.9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2552" w:type="dxa"/>
            <w:vAlign w:val="top"/>
          </w:tcPr>
          <w:p>
            <w:pPr>
              <w:pStyle w:val="7"/>
              <w:spacing w:before="111" w:line="221" w:lineRule="auto"/>
              <w:ind w:left="835"/>
            </w:pPr>
            <w:r>
              <w:rPr>
                <w:spacing w:val="-6"/>
              </w:rPr>
              <w:t>合</w:t>
            </w:r>
            <w:r>
              <w:rPr>
                <w:spacing w:val="5"/>
              </w:rPr>
              <w:t xml:space="preserve">  </w:t>
            </w:r>
            <w:r>
              <w:rPr>
                <w:spacing w:val="-6"/>
              </w:rPr>
              <w:t>计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34" w:line="229" w:lineRule="auto"/>
              <w:ind w:left="502"/>
            </w:pPr>
            <w:r>
              <w:rPr>
                <w:spacing w:val="-4"/>
              </w:rPr>
              <w:t>183597</w:t>
            </w:r>
          </w:p>
        </w:tc>
        <w:tc>
          <w:tcPr>
            <w:tcW w:w="1778" w:type="dxa"/>
            <w:vAlign w:val="top"/>
          </w:tcPr>
          <w:p>
            <w:pPr>
              <w:pStyle w:val="7"/>
              <w:spacing w:before="134" w:line="229" w:lineRule="auto"/>
              <w:ind w:left="504"/>
            </w:pPr>
            <w:r>
              <w:rPr>
                <w:spacing w:val="-4"/>
              </w:rPr>
              <w:t>178843</w:t>
            </w:r>
          </w:p>
        </w:tc>
        <w:tc>
          <w:tcPr>
            <w:tcW w:w="1768" w:type="dxa"/>
            <w:vAlign w:val="top"/>
          </w:tcPr>
          <w:p>
            <w:pPr>
              <w:pStyle w:val="7"/>
              <w:spacing w:before="134" w:line="229" w:lineRule="auto"/>
              <w:ind w:left="626"/>
            </w:pPr>
            <w:r>
              <w:rPr>
                <w:spacing w:val="-3"/>
              </w:rPr>
              <w:t>97.4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34" w:line="229" w:lineRule="auto"/>
              <w:ind w:left="689"/>
            </w:pPr>
            <w:r>
              <w:rPr>
                <w:spacing w:val="-3"/>
              </w:rPr>
              <w:t>2.8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20"/>
          <w:pgMar w:top="1429" w:right="1121" w:bottom="400" w:left="1103" w:header="0" w:footer="0" w:gutter="0"/>
          <w:cols w:space="720" w:num="1"/>
        </w:sectPr>
      </w:pPr>
    </w:p>
    <w:p>
      <w:pPr>
        <w:spacing w:before="108" w:line="221" w:lineRule="auto"/>
        <w:ind w:left="8"/>
        <w:rPr>
          <w:rFonts w:ascii="宋体" w:hAnsi="宋体" w:eastAsia="宋体" w:cs="宋体"/>
          <w:sz w:val="25"/>
          <w:szCs w:val="25"/>
        </w:rPr>
      </w:pPr>
      <w:r>
        <w:rPr>
          <w:rFonts w:ascii="宋体" w:hAnsi="宋体" w:eastAsia="宋体" w:cs="宋体"/>
          <w:b/>
          <w:bCs/>
          <w:spacing w:val="-6"/>
          <w:sz w:val="25"/>
          <w:szCs w:val="25"/>
        </w:rPr>
        <w:t>表</w:t>
      </w:r>
      <w:r>
        <w:rPr>
          <w:rFonts w:ascii="宋体" w:hAnsi="宋体" w:eastAsia="宋体" w:cs="宋体"/>
          <w:spacing w:val="-6"/>
          <w:sz w:val="25"/>
          <w:szCs w:val="25"/>
        </w:rPr>
        <w:t>3</w:t>
      </w:r>
    </w:p>
    <w:p>
      <w:pPr>
        <w:spacing w:before="230" w:line="219" w:lineRule="auto"/>
        <w:ind w:left="1280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b/>
          <w:bCs/>
          <w:spacing w:val="-31"/>
          <w:sz w:val="39"/>
          <w:szCs w:val="39"/>
        </w:rPr>
        <w:t>2021年高邑县政府性基金收入预算完成情况表</w:t>
      </w:r>
    </w:p>
    <w:p>
      <w:pPr>
        <w:spacing w:before="236" w:line="220" w:lineRule="auto"/>
        <w:ind w:right="40"/>
        <w:jc w:val="righ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5"/>
          <w:sz w:val="24"/>
          <w:szCs w:val="24"/>
        </w:rPr>
        <w:t>单位：万元</w:t>
      </w:r>
    </w:p>
    <w:p>
      <w:pPr>
        <w:spacing w:line="91" w:lineRule="exact"/>
      </w:pPr>
    </w:p>
    <w:tbl>
      <w:tblPr>
        <w:tblStyle w:val="6"/>
        <w:tblW w:w="97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02"/>
        <w:gridCol w:w="1598"/>
        <w:gridCol w:w="1608"/>
        <w:gridCol w:w="1608"/>
        <w:gridCol w:w="161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 w:hRule="atLeast"/>
        </w:trPr>
        <w:tc>
          <w:tcPr>
            <w:tcW w:w="3302" w:type="dxa"/>
            <w:vAlign w:val="top"/>
          </w:tcPr>
          <w:p>
            <w:pPr>
              <w:pStyle w:val="7"/>
              <w:spacing w:before="223" w:line="219" w:lineRule="auto"/>
              <w:ind w:left="1164"/>
            </w:pPr>
            <w:r>
              <w:rPr>
                <w:spacing w:val="3"/>
              </w:rPr>
              <w:t>科目名称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225" w:line="219" w:lineRule="auto"/>
              <w:ind w:left="292"/>
            </w:pPr>
            <w:r>
              <w:rPr>
                <w:spacing w:val="2"/>
              </w:rPr>
              <w:t>年初预算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225" w:line="219" w:lineRule="auto"/>
              <w:ind w:left="294"/>
            </w:pPr>
            <w:r>
              <w:rPr>
                <w:spacing w:val="2"/>
              </w:rPr>
              <w:t>实际完成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74" w:line="221" w:lineRule="auto"/>
              <w:ind w:left="356" w:right="306" w:firstLine="69"/>
            </w:pPr>
            <w:r>
              <w:rPr>
                <w:spacing w:val="4"/>
              </w:rPr>
              <w:t>占年初</w:t>
            </w:r>
            <w:r>
              <w:t xml:space="preserve"> </w:t>
            </w:r>
            <w:r>
              <w:rPr>
                <w:spacing w:val="11"/>
              </w:rPr>
              <w:t>预算(%)</w:t>
            </w:r>
          </w:p>
        </w:tc>
        <w:tc>
          <w:tcPr>
            <w:tcW w:w="1613" w:type="dxa"/>
            <w:vAlign w:val="top"/>
          </w:tcPr>
          <w:p>
            <w:pPr>
              <w:pStyle w:val="7"/>
              <w:spacing w:before="85" w:line="217" w:lineRule="auto"/>
              <w:ind w:left="358" w:right="309" w:firstLine="69"/>
            </w:pPr>
            <w:r>
              <w:rPr>
                <w:spacing w:val="3"/>
              </w:rPr>
              <w:t>比上年</w:t>
            </w:r>
            <w:r>
              <w:t xml:space="preserve"> </w:t>
            </w:r>
            <w:r>
              <w:rPr>
                <w:spacing w:val="11"/>
              </w:rPr>
              <w:t>增长(%)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3302" w:type="dxa"/>
            <w:vAlign w:val="top"/>
          </w:tcPr>
          <w:p>
            <w:pPr>
              <w:pStyle w:val="7"/>
              <w:spacing w:before="122" w:line="219" w:lineRule="auto"/>
              <w:ind w:left="4"/>
            </w:pPr>
            <w:r>
              <w:t>1.国有土地收益基金收入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146"/>
              <w:ind w:left="543"/>
            </w:pPr>
            <w:r>
              <w:rPr>
                <w:spacing w:val="-3"/>
              </w:rPr>
              <w:t>9574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146"/>
              <w:ind w:left="544"/>
            </w:pPr>
            <w:r>
              <w:rPr>
                <w:spacing w:val="-3"/>
              </w:rPr>
              <w:t>2652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146" w:line="239" w:lineRule="auto"/>
              <w:ind w:left="546"/>
            </w:pPr>
            <w:r>
              <w:rPr>
                <w:spacing w:val="-3"/>
              </w:rPr>
              <w:t>27.7</w:t>
            </w:r>
          </w:p>
        </w:tc>
        <w:tc>
          <w:tcPr>
            <w:tcW w:w="1613" w:type="dxa"/>
            <w:vAlign w:val="top"/>
          </w:tcPr>
          <w:p>
            <w:pPr>
              <w:pStyle w:val="7"/>
              <w:spacing w:before="146" w:line="239" w:lineRule="auto"/>
              <w:ind w:left="548"/>
            </w:pPr>
            <w:r>
              <w:rPr>
                <w:spacing w:val="-3"/>
              </w:rPr>
              <w:t>27.6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3302" w:type="dxa"/>
            <w:vAlign w:val="top"/>
          </w:tcPr>
          <w:p>
            <w:pPr>
              <w:pStyle w:val="7"/>
              <w:spacing w:before="123" w:line="219" w:lineRule="auto"/>
              <w:ind w:left="4"/>
            </w:pPr>
            <w:r>
              <w:t>2.农业土地开发资金收入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147"/>
              <w:ind w:left="602"/>
            </w:pPr>
            <w:r>
              <w:rPr>
                <w:spacing w:val="-3"/>
              </w:rPr>
              <w:t>664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147"/>
              <w:ind w:left="604"/>
            </w:pPr>
            <w:r>
              <w:rPr>
                <w:spacing w:val="-3"/>
              </w:rPr>
              <w:t>283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147" w:line="239" w:lineRule="auto"/>
              <w:ind w:left="546"/>
            </w:pPr>
            <w:r>
              <w:rPr>
                <w:spacing w:val="-2"/>
              </w:rPr>
              <w:t>42.6</w:t>
            </w:r>
          </w:p>
        </w:tc>
        <w:tc>
          <w:tcPr>
            <w:tcW w:w="1613" w:type="dxa"/>
            <w:vAlign w:val="top"/>
          </w:tcPr>
          <w:p>
            <w:pPr>
              <w:pStyle w:val="7"/>
              <w:spacing w:before="147" w:line="239" w:lineRule="auto"/>
              <w:ind w:left="489"/>
            </w:pPr>
            <w:r>
              <w:rPr>
                <w:spacing w:val="-3"/>
              </w:rPr>
              <w:t>318.4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3302" w:type="dxa"/>
            <w:vAlign w:val="top"/>
          </w:tcPr>
          <w:p>
            <w:pPr>
              <w:pStyle w:val="7"/>
              <w:spacing w:before="125" w:line="219" w:lineRule="auto"/>
              <w:ind w:left="4"/>
            </w:pPr>
            <w:r>
              <w:t>3.国有土地使用权出让收入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150" w:line="235" w:lineRule="auto"/>
              <w:ind w:left="412"/>
            </w:pPr>
            <w:r>
              <w:rPr>
                <w:spacing w:val="-4"/>
              </w:rPr>
              <w:t>176443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150" w:line="235" w:lineRule="auto"/>
              <w:ind w:left="484"/>
            </w:pPr>
            <w:r>
              <w:rPr>
                <w:spacing w:val="-2"/>
              </w:rPr>
              <w:t>48475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150" w:line="235" w:lineRule="auto"/>
              <w:ind w:left="546"/>
            </w:pPr>
            <w:r>
              <w:rPr>
                <w:spacing w:val="-3"/>
              </w:rPr>
              <w:t>27.5</w:t>
            </w:r>
          </w:p>
        </w:tc>
        <w:tc>
          <w:tcPr>
            <w:tcW w:w="1613" w:type="dxa"/>
            <w:vAlign w:val="top"/>
          </w:tcPr>
          <w:p>
            <w:pPr>
              <w:pStyle w:val="7"/>
              <w:spacing w:before="150" w:line="235" w:lineRule="auto"/>
              <w:ind w:left="548"/>
            </w:pPr>
            <w:r>
              <w:rPr>
                <w:spacing w:val="-3"/>
              </w:rPr>
              <w:t>38.7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3302" w:type="dxa"/>
            <w:vAlign w:val="top"/>
          </w:tcPr>
          <w:p>
            <w:pPr>
              <w:pStyle w:val="7"/>
              <w:spacing w:before="136" w:line="219" w:lineRule="auto"/>
              <w:ind w:left="4"/>
            </w:pPr>
            <w:r>
              <w:rPr>
                <w:spacing w:val="-1"/>
              </w:rPr>
              <w:t>4.彩票公益金收入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160"/>
              <w:ind w:left="602"/>
            </w:pPr>
            <w:r>
              <w:rPr>
                <w:spacing w:val="-4"/>
              </w:rPr>
              <w:t>500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160"/>
              <w:ind w:left="674"/>
            </w:pPr>
            <w:r>
              <w:rPr>
                <w:spacing w:val="-3"/>
              </w:rPr>
              <w:t>91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160" w:line="239" w:lineRule="auto"/>
              <w:ind w:left="546"/>
            </w:pPr>
            <w:r>
              <w:rPr>
                <w:spacing w:val="-6"/>
              </w:rPr>
              <w:t>18.2</w:t>
            </w:r>
          </w:p>
        </w:tc>
        <w:tc>
          <w:tcPr>
            <w:tcW w:w="1613" w:type="dxa"/>
            <w:vAlign w:val="top"/>
          </w:tcPr>
          <w:p>
            <w:pPr>
              <w:pStyle w:val="7"/>
              <w:spacing w:before="160" w:line="239" w:lineRule="auto"/>
              <w:ind w:left="489"/>
            </w:pPr>
            <w:r>
              <w:rPr>
                <w:spacing w:val="-2"/>
              </w:rPr>
              <w:t>-40.1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3302" w:type="dxa"/>
            <w:vAlign w:val="top"/>
          </w:tcPr>
          <w:p>
            <w:pPr>
              <w:pStyle w:val="7"/>
              <w:spacing w:before="127" w:line="219" w:lineRule="auto"/>
              <w:ind w:left="4"/>
            </w:pPr>
            <w:r>
              <w:t>5.城市基础设施配套费收入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152" w:line="234" w:lineRule="auto"/>
              <w:ind w:left="602"/>
            </w:pPr>
            <w:r>
              <w:rPr>
                <w:spacing w:val="-3"/>
              </w:rPr>
              <w:t>620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152" w:line="234" w:lineRule="auto"/>
              <w:ind w:left="544"/>
            </w:pPr>
            <w:r>
              <w:rPr>
                <w:spacing w:val="-2"/>
              </w:rPr>
              <w:t>4844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152" w:line="234" w:lineRule="auto"/>
              <w:ind w:left="486"/>
            </w:pPr>
            <w:r>
              <w:rPr>
                <w:spacing w:val="-3"/>
              </w:rPr>
              <w:t>781.3</w:t>
            </w:r>
          </w:p>
        </w:tc>
        <w:tc>
          <w:tcPr>
            <w:tcW w:w="1613" w:type="dxa"/>
            <w:vAlign w:val="top"/>
          </w:tcPr>
          <w:p>
            <w:pPr>
              <w:pStyle w:val="7"/>
              <w:spacing w:before="152" w:line="234" w:lineRule="auto"/>
              <w:ind w:left="548"/>
            </w:pPr>
            <w:r>
              <w:rPr>
                <w:spacing w:val="-3"/>
              </w:rPr>
              <w:t>58.0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3302" w:type="dxa"/>
            <w:vAlign w:val="top"/>
          </w:tcPr>
          <w:p>
            <w:pPr>
              <w:pStyle w:val="7"/>
              <w:spacing w:before="128" w:line="219" w:lineRule="auto"/>
              <w:ind w:left="4"/>
            </w:pPr>
            <w:r>
              <w:rPr>
                <w:spacing w:val="1"/>
              </w:rPr>
              <w:t>6.污水处理费收入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153" w:line="233" w:lineRule="auto"/>
              <w:ind w:left="602"/>
            </w:pPr>
            <w:r>
              <w:rPr>
                <w:spacing w:val="-7"/>
              </w:rPr>
              <w:t>150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153" w:line="233" w:lineRule="auto"/>
              <w:ind w:left="604"/>
            </w:pPr>
            <w:r>
              <w:rPr>
                <w:spacing w:val="-7"/>
              </w:rPr>
              <w:t>135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153" w:line="233" w:lineRule="auto"/>
              <w:ind w:left="546"/>
            </w:pPr>
            <w:r>
              <w:rPr>
                <w:spacing w:val="-3"/>
              </w:rPr>
              <w:t>90.0</w:t>
            </w:r>
          </w:p>
        </w:tc>
        <w:tc>
          <w:tcPr>
            <w:tcW w:w="1613" w:type="dxa"/>
            <w:vAlign w:val="top"/>
          </w:tcPr>
          <w:p>
            <w:pPr>
              <w:pStyle w:val="7"/>
              <w:spacing w:before="153" w:line="233" w:lineRule="auto"/>
              <w:ind w:left="548"/>
            </w:pPr>
            <w:r>
              <w:rPr>
                <w:spacing w:val="-6"/>
              </w:rPr>
              <w:t>16.4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3302" w:type="dxa"/>
            <w:vAlign w:val="top"/>
          </w:tcPr>
          <w:p>
            <w:pPr>
              <w:pStyle w:val="7"/>
              <w:spacing w:before="130" w:line="221" w:lineRule="auto"/>
              <w:ind w:left="1214"/>
            </w:pPr>
            <w:r>
              <w:rPr>
                <w:spacing w:val="-6"/>
              </w:rPr>
              <w:t>合</w:t>
            </w:r>
            <w:r>
              <w:rPr>
                <w:spacing w:val="5"/>
              </w:rPr>
              <w:t xml:space="preserve">  </w:t>
            </w:r>
            <w:r>
              <w:rPr>
                <w:spacing w:val="-6"/>
              </w:rPr>
              <w:t>计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153"/>
              <w:ind w:left="412"/>
            </w:pPr>
            <w:r>
              <w:rPr>
                <w:spacing w:val="-4"/>
              </w:rPr>
              <w:t>187951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153"/>
              <w:ind w:left="484"/>
            </w:pPr>
            <w:r>
              <w:rPr>
                <w:spacing w:val="-3"/>
              </w:rPr>
              <w:t>56480</w:t>
            </w:r>
          </w:p>
        </w:tc>
        <w:tc>
          <w:tcPr>
            <w:tcW w:w="1608" w:type="dxa"/>
            <w:vAlign w:val="top"/>
          </w:tcPr>
          <w:p>
            <w:pPr>
              <w:pStyle w:val="7"/>
              <w:spacing w:before="153" w:line="239" w:lineRule="auto"/>
              <w:ind w:left="546"/>
            </w:pPr>
            <w:r>
              <w:rPr>
                <w:spacing w:val="-3"/>
              </w:rPr>
              <w:t>30.1</w:t>
            </w:r>
          </w:p>
        </w:tc>
        <w:tc>
          <w:tcPr>
            <w:tcW w:w="1613" w:type="dxa"/>
            <w:vAlign w:val="top"/>
          </w:tcPr>
          <w:p>
            <w:pPr>
              <w:pStyle w:val="7"/>
              <w:spacing w:before="153" w:line="239" w:lineRule="auto"/>
              <w:ind w:left="548"/>
            </w:pPr>
            <w:r>
              <w:rPr>
                <w:spacing w:val="-3"/>
              </w:rPr>
              <w:t>38.4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20"/>
          <w:pgMar w:top="1429" w:right="1105" w:bottom="400" w:left="1055" w:header="0" w:footer="0" w:gutter="0"/>
          <w:cols w:space="720" w:num="1"/>
        </w:sectPr>
      </w:pPr>
    </w:p>
    <w:p>
      <w:pPr>
        <w:spacing w:before="51" w:line="221" w:lineRule="auto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b/>
          <w:bCs/>
          <w:spacing w:val="-6"/>
          <w:sz w:val="26"/>
          <w:szCs w:val="26"/>
        </w:rPr>
        <w:t>表</w:t>
      </w:r>
      <w:r>
        <w:rPr>
          <w:rFonts w:ascii="宋体" w:hAnsi="宋体" w:eastAsia="宋体" w:cs="宋体"/>
          <w:spacing w:val="-6"/>
          <w:sz w:val="26"/>
          <w:szCs w:val="26"/>
        </w:rPr>
        <w:t>4</w:t>
      </w:r>
    </w:p>
    <w:p>
      <w:pPr>
        <w:spacing w:before="123" w:line="219" w:lineRule="auto"/>
        <w:ind w:left="1416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spacing w:val="-25"/>
          <w:sz w:val="39"/>
          <w:szCs w:val="39"/>
        </w:rPr>
        <w:t>2021年高邑县政府性基金支出预算完成情况表</w:t>
      </w:r>
    </w:p>
    <w:p>
      <w:pPr>
        <w:spacing w:before="54" w:line="220" w:lineRule="auto"/>
        <w:jc w:val="right"/>
        <w:rPr>
          <w:rFonts w:ascii="宋体" w:hAnsi="宋体" w:eastAsia="宋体" w:cs="宋体"/>
          <w:sz w:val="25"/>
          <w:szCs w:val="25"/>
        </w:rPr>
      </w:pPr>
      <w:r>
        <w:rPr>
          <w:rFonts w:ascii="宋体" w:hAnsi="宋体" w:eastAsia="宋体" w:cs="宋体"/>
          <w:spacing w:val="-3"/>
          <w:sz w:val="25"/>
          <w:szCs w:val="25"/>
        </w:rPr>
        <w:t>单位：万元</w:t>
      </w:r>
    </w:p>
    <w:p>
      <w:pPr>
        <w:spacing w:line="46" w:lineRule="exact"/>
      </w:pPr>
    </w:p>
    <w:tbl>
      <w:tblPr>
        <w:tblStyle w:val="6"/>
        <w:tblW w:w="10070" w:type="dxa"/>
        <w:tblInd w:w="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588"/>
        <w:gridCol w:w="1598"/>
        <w:gridCol w:w="1669"/>
        <w:gridCol w:w="177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223" w:line="219" w:lineRule="auto"/>
              <w:ind w:left="123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科目名称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225" w:line="219" w:lineRule="auto"/>
              <w:ind w:left="30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调整预算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225" w:line="219" w:lineRule="auto"/>
              <w:ind w:left="31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实际完成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77" w:line="230" w:lineRule="auto"/>
              <w:ind w:left="407" w:right="359" w:firstLine="59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占调整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10"/>
                <w:sz w:val="24"/>
                <w:szCs w:val="24"/>
              </w:rPr>
              <w:t>预算(%)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04" w:line="217" w:lineRule="auto"/>
              <w:ind w:left="157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比上年(可比)</w:t>
            </w:r>
          </w:p>
          <w:p>
            <w:pPr>
              <w:pStyle w:val="7"/>
              <w:spacing w:before="1" w:line="220" w:lineRule="auto"/>
              <w:ind w:left="458"/>
              <w:rPr>
                <w:sz w:val="24"/>
                <w:szCs w:val="24"/>
              </w:rPr>
            </w:pPr>
            <w:r>
              <w:rPr>
                <w:spacing w:val="10"/>
                <w:sz w:val="24"/>
                <w:szCs w:val="24"/>
              </w:rPr>
              <w:t>增长(%)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208" w:line="219" w:lineRule="auto"/>
              <w:ind w:left="1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1.文化旅游体育与传媒支出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233"/>
              <w:ind w:left="66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31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233"/>
              <w:ind w:left="67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31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233" w:line="239" w:lineRule="auto"/>
              <w:ind w:left="5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233" w:line="239" w:lineRule="auto"/>
              <w:ind w:left="51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1450.0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101" w:line="230" w:lineRule="auto"/>
              <w:ind w:left="505" w:right="51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国家电影事业发展专项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资金安排的支出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263"/>
              <w:ind w:left="66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31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263"/>
              <w:ind w:left="67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31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263" w:line="239" w:lineRule="auto"/>
              <w:ind w:left="5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263" w:line="239" w:lineRule="auto"/>
              <w:ind w:left="51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1450.0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229" w:line="219" w:lineRule="auto"/>
              <w:ind w:left="1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2.社会保障和就业支出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254"/>
              <w:ind w:left="7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254"/>
              <w:ind w:left="7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254" w:line="239" w:lineRule="auto"/>
              <w:ind w:left="5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254" w:line="239" w:lineRule="auto"/>
              <w:ind w:left="69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0.</w:t>
            </w:r>
            <w:r>
              <w:rPr>
                <w:color w:val="000020"/>
                <w:spacing w:val="-4"/>
                <w:sz w:val="24"/>
                <w:szCs w:val="24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79" w:line="218" w:lineRule="auto"/>
              <w:ind w:left="505" w:right="5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大中型水库移民后期扶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持基金支出</w:t>
            </w:r>
          </w:p>
        </w:tc>
        <w:tc>
          <w:tcPr>
            <w:tcW w:w="15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7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91" w:line="234" w:lineRule="auto"/>
              <w:ind w:left="505" w:right="516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小型水库移民扶助基金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安排的支出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265"/>
              <w:ind w:left="7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265"/>
              <w:ind w:left="7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265" w:line="239" w:lineRule="auto"/>
              <w:ind w:left="5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265" w:line="239" w:lineRule="auto"/>
              <w:ind w:left="69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0.0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182" w:line="219" w:lineRule="auto"/>
              <w:ind w:left="1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3.城乡社区支出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205"/>
              <w:ind w:left="48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74466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205"/>
              <w:ind w:left="49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64584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205" w:line="239" w:lineRule="auto"/>
              <w:ind w:left="58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86.7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205" w:line="239" w:lineRule="auto"/>
              <w:ind w:left="69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1.5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63" w:line="222" w:lineRule="auto"/>
              <w:ind w:left="505" w:right="5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国有土地使用权出让收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入及对应专项债务收入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安排的支出</w:t>
            </w:r>
          </w:p>
        </w:tc>
        <w:tc>
          <w:tcPr>
            <w:tcW w:w="1588" w:type="dxa"/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48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66552</w:t>
            </w:r>
          </w:p>
        </w:tc>
        <w:tc>
          <w:tcPr>
            <w:tcW w:w="1598" w:type="dxa"/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4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56670</w:t>
            </w:r>
          </w:p>
        </w:tc>
        <w:tc>
          <w:tcPr>
            <w:tcW w:w="1669" w:type="dxa"/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58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85.2</w:t>
            </w:r>
          </w:p>
        </w:tc>
        <w:tc>
          <w:tcPr>
            <w:tcW w:w="1773" w:type="dxa"/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63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-4.4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09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52" w:line="217" w:lineRule="auto"/>
              <w:ind w:left="505" w:right="508"/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国有土地收益基金及对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应专项债务收入安排的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14"/>
                <w:sz w:val="24"/>
                <w:szCs w:val="24"/>
              </w:rPr>
              <w:t>支出</w:t>
            </w:r>
          </w:p>
        </w:tc>
        <w:tc>
          <w:tcPr>
            <w:tcW w:w="1588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54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2652</w:t>
            </w:r>
          </w:p>
        </w:tc>
        <w:tc>
          <w:tcPr>
            <w:tcW w:w="1598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/>
              <w:ind w:left="55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2652</w:t>
            </w:r>
          </w:p>
        </w:tc>
        <w:tc>
          <w:tcPr>
            <w:tcW w:w="1669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5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39" w:lineRule="auto"/>
              <w:ind w:left="57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-27.7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96" w:line="224" w:lineRule="auto"/>
              <w:ind w:left="505" w:right="53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农业土地开发资金安排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9"/>
                <w:sz w:val="24"/>
                <w:szCs w:val="24"/>
              </w:rPr>
              <w:t>的支出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258"/>
              <w:ind w:left="60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283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258"/>
              <w:ind w:left="61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283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258" w:line="239" w:lineRule="auto"/>
              <w:ind w:left="5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258" w:line="239" w:lineRule="auto"/>
              <w:ind w:left="63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88.7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80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95" w:line="221" w:lineRule="auto"/>
              <w:ind w:left="505" w:right="51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城市基础设施配套费安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排的支出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249"/>
              <w:ind w:left="54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4844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249"/>
              <w:ind w:left="55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4844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249" w:line="239" w:lineRule="auto"/>
              <w:ind w:left="5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249" w:line="239" w:lineRule="auto"/>
              <w:ind w:left="57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962.3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176" w:line="219" w:lineRule="auto"/>
              <w:ind w:left="50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污水处理费安排的支出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199"/>
              <w:ind w:left="603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135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199"/>
              <w:ind w:left="61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135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199" w:line="239" w:lineRule="auto"/>
              <w:ind w:left="5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99" w:line="239" w:lineRule="auto"/>
              <w:ind w:left="63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21.6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00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187" w:line="220" w:lineRule="auto"/>
              <w:ind w:left="14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4.其他支出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210"/>
              <w:ind w:left="48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68530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210" w:line="241" w:lineRule="auto"/>
              <w:ind w:left="49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24244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210" w:line="239" w:lineRule="auto"/>
              <w:ind w:left="58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35.4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210" w:line="239" w:lineRule="auto"/>
              <w:ind w:left="57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512.1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157" w:line="219" w:lineRule="auto"/>
              <w:ind w:left="50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彩票公益金安排的支出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180"/>
              <w:ind w:left="60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618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180"/>
              <w:ind w:left="61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232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180" w:line="239" w:lineRule="auto"/>
              <w:ind w:left="58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37.5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80" w:line="239" w:lineRule="auto"/>
              <w:ind w:left="578"/>
              <w:rPr>
                <w:sz w:val="24"/>
                <w:szCs w:val="24"/>
              </w:rPr>
            </w:pPr>
            <w:r>
              <w:rPr>
                <w:color w:val="301010"/>
                <w:spacing w:val="-3"/>
                <w:sz w:val="24"/>
                <w:szCs w:val="24"/>
              </w:rPr>
              <w:t>-</w:t>
            </w:r>
            <w:r>
              <w:rPr>
                <w:spacing w:val="-3"/>
                <w:sz w:val="24"/>
                <w:szCs w:val="24"/>
              </w:rPr>
              <w:t>61.4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99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187" w:line="219" w:lineRule="auto"/>
              <w:ind w:left="1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5.债务付息支出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210"/>
              <w:ind w:left="542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1837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210"/>
              <w:ind w:left="555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1837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210" w:line="239" w:lineRule="auto"/>
              <w:ind w:left="5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210" w:line="239" w:lineRule="auto"/>
              <w:ind w:left="69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6.3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96" w:line="224" w:lineRule="auto"/>
              <w:ind w:left="505" w:right="50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地方政府专项债务付息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spacing w:val="14"/>
                <w:sz w:val="24"/>
                <w:szCs w:val="24"/>
              </w:rPr>
              <w:t>支出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261"/>
              <w:ind w:left="542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1837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261"/>
              <w:ind w:left="555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1837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261" w:line="239" w:lineRule="auto"/>
              <w:ind w:left="5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261" w:line="239" w:lineRule="auto"/>
              <w:ind w:left="69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6.3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90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239" w:line="219" w:lineRule="auto"/>
              <w:ind w:left="1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6.债务发行费用支出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262"/>
              <w:ind w:left="66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54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262"/>
              <w:ind w:left="67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54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262" w:line="239" w:lineRule="auto"/>
              <w:ind w:left="52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100.0</w:t>
            </w:r>
          </w:p>
        </w:tc>
        <w:tc>
          <w:tcPr>
            <w:tcW w:w="177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229" w:line="219" w:lineRule="auto"/>
              <w:ind w:left="1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7.抗疫特别国债支出</w:t>
            </w:r>
          </w:p>
        </w:tc>
        <w:tc>
          <w:tcPr>
            <w:tcW w:w="15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73" w:type="dxa"/>
            <w:vAlign w:val="top"/>
          </w:tcPr>
          <w:p>
            <w:pPr>
              <w:pStyle w:val="7"/>
              <w:spacing w:before="252" w:line="239" w:lineRule="auto"/>
              <w:ind w:left="518"/>
              <w:rPr>
                <w:sz w:val="24"/>
                <w:szCs w:val="24"/>
              </w:rPr>
            </w:pPr>
            <w:r>
              <w:rPr>
                <w:color w:val="200010"/>
                <w:spacing w:val="-4"/>
                <w:sz w:val="24"/>
                <w:szCs w:val="24"/>
              </w:rPr>
              <w:t>-</w:t>
            </w:r>
            <w:r>
              <w:rPr>
                <w:spacing w:val="-4"/>
                <w:sz w:val="24"/>
                <w:szCs w:val="24"/>
              </w:rPr>
              <w:t>100.0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75" w:hRule="atLeast"/>
        </w:trPr>
        <w:tc>
          <w:tcPr>
            <w:tcW w:w="3442" w:type="dxa"/>
            <w:vAlign w:val="top"/>
          </w:tcPr>
          <w:p>
            <w:pPr>
              <w:pStyle w:val="7"/>
              <w:spacing w:before="131" w:line="221" w:lineRule="auto"/>
              <w:ind w:left="1314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合</w:t>
            </w:r>
            <w:r>
              <w:rPr>
                <w:spacing w:val="5"/>
                <w:sz w:val="24"/>
                <w:szCs w:val="24"/>
              </w:rPr>
              <w:t xml:space="preserve">  </w:t>
            </w:r>
            <w:r>
              <w:rPr>
                <w:spacing w:val="-6"/>
                <w:sz w:val="24"/>
                <w:szCs w:val="24"/>
              </w:rPr>
              <w:t>计</w:t>
            </w:r>
          </w:p>
        </w:tc>
        <w:tc>
          <w:tcPr>
            <w:tcW w:w="1588" w:type="dxa"/>
            <w:vAlign w:val="top"/>
          </w:tcPr>
          <w:p>
            <w:pPr>
              <w:pStyle w:val="7"/>
              <w:spacing w:before="154" w:line="239" w:lineRule="auto"/>
              <w:ind w:left="422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144924</w:t>
            </w:r>
          </w:p>
        </w:tc>
        <w:tc>
          <w:tcPr>
            <w:tcW w:w="1598" w:type="dxa"/>
            <w:vAlign w:val="top"/>
          </w:tcPr>
          <w:p>
            <w:pPr>
              <w:pStyle w:val="7"/>
              <w:spacing w:before="154" w:line="239" w:lineRule="auto"/>
              <w:ind w:left="49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90756</w:t>
            </w:r>
          </w:p>
        </w:tc>
        <w:tc>
          <w:tcPr>
            <w:tcW w:w="1669" w:type="dxa"/>
            <w:vAlign w:val="top"/>
          </w:tcPr>
          <w:p>
            <w:pPr>
              <w:pStyle w:val="7"/>
              <w:spacing w:before="153" w:line="239" w:lineRule="auto"/>
              <w:ind w:left="58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62.6</w:t>
            </w:r>
          </w:p>
        </w:tc>
        <w:tc>
          <w:tcPr>
            <w:tcW w:w="1773" w:type="dxa"/>
            <w:vAlign w:val="top"/>
          </w:tcPr>
          <w:p>
            <w:pPr>
              <w:pStyle w:val="7"/>
              <w:spacing w:before="153" w:line="239" w:lineRule="auto"/>
              <w:ind w:left="63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13.7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20"/>
          <w:pgMar w:top="1216" w:right="911" w:bottom="400" w:left="893" w:header="0" w:footer="0" w:gutter="0"/>
          <w:cols w:space="720" w:num="1"/>
        </w:sectPr>
      </w:pPr>
    </w:p>
    <w:p>
      <w:pPr>
        <w:spacing w:before="58" w:line="221" w:lineRule="auto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b/>
          <w:bCs/>
          <w:spacing w:val="-6"/>
          <w:sz w:val="26"/>
          <w:szCs w:val="26"/>
        </w:rPr>
        <w:t>表5</w:t>
      </w:r>
    </w:p>
    <w:p>
      <w:pPr>
        <w:spacing w:before="338" w:line="219" w:lineRule="auto"/>
        <w:ind w:left="1311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b/>
          <w:bCs/>
          <w:spacing w:val="-31"/>
          <w:sz w:val="39"/>
          <w:szCs w:val="39"/>
        </w:rPr>
        <w:t>2021年高邑县社会保险基金收入预算完成情况表</w:t>
      </w:r>
    </w:p>
    <w:p>
      <w:pPr>
        <w:spacing w:line="320" w:lineRule="auto"/>
        <w:rPr>
          <w:rFonts w:ascii="Arial"/>
          <w:sz w:val="21"/>
        </w:rPr>
      </w:pPr>
    </w:p>
    <w:p>
      <w:pPr>
        <w:spacing w:before="85" w:line="220" w:lineRule="auto"/>
        <w:ind w:left="8279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b/>
          <w:bCs/>
          <w:spacing w:val="-20"/>
          <w:sz w:val="26"/>
          <w:szCs w:val="26"/>
        </w:rPr>
        <w:t>单位：万元</w:t>
      </w:r>
    </w:p>
    <w:p>
      <w:pPr>
        <w:spacing w:line="137" w:lineRule="exact"/>
      </w:pPr>
    </w:p>
    <w:tbl>
      <w:tblPr>
        <w:tblStyle w:val="6"/>
        <w:tblW w:w="10159" w:type="dxa"/>
        <w:tblInd w:w="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20"/>
        <w:gridCol w:w="1309"/>
        <w:gridCol w:w="1318"/>
        <w:gridCol w:w="1309"/>
        <w:gridCol w:w="130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</w:trPr>
        <w:tc>
          <w:tcPr>
            <w:tcW w:w="4920" w:type="dxa"/>
            <w:vAlign w:val="top"/>
          </w:tcPr>
          <w:p>
            <w:pPr>
              <w:pStyle w:val="7"/>
              <w:spacing w:before="233" w:line="219" w:lineRule="auto"/>
              <w:ind w:left="1975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科目名称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34" w:line="219" w:lineRule="auto"/>
              <w:ind w:left="16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年初预算</w:t>
            </w:r>
          </w:p>
        </w:tc>
        <w:tc>
          <w:tcPr>
            <w:tcW w:w="1318" w:type="dxa"/>
            <w:vAlign w:val="top"/>
          </w:tcPr>
          <w:p>
            <w:pPr>
              <w:pStyle w:val="7"/>
              <w:spacing w:before="234" w:line="219" w:lineRule="auto"/>
              <w:ind w:left="17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实际完成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84" w:line="225" w:lineRule="auto"/>
              <w:ind w:left="227" w:right="178" w:firstLine="59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占年初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0"/>
                <w:sz w:val="24"/>
                <w:szCs w:val="24"/>
              </w:rPr>
              <w:t>预算(%)</w:t>
            </w:r>
          </w:p>
        </w:tc>
        <w:tc>
          <w:tcPr>
            <w:tcW w:w="1303" w:type="dxa"/>
            <w:vAlign w:val="top"/>
          </w:tcPr>
          <w:p>
            <w:pPr>
              <w:pStyle w:val="7"/>
              <w:spacing w:before="85" w:line="227" w:lineRule="auto"/>
              <w:ind w:left="228" w:right="171" w:firstLine="60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比</w:t>
            </w:r>
            <w:r>
              <w:rPr>
                <w:color w:val="202040"/>
                <w:spacing w:val="-4"/>
                <w:sz w:val="24"/>
                <w:szCs w:val="24"/>
              </w:rPr>
              <w:t>上</w:t>
            </w:r>
            <w:r>
              <w:rPr>
                <w:spacing w:val="-4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10"/>
                <w:sz w:val="24"/>
                <w:szCs w:val="24"/>
              </w:rPr>
              <w:t>增长(%)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4920" w:type="dxa"/>
            <w:vAlign w:val="top"/>
          </w:tcPr>
          <w:p>
            <w:pPr>
              <w:pStyle w:val="7"/>
              <w:spacing w:before="190" w:line="219" w:lineRule="auto"/>
              <w:ind w:left="2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一、职工基本医疗保险基金收入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15"/>
              <w:ind w:left="40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4840</w:t>
            </w:r>
          </w:p>
        </w:tc>
        <w:tc>
          <w:tcPr>
            <w:tcW w:w="1318" w:type="dxa"/>
            <w:vAlign w:val="top"/>
          </w:tcPr>
          <w:p>
            <w:pPr>
              <w:pStyle w:val="7"/>
              <w:spacing w:before="215"/>
              <w:ind w:left="41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5152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15" w:line="239" w:lineRule="auto"/>
              <w:ind w:left="34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106.4</w:t>
            </w:r>
          </w:p>
        </w:tc>
        <w:tc>
          <w:tcPr>
            <w:tcW w:w="1303" w:type="dxa"/>
            <w:vAlign w:val="top"/>
          </w:tcPr>
          <w:p>
            <w:pPr>
              <w:pStyle w:val="7"/>
              <w:spacing w:before="215" w:line="239" w:lineRule="auto"/>
              <w:ind w:left="40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13.3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4920" w:type="dxa"/>
            <w:vAlign w:val="top"/>
          </w:tcPr>
          <w:p>
            <w:pPr>
              <w:pStyle w:val="7"/>
              <w:spacing w:before="181" w:line="219" w:lineRule="auto"/>
              <w:ind w:left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二、城乡居民基本养老保险基金收入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06"/>
              <w:ind w:left="40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6506</w:t>
            </w:r>
          </w:p>
        </w:tc>
        <w:tc>
          <w:tcPr>
            <w:tcW w:w="1318" w:type="dxa"/>
            <w:vAlign w:val="top"/>
          </w:tcPr>
          <w:p>
            <w:pPr>
              <w:pStyle w:val="7"/>
              <w:spacing w:before="206"/>
              <w:ind w:left="41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6746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06" w:line="239" w:lineRule="auto"/>
              <w:ind w:left="34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103.7</w:t>
            </w:r>
          </w:p>
        </w:tc>
        <w:tc>
          <w:tcPr>
            <w:tcW w:w="1303" w:type="dxa"/>
            <w:vAlign w:val="top"/>
          </w:tcPr>
          <w:p>
            <w:pPr>
              <w:pStyle w:val="7"/>
              <w:spacing w:before="206" w:line="239" w:lineRule="auto"/>
              <w:ind w:left="40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12.9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4920" w:type="dxa"/>
            <w:vAlign w:val="top"/>
          </w:tcPr>
          <w:p>
            <w:pPr>
              <w:pStyle w:val="7"/>
              <w:spacing w:before="193" w:line="219" w:lineRule="auto"/>
              <w:ind w:left="1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三、机关事业单位基本养老保险基金收入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18"/>
              <w:ind w:left="34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13499</w:t>
            </w:r>
          </w:p>
        </w:tc>
        <w:tc>
          <w:tcPr>
            <w:tcW w:w="1318" w:type="dxa"/>
            <w:vAlign w:val="top"/>
          </w:tcPr>
          <w:p>
            <w:pPr>
              <w:pStyle w:val="7"/>
              <w:spacing w:before="218"/>
              <w:ind w:left="41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9992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18" w:line="239" w:lineRule="auto"/>
              <w:ind w:left="40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74.0</w:t>
            </w:r>
          </w:p>
        </w:tc>
        <w:tc>
          <w:tcPr>
            <w:tcW w:w="1303" w:type="dxa"/>
            <w:vAlign w:val="top"/>
          </w:tcPr>
          <w:p>
            <w:pPr>
              <w:pStyle w:val="7"/>
              <w:spacing w:before="218" w:line="239" w:lineRule="auto"/>
              <w:ind w:left="34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-46.2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920" w:type="dxa"/>
            <w:vAlign w:val="top"/>
          </w:tcPr>
          <w:p>
            <w:pPr>
              <w:pStyle w:val="7"/>
              <w:spacing w:before="195" w:line="219" w:lineRule="auto"/>
              <w:ind w:left="173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本年收入合计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20"/>
              <w:ind w:left="3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24845</w:t>
            </w:r>
          </w:p>
        </w:tc>
        <w:tc>
          <w:tcPr>
            <w:tcW w:w="1318" w:type="dxa"/>
            <w:vAlign w:val="top"/>
          </w:tcPr>
          <w:p>
            <w:pPr>
              <w:pStyle w:val="7"/>
              <w:spacing w:before="220"/>
              <w:ind w:left="35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21890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20" w:line="239" w:lineRule="auto"/>
              <w:ind w:left="4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88.1</w:t>
            </w:r>
          </w:p>
        </w:tc>
        <w:tc>
          <w:tcPr>
            <w:tcW w:w="1303" w:type="dxa"/>
            <w:vAlign w:val="top"/>
          </w:tcPr>
          <w:p>
            <w:pPr>
              <w:pStyle w:val="7"/>
              <w:spacing w:before="220" w:line="239" w:lineRule="auto"/>
              <w:ind w:left="34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-24.7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4920" w:type="dxa"/>
            <w:vAlign w:val="top"/>
          </w:tcPr>
          <w:p>
            <w:pPr>
              <w:pStyle w:val="7"/>
              <w:spacing w:before="197" w:line="219" w:lineRule="auto"/>
              <w:ind w:left="197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上年结余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21"/>
              <w:ind w:left="34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15891</w:t>
            </w:r>
          </w:p>
        </w:tc>
        <w:tc>
          <w:tcPr>
            <w:tcW w:w="1318" w:type="dxa"/>
            <w:vAlign w:val="top"/>
          </w:tcPr>
          <w:p>
            <w:pPr>
              <w:pStyle w:val="7"/>
              <w:spacing w:before="221"/>
              <w:ind w:left="35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17961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21" w:line="239" w:lineRule="auto"/>
              <w:ind w:left="34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113.0</w:t>
            </w:r>
          </w:p>
        </w:tc>
        <w:tc>
          <w:tcPr>
            <w:tcW w:w="1303" w:type="dxa"/>
            <w:vAlign w:val="top"/>
          </w:tcPr>
          <w:p>
            <w:pPr>
              <w:pStyle w:val="7"/>
              <w:spacing w:before="221" w:line="239" w:lineRule="auto"/>
              <w:ind w:left="46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0.3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4920" w:type="dxa"/>
            <w:vAlign w:val="top"/>
          </w:tcPr>
          <w:p>
            <w:pPr>
              <w:pStyle w:val="7"/>
              <w:spacing w:before="187" w:line="219" w:lineRule="auto"/>
              <w:ind w:left="173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本年收入总计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12"/>
              <w:ind w:left="3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40736</w:t>
            </w:r>
          </w:p>
        </w:tc>
        <w:tc>
          <w:tcPr>
            <w:tcW w:w="1318" w:type="dxa"/>
            <w:vAlign w:val="top"/>
          </w:tcPr>
          <w:p>
            <w:pPr>
              <w:pStyle w:val="7"/>
              <w:spacing w:before="212"/>
              <w:ind w:left="35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39851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12" w:line="239" w:lineRule="auto"/>
              <w:ind w:left="4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97.8</w:t>
            </w:r>
          </w:p>
        </w:tc>
        <w:tc>
          <w:tcPr>
            <w:tcW w:w="1303" w:type="dxa"/>
            <w:vAlign w:val="top"/>
          </w:tcPr>
          <w:p>
            <w:pPr>
              <w:pStyle w:val="7"/>
              <w:spacing w:before="212" w:line="239" w:lineRule="auto"/>
              <w:ind w:left="408"/>
              <w:rPr>
                <w:sz w:val="24"/>
                <w:szCs w:val="24"/>
              </w:rPr>
            </w:pPr>
            <w:r>
              <w:rPr>
                <w:color w:val="300010"/>
                <w:spacing w:val="-3"/>
                <w:sz w:val="24"/>
                <w:szCs w:val="24"/>
              </w:rPr>
              <w:t>-</w:t>
            </w:r>
            <w:r>
              <w:rPr>
                <w:spacing w:val="-3"/>
                <w:sz w:val="24"/>
                <w:szCs w:val="24"/>
              </w:rPr>
              <w:t>0.1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20"/>
          <w:pgMar w:top="1429" w:right="885" w:bottom="400" w:left="843" w:header="0" w:footer="0" w:gutter="0"/>
          <w:cols w:space="720" w:num="1"/>
        </w:sectPr>
      </w:pPr>
    </w:p>
    <w:p>
      <w:pPr>
        <w:spacing w:before="88" w:line="221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1"/>
          <w:sz w:val="24"/>
          <w:szCs w:val="24"/>
        </w:rPr>
        <w:t>表</w:t>
      </w:r>
      <w:r>
        <w:rPr>
          <w:rFonts w:ascii="宋体" w:hAnsi="宋体" w:eastAsia="宋体" w:cs="宋体"/>
          <w:spacing w:val="1"/>
          <w:sz w:val="24"/>
          <w:szCs w:val="24"/>
        </w:rPr>
        <w:t>6</w:t>
      </w:r>
    </w:p>
    <w:p>
      <w:pPr>
        <w:spacing w:before="338" w:line="219" w:lineRule="auto"/>
        <w:ind w:left="1196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spacing w:val="-27"/>
          <w:sz w:val="39"/>
          <w:szCs w:val="39"/>
        </w:rPr>
        <w:t>2021年高邑县社会保险基金支出预算完成情况表</w:t>
      </w:r>
    </w:p>
    <w:p>
      <w:pPr>
        <w:spacing w:line="301" w:lineRule="auto"/>
        <w:rPr>
          <w:rFonts w:ascii="Arial"/>
          <w:sz w:val="21"/>
        </w:rPr>
      </w:pPr>
    </w:p>
    <w:p>
      <w:pPr>
        <w:spacing w:before="78" w:line="220" w:lineRule="auto"/>
        <w:ind w:left="803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5"/>
          <w:sz w:val="24"/>
          <w:szCs w:val="24"/>
        </w:rPr>
        <w:t>单位：万元</w:t>
      </w:r>
    </w:p>
    <w:p>
      <w:pPr>
        <w:spacing w:line="171" w:lineRule="exact"/>
      </w:pPr>
    </w:p>
    <w:tbl>
      <w:tblPr>
        <w:tblStyle w:val="6"/>
        <w:tblW w:w="9930" w:type="dxa"/>
        <w:tblInd w:w="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80"/>
        <w:gridCol w:w="1318"/>
        <w:gridCol w:w="1299"/>
        <w:gridCol w:w="1319"/>
        <w:gridCol w:w="131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atLeast"/>
        </w:trPr>
        <w:tc>
          <w:tcPr>
            <w:tcW w:w="4680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855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科目名称</w:t>
            </w:r>
          </w:p>
        </w:tc>
        <w:tc>
          <w:tcPr>
            <w:tcW w:w="1318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5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调整后预算</w:t>
            </w:r>
          </w:p>
        </w:tc>
        <w:tc>
          <w:tcPr>
            <w:tcW w:w="1299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7"/>
              <w:spacing w:before="78" w:line="219" w:lineRule="auto"/>
              <w:ind w:left="167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实际完成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166" w:line="239" w:lineRule="auto"/>
              <w:ind w:left="238" w:right="178" w:firstLine="59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占调整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10"/>
                <w:sz w:val="24"/>
                <w:szCs w:val="24"/>
              </w:rPr>
              <w:t>预算(%)</w:t>
            </w:r>
          </w:p>
        </w:tc>
        <w:tc>
          <w:tcPr>
            <w:tcW w:w="1314" w:type="dxa"/>
            <w:vAlign w:val="top"/>
          </w:tcPr>
          <w:p>
            <w:pPr>
              <w:pStyle w:val="7"/>
              <w:spacing w:before="174" w:line="235" w:lineRule="auto"/>
              <w:ind w:left="229" w:right="182" w:firstLine="59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比上年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10"/>
                <w:sz w:val="24"/>
                <w:szCs w:val="24"/>
              </w:rPr>
              <w:t>增长(%)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4680" w:type="dxa"/>
            <w:vAlign w:val="top"/>
          </w:tcPr>
          <w:p>
            <w:pPr>
              <w:pStyle w:val="7"/>
              <w:spacing w:before="190" w:line="219" w:lineRule="auto"/>
              <w:ind w:left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一、职工基本医疗保险基金支出</w:t>
            </w:r>
          </w:p>
        </w:tc>
        <w:tc>
          <w:tcPr>
            <w:tcW w:w="1318" w:type="dxa"/>
            <w:vAlign w:val="top"/>
          </w:tcPr>
          <w:p>
            <w:pPr>
              <w:pStyle w:val="7"/>
              <w:spacing w:before="215"/>
              <w:ind w:left="41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4886</w:t>
            </w:r>
          </w:p>
        </w:tc>
        <w:tc>
          <w:tcPr>
            <w:tcW w:w="1299" w:type="dxa"/>
            <w:vAlign w:val="top"/>
          </w:tcPr>
          <w:p>
            <w:pPr>
              <w:pStyle w:val="7"/>
              <w:spacing w:before="215"/>
              <w:ind w:left="34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10568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215" w:line="239" w:lineRule="auto"/>
              <w:ind w:left="35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216.3</w:t>
            </w:r>
          </w:p>
        </w:tc>
        <w:tc>
          <w:tcPr>
            <w:tcW w:w="1314" w:type="dxa"/>
            <w:vAlign w:val="top"/>
          </w:tcPr>
          <w:p>
            <w:pPr>
              <w:pStyle w:val="7"/>
              <w:spacing w:before="215" w:line="239" w:lineRule="auto"/>
              <w:ind w:left="34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159.2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4680" w:type="dxa"/>
            <w:vAlign w:val="top"/>
          </w:tcPr>
          <w:p>
            <w:pPr>
              <w:pStyle w:val="7"/>
              <w:spacing w:before="191" w:line="219" w:lineRule="auto"/>
              <w:ind w:left="1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二、城乡居民基本养老保险基金支出</w:t>
            </w:r>
          </w:p>
        </w:tc>
        <w:tc>
          <w:tcPr>
            <w:tcW w:w="1318" w:type="dxa"/>
            <w:vAlign w:val="top"/>
          </w:tcPr>
          <w:p>
            <w:pPr>
              <w:pStyle w:val="7"/>
              <w:spacing w:before="216"/>
              <w:ind w:left="41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4868</w:t>
            </w:r>
          </w:p>
        </w:tc>
        <w:tc>
          <w:tcPr>
            <w:tcW w:w="1299" w:type="dxa"/>
            <w:vAlign w:val="top"/>
          </w:tcPr>
          <w:p>
            <w:pPr>
              <w:pStyle w:val="7"/>
              <w:spacing w:before="216"/>
              <w:ind w:left="4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4773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216" w:line="239" w:lineRule="auto"/>
              <w:ind w:left="41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98.0</w:t>
            </w:r>
          </w:p>
        </w:tc>
        <w:tc>
          <w:tcPr>
            <w:tcW w:w="1314" w:type="dxa"/>
            <w:vAlign w:val="top"/>
          </w:tcPr>
          <w:p>
            <w:pPr>
              <w:pStyle w:val="7"/>
              <w:spacing w:before="216" w:line="239" w:lineRule="auto"/>
              <w:ind w:left="40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52.0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4680" w:type="dxa"/>
            <w:vAlign w:val="top"/>
          </w:tcPr>
          <w:p>
            <w:pPr>
              <w:pStyle w:val="7"/>
              <w:spacing w:before="192" w:line="219" w:lineRule="auto"/>
              <w:ind w:left="17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三、机关事业单位基本养老保险基金支出</w:t>
            </w:r>
          </w:p>
        </w:tc>
        <w:tc>
          <w:tcPr>
            <w:tcW w:w="1318" w:type="dxa"/>
            <w:vAlign w:val="top"/>
          </w:tcPr>
          <w:p>
            <w:pPr>
              <w:pStyle w:val="7"/>
              <w:spacing w:before="217"/>
              <w:ind w:left="35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13498</w:t>
            </w:r>
          </w:p>
        </w:tc>
        <w:tc>
          <w:tcPr>
            <w:tcW w:w="1299" w:type="dxa"/>
            <w:vAlign w:val="top"/>
          </w:tcPr>
          <w:p>
            <w:pPr>
              <w:pStyle w:val="7"/>
              <w:spacing w:before="217"/>
              <w:ind w:left="34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11049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217" w:line="239" w:lineRule="auto"/>
              <w:ind w:left="41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81.9</w:t>
            </w:r>
          </w:p>
        </w:tc>
        <w:tc>
          <w:tcPr>
            <w:tcW w:w="1314" w:type="dxa"/>
            <w:vAlign w:val="top"/>
          </w:tcPr>
          <w:p>
            <w:pPr>
              <w:pStyle w:val="7"/>
              <w:spacing w:before="217" w:line="239" w:lineRule="auto"/>
              <w:ind w:left="34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-33.8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4680" w:type="dxa"/>
            <w:vAlign w:val="top"/>
          </w:tcPr>
          <w:p>
            <w:pPr>
              <w:pStyle w:val="7"/>
              <w:spacing w:before="194" w:line="219" w:lineRule="auto"/>
              <w:ind w:left="161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本年支出合计</w:t>
            </w:r>
          </w:p>
        </w:tc>
        <w:tc>
          <w:tcPr>
            <w:tcW w:w="1318" w:type="dxa"/>
            <w:vAlign w:val="top"/>
          </w:tcPr>
          <w:p>
            <w:pPr>
              <w:pStyle w:val="7"/>
              <w:spacing w:before="219"/>
              <w:ind w:left="35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23252</w:t>
            </w:r>
          </w:p>
        </w:tc>
        <w:tc>
          <w:tcPr>
            <w:tcW w:w="1299" w:type="dxa"/>
            <w:vAlign w:val="top"/>
          </w:tcPr>
          <w:p>
            <w:pPr>
              <w:pStyle w:val="7"/>
              <w:spacing w:before="219"/>
              <w:ind w:left="34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26390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219" w:line="239" w:lineRule="auto"/>
              <w:ind w:left="35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113.5</w:t>
            </w:r>
          </w:p>
        </w:tc>
        <w:tc>
          <w:tcPr>
            <w:tcW w:w="1314" w:type="dxa"/>
            <w:vAlign w:val="top"/>
          </w:tcPr>
          <w:p>
            <w:pPr>
              <w:pStyle w:val="7"/>
              <w:spacing w:before="219" w:line="239" w:lineRule="auto"/>
              <w:ind w:left="46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4.2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4680" w:type="dxa"/>
            <w:vAlign w:val="top"/>
          </w:tcPr>
          <w:p>
            <w:pPr>
              <w:pStyle w:val="7"/>
              <w:spacing w:before="197" w:line="219" w:lineRule="auto"/>
              <w:ind w:left="161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年末滚存结余</w:t>
            </w:r>
          </w:p>
        </w:tc>
        <w:tc>
          <w:tcPr>
            <w:tcW w:w="1318" w:type="dxa"/>
            <w:vAlign w:val="top"/>
          </w:tcPr>
          <w:p>
            <w:pPr>
              <w:pStyle w:val="7"/>
              <w:spacing w:before="220"/>
              <w:ind w:left="35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17484</w:t>
            </w:r>
          </w:p>
        </w:tc>
        <w:tc>
          <w:tcPr>
            <w:tcW w:w="1299" w:type="dxa"/>
            <w:vAlign w:val="top"/>
          </w:tcPr>
          <w:p>
            <w:pPr>
              <w:pStyle w:val="7"/>
              <w:spacing w:before="220"/>
              <w:ind w:left="34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13461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220" w:line="239" w:lineRule="auto"/>
              <w:ind w:left="41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77.0</w:t>
            </w:r>
          </w:p>
        </w:tc>
        <w:tc>
          <w:tcPr>
            <w:tcW w:w="1314" w:type="dxa"/>
            <w:vAlign w:val="top"/>
          </w:tcPr>
          <w:p>
            <w:pPr>
              <w:pStyle w:val="7"/>
              <w:spacing w:before="220" w:line="239" w:lineRule="auto"/>
              <w:ind w:left="40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-0.3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atLeast"/>
        </w:trPr>
        <w:tc>
          <w:tcPr>
            <w:tcW w:w="4680" w:type="dxa"/>
            <w:vAlign w:val="top"/>
          </w:tcPr>
          <w:p>
            <w:pPr>
              <w:pStyle w:val="7"/>
              <w:spacing w:before="196" w:line="219" w:lineRule="auto"/>
              <w:ind w:left="161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本年支出总计</w:t>
            </w:r>
          </w:p>
        </w:tc>
        <w:tc>
          <w:tcPr>
            <w:tcW w:w="1318" w:type="dxa"/>
            <w:vAlign w:val="top"/>
          </w:tcPr>
          <w:p>
            <w:pPr>
              <w:pStyle w:val="7"/>
              <w:spacing w:before="221"/>
              <w:ind w:left="35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40736</w:t>
            </w:r>
          </w:p>
        </w:tc>
        <w:tc>
          <w:tcPr>
            <w:tcW w:w="1299" w:type="dxa"/>
            <w:vAlign w:val="top"/>
          </w:tcPr>
          <w:p>
            <w:pPr>
              <w:pStyle w:val="7"/>
              <w:spacing w:before="221"/>
              <w:ind w:left="34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39851</w:t>
            </w:r>
          </w:p>
        </w:tc>
        <w:tc>
          <w:tcPr>
            <w:tcW w:w="1319" w:type="dxa"/>
            <w:vAlign w:val="top"/>
          </w:tcPr>
          <w:p>
            <w:pPr>
              <w:pStyle w:val="7"/>
              <w:spacing w:before="221" w:line="239" w:lineRule="auto"/>
              <w:ind w:left="41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97.8</w:t>
            </w:r>
          </w:p>
        </w:tc>
        <w:tc>
          <w:tcPr>
            <w:tcW w:w="1314" w:type="dxa"/>
            <w:vAlign w:val="top"/>
          </w:tcPr>
          <w:p>
            <w:pPr>
              <w:pStyle w:val="7"/>
              <w:spacing w:before="221" w:line="239" w:lineRule="auto"/>
              <w:ind w:left="46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0.9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20"/>
          <w:pgMar w:top="1429" w:right="994" w:bottom="400" w:left="963" w:header="0" w:footer="0" w:gutter="0"/>
          <w:cols w:space="720" w:num="1"/>
        </w:sectPr>
      </w:pPr>
    </w:p>
    <w:p>
      <w:pPr>
        <w:spacing w:before="51" w:line="221" w:lineRule="auto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b/>
          <w:bCs/>
          <w:spacing w:val="-6"/>
          <w:sz w:val="26"/>
          <w:szCs w:val="26"/>
        </w:rPr>
        <w:t>表</w:t>
      </w:r>
      <w:r>
        <w:rPr>
          <w:rFonts w:ascii="宋体" w:hAnsi="宋体" w:eastAsia="宋体" w:cs="宋体"/>
          <w:spacing w:val="-6"/>
          <w:sz w:val="26"/>
          <w:szCs w:val="26"/>
        </w:rPr>
        <w:t>7</w:t>
      </w:r>
    </w:p>
    <w:p>
      <w:pPr>
        <w:spacing w:before="274" w:line="219" w:lineRule="auto"/>
        <w:ind w:left="1036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spacing w:val="-27"/>
          <w:sz w:val="39"/>
          <w:szCs w:val="39"/>
        </w:rPr>
        <w:t>2021年高邑县国有资本经营收入预算完成情况表</w:t>
      </w:r>
    </w:p>
    <w:p>
      <w:pPr>
        <w:spacing w:line="291" w:lineRule="auto"/>
        <w:rPr>
          <w:rFonts w:ascii="Arial"/>
          <w:sz w:val="21"/>
        </w:rPr>
      </w:pPr>
    </w:p>
    <w:p>
      <w:pPr>
        <w:spacing w:before="78" w:line="220" w:lineRule="auto"/>
        <w:ind w:left="770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5"/>
          <w:sz w:val="24"/>
          <w:szCs w:val="24"/>
        </w:rPr>
        <w:t>单位：万元</w:t>
      </w:r>
    </w:p>
    <w:p>
      <w:pPr>
        <w:spacing w:line="141" w:lineRule="exact"/>
      </w:pPr>
    </w:p>
    <w:tbl>
      <w:tblPr>
        <w:tblStyle w:val="6"/>
        <w:tblW w:w="9600" w:type="dxa"/>
        <w:tblInd w:w="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60"/>
        <w:gridCol w:w="1309"/>
        <w:gridCol w:w="1308"/>
        <w:gridCol w:w="1309"/>
        <w:gridCol w:w="131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223" w:line="219" w:lineRule="auto"/>
              <w:ind w:left="1685"/>
            </w:pPr>
            <w:r>
              <w:rPr>
                <w:spacing w:val="3"/>
              </w:rPr>
              <w:t>科目名称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25" w:line="219" w:lineRule="auto"/>
              <w:ind w:left="145"/>
            </w:pPr>
            <w:r>
              <w:rPr>
                <w:spacing w:val="2"/>
              </w:rPr>
              <w:t>年初预算</w:t>
            </w:r>
          </w:p>
        </w:tc>
        <w:tc>
          <w:tcPr>
            <w:tcW w:w="1308" w:type="dxa"/>
            <w:vAlign w:val="top"/>
          </w:tcPr>
          <w:p>
            <w:pPr>
              <w:pStyle w:val="7"/>
              <w:spacing w:before="225" w:line="219" w:lineRule="auto"/>
              <w:ind w:left="146"/>
            </w:pPr>
            <w:r>
              <w:rPr>
                <w:spacing w:val="2"/>
              </w:rPr>
              <w:t>实际完成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73" w:line="225" w:lineRule="auto"/>
              <w:ind w:left="208" w:right="156" w:firstLine="69"/>
            </w:pPr>
            <w:r>
              <w:rPr>
                <w:spacing w:val="4"/>
              </w:rPr>
              <w:t>占年初</w:t>
            </w:r>
            <w:r>
              <w:t xml:space="preserve"> </w:t>
            </w:r>
            <w:r>
              <w:rPr>
                <w:spacing w:val="11"/>
              </w:rPr>
              <w:t>预算(%)</w:t>
            </w:r>
          </w:p>
        </w:tc>
        <w:tc>
          <w:tcPr>
            <w:tcW w:w="1314" w:type="dxa"/>
            <w:vAlign w:val="top"/>
          </w:tcPr>
          <w:p>
            <w:pPr>
              <w:pStyle w:val="7"/>
              <w:spacing w:before="93" w:line="215" w:lineRule="auto"/>
              <w:ind w:left="209" w:right="160" w:firstLine="69"/>
            </w:pPr>
            <w:r>
              <w:rPr>
                <w:spacing w:val="-4"/>
              </w:rPr>
              <w:t>比</w:t>
            </w:r>
            <w:r>
              <w:rPr>
                <w:color w:val="202040"/>
                <w:spacing w:val="-4"/>
              </w:rPr>
              <w:t>上</w:t>
            </w:r>
            <w:r>
              <w:rPr>
                <w:spacing w:val="-4"/>
              </w:rPr>
              <w:t>年</w:t>
            </w:r>
            <w:r>
              <w:t xml:space="preserve">  </w:t>
            </w:r>
            <w:r>
              <w:rPr>
                <w:spacing w:val="11"/>
              </w:rPr>
              <w:t>增长(%)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22" w:line="219" w:lineRule="auto"/>
              <w:ind w:left="5"/>
            </w:pPr>
            <w:r>
              <w:rPr>
                <w:spacing w:val="1"/>
              </w:rPr>
              <w:t>1.利润收入</w:t>
            </w: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23" w:line="219" w:lineRule="auto"/>
              <w:ind w:left="5"/>
            </w:pPr>
            <w:r>
              <w:rPr>
                <w:spacing w:val="1"/>
              </w:rPr>
              <w:t>2.股利、股息收入</w:t>
            </w: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25" w:line="219" w:lineRule="auto"/>
              <w:ind w:left="5"/>
            </w:pPr>
            <w:r>
              <w:rPr>
                <w:spacing w:val="1"/>
              </w:rPr>
              <w:t>3.产权转让收入</w:t>
            </w: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26" w:line="219" w:lineRule="auto"/>
              <w:ind w:left="5"/>
            </w:pPr>
            <w:r>
              <w:rPr>
                <w:spacing w:val="-2"/>
              </w:rPr>
              <w:t>4.清算收入</w:t>
            </w: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25" w:line="219" w:lineRule="auto"/>
              <w:ind w:left="5"/>
            </w:pPr>
            <w:r>
              <w:t>5.其他国有资本经营预算收入</w:t>
            </w: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26" w:line="219" w:lineRule="auto"/>
              <w:ind w:left="1465"/>
            </w:pPr>
            <w:r>
              <w:rPr>
                <w:spacing w:val="1"/>
              </w:rPr>
              <w:t>本年收入合计</w:t>
            </w: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29" w:line="219" w:lineRule="auto"/>
              <w:ind w:left="1465"/>
            </w:pPr>
            <w:r>
              <w:rPr>
                <w:spacing w:val="1"/>
              </w:rPr>
              <w:t>上级补助收入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153"/>
              <w:ind w:left="585"/>
            </w:pPr>
            <w:r>
              <w:t>3</w:t>
            </w:r>
          </w:p>
        </w:tc>
        <w:tc>
          <w:tcPr>
            <w:tcW w:w="1308" w:type="dxa"/>
            <w:vAlign w:val="top"/>
          </w:tcPr>
          <w:p>
            <w:pPr>
              <w:pStyle w:val="7"/>
              <w:spacing w:before="153"/>
              <w:ind w:left="586"/>
            </w:pPr>
            <w:r>
              <w:t>6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153" w:line="239" w:lineRule="auto"/>
              <w:ind w:left="338"/>
            </w:pPr>
            <w:r>
              <w:rPr>
                <w:spacing w:val="-3"/>
              </w:rPr>
              <w:t>200.0</w:t>
            </w: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30" w:line="219" w:lineRule="auto"/>
              <w:ind w:left="1715"/>
            </w:pPr>
            <w:r>
              <w:rPr>
                <w:spacing w:val="2"/>
              </w:rPr>
              <w:t>收入总计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155" w:line="235" w:lineRule="auto"/>
              <w:ind w:left="585"/>
            </w:pPr>
            <w:r>
              <w:t>3</w:t>
            </w:r>
          </w:p>
        </w:tc>
        <w:tc>
          <w:tcPr>
            <w:tcW w:w="1308" w:type="dxa"/>
            <w:vAlign w:val="top"/>
          </w:tcPr>
          <w:p>
            <w:pPr>
              <w:pStyle w:val="7"/>
              <w:spacing w:before="155" w:line="235" w:lineRule="auto"/>
              <w:ind w:left="586"/>
            </w:pPr>
            <w:r>
              <w:t>6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155" w:line="235" w:lineRule="auto"/>
              <w:ind w:left="338"/>
            </w:pPr>
            <w:r>
              <w:rPr>
                <w:spacing w:val="-3"/>
              </w:rPr>
              <w:t>200.0</w:t>
            </w: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20"/>
          <w:pgMar w:top="1096" w:right="1254" w:bottom="400" w:left="1033" w:header="0" w:footer="0" w:gutter="0"/>
          <w:cols w:space="720" w:num="1"/>
        </w:sectPr>
      </w:pPr>
    </w:p>
    <w:p>
      <w:pPr>
        <w:spacing w:before="49" w:line="221" w:lineRule="auto"/>
        <w:rPr>
          <w:rFonts w:ascii="宋体" w:hAnsi="宋体" w:eastAsia="宋体" w:cs="宋体"/>
          <w:sz w:val="25"/>
          <w:szCs w:val="25"/>
        </w:rPr>
      </w:pPr>
      <w:r>
        <w:rPr>
          <w:rFonts w:ascii="宋体" w:hAnsi="宋体" w:eastAsia="宋体" w:cs="宋体"/>
          <w:b/>
          <w:bCs/>
          <w:spacing w:val="-6"/>
          <w:sz w:val="25"/>
          <w:szCs w:val="25"/>
        </w:rPr>
        <w:t>表</w:t>
      </w:r>
      <w:r>
        <w:rPr>
          <w:rFonts w:ascii="宋体" w:hAnsi="宋体" w:eastAsia="宋体" w:cs="宋体"/>
          <w:spacing w:val="-6"/>
          <w:sz w:val="25"/>
          <w:szCs w:val="25"/>
        </w:rPr>
        <w:t>8</w:t>
      </w:r>
    </w:p>
    <w:p>
      <w:pPr>
        <w:spacing w:before="306" w:line="219" w:lineRule="auto"/>
        <w:ind w:left="1026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spacing w:val="-26"/>
          <w:sz w:val="39"/>
          <w:szCs w:val="39"/>
        </w:rPr>
        <w:t>2021年高邑县国有资本经营支出预算完成情况表</w:t>
      </w:r>
    </w:p>
    <w:p>
      <w:pPr>
        <w:spacing w:line="281" w:lineRule="auto"/>
        <w:rPr>
          <w:rFonts w:ascii="Arial"/>
          <w:sz w:val="21"/>
        </w:rPr>
      </w:pPr>
    </w:p>
    <w:p>
      <w:pPr>
        <w:spacing w:before="78" w:line="220" w:lineRule="auto"/>
        <w:ind w:left="769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5"/>
          <w:sz w:val="24"/>
          <w:szCs w:val="24"/>
        </w:rPr>
        <w:t>单位：万元</w:t>
      </w:r>
    </w:p>
    <w:p>
      <w:pPr>
        <w:spacing w:line="151" w:lineRule="exact"/>
      </w:pPr>
    </w:p>
    <w:tbl>
      <w:tblPr>
        <w:tblStyle w:val="6"/>
        <w:tblW w:w="9600" w:type="dxa"/>
        <w:tblInd w:w="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60"/>
        <w:gridCol w:w="1309"/>
        <w:gridCol w:w="1308"/>
        <w:gridCol w:w="1309"/>
        <w:gridCol w:w="131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233" w:line="219" w:lineRule="auto"/>
              <w:ind w:left="1705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科目名称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234" w:line="219" w:lineRule="auto"/>
              <w:ind w:left="16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调整预算</w:t>
            </w:r>
          </w:p>
        </w:tc>
        <w:tc>
          <w:tcPr>
            <w:tcW w:w="1308" w:type="dxa"/>
            <w:vAlign w:val="top"/>
          </w:tcPr>
          <w:p>
            <w:pPr>
              <w:pStyle w:val="7"/>
              <w:spacing w:before="234" w:line="219" w:lineRule="auto"/>
              <w:ind w:left="166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实际完成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77" w:line="231" w:lineRule="auto"/>
              <w:ind w:left="228" w:right="178" w:firstLine="59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占调整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10"/>
                <w:sz w:val="24"/>
                <w:szCs w:val="24"/>
              </w:rPr>
              <w:t>预算(%)</w:t>
            </w:r>
          </w:p>
        </w:tc>
        <w:tc>
          <w:tcPr>
            <w:tcW w:w="1314" w:type="dxa"/>
            <w:vAlign w:val="top"/>
          </w:tcPr>
          <w:p>
            <w:pPr>
              <w:pStyle w:val="7"/>
              <w:spacing w:before="85" w:line="227" w:lineRule="auto"/>
              <w:ind w:left="229" w:right="182" w:firstLine="59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比</w:t>
            </w:r>
            <w:r>
              <w:rPr>
                <w:color w:val="402040"/>
                <w:spacing w:val="-4"/>
                <w:sz w:val="24"/>
                <w:szCs w:val="24"/>
              </w:rPr>
              <w:t>上</w:t>
            </w:r>
            <w:r>
              <w:rPr>
                <w:spacing w:val="-4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10"/>
                <w:sz w:val="24"/>
                <w:szCs w:val="24"/>
              </w:rPr>
              <w:t>增长(%)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30" w:line="219" w:lineRule="auto"/>
              <w:ind w:left="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1.解决历史遗留问题及改革成本支出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155"/>
              <w:ind w:left="5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08" w:type="dxa"/>
            <w:vAlign w:val="top"/>
          </w:tcPr>
          <w:p>
            <w:pPr>
              <w:pStyle w:val="7"/>
              <w:spacing w:before="155"/>
              <w:ind w:left="5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155" w:line="239" w:lineRule="auto"/>
              <w:ind w:left="34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100.0</w:t>
            </w: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21" w:line="219" w:lineRule="auto"/>
              <w:ind w:left="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2.国有企业资本金注入</w:t>
            </w: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33" w:line="219" w:lineRule="auto"/>
              <w:ind w:left="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3.国有企业政策性补贴</w:t>
            </w: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23" w:line="219" w:lineRule="auto"/>
              <w:ind w:left="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4.其他国有资本经营预算支出</w:t>
            </w: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35" w:line="219" w:lineRule="auto"/>
              <w:ind w:left="147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本年支出合计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160"/>
              <w:ind w:left="5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08" w:type="dxa"/>
            <w:vAlign w:val="top"/>
          </w:tcPr>
          <w:p>
            <w:pPr>
              <w:pStyle w:val="7"/>
              <w:spacing w:before="160"/>
              <w:ind w:left="5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160" w:line="239" w:lineRule="auto"/>
              <w:ind w:left="34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100.0</w:t>
            </w: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37" w:line="219" w:lineRule="auto"/>
              <w:ind w:left="1475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结转下年支出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161"/>
              <w:ind w:left="5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08" w:type="dxa"/>
            <w:vAlign w:val="top"/>
          </w:tcPr>
          <w:p>
            <w:pPr>
              <w:pStyle w:val="7"/>
              <w:spacing w:before="161"/>
              <w:ind w:left="5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161" w:line="239" w:lineRule="auto"/>
              <w:ind w:left="34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100</w:t>
            </w:r>
            <w:r>
              <w:rPr>
                <w:color w:val="602030"/>
                <w:spacing w:val="-3"/>
                <w:sz w:val="24"/>
                <w:szCs w:val="24"/>
              </w:rPr>
              <w:t>.</w:t>
            </w:r>
            <w:r>
              <w:rPr>
                <w:spacing w:val="-3"/>
                <w:sz w:val="24"/>
                <w:szCs w:val="24"/>
              </w:rPr>
              <w:t>0</w:t>
            </w: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4360" w:type="dxa"/>
            <w:vAlign w:val="top"/>
          </w:tcPr>
          <w:p>
            <w:pPr>
              <w:pStyle w:val="7"/>
              <w:spacing w:before="130" w:line="220" w:lineRule="auto"/>
              <w:ind w:left="170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支出总计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153" w:line="239" w:lineRule="auto"/>
              <w:ind w:left="5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308" w:type="dxa"/>
            <w:vAlign w:val="top"/>
          </w:tcPr>
          <w:p>
            <w:pPr>
              <w:pStyle w:val="7"/>
              <w:spacing w:before="153" w:line="239" w:lineRule="auto"/>
              <w:ind w:left="5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309" w:type="dxa"/>
            <w:vAlign w:val="top"/>
          </w:tcPr>
          <w:p>
            <w:pPr>
              <w:pStyle w:val="7"/>
              <w:spacing w:before="153" w:line="239" w:lineRule="auto"/>
              <w:ind w:left="34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100.0</w:t>
            </w:r>
          </w:p>
        </w:tc>
        <w:tc>
          <w:tcPr>
            <w:tcW w:w="13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20"/>
          <w:pgMar w:top="1138" w:right="1254" w:bottom="400" w:left="1033" w:header="0" w:footer="0" w:gutter="0"/>
          <w:cols w:space="720" w:num="1"/>
        </w:sectPr>
      </w:pPr>
    </w:p>
    <w:p>
      <w:pPr>
        <w:spacing w:before="51" w:line="221" w:lineRule="auto"/>
        <w:ind w:left="98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b/>
          <w:bCs/>
          <w:spacing w:val="-6"/>
          <w:sz w:val="26"/>
          <w:szCs w:val="26"/>
        </w:rPr>
        <w:t>表9</w:t>
      </w:r>
    </w:p>
    <w:p>
      <w:pPr>
        <w:spacing w:before="157" w:line="221" w:lineRule="auto"/>
        <w:ind w:left="1260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b/>
          <w:bCs/>
          <w:spacing w:val="-29"/>
          <w:sz w:val="39"/>
          <w:szCs w:val="39"/>
        </w:rPr>
        <w:t>2022年高邑县一般公共收入预算草案</w:t>
      </w:r>
    </w:p>
    <w:p>
      <w:pPr>
        <w:spacing w:before="173" w:line="220" w:lineRule="auto"/>
        <w:ind w:left="707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17"/>
          <w:sz w:val="24"/>
          <w:szCs w:val="24"/>
        </w:rPr>
        <w:t>单位：万元</w:t>
      </w:r>
    </w:p>
    <w:p>
      <w:pPr>
        <w:spacing w:line="71" w:lineRule="exact"/>
      </w:pPr>
    </w:p>
    <w:tbl>
      <w:tblPr>
        <w:tblStyle w:val="6"/>
        <w:tblW w:w="8130" w:type="dxa"/>
        <w:tblInd w:w="9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19"/>
        <w:gridCol w:w="351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2" w:line="219" w:lineRule="auto"/>
              <w:ind w:left="184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科目名称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34" w:line="219" w:lineRule="auto"/>
              <w:ind w:left="1406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预算数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40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一、税收收入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62"/>
              <w:ind w:left="145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28181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1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1、增值税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53"/>
              <w:ind w:left="151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7486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1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2、企业所得税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53"/>
              <w:ind w:left="157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798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42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3、个人所得税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64"/>
              <w:ind w:left="157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169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44" w:line="220" w:lineRule="auto"/>
              <w:ind w:left="13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4、资源税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65"/>
              <w:ind w:left="163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3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5、城市维护建设税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55"/>
              <w:ind w:left="151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1061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4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6、房产税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56"/>
              <w:ind w:left="157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768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4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7、印花税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56"/>
              <w:ind w:left="157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528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45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8、城镇土地使用税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67"/>
              <w:ind w:left="151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3365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45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9、土地增值税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67"/>
              <w:ind w:left="151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2807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6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10、车船税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58"/>
              <w:ind w:left="151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1850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45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11、耕地占用税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68"/>
              <w:ind w:left="151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2651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7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12、契税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59"/>
              <w:ind w:left="151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6413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48" w:line="220" w:lineRule="auto"/>
              <w:ind w:left="13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13、环境保护税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69"/>
              <w:ind w:left="157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251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28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二、非税收入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50"/>
              <w:ind w:left="145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42270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9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1、专项收入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61"/>
              <w:ind w:left="157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896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9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2、行政事业性收费收入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61"/>
              <w:ind w:left="151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4685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9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3、罚没收入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61"/>
              <w:ind w:left="145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11859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9" w:line="219" w:lineRule="auto"/>
              <w:ind w:left="13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4、国有资源(资产)有偿使用收入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61"/>
              <w:ind w:left="145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23619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7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5、政府住房基金收入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61"/>
              <w:ind w:left="1576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170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9" w:line="219" w:lineRule="auto"/>
              <w:ind w:left="13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6、其他收入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61"/>
              <w:ind w:left="151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1041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4619" w:type="dxa"/>
            <w:vAlign w:val="top"/>
          </w:tcPr>
          <w:p>
            <w:pPr>
              <w:pStyle w:val="7"/>
              <w:spacing w:before="139" w:line="219" w:lineRule="auto"/>
              <w:ind w:left="186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收入合计</w:t>
            </w:r>
          </w:p>
        </w:tc>
        <w:tc>
          <w:tcPr>
            <w:tcW w:w="3511" w:type="dxa"/>
            <w:vAlign w:val="top"/>
          </w:tcPr>
          <w:p>
            <w:pPr>
              <w:pStyle w:val="7"/>
              <w:spacing w:before="161"/>
              <w:ind w:left="145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70451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20"/>
          <w:pgMar w:top="1106" w:right="1785" w:bottom="400" w:left="1785" w:header="0" w:footer="0" w:gutter="0"/>
          <w:cols w:space="720" w:num="1"/>
        </w:sectPr>
      </w:pPr>
    </w:p>
    <w:p>
      <w:pPr>
        <w:spacing w:before="47" w:line="221" w:lineRule="auto"/>
        <w:ind w:left="7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5"/>
          <w:sz w:val="24"/>
          <w:szCs w:val="24"/>
        </w:rPr>
        <w:t>表1</w:t>
      </w:r>
      <w:r>
        <w:rPr>
          <w:rFonts w:ascii="宋体" w:hAnsi="宋体" w:eastAsia="宋体" w:cs="宋体"/>
          <w:spacing w:val="-5"/>
          <w:sz w:val="24"/>
          <w:szCs w:val="24"/>
        </w:rPr>
        <w:t>0</w:t>
      </w:r>
    </w:p>
    <w:p>
      <w:pPr>
        <w:spacing w:before="211" w:line="221" w:lineRule="auto"/>
        <w:ind w:left="1290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b/>
          <w:bCs/>
          <w:spacing w:val="-30"/>
          <w:sz w:val="39"/>
          <w:szCs w:val="39"/>
        </w:rPr>
        <w:t>2022年高邑县一般公共支出预算草案</w:t>
      </w:r>
    </w:p>
    <w:p>
      <w:pPr>
        <w:spacing w:before="283" w:line="220" w:lineRule="auto"/>
        <w:ind w:left="712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20"/>
          <w:sz w:val="24"/>
          <w:szCs w:val="24"/>
        </w:rPr>
        <w:t>单位：万元</w:t>
      </w:r>
    </w:p>
    <w:p>
      <w:pPr>
        <w:spacing w:line="51" w:lineRule="exact"/>
      </w:pPr>
    </w:p>
    <w:tbl>
      <w:tblPr>
        <w:tblStyle w:val="6"/>
        <w:tblW w:w="8190" w:type="dxa"/>
        <w:tblInd w:w="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89"/>
        <w:gridCol w:w="30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32" w:line="219" w:lineRule="auto"/>
              <w:ind w:left="210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科目名称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34" w:line="219" w:lineRule="auto"/>
              <w:ind w:left="1145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预算数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39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一、本级支出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62"/>
              <w:ind w:left="114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168504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31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1、一般公共服务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53"/>
              <w:ind w:left="120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17997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41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2、公共安全支出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63"/>
              <w:ind w:left="120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15505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31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3、教育支出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53"/>
              <w:ind w:left="120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27063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30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4、科学技术支出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53"/>
              <w:ind w:left="13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40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5、文化旅游体育与传媒支出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63"/>
              <w:ind w:left="1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1119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0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40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6、社会保障和就业支出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63"/>
              <w:ind w:left="120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33609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41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7、卫生健康支出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63"/>
              <w:ind w:left="120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12169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33" w:line="220" w:lineRule="auto"/>
              <w:ind w:left="14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8、节能环保支出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54"/>
              <w:ind w:left="1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2581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32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9、城乡社区支出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54"/>
              <w:ind w:left="1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5185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42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10、农林水支出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64"/>
              <w:ind w:left="120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13527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43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11、交通运输支出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65"/>
              <w:ind w:left="1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2259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44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12、商业服务业等支出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66"/>
              <w:ind w:left="13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343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34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13、自然资源海洋气象等支出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56"/>
              <w:ind w:left="131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869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24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14、住房保障支出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46"/>
              <w:ind w:left="120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11108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44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15、粮油物资储备支出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67"/>
              <w:ind w:left="13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36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16、灾害防治及应急管理支出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58"/>
              <w:ind w:left="126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37" w:line="220" w:lineRule="auto"/>
              <w:ind w:left="14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17、预备费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58"/>
              <w:ind w:left="1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3412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47" w:line="220" w:lineRule="auto"/>
              <w:ind w:left="145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18、其他支出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68"/>
              <w:ind w:left="120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17756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27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19、债务付息支出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49"/>
              <w:ind w:left="1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2708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37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20、债务发行费用支出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59"/>
              <w:ind w:left="13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39" w:line="220" w:lineRule="auto"/>
              <w:ind w:left="145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二、转移性支出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60"/>
              <w:ind w:left="1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2100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37" w:line="219" w:lineRule="auto"/>
              <w:ind w:left="14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1、债务还本支出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60"/>
              <w:ind w:left="126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2100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" w:hRule="atLeast"/>
        </w:trPr>
        <w:tc>
          <w:tcPr>
            <w:tcW w:w="5189" w:type="dxa"/>
            <w:vAlign w:val="top"/>
          </w:tcPr>
          <w:p>
            <w:pPr>
              <w:spacing w:line="180" w:lineRule="exact"/>
              <w:rPr>
                <w:rFonts w:ascii="Arial"/>
                <w:sz w:val="15"/>
              </w:rPr>
            </w:pPr>
          </w:p>
        </w:tc>
        <w:tc>
          <w:tcPr>
            <w:tcW w:w="3001" w:type="dxa"/>
            <w:vAlign w:val="top"/>
          </w:tcPr>
          <w:p>
            <w:pPr>
              <w:spacing w:line="180" w:lineRule="exact"/>
              <w:rPr>
                <w:rFonts w:ascii="Arial"/>
                <w:sz w:val="1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5189" w:type="dxa"/>
            <w:vAlign w:val="top"/>
          </w:tcPr>
          <w:p>
            <w:pPr>
              <w:pStyle w:val="7"/>
              <w:spacing w:before="130" w:line="221" w:lineRule="auto"/>
              <w:ind w:left="236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合计</w:t>
            </w:r>
          </w:p>
        </w:tc>
        <w:tc>
          <w:tcPr>
            <w:tcW w:w="3001" w:type="dxa"/>
            <w:vAlign w:val="top"/>
          </w:tcPr>
          <w:p>
            <w:pPr>
              <w:pStyle w:val="7"/>
              <w:spacing w:before="151"/>
              <w:ind w:left="114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170604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20"/>
          <w:pgMar w:top="1120" w:right="1785" w:bottom="400" w:left="1785" w:header="0" w:footer="0" w:gutter="0"/>
          <w:cols w:space="720" w:num="1"/>
        </w:sectPr>
      </w:pPr>
    </w:p>
    <w:p>
      <w:pPr>
        <w:spacing w:before="47" w:line="221" w:lineRule="auto"/>
        <w:ind w:left="51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3"/>
          <w:sz w:val="24"/>
          <w:szCs w:val="24"/>
        </w:rPr>
        <w:t>表11</w:t>
      </w:r>
    </w:p>
    <w:p>
      <w:pPr>
        <w:spacing w:line="251" w:lineRule="auto"/>
        <w:rPr>
          <w:rFonts w:ascii="Arial"/>
          <w:sz w:val="21"/>
        </w:rPr>
      </w:pPr>
    </w:p>
    <w:p>
      <w:pPr>
        <w:spacing w:line="252" w:lineRule="auto"/>
        <w:rPr>
          <w:rFonts w:ascii="Arial"/>
          <w:sz w:val="21"/>
        </w:rPr>
      </w:pPr>
    </w:p>
    <w:p>
      <w:pPr>
        <w:spacing w:before="126" w:line="222" w:lineRule="auto"/>
        <w:ind w:left="1100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b/>
          <w:bCs/>
          <w:spacing w:val="-30"/>
          <w:sz w:val="39"/>
          <w:szCs w:val="39"/>
        </w:rPr>
        <w:t>2022年高邑县政府性基金收入预算草案</w:t>
      </w:r>
    </w:p>
    <w:p>
      <w:pPr>
        <w:spacing w:line="376" w:lineRule="auto"/>
        <w:rPr>
          <w:rFonts w:ascii="Arial"/>
          <w:sz w:val="21"/>
        </w:rPr>
      </w:pPr>
    </w:p>
    <w:p>
      <w:pPr>
        <w:spacing w:before="82" w:line="220" w:lineRule="auto"/>
        <w:ind w:left="6598"/>
        <w:rPr>
          <w:rFonts w:ascii="宋体" w:hAnsi="宋体" w:eastAsia="宋体" w:cs="宋体"/>
          <w:sz w:val="25"/>
          <w:szCs w:val="25"/>
        </w:rPr>
      </w:pPr>
      <w:r>
        <w:rPr>
          <w:rFonts w:ascii="宋体" w:hAnsi="宋体" w:eastAsia="宋体" w:cs="宋体"/>
          <w:b/>
          <w:bCs/>
          <w:spacing w:val="-9"/>
          <w:sz w:val="25"/>
          <w:szCs w:val="25"/>
        </w:rPr>
        <w:t>单位：万元</w:t>
      </w:r>
    </w:p>
    <w:p>
      <w:pPr>
        <w:spacing w:line="129" w:lineRule="exact"/>
      </w:pPr>
    </w:p>
    <w:tbl>
      <w:tblPr>
        <w:tblStyle w:val="6"/>
        <w:tblW w:w="7319" w:type="dxa"/>
        <w:tblInd w:w="5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89"/>
        <w:gridCol w:w="313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4189" w:type="dxa"/>
            <w:vAlign w:val="top"/>
          </w:tcPr>
          <w:p>
            <w:pPr>
              <w:pStyle w:val="7"/>
              <w:spacing w:before="183" w:line="219" w:lineRule="auto"/>
              <w:ind w:left="161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科目名称</w:t>
            </w:r>
          </w:p>
        </w:tc>
        <w:tc>
          <w:tcPr>
            <w:tcW w:w="3130" w:type="dxa"/>
            <w:vAlign w:val="top"/>
          </w:tcPr>
          <w:p>
            <w:pPr>
              <w:pStyle w:val="7"/>
              <w:spacing w:before="185" w:line="219" w:lineRule="auto"/>
              <w:ind w:left="1195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4189" w:type="dxa"/>
            <w:vAlign w:val="top"/>
          </w:tcPr>
          <w:p>
            <w:pPr>
              <w:pStyle w:val="7"/>
              <w:spacing w:before="180" w:line="219" w:lineRule="auto"/>
              <w:ind w:left="15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1、国有土地收益基金收入</w:t>
            </w:r>
          </w:p>
        </w:tc>
        <w:tc>
          <w:tcPr>
            <w:tcW w:w="3130" w:type="dxa"/>
            <w:vAlign w:val="top"/>
          </w:tcPr>
          <w:p>
            <w:pPr>
              <w:pStyle w:val="7"/>
              <w:spacing w:before="204"/>
              <w:ind w:left="131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4416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4189" w:type="dxa"/>
            <w:vAlign w:val="top"/>
          </w:tcPr>
          <w:p>
            <w:pPr>
              <w:pStyle w:val="7"/>
              <w:spacing w:before="182" w:line="219" w:lineRule="auto"/>
              <w:ind w:left="15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2、农业土地开发资金收入</w:t>
            </w:r>
          </w:p>
        </w:tc>
        <w:tc>
          <w:tcPr>
            <w:tcW w:w="3130" w:type="dxa"/>
            <w:vAlign w:val="top"/>
          </w:tcPr>
          <w:p>
            <w:pPr>
              <w:pStyle w:val="7"/>
              <w:spacing w:before="205"/>
              <w:ind w:left="137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296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4189" w:type="dxa"/>
            <w:vAlign w:val="top"/>
          </w:tcPr>
          <w:p>
            <w:pPr>
              <w:pStyle w:val="7"/>
              <w:spacing w:before="183" w:line="219" w:lineRule="auto"/>
              <w:ind w:left="15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3、国有土地使用权出让收入</w:t>
            </w:r>
          </w:p>
        </w:tc>
        <w:tc>
          <w:tcPr>
            <w:tcW w:w="3130" w:type="dxa"/>
            <w:vAlign w:val="top"/>
          </w:tcPr>
          <w:p>
            <w:pPr>
              <w:pStyle w:val="7"/>
              <w:spacing w:before="206"/>
              <w:ind w:left="125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80159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4189" w:type="dxa"/>
            <w:vAlign w:val="top"/>
          </w:tcPr>
          <w:p>
            <w:pPr>
              <w:pStyle w:val="7"/>
              <w:spacing w:before="184" w:line="219" w:lineRule="auto"/>
              <w:ind w:left="15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4、城市基础设施配套费收入</w:t>
            </w:r>
          </w:p>
        </w:tc>
        <w:tc>
          <w:tcPr>
            <w:tcW w:w="3130" w:type="dxa"/>
            <w:vAlign w:val="top"/>
          </w:tcPr>
          <w:p>
            <w:pPr>
              <w:pStyle w:val="7"/>
              <w:spacing w:before="207"/>
              <w:ind w:left="1315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4189" w:type="dxa"/>
            <w:vAlign w:val="top"/>
          </w:tcPr>
          <w:p>
            <w:pPr>
              <w:pStyle w:val="7"/>
              <w:spacing w:before="185" w:line="219" w:lineRule="auto"/>
              <w:ind w:left="15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5、污水处理费收入</w:t>
            </w:r>
          </w:p>
        </w:tc>
        <w:tc>
          <w:tcPr>
            <w:tcW w:w="3130" w:type="dxa"/>
            <w:vAlign w:val="top"/>
          </w:tcPr>
          <w:p>
            <w:pPr>
              <w:pStyle w:val="7"/>
              <w:spacing w:before="208"/>
              <w:ind w:left="137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4189" w:type="dxa"/>
            <w:vAlign w:val="top"/>
          </w:tcPr>
          <w:p>
            <w:pPr>
              <w:pStyle w:val="7"/>
              <w:spacing w:before="186" w:line="219" w:lineRule="auto"/>
              <w:ind w:left="15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6、彩票公益金收入</w:t>
            </w:r>
          </w:p>
        </w:tc>
        <w:tc>
          <w:tcPr>
            <w:tcW w:w="3130" w:type="dxa"/>
            <w:vAlign w:val="top"/>
          </w:tcPr>
          <w:p>
            <w:pPr>
              <w:pStyle w:val="7"/>
              <w:spacing w:before="209"/>
              <w:ind w:left="137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490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4189" w:type="dxa"/>
            <w:vAlign w:val="top"/>
          </w:tcPr>
          <w:p>
            <w:pPr>
              <w:pStyle w:val="7"/>
              <w:spacing w:before="184" w:line="219" w:lineRule="auto"/>
              <w:ind w:left="138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本年收入小计</w:t>
            </w:r>
          </w:p>
        </w:tc>
        <w:tc>
          <w:tcPr>
            <w:tcW w:w="3130" w:type="dxa"/>
            <w:vAlign w:val="top"/>
          </w:tcPr>
          <w:p>
            <w:pPr>
              <w:pStyle w:val="7"/>
              <w:spacing w:before="209"/>
              <w:ind w:left="125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86711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4189" w:type="dxa"/>
            <w:vAlign w:val="top"/>
          </w:tcPr>
          <w:p>
            <w:pPr>
              <w:pStyle w:val="7"/>
              <w:spacing w:before="186" w:line="219" w:lineRule="auto"/>
              <w:ind w:left="15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7、上级补助收入</w:t>
            </w:r>
          </w:p>
        </w:tc>
        <w:tc>
          <w:tcPr>
            <w:tcW w:w="3130" w:type="dxa"/>
            <w:vAlign w:val="top"/>
          </w:tcPr>
          <w:p>
            <w:pPr>
              <w:pStyle w:val="7"/>
              <w:spacing w:before="210"/>
              <w:ind w:left="137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747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4189" w:type="dxa"/>
            <w:vAlign w:val="top"/>
          </w:tcPr>
          <w:p>
            <w:pPr>
              <w:pStyle w:val="7"/>
              <w:spacing w:before="198" w:line="219" w:lineRule="auto"/>
              <w:ind w:left="15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8、债务转贷收入</w:t>
            </w:r>
          </w:p>
        </w:tc>
        <w:tc>
          <w:tcPr>
            <w:tcW w:w="3130" w:type="dxa"/>
            <w:vAlign w:val="top"/>
          </w:tcPr>
          <w:p>
            <w:pPr>
              <w:pStyle w:val="7"/>
              <w:spacing w:before="221"/>
              <w:ind w:left="125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11400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4189" w:type="dxa"/>
            <w:vAlign w:val="top"/>
          </w:tcPr>
          <w:p>
            <w:pPr>
              <w:pStyle w:val="7"/>
              <w:spacing w:before="188" w:line="219" w:lineRule="auto"/>
              <w:ind w:left="15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9、上年结余结转收入</w:t>
            </w:r>
          </w:p>
        </w:tc>
        <w:tc>
          <w:tcPr>
            <w:tcW w:w="3130" w:type="dxa"/>
            <w:vAlign w:val="top"/>
          </w:tcPr>
          <w:p>
            <w:pPr>
              <w:pStyle w:val="7"/>
              <w:spacing w:before="211"/>
              <w:ind w:left="125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54168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41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3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4189" w:type="dxa"/>
            <w:vAlign w:val="top"/>
          </w:tcPr>
          <w:p>
            <w:pPr>
              <w:pStyle w:val="7"/>
              <w:spacing w:before="191" w:line="221" w:lineRule="auto"/>
              <w:ind w:left="148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总      计</w:t>
            </w:r>
          </w:p>
        </w:tc>
        <w:tc>
          <w:tcPr>
            <w:tcW w:w="3130" w:type="dxa"/>
            <w:vAlign w:val="top"/>
          </w:tcPr>
          <w:p>
            <w:pPr>
              <w:pStyle w:val="7"/>
              <w:spacing w:before="213"/>
              <w:ind w:left="11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153026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20"/>
          <w:pgMar w:top="1270" w:right="1785" w:bottom="400" w:left="1785" w:header="0" w:footer="0" w:gutter="0"/>
          <w:cols w:space="720" w:num="1"/>
        </w:sectPr>
      </w:pPr>
    </w:p>
    <w:p>
      <w:pPr>
        <w:spacing w:before="47" w:line="221" w:lineRule="auto"/>
        <w:ind w:left="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5"/>
          <w:sz w:val="24"/>
          <w:szCs w:val="24"/>
        </w:rPr>
        <w:t>表1</w:t>
      </w:r>
      <w:r>
        <w:rPr>
          <w:rFonts w:ascii="宋体" w:hAnsi="宋体" w:eastAsia="宋体" w:cs="宋体"/>
          <w:spacing w:val="-5"/>
          <w:sz w:val="24"/>
          <w:szCs w:val="24"/>
        </w:rPr>
        <w:t>2</w:t>
      </w:r>
    </w:p>
    <w:p>
      <w:pPr>
        <w:spacing w:before="202" w:line="222" w:lineRule="auto"/>
        <w:ind w:left="1140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b/>
          <w:bCs/>
          <w:spacing w:val="-30"/>
          <w:sz w:val="39"/>
          <w:szCs w:val="39"/>
        </w:rPr>
        <w:t>2022年高邑县政府性基金支出预算草案</w:t>
      </w:r>
    </w:p>
    <w:p>
      <w:pPr>
        <w:spacing w:before="210" w:line="220" w:lineRule="auto"/>
        <w:ind w:left="6978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b/>
          <w:bCs/>
          <w:spacing w:val="-19"/>
          <w:sz w:val="26"/>
          <w:szCs w:val="26"/>
        </w:rPr>
        <w:t>单位：万元</w:t>
      </w:r>
    </w:p>
    <w:p>
      <w:pPr>
        <w:spacing w:line="37" w:lineRule="exact"/>
      </w:pPr>
    </w:p>
    <w:tbl>
      <w:tblPr>
        <w:tblStyle w:val="6"/>
        <w:tblW w:w="838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16"/>
        <w:gridCol w:w="167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23" w:line="219" w:lineRule="auto"/>
              <w:ind w:left="2875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科目名称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24" w:line="219" w:lineRule="auto"/>
              <w:ind w:left="468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29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1、文化旅游体育与传媒支出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54"/>
              <w:ind w:left="709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31" w:line="220" w:lineRule="auto"/>
              <w:ind w:left="37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国家电影事业发展专项资金安排的支出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54"/>
              <w:ind w:left="709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30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2、社会保障和就业支出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55"/>
              <w:ind w:left="7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33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大中型水库移民后期扶持基金支出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56"/>
              <w:ind w:left="7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23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3、城乡社区支出类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47"/>
              <w:ind w:left="52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92781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34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国有土地使用权出让收入安排的支出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57"/>
              <w:ind w:left="52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86719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35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国有土地收益基金安排的支出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58"/>
              <w:ind w:left="5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4416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36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农业开发资金收入安排的支出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59"/>
              <w:ind w:left="64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296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36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城市基础设施配套费安排的支出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59"/>
              <w:ind w:left="58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26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污水处理费安排的支出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49"/>
              <w:ind w:left="649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37" w:line="220" w:lineRule="auto"/>
              <w:ind w:left="374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4、其他支出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60"/>
              <w:ind w:left="52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44884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36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其他政府基金及对应专项债务收入安排的支出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61"/>
              <w:ind w:left="52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43900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38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彩票公益金安排的支出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61"/>
              <w:ind w:left="64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984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38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5、债务付息支出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61"/>
              <w:ind w:left="58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3866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26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地方政府专项债务付息支出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52" w:line="236" w:lineRule="auto"/>
              <w:ind w:left="58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3866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39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6、债务发行费支出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62" w:line="241" w:lineRule="auto"/>
              <w:ind w:left="7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37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地方政府专项债务发行费用支出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62" w:line="241" w:lineRule="auto"/>
              <w:ind w:left="7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27" w:line="219" w:lineRule="auto"/>
              <w:ind w:left="262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本级支出合计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52"/>
              <w:ind w:left="46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141546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37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1、债务还本支出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62"/>
              <w:ind w:left="52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11480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28" w:line="219" w:lineRule="auto"/>
              <w:ind w:left="37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地方政府专项债务还本支出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53" w:line="236" w:lineRule="auto"/>
              <w:ind w:left="52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11480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6716" w:type="dxa"/>
            <w:vAlign w:val="top"/>
          </w:tcPr>
          <w:p>
            <w:pPr>
              <w:pStyle w:val="7"/>
              <w:spacing w:before="141" w:line="221" w:lineRule="auto"/>
              <w:ind w:left="3104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合计</w:t>
            </w:r>
          </w:p>
        </w:tc>
        <w:tc>
          <w:tcPr>
            <w:tcW w:w="1673" w:type="dxa"/>
            <w:vAlign w:val="top"/>
          </w:tcPr>
          <w:p>
            <w:pPr>
              <w:pStyle w:val="7"/>
              <w:spacing w:before="163"/>
              <w:ind w:left="46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153026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20"/>
          <w:pgMar w:top="1100" w:right="1765" w:bottom="400" w:left="1735" w:header="0" w:footer="0" w:gutter="0"/>
          <w:cols w:space="720" w:num="1"/>
        </w:sectPr>
      </w:pPr>
    </w:p>
    <w:p>
      <w:pPr>
        <w:spacing w:before="49" w:line="221" w:lineRule="auto"/>
        <w:ind w:left="418"/>
        <w:rPr>
          <w:rFonts w:ascii="宋体" w:hAnsi="宋体" w:eastAsia="宋体" w:cs="宋体"/>
          <w:sz w:val="25"/>
          <w:szCs w:val="25"/>
        </w:rPr>
      </w:pPr>
      <w:r>
        <w:rPr>
          <w:rFonts w:ascii="宋体" w:hAnsi="宋体" w:eastAsia="宋体" w:cs="宋体"/>
          <w:b/>
          <w:bCs/>
          <w:spacing w:val="-5"/>
          <w:sz w:val="25"/>
          <w:szCs w:val="25"/>
        </w:rPr>
        <w:t>表1</w:t>
      </w:r>
      <w:r>
        <w:rPr>
          <w:rFonts w:ascii="宋体" w:hAnsi="宋体" w:eastAsia="宋体" w:cs="宋体"/>
          <w:spacing w:val="-5"/>
          <w:sz w:val="25"/>
          <w:szCs w:val="25"/>
        </w:rPr>
        <w:t>3</w:t>
      </w:r>
    </w:p>
    <w:p>
      <w:pPr>
        <w:spacing w:line="371" w:lineRule="auto"/>
        <w:rPr>
          <w:rFonts w:ascii="Arial"/>
          <w:sz w:val="21"/>
        </w:rPr>
      </w:pPr>
    </w:p>
    <w:p>
      <w:pPr>
        <w:spacing w:before="127" w:line="222" w:lineRule="auto"/>
        <w:ind w:left="1280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b/>
          <w:bCs/>
          <w:spacing w:val="-30"/>
          <w:sz w:val="39"/>
          <w:szCs w:val="39"/>
        </w:rPr>
        <w:t>2022年高邑县社保基金收入预算草案</w:t>
      </w:r>
    </w:p>
    <w:p>
      <w:pPr>
        <w:spacing w:line="354" w:lineRule="auto"/>
        <w:rPr>
          <w:rFonts w:ascii="Arial"/>
          <w:sz w:val="21"/>
        </w:rPr>
      </w:pPr>
    </w:p>
    <w:p>
      <w:pPr>
        <w:spacing w:before="84" w:line="220" w:lineRule="auto"/>
        <w:ind w:left="6688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b/>
          <w:bCs/>
          <w:spacing w:val="-19"/>
          <w:sz w:val="26"/>
          <w:szCs w:val="26"/>
        </w:rPr>
        <w:t>单位：万元</w:t>
      </w:r>
    </w:p>
    <w:p>
      <w:pPr>
        <w:spacing w:line="77" w:lineRule="exact"/>
      </w:pPr>
    </w:p>
    <w:tbl>
      <w:tblPr>
        <w:tblStyle w:val="6"/>
        <w:tblW w:w="7500" w:type="dxa"/>
        <w:tblInd w:w="40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07"/>
        <w:gridCol w:w="16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5807" w:type="dxa"/>
            <w:vAlign w:val="top"/>
          </w:tcPr>
          <w:p>
            <w:pPr>
              <w:pStyle w:val="7"/>
              <w:spacing w:before="183" w:line="219" w:lineRule="auto"/>
              <w:ind w:left="241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科目名称</w:t>
            </w:r>
          </w:p>
        </w:tc>
        <w:tc>
          <w:tcPr>
            <w:tcW w:w="1693" w:type="dxa"/>
            <w:vAlign w:val="top"/>
          </w:tcPr>
          <w:p>
            <w:pPr>
              <w:pStyle w:val="7"/>
              <w:spacing w:before="185" w:line="219" w:lineRule="auto"/>
              <w:ind w:left="478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5807" w:type="dxa"/>
            <w:vAlign w:val="top"/>
          </w:tcPr>
          <w:p>
            <w:pPr>
              <w:pStyle w:val="7"/>
              <w:spacing w:before="179" w:line="219" w:lineRule="auto"/>
              <w:ind w:left="1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一、城乡居民基本养老保险基金收入</w:t>
            </w:r>
          </w:p>
        </w:tc>
        <w:tc>
          <w:tcPr>
            <w:tcW w:w="1693" w:type="dxa"/>
            <w:vAlign w:val="top"/>
          </w:tcPr>
          <w:p>
            <w:pPr>
              <w:pStyle w:val="7"/>
              <w:spacing w:before="204"/>
              <w:ind w:left="59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7180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8" w:hRule="atLeast"/>
        </w:trPr>
        <w:tc>
          <w:tcPr>
            <w:tcW w:w="5807" w:type="dxa"/>
            <w:vAlign w:val="top"/>
          </w:tcPr>
          <w:p>
            <w:pPr>
              <w:pStyle w:val="7"/>
              <w:spacing w:before="181" w:line="219" w:lineRule="auto"/>
              <w:ind w:left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二、机关事业单位基本养老保险基金收入</w:t>
            </w:r>
          </w:p>
        </w:tc>
        <w:tc>
          <w:tcPr>
            <w:tcW w:w="1693" w:type="dxa"/>
            <w:vAlign w:val="top"/>
          </w:tcPr>
          <w:p>
            <w:pPr>
              <w:pStyle w:val="7"/>
              <w:spacing w:before="206"/>
              <w:ind w:left="53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13125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5807" w:type="dxa"/>
            <w:vAlign w:val="top"/>
          </w:tcPr>
          <w:p>
            <w:pPr>
              <w:pStyle w:val="7"/>
              <w:spacing w:before="183" w:line="219" w:lineRule="auto"/>
              <w:ind w:left="217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本年收入合计</w:t>
            </w:r>
          </w:p>
        </w:tc>
        <w:tc>
          <w:tcPr>
            <w:tcW w:w="1693" w:type="dxa"/>
            <w:vAlign w:val="top"/>
          </w:tcPr>
          <w:p>
            <w:pPr>
              <w:pStyle w:val="7"/>
              <w:spacing w:before="208"/>
              <w:ind w:left="53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20305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807" w:type="dxa"/>
            <w:vAlign w:val="top"/>
          </w:tcPr>
          <w:p>
            <w:pPr>
              <w:pStyle w:val="7"/>
              <w:spacing w:before="187" w:line="219" w:lineRule="auto"/>
              <w:ind w:left="241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上年结余</w:t>
            </w:r>
          </w:p>
        </w:tc>
        <w:tc>
          <w:tcPr>
            <w:tcW w:w="1693" w:type="dxa"/>
            <w:vAlign w:val="top"/>
          </w:tcPr>
          <w:p>
            <w:pPr>
              <w:pStyle w:val="7"/>
              <w:spacing w:before="210"/>
              <w:ind w:left="53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13887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5807" w:type="dxa"/>
            <w:vAlign w:val="top"/>
          </w:tcPr>
          <w:p>
            <w:pPr>
              <w:pStyle w:val="7"/>
              <w:spacing w:before="186" w:line="219" w:lineRule="auto"/>
              <w:ind w:left="217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本年收入总计</w:t>
            </w:r>
          </w:p>
        </w:tc>
        <w:tc>
          <w:tcPr>
            <w:tcW w:w="1693" w:type="dxa"/>
            <w:vAlign w:val="top"/>
          </w:tcPr>
          <w:p>
            <w:pPr>
              <w:pStyle w:val="7"/>
              <w:spacing w:before="211"/>
              <w:ind w:left="5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34192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20"/>
          <w:pgMar w:top="1168" w:right="1785" w:bottom="400" w:left="1785" w:header="0" w:footer="0" w:gutter="0"/>
          <w:cols w:space="720" w:num="1"/>
        </w:sectPr>
      </w:pPr>
    </w:p>
    <w:p>
      <w:pPr>
        <w:spacing w:before="47" w:line="221" w:lineRule="auto"/>
        <w:ind w:left="4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6"/>
          <w:sz w:val="24"/>
          <w:szCs w:val="24"/>
        </w:rPr>
        <w:t>表14</w:t>
      </w:r>
    </w:p>
    <w:p>
      <w:pPr>
        <w:spacing w:line="256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spacing w:before="127" w:line="222" w:lineRule="auto"/>
        <w:ind w:left="1270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b/>
          <w:bCs/>
          <w:spacing w:val="-30"/>
          <w:sz w:val="39"/>
          <w:szCs w:val="39"/>
        </w:rPr>
        <w:t>2022年高邑县社保基金支出预算草案</w:t>
      </w:r>
    </w:p>
    <w:p>
      <w:pPr>
        <w:spacing w:line="456" w:lineRule="auto"/>
        <w:rPr>
          <w:rFonts w:ascii="Arial"/>
          <w:sz w:val="21"/>
        </w:rPr>
      </w:pPr>
    </w:p>
    <w:p>
      <w:pPr>
        <w:spacing w:before="81" w:line="220" w:lineRule="auto"/>
        <w:ind w:left="6468"/>
        <w:rPr>
          <w:rFonts w:ascii="宋体" w:hAnsi="宋体" w:eastAsia="宋体" w:cs="宋体"/>
          <w:sz w:val="25"/>
          <w:szCs w:val="25"/>
        </w:rPr>
      </w:pPr>
      <w:r>
        <w:rPr>
          <w:rFonts w:ascii="宋体" w:hAnsi="宋体" w:eastAsia="宋体" w:cs="宋体"/>
          <w:b/>
          <w:bCs/>
          <w:spacing w:val="-9"/>
          <w:sz w:val="25"/>
          <w:szCs w:val="25"/>
        </w:rPr>
        <w:t>单位：万元</w:t>
      </w:r>
    </w:p>
    <w:p>
      <w:pPr>
        <w:spacing w:line="69" w:lineRule="exact"/>
      </w:pPr>
    </w:p>
    <w:tbl>
      <w:tblPr>
        <w:tblStyle w:val="6"/>
        <w:tblW w:w="7550" w:type="dxa"/>
        <w:tblInd w:w="3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27"/>
        <w:gridCol w:w="172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5827" w:type="dxa"/>
            <w:vAlign w:val="top"/>
          </w:tcPr>
          <w:p>
            <w:pPr>
              <w:pStyle w:val="7"/>
              <w:spacing w:before="183" w:line="219" w:lineRule="auto"/>
              <w:ind w:left="242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科目名称</w:t>
            </w:r>
          </w:p>
        </w:tc>
        <w:tc>
          <w:tcPr>
            <w:tcW w:w="1723" w:type="dxa"/>
            <w:vAlign w:val="top"/>
          </w:tcPr>
          <w:p>
            <w:pPr>
              <w:pStyle w:val="7"/>
              <w:spacing w:before="185" w:line="219" w:lineRule="auto"/>
              <w:ind w:left="498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827" w:type="dxa"/>
            <w:vAlign w:val="top"/>
          </w:tcPr>
          <w:p>
            <w:pPr>
              <w:pStyle w:val="7"/>
              <w:spacing w:before="180" w:line="219" w:lineRule="auto"/>
              <w:ind w:left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一、城乡居民基本养老保险基金支出</w:t>
            </w:r>
          </w:p>
        </w:tc>
        <w:tc>
          <w:tcPr>
            <w:tcW w:w="1723" w:type="dxa"/>
            <w:vAlign w:val="top"/>
          </w:tcPr>
          <w:p>
            <w:pPr>
              <w:pStyle w:val="7"/>
              <w:spacing w:before="205"/>
              <w:ind w:left="61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4821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5827" w:type="dxa"/>
            <w:vAlign w:val="top"/>
          </w:tcPr>
          <w:p>
            <w:pPr>
              <w:pStyle w:val="7"/>
              <w:spacing w:before="181" w:line="219" w:lineRule="auto"/>
              <w:ind w:left="1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二、机关事业单位基本养老保险基金支出</w:t>
            </w:r>
          </w:p>
        </w:tc>
        <w:tc>
          <w:tcPr>
            <w:tcW w:w="1723" w:type="dxa"/>
            <w:vAlign w:val="top"/>
          </w:tcPr>
          <w:p>
            <w:pPr>
              <w:pStyle w:val="7"/>
              <w:spacing w:before="206"/>
              <w:ind w:left="55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14319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5827" w:type="dxa"/>
            <w:vAlign w:val="top"/>
          </w:tcPr>
          <w:p>
            <w:pPr>
              <w:pStyle w:val="7"/>
              <w:spacing w:before="183" w:line="219" w:lineRule="auto"/>
              <w:ind w:left="218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本年收入合计</w:t>
            </w:r>
          </w:p>
        </w:tc>
        <w:tc>
          <w:tcPr>
            <w:tcW w:w="1723" w:type="dxa"/>
            <w:vAlign w:val="top"/>
          </w:tcPr>
          <w:p>
            <w:pPr>
              <w:pStyle w:val="7"/>
              <w:spacing w:before="208"/>
              <w:ind w:left="55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19140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5827" w:type="dxa"/>
            <w:vAlign w:val="top"/>
          </w:tcPr>
          <w:p>
            <w:pPr>
              <w:pStyle w:val="7"/>
              <w:spacing w:before="187" w:line="219" w:lineRule="auto"/>
              <w:ind w:left="242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上年结余</w:t>
            </w:r>
          </w:p>
        </w:tc>
        <w:tc>
          <w:tcPr>
            <w:tcW w:w="1723" w:type="dxa"/>
            <w:vAlign w:val="top"/>
          </w:tcPr>
          <w:p>
            <w:pPr>
              <w:pStyle w:val="7"/>
              <w:spacing w:before="210"/>
              <w:ind w:left="558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15052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5827" w:type="dxa"/>
            <w:vAlign w:val="top"/>
          </w:tcPr>
          <w:p>
            <w:pPr>
              <w:pStyle w:val="7"/>
              <w:spacing w:before="187" w:line="219" w:lineRule="auto"/>
              <w:ind w:left="218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本年收入总计</w:t>
            </w:r>
          </w:p>
        </w:tc>
        <w:tc>
          <w:tcPr>
            <w:tcW w:w="1723" w:type="dxa"/>
            <w:vAlign w:val="top"/>
          </w:tcPr>
          <w:p>
            <w:pPr>
              <w:pStyle w:val="7"/>
              <w:spacing w:before="212"/>
              <w:ind w:left="55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34192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20"/>
          <w:pgMar w:top="1210" w:right="1785" w:bottom="400" w:left="1785" w:header="0" w:footer="0" w:gutter="0"/>
          <w:cols w:space="720" w:num="1"/>
        </w:sectPr>
      </w:pPr>
    </w:p>
    <w:p>
      <w:pPr>
        <w:spacing w:before="148" w:line="221" w:lineRule="auto"/>
        <w:ind w:left="38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5"/>
          <w:sz w:val="24"/>
          <w:szCs w:val="24"/>
        </w:rPr>
        <w:t>表1</w:t>
      </w:r>
      <w:r>
        <w:rPr>
          <w:rFonts w:ascii="宋体" w:hAnsi="宋体" w:eastAsia="宋体" w:cs="宋体"/>
          <w:spacing w:val="-5"/>
          <w:sz w:val="24"/>
          <w:szCs w:val="24"/>
        </w:rPr>
        <w:t>5</w:t>
      </w:r>
    </w:p>
    <w:p>
      <w:pPr>
        <w:spacing w:line="254" w:lineRule="auto"/>
        <w:rPr>
          <w:rFonts w:ascii="Arial"/>
          <w:sz w:val="21"/>
        </w:rPr>
      </w:pPr>
    </w:p>
    <w:p>
      <w:pPr>
        <w:spacing w:before="127" w:line="222" w:lineRule="auto"/>
        <w:ind w:left="930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b/>
          <w:bCs/>
          <w:spacing w:val="-31"/>
          <w:sz w:val="39"/>
          <w:szCs w:val="39"/>
        </w:rPr>
        <w:t>2022年高邑县国有资本经营收入预算草案</w:t>
      </w:r>
    </w:p>
    <w:p>
      <w:pPr>
        <w:spacing w:line="264" w:lineRule="auto"/>
        <w:rPr>
          <w:rFonts w:ascii="Arial"/>
          <w:sz w:val="21"/>
        </w:rPr>
      </w:pPr>
    </w:p>
    <w:p>
      <w:pPr>
        <w:spacing w:before="85" w:line="220" w:lineRule="auto"/>
        <w:ind w:left="6488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b/>
          <w:bCs/>
          <w:spacing w:val="-22"/>
          <w:sz w:val="26"/>
          <w:szCs w:val="26"/>
        </w:rPr>
        <w:t>单位：万元</w:t>
      </w:r>
    </w:p>
    <w:p>
      <w:pPr>
        <w:spacing w:line="177" w:lineRule="exact"/>
      </w:pPr>
    </w:p>
    <w:tbl>
      <w:tblPr>
        <w:tblStyle w:val="6"/>
        <w:tblW w:w="7570" w:type="dxa"/>
        <w:tblInd w:w="3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07"/>
        <w:gridCol w:w="176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5807" w:type="dxa"/>
            <w:vAlign w:val="top"/>
          </w:tcPr>
          <w:p>
            <w:pPr>
              <w:pStyle w:val="7"/>
              <w:spacing w:before="183" w:line="219" w:lineRule="auto"/>
              <w:ind w:left="242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科目名称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185" w:line="219" w:lineRule="auto"/>
              <w:ind w:left="518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807" w:type="dxa"/>
            <w:vAlign w:val="top"/>
          </w:tcPr>
          <w:p>
            <w:pPr>
              <w:pStyle w:val="7"/>
              <w:spacing w:before="181" w:line="219" w:lineRule="auto"/>
              <w:ind w:left="1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转移性收入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204"/>
              <w:ind w:left="8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807" w:type="dxa"/>
            <w:vAlign w:val="top"/>
          </w:tcPr>
          <w:p>
            <w:pPr>
              <w:pStyle w:val="7"/>
              <w:spacing w:before="180" w:line="219" w:lineRule="auto"/>
              <w:ind w:left="8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国有资本经营预算转移支付收入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205"/>
              <w:ind w:left="8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8" w:hRule="atLeast"/>
        </w:trPr>
        <w:tc>
          <w:tcPr>
            <w:tcW w:w="5807" w:type="dxa"/>
            <w:vAlign w:val="top"/>
          </w:tcPr>
          <w:p>
            <w:pPr>
              <w:pStyle w:val="7"/>
              <w:spacing w:before="181" w:line="219" w:lineRule="auto"/>
              <w:ind w:left="8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国有资本经营预算转移支付收入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206"/>
              <w:ind w:left="8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5807" w:type="dxa"/>
            <w:vAlign w:val="top"/>
          </w:tcPr>
          <w:p>
            <w:pPr>
              <w:pStyle w:val="7"/>
              <w:spacing w:before="185" w:line="219" w:lineRule="auto"/>
              <w:ind w:left="81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上年结余收入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208"/>
              <w:ind w:left="8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5807" w:type="dxa"/>
            <w:vAlign w:val="top"/>
          </w:tcPr>
          <w:p>
            <w:pPr>
              <w:pStyle w:val="7"/>
              <w:spacing w:before="194" w:line="219" w:lineRule="auto"/>
              <w:ind w:left="8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国有资本经营预算上年结余收入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219"/>
              <w:ind w:left="8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5807" w:type="dxa"/>
            <w:vAlign w:val="top"/>
          </w:tcPr>
          <w:p>
            <w:pPr>
              <w:pStyle w:val="7"/>
              <w:spacing w:before="189" w:line="221" w:lineRule="auto"/>
              <w:ind w:left="2684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合计</w:t>
            </w:r>
          </w:p>
        </w:tc>
        <w:tc>
          <w:tcPr>
            <w:tcW w:w="1763" w:type="dxa"/>
            <w:vAlign w:val="top"/>
          </w:tcPr>
          <w:p>
            <w:pPr>
              <w:pStyle w:val="7"/>
              <w:spacing w:before="211"/>
              <w:ind w:left="8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20"/>
          <w:pgMar w:top="1429" w:right="1785" w:bottom="400" w:left="1785" w:header="0" w:footer="0" w:gutter="0"/>
          <w:cols w:space="720" w:num="1"/>
        </w:sectPr>
      </w:pPr>
    </w:p>
    <w:p>
      <w:pPr>
        <w:spacing w:before="158" w:line="221" w:lineRule="auto"/>
        <w:ind w:left="1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5"/>
          <w:sz w:val="24"/>
          <w:szCs w:val="24"/>
        </w:rPr>
        <w:t>表16</w:t>
      </w:r>
    </w:p>
    <w:p>
      <w:pPr>
        <w:spacing w:line="264" w:lineRule="auto"/>
        <w:rPr>
          <w:rFonts w:ascii="Arial"/>
          <w:sz w:val="21"/>
        </w:rPr>
      </w:pPr>
    </w:p>
    <w:p>
      <w:pPr>
        <w:spacing w:before="127" w:line="222" w:lineRule="auto"/>
        <w:ind w:left="1080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b/>
          <w:bCs/>
          <w:spacing w:val="-30"/>
          <w:sz w:val="39"/>
          <w:szCs w:val="39"/>
        </w:rPr>
        <w:t>2022年高邑县国有资本经营支出预算草案</w:t>
      </w:r>
    </w:p>
    <w:p>
      <w:pPr>
        <w:spacing w:before="280" w:line="220" w:lineRule="auto"/>
        <w:ind w:left="7128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b/>
          <w:bCs/>
          <w:spacing w:val="-22"/>
          <w:sz w:val="26"/>
          <w:szCs w:val="26"/>
        </w:rPr>
        <w:t>单位：万元</w:t>
      </w:r>
    </w:p>
    <w:p>
      <w:pPr>
        <w:spacing w:line="127" w:lineRule="exact"/>
      </w:pPr>
    </w:p>
    <w:tbl>
      <w:tblPr>
        <w:tblStyle w:val="6"/>
        <w:tblW w:w="86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77"/>
        <w:gridCol w:w="18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3" w:hRule="atLeast"/>
        </w:trPr>
        <w:tc>
          <w:tcPr>
            <w:tcW w:w="6777" w:type="dxa"/>
            <w:vAlign w:val="top"/>
          </w:tcPr>
          <w:p>
            <w:pPr>
              <w:pStyle w:val="7"/>
              <w:spacing w:before="233" w:line="219" w:lineRule="auto"/>
              <w:ind w:left="292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科目名称</w:t>
            </w:r>
          </w:p>
        </w:tc>
        <w:tc>
          <w:tcPr>
            <w:tcW w:w="1832" w:type="dxa"/>
            <w:vAlign w:val="top"/>
          </w:tcPr>
          <w:p>
            <w:pPr>
              <w:pStyle w:val="7"/>
              <w:spacing w:before="234" w:line="219" w:lineRule="auto"/>
              <w:ind w:left="547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</w:trPr>
        <w:tc>
          <w:tcPr>
            <w:tcW w:w="6777" w:type="dxa"/>
            <w:vAlign w:val="top"/>
          </w:tcPr>
          <w:p>
            <w:pPr>
              <w:pStyle w:val="7"/>
              <w:spacing w:before="230" w:line="219" w:lineRule="auto"/>
              <w:ind w:left="29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国有资本经营预算支出</w:t>
            </w:r>
          </w:p>
        </w:tc>
        <w:tc>
          <w:tcPr>
            <w:tcW w:w="1832" w:type="dxa"/>
            <w:vAlign w:val="top"/>
          </w:tcPr>
          <w:p>
            <w:pPr>
              <w:pStyle w:val="7"/>
              <w:spacing w:before="255"/>
              <w:ind w:left="8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</w:trPr>
        <w:tc>
          <w:tcPr>
            <w:tcW w:w="6777" w:type="dxa"/>
            <w:vAlign w:val="top"/>
          </w:tcPr>
          <w:p>
            <w:pPr>
              <w:pStyle w:val="7"/>
              <w:spacing w:before="232" w:line="219" w:lineRule="auto"/>
              <w:ind w:left="29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解决历史遗留问题及改革成本支出</w:t>
            </w:r>
          </w:p>
        </w:tc>
        <w:tc>
          <w:tcPr>
            <w:tcW w:w="1832" w:type="dxa"/>
            <w:vAlign w:val="top"/>
          </w:tcPr>
          <w:p>
            <w:pPr>
              <w:pStyle w:val="7"/>
              <w:spacing w:before="257"/>
              <w:ind w:left="8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</w:trPr>
        <w:tc>
          <w:tcPr>
            <w:tcW w:w="6777" w:type="dxa"/>
            <w:vAlign w:val="top"/>
          </w:tcPr>
          <w:p>
            <w:pPr>
              <w:pStyle w:val="7"/>
              <w:spacing w:before="234" w:line="219" w:lineRule="auto"/>
              <w:ind w:left="29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国有企业退休人员社会化管理补助支出</w:t>
            </w:r>
          </w:p>
        </w:tc>
        <w:tc>
          <w:tcPr>
            <w:tcW w:w="1832" w:type="dxa"/>
            <w:vAlign w:val="top"/>
          </w:tcPr>
          <w:p>
            <w:pPr>
              <w:pStyle w:val="7"/>
              <w:spacing w:before="259"/>
              <w:ind w:left="8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3" w:hRule="atLeast"/>
        </w:trPr>
        <w:tc>
          <w:tcPr>
            <w:tcW w:w="6777" w:type="dxa"/>
            <w:vAlign w:val="top"/>
          </w:tcPr>
          <w:p>
            <w:pPr>
              <w:pStyle w:val="7"/>
              <w:spacing w:before="239" w:line="221" w:lineRule="auto"/>
              <w:ind w:left="3144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合计</w:t>
            </w:r>
          </w:p>
        </w:tc>
        <w:tc>
          <w:tcPr>
            <w:tcW w:w="1832" w:type="dxa"/>
            <w:vAlign w:val="top"/>
          </w:tcPr>
          <w:p>
            <w:pPr>
              <w:pStyle w:val="7"/>
              <w:spacing w:before="261"/>
              <w:ind w:left="8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>
      <w:pPr>
        <w:rPr>
          <w:rFonts w:ascii="Arial"/>
          <w:sz w:val="21"/>
        </w:rPr>
      </w:pPr>
    </w:p>
    <w:sectPr>
      <w:pgSz w:w="11900" w:h="16820"/>
      <w:pgMar w:top="1429" w:right="1645" w:bottom="400" w:left="163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233" w:lineRule="auto"/>
      <w:ind w:left="3879"/>
      <w:rPr>
        <w:rFonts w:ascii="宋体" w:hAnsi="宋体" w:eastAsia="宋体" w:cs="宋体"/>
        <w:sz w:val="26"/>
        <w:szCs w:val="26"/>
      </w:rPr>
    </w:pPr>
    <w:r>
      <w:rPr>
        <w:rFonts w:ascii="宋体" w:hAnsi="宋体" w:eastAsia="宋体" w:cs="宋体"/>
        <w:spacing w:val="-3"/>
        <w:sz w:val="26"/>
        <w:szCs w:val="26"/>
      </w:rPr>
      <w:t>—1—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9" w:lineRule="auto"/>
      <w:ind w:left="3869"/>
      <w:rPr>
        <w:rFonts w:ascii="宋体" w:hAnsi="宋体" w:eastAsia="宋体" w:cs="宋体"/>
        <w:sz w:val="21"/>
        <w:szCs w:val="21"/>
      </w:rPr>
    </w:pPr>
    <w:r>
      <w:rPr>
        <w:rFonts w:ascii="宋体" w:hAnsi="宋体" w:eastAsia="宋体" w:cs="宋体"/>
        <w:spacing w:val="-5"/>
        <w:w w:val="51"/>
        <w:sz w:val="21"/>
        <w:szCs w:val="21"/>
      </w:rPr>
      <w:t>—</w:t>
    </w:r>
    <w:r>
      <w:rPr>
        <w:rFonts w:ascii="宋体" w:hAnsi="宋体" w:eastAsia="宋体" w:cs="宋体"/>
        <w:spacing w:val="83"/>
        <w:sz w:val="21"/>
        <w:szCs w:val="21"/>
      </w:rPr>
      <w:t xml:space="preserve"> </w:t>
    </w:r>
    <w:r>
      <w:rPr>
        <w:rFonts w:ascii="Arial" w:hAnsi="Arial" w:eastAsia="Arial" w:cs="Arial"/>
        <w:spacing w:val="-4"/>
        <w:sz w:val="21"/>
        <w:szCs w:val="21"/>
      </w:rPr>
      <w:t>2</w:t>
    </w:r>
    <w:r>
      <w:rPr>
        <w:rFonts w:ascii="Arial" w:hAnsi="Arial" w:eastAsia="Arial" w:cs="Arial"/>
        <w:spacing w:val="1"/>
        <w:sz w:val="21"/>
        <w:szCs w:val="21"/>
      </w:rPr>
      <w:t xml:space="preserve">    </w:t>
    </w:r>
    <w:r>
      <w:rPr>
        <w:rFonts w:ascii="宋体" w:hAnsi="宋体" w:eastAsia="宋体" w:cs="宋体"/>
        <w:spacing w:val="-4"/>
        <w:sz w:val="21"/>
        <w:szCs w:val="21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2" w:lineRule="auto"/>
      <w:ind w:left="3860"/>
      <w:rPr>
        <w:rFonts w:ascii="宋体" w:hAnsi="宋体" w:eastAsia="宋体" w:cs="宋体"/>
        <w:sz w:val="25"/>
        <w:szCs w:val="25"/>
      </w:rPr>
    </w:pPr>
    <w:r>
      <w:rPr>
        <w:rFonts w:ascii="宋体" w:hAnsi="宋体" w:eastAsia="宋体" w:cs="宋体"/>
        <w:spacing w:val="-3"/>
        <w:sz w:val="25"/>
        <w:szCs w:val="25"/>
      </w:rPr>
      <w:t>—3—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232" w:lineRule="auto"/>
      <w:ind w:left="3869"/>
      <w:rPr>
        <w:rFonts w:ascii="宋体" w:hAnsi="宋体" w:eastAsia="宋体" w:cs="宋体"/>
        <w:sz w:val="23"/>
        <w:szCs w:val="23"/>
      </w:rPr>
    </w:pPr>
    <w:r>
      <w:rPr>
        <w:rFonts w:ascii="宋体" w:hAnsi="宋体" w:eastAsia="宋体" w:cs="宋体"/>
        <w:spacing w:val="-3"/>
        <w:sz w:val="23"/>
        <w:szCs w:val="23"/>
      </w:rPr>
      <w:t>—4—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89" w:lineRule="exact"/>
      <w:ind w:left="3879"/>
      <w:rPr>
        <w:rFonts w:ascii="Arial" w:hAnsi="Arial" w:eastAsia="Arial" w:cs="Arial"/>
        <w:sz w:val="22"/>
        <w:szCs w:val="22"/>
      </w:rPr>
    </w:pPr>
    <w:r>
      <w:rPr>
        <w:rFonts w:ascii="Arial" w:hAnsi="Arial" w:eastAsia="Arial" w:cs="Arial"/>
        <w:spacing w:val="-17"/>
        <w:w w:val="74"/>
        <w:position w:val="1"/>
        <w:sz w:val="22"/>
        <w:szCs w:val="22"/>
      </w:rPr>
      <w:t xml:space="preserve">—      </w:t>
    </w:r>
    <w:r>
      <w:rPr>
        <w:rFonts w:ascii="Arial" w:hAnsi="Arial" w:eastAsia="Arial" w:cs="Arial"/>
        <w:spacing w:val="-3"/>
        <w:position w:val="1"/>
        <w:sz w:val="22"/>
        <w:szCs w:val="22"/>
      </w:rPr>
      <w:t>5—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1" w:lineRule="auto"/>
      <w:ind w:left="3899"/>
      <w:rPr>
        <w:rFonts w:ascii="宋体" w:hAnsi="宋体" w:eastAsia="宋体" w:cs="宋体"/>
        <w:sz w:val="22"/>
        <w:szCs w:val="22"/>
      </w:rPr>
    </w:pPr>
    <w:r>
      <w:rPr>
        <w:rFonts w:ascii="宋体" w:hAnsi="宋体" w:eastAsia="宋体" w:cs="宋体"/>
        <w:spacing w:val="-3"/>
        <w:sz w:val="22"/>
        <w:szCs w:val="22"/>
      </w:rPr>
      <w:t>—6—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1" w:lineRule="auto"/>
      <w:ind w:left="3860"/>
      <w:rPr>
        <w:rFonts w:ascii="宋体" w:hAnsi="宋体" w:eastAsia="宋体" w:cs="宋体"/>
        <w:sz w:val="22"/>
        <w:szCs w:val="22"/>
      </w:rPr>
    </w:pPr>
    <w:r>
      <w:rPr>
        <w:rFonts w:ascii="宋体" w:hAnsi="宋体" w:eastAsia="宋体" w:cs="宋体"/>
        <w:spacing w:val="-3"/>
        <w:sz w:val="22"/>
        <w:szCs w:val="22"/>
      </w:rPr>
      <w:t>—7—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1" w:lineRule="auto"/>
      <w:ind w:left="3850"/>
      <w:rPr>
        <w:rFonts w:ascii="宋体" w:hAnsi="宋体" w:eastAsia="宋体" w:cs="宋体"/>
        <w:sz w:val="23"/>
        <w:szCs w:val="23"/>
      </w:rPr>
    </w:pPr>
    <w:r>
      <w:rPr>
        <w:rFonts w:ascii="宋体" w:hAnsi="宋体" w:eastAsia="宋体" w:cs="宋体"/>
        <w:spacing w:val="-3"/>
        <w:sz w:val="23"/>
        <w:szCs w:val="23"/>
      </w:rPr>
      <w:t>—8—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330" w:lineRule="exact"/>
      <w:ind w:left="3850"/>
      <w:rPr>
        <w:rFonts w:ascii="Arial" w:hAnsi="Arial" w:eastAsia="Arial" w:cs="Arial"/>
        <w:sz w:val="25"/>
        <w:szCs w:val="25"/>
      </w:rPr>
    </w:pPr>
    <w:r>
      <w:rPr>
        <w:rFonts w:ascii="宋体" w:hAnsi="宋体" w:eastAsia="宋体" w:cs="宋体"/>
        <w:color w:val="503050"/>
        <w:spacing w:val="-6"/>
        <w:w w:val="47"/>
        <w:position w:val="1"/>
        <w:sz w:val="25"/>
        <w:szCs w:val="25"/>
      </w:rPr>
      <w:t>—</w:t>
    </w:r>
    <w:r>
      <w:rPr>
        <w:rFonts w:ascii="宋体" w:hAnsi="宋体" w:eastAsia="宋体" w:cs="宋体"/>
        <w:color w:val="503050"/>
        <w:spacing w:val="81"/>
        <w:position w:val="1"/>
        <w:sz w:val="25"/>
        <w:szCs w:val="25"/>
      </w:rPr>
      <w:t xml:space="preserve"> </w:t>
    </w:r>
    <w:r>
      <w:rPr>
        <w:rFonts w:ascii="Arial" w:hAnsi="Arial" w:eastAsia="Arial" w:cs="Arial"/>
        <w:spacing w:val="-5"/>
        <w:position w:val="1"/>
        <w:sz w:val="25"/>
        <w:szCs w:val="25"/>
      </w:rPr>
      <w:t>9—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73" w:lineRule="auto"/>
      <w:ind w:left="3779"/>
      <w:rPr>
        <w:rFonts w:ascii="Times New Roman" w:hAnsi="Times New Roman" w:eastAsia="Times New Roman" w:cs="Times New Roman"/>
        <w:sz w:val="29"/>
        <w:szCs w:val="29"/>
      </w:rPr>
    </w:pPr>
    <w:r>
      <w:rPr>
        <w:rFonts w:ascii="宋体" w:hAnsi="宋体" w:eastAsia="宋体" w:cs="宋体"/>
        <w:color w:val="202050"/>
        <w:spacing w:val="-6"/>
        <w:w w:val="41"/>
        <w:sz w:val="29"/>
        <w:szCs w:val="29"/>
      </w:rPr>
      <w:t>—</w:t>
    </w:r>
    <w:r>
      <w:rPr>
        <w:rFonts w:ascii="宋体" w:hAnsi="宋体" w:eastAsia="宋体" w:cs="宋体"/>
        <w:color w:val="202050"/>
        <w:spacing w:val="52"/>
        <w:sz w:val="29"/>
        <w:szCs w:val="29"/>
      </w:rPr>
      <w:t xml:space="preserve"> </w:t>
    </w:r>
    <w:r>
      <w:rPr>
        <w:rFonts w:ascii="Times New Roman" w:hAnsi="Times New Roman" w:eastAsia="Times New Roman" w:cs="Times New Roman"/>
        <w:spacing w:val="-11"/>
        <w:sz w:val="29"/>
        <w:szCs w:val="29"/>
      </w:rPr>
      <w:t>10—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71" w:lineRule="auto"/>
      <w:ind w:left="3759"/>
      <w:rPr>
        <w:rFonts w:ascii="宋体" w:hAnsi="宋体" w:eastAsia="宋体" w:cs="宋体"/>
        <w:sz w:val="22"/>
        <w:szCs w:val="22"/>
      </w:rPr>
    </w:pPr>
    <w:r>
      <w:rPr>
        <w:rFonts w:ascii="宋体" w:hAnsi="宋体" w:eastAsia="宋体" w:cs="宋体"/>
        <w:spacing w:val="-6"/>
        <w:w w:val="54"/>
        <w:sz w:val="22"/>
        <w:szCs w:val="22"/>
      </w:rPr>
      <w:t>—</w:t>
    </w:r>
    <w:r>
      <w:rPr>
        <w:rFonts w:ascii="宋体" w:hAnsi="宋体" w:eastAsia="宋体" w:cs="宋体"/>
        <w:spacing w:val="87"/>
        <w:sz w:val="22"/>
        <w:szCs w:val="22"/>
      </w:rPr>
      <w:t xml:space="preserve"> </w:t>
    </w:r>
    <w:r>
      <w:rPr>
        <w:rFonts w:ascii="Times New Roman" w:hAnsi="Times New Roman" w:eastAsia="Times New Roman" w:cs="Times New Roman"/>
        <w:spacing w:val="-9"/>
        <w:sz w:val="22"/>
        <w:szCs w:val="22"/>
      </w:rPr>
      <w:t>11</w:t>
    </w:r>
    <w:r>
      <w:rPr>
        <w:rFonts w:ascii="Times New Roman" w:hAnsi="Times New Roman" w:eastAsia="Times New Roman" w:cs="Times New Roman"/>
        <w:spacing w:val="10"/>
        <w:sz w:val="22"/>
        <w:szCs w:val="22"/>
      </w:rPr>
      <w:t xml:space="preserve">     </w:t>
    </w:r>
    <w:r>
      <w:rPr>
        <w:rFonts w:ascii="宋体" w:hAnsi="宋体" w:eastAsia="宋体" w:cs="宋体"/>
        <w:spacing w:val="-9"/>
        <w:sz w:val="22"/>
        <w:szCs w:val="22"/>
      </w:rPr>
      <w:t>—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233" w:lineRule="auto"/>
      <w:ind w:left="3769"/>
      <w:rPr>
        <w:rFonts w:ascii="宋体" w:hAnsi="宋体" w:eastAsia="宋体" w:cs="宋体"/>
        <w:sz w:val="26"/>
        <w:szCs w:val="26"/>
      </w:rPr>
    </w:pPr>
    <w:r>
      <w:rPr>
        <w:rFonts w:ascii="宋体" w:hAnsi="宋体" w:eastAsia="宋体" w:cs="宋体"/>
        <w:spacing w:val="-3"/>
        <w:sz w:val="26"/>
        <w:szCs w:val="26"/>
      </w:rPr>
      <w:t>—12—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1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91108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3"/>
      <w:szCs w:val="33"/>
      <w:lang w:val="en-US" w:eastAsia="en-US" w:bidi="ar-SA"/>
    </w:rPr>
  </w:style>
  <w:style w:type="paragraph" w:styleId="3">
    <w:name w:val="Plain Text"/>
    <w:basedOn w:val="1"/>
    <w:qFormat/>
    <w:uiPriority w:val="0"/>
    <w:rPr>
      <w:rFonts w:ascii="宋体" w:hAnsi="Courier New" w:cs="Courier New"/>
      <w:szCs w:val="21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5"/>
      <w:szCs w:val="2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theme" Target="theme/theme1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ScaleCrop>false</ScaleCrop>
  <LinksUpToDate>false</LinksUpToDate>
  <Application>WPS Office_11.8.2.11500_F1E327BC-269C-435d-A152-05C5408002CA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2026-08-21T10:38:00Z</dcterms:created>
  <dc:creator>Administrator</dc:creator>
  <cp:lastModifiedBy>งง</cp:lastModifiedBy>
  <dcterms:modified xsi:type="dcterms:W3CDTF">2026-08-21T02:41:54Z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2026-08-21T10:38:15Z</vt:filetime>
  </property>
  <property fmtid="{D5CDD505-2E9C-101B-9397-08002B2CF9AE}" pid="4" name="UsrData">
    <vt:lpwstr>6a87ba0f23af26001ffe868ewl</vt:lpwstr>
  </property>
  <property fmtid="{D5CDD505-2E9C-101B-9397-08002B2CF9AE}" pid="5" name="KSOProductBuildVer">
    <vt:lpwstr>2052-11.8.2.11500</vt:lpwstr>
  </property>
  <property fmtid="{D5CDD505-2E9C-101B-9397-08002B2CF9AE}" pid="6" name="ICV">
    <vt:lpwstr>074377C4F54E47A3A838179CB6AC9B97</vt:lpwstr>
  </property>
</Properties>
</file>