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60" w:lineRule="exact"/>
        <w:ind w:left="0" w:leftChars="0" w:right="0" w:rightChars="0"/>
        <w:jc w:val="center"/>
        <w:textAlignment w:val="auto"/>
        <w:outlineLvl w:val="9"/>
        <w:rPr>
          <w:rFonts w:hint="eastAsia" w:ascii="华文中宋" w:hAnsi="华文中宋" w:eastAsia="华文中宋" w:cs="华文中宋"/>
          <w:b/>
          <w:bCs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60" w:lineRule="exact"/>
        <w:ind w:left="0" w:leftChars="0" w:right="0" w:rightChars="0"/>
        <w:jc w:val="center"/>
        <w:textAlignment w:val="auto"/>
        <w:outlineLvl w:val="9"/>
        <w:rPr>
          <w:rFonts w:hint="eastAsia" w:ascii="华文中宋" w:hAnsi="华文中宋" w:eastAsia="华文中宋" w:cs="华文中宋"/>
          <w:b/>
          <w:bCs/>
          <w:sz w:val="44"/>
          <w:szCs w:val="44"/>
        </w:rPr>
      </w:pPr>
      <w:r>
        <w:rPr>
          <w:rFonts w:hint="eastAsia" w:ascii="华文中宋" w:hAnsi="华文中宋" w:eastAsia="华文中宋" w:cs="华文中宋"/>
          <w:b/>
          <w:bCs/>
          <w:sz w:val="44"/>
          <w:szCs w:val="44"/>
        </w:rPr>
        <w:t>2020年部门预算</w:t>
      </w:r>
      <w:bookmarkStart w:id="0" w:name="_GoBack"/>
      <w:bookmarkEnd w:id="0"/>
      <w:r>
        <w:rPr>
          <w:rFonts w:hint="eastAsia" w:ascii="华文中宋" w:hAnsi="华文中宋" w:eastAsia="华文中宋" w:cs="华文中宋"/>
          <w:b/>
          <w:bCs/>
          <w:sz w:val="44"/>
          <w:szCs w:val="44"/>
        </w:rPr>
        <w:t>信息公开目录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6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60" w:lineRule="exact"/>
        <w:ind w:left="0" w:leftChars="0" w:right="0" w:rightChars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一、2020年部门预算公开表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960" w:firstLineChars="3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部门预算收支总表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960" w:firstLineChars="3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部门预算收入总表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960" w:firstLineChars="3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部门预算支出总表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960" w:firstLineChars="3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部门预算财政拨款收支总表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960" w:firstLineChars="3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部门预算一般公共预算财政拨款支出表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960" w:firstLineChars="3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部门预算一般公共预算财政拨款基本支出表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960" w:firstLineChars="3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部门预算政府性基金预算财政拨款支出表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960" w:firstLineChars="3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部门预算国有资本经营预算财政拨款支出表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960" w:firstLineChars="3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部门预算财政拨款“三公”经费支出表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60" w:lineRule="exact"/>
        <w:ind w:left="0" w:leftChars="0" w:right="0" w:rightChars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二、2020年部门预算信息公开情况说明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bidi w:val="0"/>
        <w:snapToGrid/>
        <w:spacing w:line="560" w:lineRule="exact"/>
        <w:ind w:left="0" w:leftChars="0" w:right="0" w:rightChars="0" w:firstLine="960" w:firstLineChars="3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部门职责及机构设置情况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60" w:lineRule="exact"/>
        <w:ind w:left="0" w:leftChars="0" w:right="0" w:rightChars="0" w:firstLine="960" w:firstLineChars="3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2、部门预算安排的总体情况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60" w:lineRule="exact"/>
        <w:ind w:left="0" w:leftChars="0" w:right="0" w:rightChars="0" w:firstLine="960" w:firstLineChars="3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3、机关运行经费安排情况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left="0" w:leftChars="0" w:right="0" w:rightChars="0" w:firstLine="960" w:firstLineChars="300"/>
        <w:jc w:val="left"/>
        <w:textAlignment w:val="auto"/>
        <w:outlineLvl w:val="9"/>
        <w:rPr>
          <w:rFonts w:hint="eastAsia" w:ascii="仿宋_GB2312" w:hAnsi="仿宋_GB2312" w:eastAsia="仿宋_GB2312" w:cs="仿宋_GB2312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0"/>
          <w:sz w:val="32"/>
          <w:szCs w:val="32"/>
        </w:rPr>
        <w:t>4、财政拨款“三公”经费预算情况及增减变化原因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left="0" w:leftChars="0" w:right="0" w:rightChars="0" w:firstLine="960" w:firstLineChars="300"/>
        <w:jc w:val="lef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5、预算绩效信息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left="0" w:leftChars="0" w:right="0" w:rightChars="0" w:firstLine="960" w:firstLineChars="300"/>
        <w:jc w:val="lef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6、政府采购预算情况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left="0" w:leftChars="0" w:right="0" w:rightChars="0" w:firstLine="960" w:firstLineChars="300"/>
        <w:jc w:val="lef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7、国有资产信息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left="0" w:leftChars="0" w:right="0" w:rightChars="0" w:firstLine="960" w:firstLineChars="300"/>
        <w:jc w:val="lef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8、名词解释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left="0" w:leftChars="0" w:right="0" w:rightChars="0" w:firstLine="960" w:firstLineChars="300"/>
        <w:jc w:val="lef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9、其他需要说明的事项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60" w:lineRule="exact"/>
        <w:ind w:left="0" w:leftChars="0" w:right="0" w:rightChars="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宋体-方正超大字符集">
    <w:altName w:val="Arial Unicode MS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宋体-方正超大字符集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Microsoft JhengHei">
    <w:panose1 w:val="020B0604030504040204"/>
    <w:charset w:val="88"/>
    <w:family w:val="auto"/>
    <w:pitch w:val="default"/>
    <w:sig w:usb0="00000087" w:usb1="28AF4000" w:usb2="00000016" w:usb3="00000000" w:csb0="00100009" w:csb1="00000000"/>
  </w:font>
  <w:font w:name="MingLiU_HKSCS">
    <w:panose1 w:val="02020500000000000000"/>
    <w:charset w:val="88"/>
    <w:family w:val="auto"/>
    <w:pitch w:val="default"/>
    <w:sig w:usb0="A00002FF" w:usb1="38CFFCFA" w:usb2="00000016" w:usb3="00000000" w:csb0="00100001" w:csb1="00000000"/>
  </w:font>
  <w:font w:name="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MingLiU">
    <w:panose1 w:val="02020509000000000000"/>
    <w:charset w:val="88"/>
    <w:family w:val="auto"/>
    <w:pitch w:val="default"/>
    <w:sig w:usb0="A00002FF" w:usb1="28CFFCFA" w:usb2="00000016" w:usb3="00000000" w:csb0="00100001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行楷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新宋体">
    <w:panose1 w:val="02010609030101010101"/>
    <w:charset w:val="86"/>
    <w:family w:val="auto"/>
    <w:pitch w:val="default"/>
    <w:sig w:usb0="00000003" w:usb1="288F0000" w:usb2="00000006" w:usb3="00000000" w:csb0="00040001" w:csb1="00000000"/>
  </w:font>
  <w:font w:name="DFKai-SB">
    <w:panose1 w:val="03000509000000000000"/>
    <w:charset w:val="88"/>
    <w:family w:val="auto"/>
    <w:pitch w:val="default"/>
    <w:sig w:usb0="00000003" w:usb1="082E0000" w:usb2="00000016" w:usb3="00000000" w:csb0="00100001" w:csb1="00000000"/>
  </w:font>
  <w:font w:name="MS Gothic">
    <w:panose1 w:val="020B0609070205080204"/>
    <w:charset w:val="80"/>
    <w:family w:val="auto"/>
    <w:pitch w:val="default"/>
    <w:sig w:usb0="E00002FF" w:usb1="6AC7FDFB" w:usb2="00000012" w:usb3="00000000" w:csb0="4002009F" w:csb1="DFD70000"/>
  </w:font>
  <w:font w:name="MS PGothic">
    <w:panose1 w:val="020B0600070205080204"/>
    <w:charset w:val="80"/>
    <w:family w:val="auto"/>
    <w:pitch w:val="default"/>
    <w:sig w:usb0="E00002FF" w:usb1="6AC7FDFB" w:usb2="00000012" w:usb3="00000000" w:csb0="4002009F" w:csb1="DFD70000"/>
  </w:font>
  <w:font w:name="Aparajita">
    <w:panose1 w:val="020B0604020202020204"/>
    <w:charset w:val="00"/>
    <w:family w:val="auto"/>
    <w:pitch w:val="default"/>
    <w:sig w:usb0="00008003" w:usb1="00000000" w:usb2="00000000" w:usb3="00000000" w:csb0="00000001" w:csb1="00000000"/>
  </w:font>
  <w:font w:name="AngsanaUPC">
    <w:panose1 w:val="02020603050405020304"/>
    <w:charset w:val="00"/>
    <w:family w:val="auto"/>
    <w:pitch w:val="default"/>
    <w:sig w:usb0="81000003" w:usb1="00000000" w:usb2="00000000" w:usb3="00000000" w:csb0="00010001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Arial Black">
    <w:panose1 w:val="020B0A04020102020204"/>
    <w:charset w:val="00"/>
    <w:family w:val="auto"/>
    <w:pitch w:val="default"/>
    <w:sig w:usb0="00000287" w:usb1="00000000" w:usb2="00000000" w:usb3="00000000" w:csb0="2000009F" w:csb1="DFD70000"/>
  </w:font>
  <w:font w:name="Tw Cen MT Condensed Extra Bold">
    <w:panose1 w:val="020B0803020202020204"/>
    <w:charset w:val="00"/>
    <w:family w:val="auto"/>
    <w:pitch w:val="default"/>
    <w:sig w:usb0="00000003" w:usb1="00000000" w:usb2="00000000" w:usb3="00000000" w:csb0="20000003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774A"/>
    <w:rsid w:val="00136145"/>
    <w:rsid w:val="001A6347"/>
    <w:rsid w:val="004164A3"/>
    <w:rsid w:val="00A5774A"/>
    <w:rsid w:val="00D94858"/>
    <w:rsid w:val="1F380326"/>
    <w:rsid w:val="41436AB0"/>
    <w:rsid w:val="514131B7"/>
  </w:rsids>
  <m:mathPr>
    <m:lMargin m:val="0"/>
    <m:mathFont m:val="Cambria Math"/>
    <m:rMargin m:val="0"/>
    <m:wrapIndent m:val="1440"/>
    <m:brkBin m:val="before"/>
    <m:brkBinSub m:val="--"/>
    <m:defJc m:val="centerGroup"/>
    <m:intLim m:val="subSup"/>
    <m:naryLim m:val="undOvr"/>
    <m:smallFrac m:val="0"/>
    <m:dispDef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unhideWhenUsed/>
    <w:uiPriority w:val="1"/>
  </w:style>
  <w:style w:type="table" w:default="1" w:styleId="3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45</Words>
  <Characters>257</Characters>
  <Lines>2</Lines>
  <Paragraphs>1</Paragraphs>
  <ScaleCrop>false</ScaleCrop>
  <LinksUpToDate>false</LinksUpToDate>
  <CharactersWithSpaces>301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2019-01-15T00:49:00Z</dcterms:created>
  <dc:creator>user</dc:creator>
  <cp:lastModifiedBy>admin</cp:lastModifiedBy>
  <cp:lastPrinted>2020-01-09T12:02:15Z</cp:lastPrinted>
  <dcterms:modified xsi:type="dcterms:W3CDTF">2020-01-09T12:22:29Z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