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drawing>
          <wp:anchor distT="0" distB="0" distL="114300" distR="114300" simplePos="0" relativeHeight="251660288" behindDoc="1" locked="0" layoutInCell="1" allowOverlap="1">
            <wp:simplePos x="0" y="0"/>
            <wp:positionH relativeFrom="column">
              <wp:posOffset>-889000</wp:posOffset>
            </wp:positionH>
            <wp:positionV relativeFrom="page">
              <wp:posOffset>0</wp:posOffset>
            </wp:positionV>
            <wp:extent cx="7559675" cy="10692130"/>
            <wp:effectExtent l="0" t="0" r="317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0"/>
                    <a:srcRect/>
                    <a:stretch>
                      <a:fillRect/>
                    </a:stretch>
                  </pic:blipFill>
                  <pic:spPr>
                    <a:xfrm>
                      <a:off x="0" y="0"/>
                      <a:ext cx="7559675" cy="10692130"/>
                    </a:xfrm>
                    <a:prstGeom prst="rect">
                      <a:avLst/>
                    </a:prstGeom>
                  </pic:spPr>
                </pic:pic>
              </a:graphicData>
            </a:graphic>
          </wp:anchor>
        </w:drawing>
      </w:r>
    </w:p>
    <w:p>
      <w:pPr>
        <w:rPr>
          <w:rFonts w:ascii="黑体" w:hAnsi="黑体" w:eastAsia="黑体" w:cs="幼圆"/>
          <w:sz w:val="32"/>
          <w:szCs w:val="32"/>
        </w:rPr>
        <w:sectPr>
          <w:footerReference r:id="rId3" w:type="default"/>
          <w:pgSz w:w="11906" w:h="16838"/>
          <w:pgMar w:top="2098" w:right="1418" w:bottom="1871" w:left="1418" w:header="851" w:footer="992" w:gutter="0"/>
          <w:cols w:space="0" w:num="1"/>
          <w:titlePg/>
          <w:docGrid w:type="lines" w:linePitch="312" w:charSpace="0"/>
        </w:sectPr>
      </w:pPr>
      <w:r>
        <mc:AlternateContent>
          <mc:Choice Requires="wps">
            <w:drawing>
              <wp:anchor distT="0" distB="0" distL="114300" distR="114300" simplePos="0" relativeHeight="251661312" behindDoc="0" locked="0" layoutInCell="1" allowOverlap="1">
                <wp:simplePos x="0" y="0"/>
                <wp:positionH relativeFrom="column">
                  <wp:posOffset>-299720</wp:posOffset>
                </wp:positionH>
                <wp:positionV relativeFrom="paragraph">
                  <wp:posOffset>353060</wp:posOffset>
                </wp:positionV>
                <wp:extent cx="5759450" cy="2075180"/>
                <wp:effectExtent l="0" t="0" r="0" b="0"/>
                <wp:wrapNone/>
                <wp:docPr id="1" name="矩形 13"/>
                <wp:cNvGraphicFramePr/>
                <a:graphic xmlns:a="http://schemas.openxmlformats.org/drawingml/2006/main">
                  <a:graphicData uri="http://schemas.microsoft.com/office/word/2010/wordprocessingShape">
                    <wps:wsp>
                      <wps:cNvSpPr/>
                      <wps:spPr>
                        <a:xfrm>
                          <a:off x="0" y="0"/>
                          <a:ext cx="5759450" cy="2075180"/>
                        </a:xfrm>
                        <a:prstGeom prst="rect">
                          <a:avLst/>
                        </a:prstGeom>
                      </wps:spPr>
                      <wps:txbx>
                        <w:txbxContent>
                          <w:p>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部门决算公开文本</w:t>
                            </w:r>
                          </w:p>
                        </w:txbxContent>
                      </wps:txbx>
                      <wps:bodyPr wrap="square">
                        <a:noAutofit/>
                      </wps:bodyPr>
                    </wps:wsp>
                  </a:graphicData>
                </a:graphic>
              </wp:anchor>
            </w:drawing>
          </mc:Choice>
          <mc:Fallback>
            <w:pict>
              <v:rect id="矩形 13" o:spid="_x0000_s1026" o:spt="1" style="position:absolute;left:0pt;margin-left:-23.6pt;margin-top:27.8pt;height:163.4pt;width:453.5pt;z-index:251661312;mso-width-relative:page;mso-height-relative:page;" filled="f" stroked="f" coordsize="21600,21600" o:gfxdata="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bac0p3AAAAAoB&#10;AAAPAAAAAAAAAAEAIAAAACIAAABkcnMvZG93bnJldi54bWxQSwECFAAUAAAACACHTuJAqNxfLaUB&#10;AAA8AwAADgAAAAAAAAABACAAAAArAQAAZHJzL2Uyb0RvYy54bWxQSwUGAAAAAAYABgBZAQAAQgUA&#10;AAAA&#10;">
                <v:fill on="f" focussize="0,0"/>
                <v:stroke on="f"/>
                <v:imagedata o:title=""/>
                <o:lock v:ext="edit" aspectratio="f"/>
                <v:textbox>
                  <w:txbxContent>
                    <w:p>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部门决算公开文本</w:t>
                      </w:r>
                    </w:p>
                  </w:txbxContent>
                </v:textbox>
              </v:rect>
            </w:pict>
          </mc:Fallback>
        </mc:AlternateContent>
      </w:r>
      <w:r>
        <w:pict>
          <v:shape id="文本框 61" o:spid="_x0000_s1028" o:spt="202" type="#_x0000_t202" style="position:absolute;left:0pt;margin-left:-73.35pt;margin-top:527.5pt;height:166.25pt;width:599.4pt;z-index:251659264;mso-width-relative:page;mso-height-relative:page;" filled="f" stroked="f" coordsize="21600,21600">
            <v:path/>
            <v:fill on="f" focussize="0,0"/>
            <v:stroke on="f" joinstyle="miter"/>
            <v:imagedata o:title=""/>
            <o:lock v:ext="edit"/>
            <v:textbox>
              <w:txbxContent>
                <w:p>
                  <w:pPr>
                    <w:jc w:val="cente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高邑县财政局</w:t>
                  </w:r>
                </w:p>
                <w:p>
                  <w:pPr>
                    <w:jc w:val="center"/>
                    <w:rPr>
                      <w:rFonts w:hint="default"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318</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txbxContent>
            </v:textbox>
          </v:shape>
        </w:pict>
      </w:r>
    </w:p>
    <w:p>
      <w:pPr>
        <w:rPr>
          <w:rFonts w:ascii="黑体" w:hAnsi="黑体" w:eastAsia="黑体" w:cs="幼圆"/>
          <w:sz w:val="32"/>
          <w:szCs w:val="32"/>
        </w:rPr>
      </w:pPr>
    </w:p>
    <w:p>
      <w:pPr>
        <w:rPr>
          <w:rFonts w:ascii="Times New Roman" w:hAnsi="Times New Roman" w:eastAsia="黑体" w:cs="Times New Roman"/>
          <w:b/>
          <w:bCs/>
          <w:sz w:val="72"/>
          <w:szCs w:val="96"/>
        </w:rPr>
      </w:pPr>
    </w:p>
    <w:p>
      <w:pPr>
        <w:ind w:firstLine="2160" w:firstLineChars="300"/>
        <w:rPr>
          <w:rFonts w:hint="eastAsia" w:ascii="方正小标宋_GBK" w:hAnsi="方正小标宋_GBK" w:eastAsia="方正小标宋_GBK" w:cs="方正小标宋_GBK"/>
          <w:sz w:val="72"/>
          <w:szCs w:val="96"/>
          <w:lang w:val="en-US" w:eastAsia="zh-CN"/>
        </w:rPr>
      </w:pPr>
      <w:r>
        <w:rPr>
          <w:rFonts w:hint="eastAsia" w:ascii="方正小标宋_GBK" w:hAnsi="方正小标宋_GBK" w:eastAsia="方正小标宋_GBK" w:cs="方正小标宋_GBK"/>
          <w:sz w:val="72"/>
          <w:szCs w:val="96"/>
          <w:lang w:val="en-US" w:eastAsia="zh-CN"/>
        </w:rPr>
        <w:t>高邑县财政局</w:t>
      </w:r>
    </w:p>
    <w:p>
      <w:pPr>
        <w:rPr>
          <w:rFonts w:ascii="方正小标宋_GBK" w:hAnsi="方正小标宋_GBK" w:eastAsia="方正小标宋_GBK" w:cs="方正小标宋_GBK"/>
          <w:sz w:val="72"/>
          <w:szCs w:val="96"/>
        </w:rPr>
      </w:pPr>
      <w:r>
        <w:rPr>
          <w:rFonts w:hint="eastAsia" w:ascii="方正小标宋_GBK" w:hAnsi="方正小标宋_GBK" w:eastAsia="方正小标宋_GBK" w:cs="方正小标宋_GBK"/>
          <w:sz w:val="72"/>
          <w:szCs w:val="96"/>
        </w:rPr>
        <w:t>2025年度部门决算公开文本</w:t>
      </w:r>
    </w:p>
    <w:p>
      <w:pPr>
        <w:spacing w:line="600" w:lineRule="auto"/>
        <w:jc w:val="center"/>
        <w:rPr>
          <w:rFonts w:ascii="Times New Roman" w:hAnsi="Times New Roman" w:eastAsia="黑体" w:cs="Times New Roman"/>
          <w:sz w:val="56"/>
          <w:szCs w:val="72"/>
        </w:rPr>
      </w:pPr>
    </w:p>
    <w:p>
      <w:pPr>
        <w:spacing w:line="600" w:lineRule="auto"/>
        <w:jc w:val="center"/>
        <w:rPr>
          <w:rFonts w:ascii="Times New Roman" w:hAnsi="Times New Roman" w:eastAsia="黑体" w:cs="Times New Roman"/>
          <w:sz w:val="56"/>
          <w:szCs w:val="72"/>
        </w:rPr>
      </w:pPr>
    </w:p>
    <w:p>
      <w:pPr>
        <w:spacing w:line="600" w:lineRule="auto"/>
        <w:jc w:val="center"/>
        <w:rPr>
          <w:rFonts w:ascii="Times New Roman" w:hAnsi="Times New Roman" w:eastAsia="黑体" w:cs="Times New Roman"/>
          <w:sz w:val="56"/>
          <w:szCs w:val="72"/>
        </w:rPr>
      </w:pPr>
    </w:p>
    <w:p>
      <w:pPr>
        <w:spacing w:line="480" w:lineRule="auto"/>
        <w:jc w:val="center"/>
        <w:rPr>
          <w:rFonts w:ascii="Times New Roman" w:hAnsi="Times New Roman" w:eastAsia="黑体" w:cs="Times New Roman"/>
          <w:sz w:val="56"/>
          <w:szCs w:val="72"/>
        </w:rPr>
      </w:pPr>
    </w:p>
    <w:p>
      <w:pPr>
        <w:spacing w:line="480" w:lineRule="auto"/>
        <w:jc w:val="center"/>
        <w:rPr>
          <w:rFonts w:ascii="Times New Roman" w:hAnsi="Times New Roman" w:eastAsia="黑体" w:cs="Times New Roman"/>
          <w:sz w:val="56"/>
          <w:szCs w:val="72"/>
        </w:rPr>
      </w:pPr>
    </w:p>
    <w:p>
      <w:pPr>
        <w:spacing w:line="480" w:lineRule="auto"/>
        <w:jc w:val="center"/>
        <w:rPr>
          <w:rFonts w:ascii="Times New Roman" w:hAnsi="Times New Roman" w:eastAsia="黑体" w:cs="Times New Roman"/>
          <w:sz w:val="56"/>
          <w:szCs w:val="72"/>
        </w:rPr>
      </w:pPr>
    </w:p>
    <w:p>
      <w:pPr>
        <w:spacing w:line="480" w:lineRule="auto"/>
        <w:jc w:val="center"/>
        <w:rPr>
          <w:rFonts w:ascii="Times New Roman" w:hAnsi="Times New Roman" w:eastAsia="黑体" w:cs="Times New Roman"/>
          <w:sz w:val="56"/>
          <w:szCs w:val="72"/>
        </w:rPr>
      </w:pPr>
    </w:p>
    <w:p>
      <w:pPr>
        <w:snapToGrid w:val="0"/>
        <w:jc w:val="center"/>
        <w:rPr>
          <w:rFonts w:hint="eastAsia" w:ascii="Times New Roman" w:hAnsi="Times New Roman" w:eastAsia="楷体_GB2312" w:cs="Times New Roman"/>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Times New Roman" w:hAnsi="Times New Roman" w:eastAsia="楷体_GB2312" w:cs="Times New Roman"/>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高邑县财政局</w:t>
      </w:r>
    </w:p>
    <w:p>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w:t>
      </w:r>
      <w:r>
        <w:rPr>
          <w:rFonts w:ascii="Times New Roman" w:hAnsi="Times New Roman" w:eastAsia="宋体"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〇</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w:t>
      </w:r>
      <w:r>
        <w:rPr>
          <w:rFonts w:hint="eastAsia"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六</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年</w:t>
      </w:r>
      <w:r>
        <w:rPr>
          <w:rFonts w:hint="eastAsia" w:ascii="Times New Roman" w:hAnsi="Times New Roman" w:eastAsia="楷体_GB2312" w:cs="Times New Roman"/>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十</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月</w:t>
      </w:r>
    </w:p>
    <w:p>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pPr>
        <w:jc w:val="center"/>
        <w:rPr>
          <w:rFonts w:hint="eastAsia" w:ascii="方正小标宋简体" w:hAnsi="Times New Roman" w:eastAsia="方正小标宋简体" w:cs="Times New Roman"/>
          <w:sz w:val="44"/>
          <w:szCs w:val="44"/>
        </w:rPr>
      </w:pPr>
    </w:p>
    <w:p>
      <w:pPr>
        <w:rPr>
          <w:rFonts w:ascii="华文中宋" w:hAnsi="华文中宋" w:eastAsia="华文中宋"/>
          <w:szCs w:val="21"/>
        </w:rPr>
      </w:pPr>
    </w:p>
    <w:p>
      <w:pPr>
        <w:rPr>
          <w:rFonts w:ascii="华文中宋" w:hAnsi="华文中宋" w:eastAsia="华文中宋"/>
          <w:szCs w:val="21"/>
        </w:rPr>
      </w:pPr>
    </w:p>
    <w:p>
      <w:pPr>
        <w:tabs>
          <w:tab w:val="left" w:pos="2728"/>
        </w:tabs>
        <w:jc w:val="center"/>
        <w:rPr>
          <w:rFonts w:ascii="Times New Roman" w:hAnsi="Times New Roman" w:eastAsia="黑体" w:cs="Times New Roman"/>
          <w:sz w:val="44"/>
          <w:szCs w:val="44"/>
        </w:rPr>
      </w:pPr>
      <w:r>
        <w:rPr>
          <w:rFonts w:hint="eastAsia" w:ascii="仿宋_GB2312" w:hAnsi="华文中宋" w:eastAsia="仿宋_GB2312"/>
          <w:sz w:val="32"/>
          <w:szCs w:val="32"/>
        </w:rPr>
        <w:t xml:space="preserve"> </w:t>
      </w:r>
      <w:r>
        <w:rPr>
          <w:rFonts w:ascii="Times New Roman" w:hAnsi="Times New Roman" w:eastAsia="黑体" w:cs="Times New Roman"/>
          <w:sz w:val="44"/>
          <w:szCs w:val="44"/>
        </w:rPr>
        <w:t>目    录</w:t>
      </w:r>
    </w:p>
    <w:p>
      <w:pPr>
        <w:widowControl/>
        <w:spacing w:after="160" w:line="58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w:t>
      </w:r>
    </w:p>
    <w:p>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   2025年度部门决算报表</w:t>
      </w:r>
    </w:p>
    <w:p>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widowControl/>
        <w:spacing w:after="160" w:line="580" w:lineRule="exact"/>
        <w:ind w:left="640" w:firstLine="640" w:firstLineChars="200"/>
        <w:rPr>
          <w:rFonts w:ascii="Times New Roman" w:hAnsi="Times New Roman" w:eastAsia="仿宋_GB2312" w:cs="Times New Roman"/>
          <w:sz w:val="20"/>
          <w:szCs w:val="32"/>
        </w:rPr>
      </w:pPr>
      <w:r>
        <w:rPr>
          <w:rFonts w:ascii="Times New Roman" w:hAnsi="Times New Roman" w:eastAsia="仿宋_GB2312" w:cs="Times New Roman"/>
          <w:sz w:val="32"/>
          <w:szCs w:val="32"/>
        </w:rPr>
        <w:t>九、财政拨款“三公”经费支出决算表</w:t>
      </w:r>
    </w:p>
    <w:p>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第三部分   2025年度部门决算情况说明</w:t>
      </w:r>
    </w:p>
    <w:p>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五、财政拨款“三公” 经费支出决算情况说明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六、机关运行经费支出说明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七、政府采购支出说明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八、国有资产占用情况说明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九、关于2025年度绩效评价情况的说明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十、其他需要说明的情况</w:t>
      </w:r>
    </w:p>
    <w:p>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第四部分  名词解释</w:t>
      </w:r>
    </w:p>
    <w:p>
      <w:pPr>
        <w:widowControl/>
        <w:spacing w:after="160" w:line="580" w:lineRule="exact"/>
        <w:ind w:firstLine="640" w:firstLineChars="200"/>
        <w:rPr>
          <w:rFonts w:ascii="Times New Roman" w:hAnsi="Times New Roman" w:eastAsia="黑体" w:cs="Times New Roman"/>
          <w:sz w:val="32"/>
          <w:szCs w:val="32"/>
        </w:rPr>
        <w:sectPr>
          <w:headerReference r:id="rId5" w:type="first"/>
          <w:footerReference r:id="rId7" w:type="first"/>
          <w:headerReference r:id="rId4" w:type="default"/>
          <w:footerReference r:id="rId6" w:type="default"/>
          <w:pgSz w:w="11906" w:h="16838"/>
          <w:pgMar w:top="2098" w:right="1418" w:bottom="1871" w:left="1418" w:header="851" w:footer="992" w:gutter="0"/>
          <w:cols w:space="0" w:num="1"/>
          <w:docGrid w:type="lines" w:linePitch="312" w:charSpace="0"/>
        </w:sect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第一部分  部门概况</w:t>
      </w:r>
    </w:p>
    <w:p>
      <w:pPr>
        <w:widowControl/>
        <w:ind w:firstLine="640" w:firstLineChars="200"/>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kern w:val="0"/>
          <w:sz w:val="32"/>
          <w:szCs w:val="32"/>
        </w:rPr>
        <w:t>一、部门职责</w:t>
      </w:r>
    </w:p>
    <w:p>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一)拟订财税发展规划、政策和改革方案并组织实施。分析预测宏观经济形势，参与制定各项宏观经济政策，提出运用财税政策实施宏观调控和综合平衡社会财力的建议；拟订县与乡(镇)、政府与企业的分配政策，完善鼓励公益事业发展的财税政策。</w:t>
      </w:r>
    </w:p>
    <w:p>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 xml:space="preserve"> (二)贯彻执行财政、财务、会计管理的法律、法规、规章，贯彻执行相关的地方性法规、政府规章并监督执行。</w:t>
      </w:r>
    </w:p>
    <w:p>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 xml:space="preserve"> (三)负责管理县级各项财政收支。编制年度县级预决算草案并组织执行，汇编全县预决算草案。组织制定经费开支标准、定额，审核批复部门(单位)年度预决算。受县政府委托，向县人民代表大会及其常委会报告财政预算、执行和决算等情况。负责政府投资基金县级财政出资的资产管理。负责县级财政预决算公开。</w:t>
      </w:r>
    </w:p>
    <w:p>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 xml:space="preserve"> (四)贯彻落实税收地方性法规和规章，实施细则和税收政策调整方案。提出上级授权税目税率调整、减免和地方税收政策等重大事项的建议。组织推进税收制度改革。</w:t>
      </w:r>
    </w:p>
    <w:p>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 xml:space="preserve"> (五)按分工负责政府非税收入管理。负责政府性基金管理，按规定管理行政事业性收费。管理财政票据。贯彻实施彩票管理政策和有关办法，参与管理彩票市场，按规定管理彩票资金。</w:t>
      </w:r>
    </w:p>
    <w:p>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 xml:space="preserve"> (六)研究制定国库管理制度、国库集中收付制度，指导和监督县级国库业务，按规定开展国库资金现金管理工作。制定政府财务报告编制办法并组织实施。制定政府采购制度并监督管理。</w:t>
      </w:r>
    </w:p>
    <w:p>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 xml:space="preserve"> (七)拟订政府债务管理制度和办法并组织实施。负责政府债务限额管理，按规定组织政府债券申报、转贷和还本付息等工作。</w:t>
      </w:r>
    </w:p>
    <w:p>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 xml:space="preserve"> (八)牵头编制国有资产管理情况报告。根据县政府授权，逐步履行县级国有金融资本出资人职责。执行国有金融资本管理规章制度。拟订行政事业单位国有资产管理制度并组织实施，制定需要全县统一规定的开支标准和支出政策。</w:t>
      </w:r>
    </w:p>
    <w:p>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 xml:space="preserve"> (九)负责审核并汇总编制全县国有资本经营预决算草案，组织实施国有资本经营预算制度，收取县属企业国有资本收益。组织实施企业财务制度。负责财政预算内行政事业单位和社会团体的非贸易外汇管理。</w:t>
      </w:r>
    </w:p>
    <w:p>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 xml:space="preserve"> (十)负责审核并汇总编制全县社会保险基金预决算草案，会同有关部门拟订有关资金(基金)财务管理制度并组织实施。承担社会保险基金财政监管工作。</w:t>
      </w:r>
    </w:p>
    <w:p>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 xml:space="preserve"> (十一)负责办理和监督县级财政的经济发展支出、县级政府性投资项目的财政拨款，参与拟订县级建设投资的有关政策，制定基建财务管理制度。负责财政评审管理。</w:t>
      </w:r>
    </w:p>
    <w:p>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 xml:space="preserve"> (十二)负责管理全县会计工作，监督和规范会计行为，组织实施会计制度。</w:t>
      </w:r>
    </w:p>
    <w:p>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 xml:space="preserve"> (十三)承担县国有资产监督管理委员会日常工作。</w:t>
      </w:r>
    </w:p>
    <w:p>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 xml:space="preserve"> (十四)完成县委、县政府交办的其他任务。</w:t>
      </w:r>
    </w:p>
    <w:p>
      <w:pPr>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_GB2312" w:cs="Times New Roman"/>
          <w:kern w:val="0"/>
          <w:sz w:val="32"/>
          <w:szCs w:val="32"/>
          <w:highlight w:val="yellow"/>
        </w:rPr>
      </w:pPr>
      <w:r>
        <w:rPr>
          <w:rFonts w:hint="eastAsia" w:ascii="Times New Roman" w:hAnsi="Times New Roman" w:eastAsia="仿宋_GB2312" w:cs="Times New Roman"/>
          <w:kern w:val="0"/>
          <w:sz w:val="32"/>
          <w:szCs w:val="32"/>
        </w:rPr>
        <w:t xml:space="preserve"> </w:t>
      </w:r>
      <w:r>
        <w:rPr>
          <w:rFonts w:ascii="Times New Roman" w:hAnsi="Times New Roman" w:eastAsia="黑体" w:cs="Times New Roman"/>
          <w:kern w:val="0"/>
          <w:sz w:val="32"/>
          <w:szCs w:val="32"/>
        </w:rPr>
        <w:t>二、机构设置</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从决算编报单位构成看，纳入2025年度本部门决算汇编范围的独立核算单位（以下简称“单位”）共</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个，具体情况如下：</w:t>
      </w:r>
    </w:p>
    <w:tbl>
      <w:tblPr>
        <w:tblStyle w:val="9"/>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序号</w:t>
            </w:r>
          </w:p>
        </w:tc>
        <w:tc>
          <w:tcPr>
            <w:tcW w:w="3485" w:type="dxa"/>
            <w:vAlign w:val="center"/>
          </w:tcPr>
          <w:p>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单位名称</w:t>
            </w:r>
          </w:p>
        </w:tc>
        <w:tc>
          <w:tcPr>
            <w:tcW w:w="2445" w:type="dxa"/>
            <w:vAlign w:val="center"/>
          </w:tcPr>
          <w:p>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单位基本性质</w:t>
            </w:r>
          </w:p>
        </w:tc>
        <w:tc>
          <w:tcPr>
            <w:tcW w:w="2665" w:type="dxa"/>
            <w:vAlign w:val="center"/>
          </w:tcPr>
          <w:p>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w:t>
            </w:r>
          </w:p>
        </w:tc>
        <w:tc>
          <w:tcPr>
            <w:tcW w:w="3485" w:type="dxa"/>
          </w:tcPr>
          <w:p>
            <w:pPr>
              <w:spacing w:line="56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lang w:val="en-US" w:eastAsia="zh-CN"/>
              </w:rPr>
              <w:t>高邑县财政局</w:t>
            </w:r>
            <w:r>
              <w:rPr>
                <w:rFonts w:ascii="Times New Roman" w:hAnsi="Times New Roman" w:eastAsia="仿宋_GB2312" w:cs="Times New Roman"/>
                <w:kern w:val="0"/>
                <w:sz w:val="28"/>
                <w:szCs w:val="28"/>
              </w:rPr>
              <w:t>(本级)</w:t>
            </w:r>
          </w:p>
        </w:tc>
        <w:tc>
          <w:tcPr>
            <w:tcW w:w="2445" w:type="dxa"/>
          </w:tcPr>
          <w:p>
            <w:pPr>
              <w:spacing w:line="560" w:lineRule="exact"/>
              <w:jc w:val="center"/>
              <w:rPr>
                <w:rFonts w:hint="eastAsia" w:ascii="Times New Roman" w:hAnsi="Times New Roman" w:eastAsia="仿宋_GB2312" w:cs="Times New Roman"/>
                <w:kern w:val="0"/>
                <w:sz w:val="28"/>
                <w:szCs w:val="28"/>
                <w:lang w:val="en-US" w:eastAsia="zh-CN"/>
              </w:rPr>
            </w:pPr>
            <w:r>
              <w:rPr>
                <w:rFonts w:hint="eastAsia" w:ascii="Times New Roman" w:hAnsi="Times New Roman" w:eastAsia="仿宋_GB2312" w:cs="Times New Roman"/>
                <w:kern w:val="0"/>
                <w:sz w:val="28"/>
                <w:szCs w:val="28"/>
                <w:lang w:val="en-US" w:eastAsia="zh-CN"/>
              </w:rPr>
              <w:t>行政单位</w:t>
            </w:r>
          </w:p>
        </w:tc>
        <w:tc>
          <w:tcPr>
            <w:tcW w:w="2665" w:type="dxa"/>
          </w:tcPr>
          <w:p>
            <w:pPr>
              <w:spacing w:line="560" w:lineRule="exact"/>
              <w:jc w:val="center"/>
              <w:rPr>
                <w:rFonts w:hint="eastAsia" w:ascii="Times New Roman" w:hAnsi="Times New Roman" w:eastAsia="仿宋_GB2312" w:cs="Times New Roman"/>
                <w:kern w:val="0"/>
                <w:sz w:val="28"/>
                <w:szCs w:val="28"/>
                <w:lang w:val="en-US" w:eastAsia="zh-CN"/>
              </w:rPr>
            </w:pPr>
            <w:r>
              <w:rPr>
                <w:rFonts w:hint="eastAsia" w:ascii="Times New Roman" w:hAnsi="Times New Roman" w:eastAsia="仿宋_GB2312" w:cs="Times New Roman"/>
                <w:kern w:val="0"/>
                <w:sz w:val="28"/>
                <w:szCs w:val="28"/>
                <w:lang w:val="en-US" w:eastAsia="zh-CN"/>
              </w:rPr>
              <w:t>全额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2</w:t>
            </w:r>
          </w:p>
        </w:tc>
        <w:tc>
          <w:tcPr>
            <w:tcW w:w="3485" w:type="dxa"/>
          </w:tcPr>
          <w:p>
            <w:pPr>
              <w:spacing w:line="560" w:lineRule="exact"/>
              <w:rPr>
                <w:rFonts w:ascii="Times New Roman" w:hAnsi="Times New Roman" w:eastAsia="仿宋_GB2312" w:cs="Times New Roman"/>
                <w:kern w:val="0"/>
                <w:sz w:val="28"/>
                <w:szCs w:val="28"/>
              </w:rPr>
            </w:pPr>
          </w:p>
        </w:tc>
        <w:tc>
          <w:tcPr>
            <w:tcW w:w="2445" w:type="dxa"/>
          </w:tcPr>
          <w:p>
            <w:pPr>
              <w:spacing w:line="560" w:lineRule="exact"/>
              <w:jc w:val="center"/>
              <w:rPr>
                <w:rFonts w:ascii="Times New Roman" w:hAnsi="Times New Roman" w:eastAsia="仿宋_GB2312" w:cs="Times New Roman"/>
                <w:kern w:val="0"/>
                <w:sz w:val="28"/>
                <w:szCs w:val="28"/>
              </w:rPr>
            </w:pPr>
          </w:p>
        </w:tc>
        <w:tc>
          <w:tcPr>
            <w:tcW w:w="2665" w:type="dxa"/>
          </w:tcPr>
          <w:p>
            <w:pPr>
              <w:spacing w:line="560" w:lineRule="exact"/>
              <w:jc w:val="center"/>
              <w:rPr>
                <w:rFonts w:ascii="Times New Roman" w:hAnsi="Times New Roman" w:eastAsia="仿宋_GB2312"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3</w:t>
            </w:r>
          </w:p>
        </w:tc>
        <w:tc>
          <w:tcPr>
            <w:tcW w:w="3485" w:type="dxa"/>
          </w:tcPr>
          <w:p>
            <w:pPr>
              <w:spacing w:line="560" w:lineRule="exact"/>
              <w:rPr>
                <w:rFonts w:ascii="Times New Roman" w:hAnsi="Times New Roman" w:eastAsia="仿宋_GB2312" w:cs="Times New Roman"/>
                <w:kern w:val="0"/>
                <w:sz w:val="28"/>
                <w:szCs w:val="28"/>
              </w:rPr>
            </w:pPr>
          </w:p>
        </w:tc>
        <w:tc>
          <w:tcPr>
            <w:tcW w:w="2445" w:type="dxa"/>
          </w:tcPr>
          <w:p>
            <w:pPr>
              <w:spacing w:line="560" w:lineRule="exact"/>
              <w:jc w:val="center"/>
              <w:rPr>
                <w:rFonts w:ascii="Times New Roman" w:hAnsi="Times New Roman" w:eastAsia="仿宋_GB2312" w:cs="Times New Roman"/>
                <w:kern w:val="0"/>
                <w:sz w:val="28"/>
                <w:szCs w:val="28"/>
              </w:rPr>
            </w:pPr>
          </w:p>
        </w:tc>
        <w:tc>
          <w:tcPr>
            <w:tcW w:w="2665" w:type="dxa"/>
          </w:tcPr>
          <w:p>
            <w:pPr>
              <w:spacing w:line="560" w:lineRule="exact"/>
              <w:jc w:val="center"/>
              <w:rPr>
                <w:rFonts w:ascii="Times New Roman" w:hAnsi="Times New Roman" w:eastAsia="仿宋_GB2312"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85" w:type="dxa"/>
            <w:tcBorders>
              <w:bottom w:val="single" w:color="auto" w:sz="4" w:space="0"/>
            </w:tcBorders>
          </w:tcPr>
          <w:p>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w:t>
            </w:r>
          </w:p>
        </w:tc>
        <w:tc>
          <w:tcPr>
            <w:tcW w:w="3485" w:type="dxa"/>
            <w:tcBorders>
              <w:bottom w:val="single" w:color="auto" w:sz="4" w:space="0"/>
            </w:tcBorders>
          </w:tcPr>
          <w:p>
            <w:pPr>
              <w:spacing w:line="56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w:t>
            </w:r>
          </w:p>
        </w:tc>
        <w:tc>
          <w:tcPr>
            <w:tcW w:w="2445" w:type="dxa"/>
            <w:tcBorders>
              <w:bottom w:val="single" w:color="auto" w:sz="4" w:space="0"/>
            </w:tcBorders>
          </w:tcPr>
          <w:p>
            <w:pPr>
              <w:spacing w:line="560" w:lineRule="exact"/>
              <w:jc w:val="center"/>
              <w:rPr>
                <w:rFonts w:ascii="Times New Roman" w:hAnsi="Times New Roman" w:eastAsia="仿宋_GB2312" w:cs="Times New Roman"/>
                <w:kern w:val="0"/>
                <w:sz w:val="28"/>
                <w:szCs w:val="28"/>
              </w:rPr>
            </w:pPr>
          </w:p>
        </w:tc>
        <w:tc>
          <w:tcPr>
            <w:tcW w:w="2665" w:type="dxa"/>
            <w:tcBorders>
              <w:bottom w:val="single" w:color="auto" w:sz="4" w:space="0"/>
            </w:tcBorders>
          </w:tcPr>
          <w:p>
            <w:pPr>
              <w:spacing w:line="560" w:lineRule="exact"/>
              <w:jc w:val="center"/>
              <w:rPr>
                <w:rFonts w:ascii="Times New Roman" w:hAnsi="Times New Roman" w:eastAsia="仿宋_GB2312" w:cs="Times New Roman"/>
                <w:kern w:val="0"/>
                <w:sz w:val="28"/>
                <w:szCs w:val="28"/>
              </w:rPr>
            </w:pPr>
          </w:p>
        </w:tc>
      </w:tr>
    </w:tbl>
    <w:p>
      <w:pPr>
        <w:widowControl/>
        <w:spacing w:after="160" w:line="580" w:lineRule="exact"/>
        <w:ind w:firstLine="560" w:firstLineChars="200"/>
        <w:rPr>
          <w:rFonts w:ascii="Times New Roman" w:hAnsi="Times New Roman" w:eastAsia="黑体" w:cs="Times New Roman"/>
          <w:sz w:val="32"/>
          <w:szCs w:val="32"/>
        </w:rPr>
      </w:pPr>
      <w:r>
        <w:rPr>
          <w:rFonts w:hint="eastAsia" w:ascii="Times New Roman" w:hAnsi="Times New Roman" w:eastAsia="仿宋_GB2312" w:cs="Times New Roman"/>
          <w:kern w:val="0"/>
          <w:sz w:val="28"/>
          <w:szCs w:val="28"/>
          <w:lang w:val="en-US" w:eastAsia="zh-CN"/>
        </w:rPr>
        <w:t>我部门无二级预算单位，因此，高邑县财政局2025年度部门决算即高邑县财政局（本级）2025年度部门决算。</w:t>
      </w:r>
      <w:r>
        <w:rPr>
          <w:rFonts w:ascii="Times New Roman" w:hAnsi="Times New Roman" w:eastAsia="黑体" w:cs="Times New Roman"/>
          <w:sz w:val="32"/>
          <w:szCs w:val="32"/>
        </w:rPr>
        <w:br w:type="page"/>
      </w:r>
    </w:p>
    <w:p>
      <w:pPr>
        <w:widowControl/>
        <w:spacing w:after="160"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tbl>
      <w:tblPr>
        <w:tblStyle w:val="9"/>
        <w:tblW w:w="10260" w:type="dxa"/>
        <w:jc w:val="center"/>
        <w:tblLayout w:type="fixed"/>
        <w:tblCellMar>
          <w:top w:w="15" w:type="dxa"/>
          <w:left w:w="15" w:type="dxa"/>
          <w:bottom w:w="15" w:type="dxa"/>
          <w:right w:w="15" w:type="dxa"/>
        </w:tblCellMar>
      </w:tblPr>
      <w:tblGrid>
        <w:gridCol w:w="3490"/>
        <w:gridCol w:w="536"/>
        <w:gridCol w:w="26"/>
        <w:gridCol w:w="1324"/>
        <w:gridCol w:w="814"/>
        <w:gridCol w:w="2469"/>
        <w:gridCol w:w="502"/>
        <w:gridCol w:w="1099"/>
      </w:tblGrid>
      <w:tr>
        <w:tblPrEx>
          <w:tblCellMar>
            <w:top w:w="15" w:type="dxa"/>
            <w:left w:w="15" w:type="dxa"/>
            <w:bottom w:w="15" w:type="dxa"/>
            <w:right w:w="15" w:type="dxa"/>
          </w:tblCellMar>
        </w:tblPrEx>
        <w:trPr>
          <w:trHeight w:val="1350" w:hRule="exact"/>
          <w:jc w:val="center"/>
        </w:trPr>
        <w:tc>
          <w:tcPr>
            <w:tcW w:w="10260" w:type="dxa"/>
            <w:gridSpan w:val="8"/>
            <w:tcBorders>
              <w:top w:val="nil"/>
              <w:left w:val="nil"/>
              <w:bottom w:val="nil"/>
              <w:right w:val="nil"/>
            </w:tcBorders>
            <w:shd w:val="clear" w:color="auto" w:fill="FFFFFF"/>
            <w:vAlign w:val="bottom"/>
          </w:tcPr>
          <w:p>
            <w:pPr>
              <w:pStyle w:val="23"/>
              <w:widowControl/>
              <w:spacing w:line="500" w:lineRule="exact"/>
              <w:ind w:left="1760" w:firstLine="880"/>
              <w:jc w:val="left"/>
              <w:textAlignment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第二部分2025年度部门决算表</w:t>
            </w:r>
          </w:p>
          <w:p>
            <w:pPr>
              <w:pStyle w:val="23"/>
              <w:widowControl/>
              <w:spacing w:line="500" w:lineRule="exact"/>
              <w:ind w:left="1760" w:firstLine="1807" w:firstLineChars="500"/>
              <w:textAlignment w:val="center"/>
              <w:rPr>
                <w:rFonts w:ascii="Times New Roman" w:hAnsi="Times New Roman" w:eastAsia="仿宋_GB2312" w:cs="Times New Roman"/>
                <w:b/>
                <w:bCs/>
                <w:sz w:val="36"/>
                <w:szCs w:val="36"/>
              </w:rPr>
            </w:pPr>
            <w:r>
              <w:rPr>
                <w:rFonts w:ascii="Times New Roman" w:hAnsi="Times New Roman" w:eastAsia="仿宋_GB2312" w:cs="Times New Roman"/>
                <w:b/>
                <w:bCs/>
                <w:sz w:val="36"/>
                <w:szCs w:val="36"/>
              </w:rPr>
              <w:t>收入支出决算总表</w:t>
            </w:r>
          </w:p>
          <w:p>
            <w:pPr>
              <w:pStyle w:val="23"/>
              <w:widowControl/>
              <w:ind w:left="1760" w:firstLine="0" w:firstLineChars="0"/>
              <w:textAlignment w:val="center"/>
              <w:rPr>
                <w:rFonts w:ascii="Times New Roman" w:hAnsi="Times New Roman" w:eastAsia="仿宋_GB2312" w:cs="Times New Roman"/>
                <w:b/>
                <w:bCs/>
                <w:sz w:val="32"/>
                <w:szCs w:val="32"/>
              </w:rPr>
            </w:pPr>
          </w:p>
        </w:tc>
      </w:tr>
      <w:tr>
        <w:tblPrEx>
          <w:tblCellMar>
            <w:top w:w="15" w:type="dxa"/>
            <w:left w:w="15" w:type="dxa"/>
            <w:bottom w:w="15" w:type="dxa"/>
            <w:right w:w="15" w:type="dxa"/>
          </w:tblCellMar>
        </w:tblPrEx>
        <w:trPr>
          <w:trHeight w:val="358" w:hRule="exact"/>
          <w:jc w:val="center"/>
        </w:trPr>
        <w:tc>
          <w:tcPr>
            <w:tcW w:w="10260" w:type="dxa"/>
            <w:gridSpan w:val="8"/>
            <w:tcBorders>
              <w:top w:val="nil"/>
              <w:left w:val="nil"/>
              <w:bottom w:val="nil"/>
              <w:right w:val="nil"/>
            </w:tcBorders>
            <w:shd w:val="clear" w:color="auto" w:fill="FFFFFF"/>
            <w:vAlign w:val="center"/>
          </w:tcPr>
          <w:p>
            <w:pPr>
              <w:widowControl/>
              <w:jc w:val="righ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0"/>
                <w:szCs w:val="20"/>
                <w:lang w:bidi="ar"/>
              </w:rPr>
              <w:t>公开01表</w:t>
            </w:r>
          </w:p>
        </w:tc>
      </w:tr>
      <w:tr>
        <w:tblPrEx>
          <w:tblCellMar>
            <w:top w:w="15" w:type="dxa"/>
            <w:left w:w="15" w:type="dxa"/>
            <w:bottom w:w="15" w:type="dxa"/>
            <w:right w:w="15" w:type="dxa"/>
          </w:tblCellMar>
        </w:tblPrEx>
        <w:trPr>
          <w:trHeight w:val="350" w:hRule="exact"/>
          <w:jc w:val="center"/>
        </w:trPr>
        <w:tc>
          <w:tcPr>
            <w:tcW w:w="4052" w:type="dxa"/>
            <w:gridSpan w:val="3"/>
            <w:tcBorders>
              <w:top w:val="nil"/>
              <w:left w:val="nil"/>
              <w:bottom w:val="single" w:color="auto" w:sz="4" w:space="0"/>
              <w:right w:val="nil"/>
            </w:tcBorders>
            <w:shd w:val="clear" w:color="auto" w:fill="FFFFFF"/>
            <w:vAlign w:val="center"/>
          </w:tcPr>
          <w:p>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 xml:space="preserve">部门：                    </w:t>
            </w:r>
          </w:p>
        </w:tc>
        <w:tc>
          <w:tcPr>
            <w:tcW w:w="2138" w:type="dxa"/>
            <w:gridSpan w:val="2"/>
            <w:tcBorders>
              <w:top w:val="nil"/>
              <w:left w:val="nil"/>
              <w:bottom w:val="single" w:color="auto" w:sz="4" w:space="0"/>
              <w:right w:val="nil"/>
            </w:tcBorders>
            <w:shd w:val="clear" w:color="auto" w:fill="FFFFFF"/>
            <w:vAlign w:val="center"/>
          </w:tcPr>
          <w:p>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2025年度</w:t>
            </w:r>
          </w:p>
        </w:tc>
        <w:tc>
          <w:tcPr>
            <w:tcW w:w="4070" w:type="dxa"/>
            <w:gridSpan w:val="3"/>
            <w:tcBorders>
              <w:top w:val="nil"/>
              <w:left w:val="nil"/>
              <w:bottom w:val="single" w:color="auto" w:sz="4" w:space="0"/>
              <w:right w:val="nil"/>
            </w:tcBorders>
            <w:shd w:val="clear" w:color="auto" w:fill="FFFFFF"/>
            <w:vAlign w:val="center"/>
          </w:tcPr>
          <w:p>
            <w:pPr>
              <w:widowControl/>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单位：万元</w:t>
            </w:r>
          </w:p>
        </w:tc>
      </w:tr>
      <w:tr>
        <w:tblPrEx>
          <w:tblCellMar>
            <w:top w:w="15" w:type="dxa"/>
            <w:left w:w="15" w:type="dxa"/>
            <w:bottom w:w="15" w:type="dxa"/>
            <w:right w:w="15" w:type="dxa"/>
          </w:tblCellMar>
        </w:tblPrEx>
        <w:trPr>
          <w:trHeight w:val="544" w:hRule="exact"/>
          <w:jc w:val="center"/>
        </w:trPr>
        <w:tc>
          <w:tcPr>
            <w:tcW w:w="5376"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收入</w:t>
            </w:r>
          </w:p>
        </w:tc>
        <w:tc>
          <w:tcPr>
            <w:tcW w:w="4884"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支出</w:t>
            </w:r>
          </w:p>
        </w:tc>
      </w:tr>
      <w:tr>
        <w:tblPrEx>
          <w:tblCellMar>
            <w:top w:w="15" w:type="dxa"/>
            <w:left w:w="15" w:type="dxa"/>
            <w:bottom w:w="15" w:type="dxa"/>
            <w:right w:w="15" w:type="dxa"/>
          </w:tblCellMar>
        </w:tblPrEx>
        <w:trPr>
          <w:trHeight w:val="600"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决算数</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决算数</w:t>
            </w:r>
          </w:p>
        </w:tc>
      </w:tr>
      <w:tr>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ascii="Times New Roman" w:hAnsi="Times New Roman" w:eastAsia="仿宋_GB2312" w:cs="Times New Roman"/>
                <w:color w:val="000000"/>
                <w:sz w:val="22"/>
              </w:rPr>
            </w:pP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ascii="Times New Roman" w:hAnsi="Times New Roman" w:eastAsia="仿宋_GB2312" w:cs="Times New Roman"/>
                <w:color w:val="000000"/>
                <w:sz w:val="22"/>
              </w:rPr>
            </w:pP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r>
      <w:tr>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一、一般公共预算财政拨款收入</w:t>
            </w:r>
          </w:p>
        </w:tc>
        <w:tc>
          <w:tcPr>
            <w:tcW w:w="536" w:type="dxa"/>
            <w:tcBorders>
              <w:top w:val="single" w:color="auto"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w:t>
            </w:r>
          </w:p>
        </w:tc>
        <w:tc>
          <w:tcPr>
            <w:tcW w:w="1350"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1475.51</w:t>
            </w:r>
          </w:p>
        </w:tc>
        <w:tc>
          <w:tcPr>
            <w:tcW w:w="3283"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一、一般公共服务支出</w:t>
            </w:r>
          </w:p>
        </w:tc>
        <w:tc>
          <w:tcPr>
            <w:tcW w:w="502" w:type="dxa"/>
            <w:tcBorders>
              <w:top w:val="single" w:color="auto"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32</w:t>
            </w:r>
          </w:p>
        </w:tc>
        <w:tc>
          <w:tcPr>
            <w:tcW w:w="1099" w:type="dxa"/>
            <w:tcBorders>
              <w:top w:val="single" w:color="auto" w:sz="4" w:space="0"/>
              <w:left w:val="single" w:color="000000" w:sz="4" w:space="0"/>
              <w:bottom w:val="single" w:color="000000" w:sz="4" w:space="0"/>
              <w:right w:val="single" w:color="000000" w:sz="4" w:space="0"/>
            </w:tcBorders>
            <w:shd w:val="clear" w:color="auto" w:fill="auto"/>
            <w:vAlign w:val="center"/>
          </w:tcPr>
          <w:p>
            <w:pPr>
              <w:tabs>
                <w:tab w:val="left" w:pos="312"/>
              </w:tabs>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eastAsia="zh-CN"/>
              </w:rPr>
              <w:tab/>
            </w:r>
            <w:r>
              <w:rPr>
                <w:rFonts w:hint="eastAsia" w:ascii="Times New Roman" w:hAnsi="Times New Roman" w:eastAsia="仿宋_GB2312" w:cs="Times New Roman"/>
                <w:color w:val="000000"/>
                <w:sz w:val="22"/>
                <w:lang w:val="en-US" w:eastAsia="zh-CN"/>
              </w:rPr>
              <w:t>1316.53</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二、政府性基金预算财政拨款收入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二、外交支出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三、国有资本经营预算财政拨款收入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三、国防支出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四、上级补助收入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四、公共安全支出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五、事业收入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五、教育支出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六、经营收入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六、科学技术支出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七、附属单位上缴收入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rPr>
              <w:t>七、文化旅游体育与传媒支出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八、其他收入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2"/>
              </w:rPr>
            </w:pPr>
            <w:r>
              <w:rPr>
                <w:rFonts w:ascii="Times New Roman" w:hAnsi="Times New Roman" w:eastAsia="仿宋_GB2312" w:cs="Times New Roman"/>
              </w:rPr>
              <w:t>八、社会保障和就业支出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68.72</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九、卫生健康支出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462" w:firstLineChars="0"/>
              <w:jc w:val="both"/>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35.89</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十、节能环保支出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十一、城乡社区支出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十二、农林水支出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552" w:firstLineChars="0"/>
              <w:rPr>
                <w:rFonts w:hint="eastAsia"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5</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十三、交通运输支出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十四、资源勘探工业信息等支出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十五、商业服务业等支出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十六、金融支出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563"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十七、援助其他地区支出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十八、自然资源海洋气象等支出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十九、住房保障支出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327" w:firstLineChars="0"/>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49.43</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二十、粮油物资储备支出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二十一、国有资本经营预算支出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二十二、灾害防治及应急管理支出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二十三、其他支出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二十四、债务还本支出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二十五、债务付息支出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二十六、抗疫特别国债安排的支出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50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rPr>
              <w:t>本年收入合计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557"/>
              </w:tabs>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1475.51</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rPr>
              <w:t>本年支出合计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1475.57</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使用非财政拨款结余（含专用结余）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结余分配</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val="0"/>
                <w:bCs/>
                <w:color w:val="000000"/>
                <w:sz w:val="22"/>
              </w:rPr>
            </w:pP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年初结转和结余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0.09</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年末结转和结余</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60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462" w:firstLineChars="0"/>
              <w:jc w:val="center"/>
              <w:rPr>
                <w:rFonts w:hint="default"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0.03</w:t>
            </w:r>
          </w:p>
        </w:tc>
      </w:tr>
      <w:tr>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61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515"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bCs/>
              </w:rPr>
              <w:t>总计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tabs>
                <w:tab w:val="left" w:pos="407"/>
              </w:tabs>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eastAsia="zh-CN"/>
              </w:rPr>
              <w:tab/>
            </w:r>
            <w:r>
              <w:rPr>
                <w:rFonts w:hint="eastAsia" w:ascii="Times New Roman" w:hAnsi="Times New Roman" w:eastAsia="仿宋_GB2312" w:cs="Times New Roman"/>
                <w:color w:val="000000"/>
                <w:sz w:val="22"/>
                <w:lang w:val="en-US" w:eastAsia="zh-CN"/>
              </w:rPr>
              <w:t>1475.6</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bCs/>
              </w:rPr>
              <w:t>总计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1475.6</w:t>
            </w:r>
          </w:p>
        </w:tc>
      </w:tr>
    </w:tbl>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注：1.本表反映部门本年度的总收支和年末结转结余情况。</w:t>
      </w:r>
    </w:p>
    <w:p>
      <w:pPr>
        <w:rPr>
          <w:rFonts w:ascii="Times New Roman" w:hAnsi="Times New Roman" w:eastAsia="仿宋_GB2312" w:cs="Times New Roman"/>
        </w:rPr>
        <w:sectPr>
          <w:headerReference r:id="rId8" w:type="default"/>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lang w:bidi="ar"/>
        </w:rPr>
        <w:t xml:space="preserve">    2.本套报表金额单位转换时可能存在尾数误差。</w:t>
      </w:r>
    </w:p>
    <w:tbl>
      <w:tblPr>
        <w:tblStyle w:val="9"/>
        <w:tblW w:w="9963" w:type="dxa"/>
        <w:jc w:val="center"/>
        <w:tblLayout w:type="fixed"/>
        <w:tblCellMar>
          <w:top w:w="15" w:type="dxa"/>
          <w:left w:w="15" w:type="dxa"/>
          <w:bottom w:w="15" w:type="dxa"/>
          <w:right w:w="15" w:type="dxa"/>
        </w:tblCellMar>
      </w:tblPr>
      <w:tblGrid>
        <w:gridCol w:w="793"/>
        <w:gridCol w:w="240"/>
        <w:gridCol w:w="1932"/>
        <w:gridCol w:w="1005"/>
        <w:gridCol w:w="1159"/>
        <w:gridCol w:w="982"/>
        <w:gridCol w:w="982"/>
        <w:gridCol w:w="982"/>
        <w:gridCol w:w="982"/>
        <w:gridCol w:w="906"/>
      </w:tblGrid>
      <w:tr>
        <w:tblPrEx>
          <w:tblCellMar>
            <w:top w:w="15" w:type="dxa"/>
            <w:left w:w="15" w:type="dxa"/>
            <w:bottom w:w="15" w:type="dxa"/>
            <w:right w:w="15" w:type="dxa"/>
          </w:tblCellMar>
        </w:tblPrEx>
        <w:trPr>
          <w:trHeight w:val="666" w:hRule="atLeast"/>
          <w:jc w:val="center"/>
        </w:trPr>
        <w:tc>
          <w:tcPr>
            <w:tcW w:w="9963" w:type="dxa"/>
            <w:gridSpan w:val="10"/>
            <w:shd w:val="clear" w:color="auto" w:fill="auto"/>
            <w:vAlign w:val="center"/>
          </w:tcPr>
          <w:p>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收入决算表</w:t>
            </w:r>
          </w:p>
        </w:tc>
      </w:tr>
      <w:tr>
        <w:tblPrEx>
          <w:tblCellMar>
            <w:top w:w="15" w:type="dxa"/>
            <w:left w:w="15" w:type="dxa"/>
            <w:bottom w:w="15" w:type="dxa"/>
            <w:right w:w="15" w:type="dxa"/>
          </w:tblCellMar>
        </w:tblPrEx>
        <w:trPr>
          <w:trHeight w:val="348" w:hRule="atLeast"/>
          <w:jc w:val="center"/>
        </w:trPr>
        <w:tc>
          <w:tcPr>
            <w:tcW w:w="793" w:type="dxa"/>
            <w:shd w:val="clear" w:color="auto" w:fill="FFFFFF"/>
            <w:vAlign w:val="center"/>
          </w:tcPr>
          <w:p>
            <w:pPr>
              <w:jc w:val="right"/>
              <w:rPr>
                <w:rFonts w:ascii="Times New Roman" w:hAnsi="Times New Roman" w:eastAsia="仿宋_GB2312" w:cs="Times New Roman"/>
                <w:color w:val="000000"/>
                <w:sz w:val="24"/>
              </w:rPr>
            </w:pPr>
          </w:p>
        </w:tc>
        <w:tc>
          <w:tcPr>
            <w:tcW w:w="240" w:type="dxa"/>
            <w:shd w:val="clear" w:color="auto" w:fill="FFFFFF"/>
            <w:vAlign w:val="center"/>
          </w:tcPr>
          <w:p>
            <w:pPr>
              <w:jc w:val="right"/>
              <w:rPr>
                <w:rFonts w:ascii="Times New Roman" w:hAnsi="Times New Roman" w:eastAsia="仿宋_GB2312" w:cs="Times New Roman"/>
                <w:color w:val="000000"/>
                <w:sz w:val="24"/>
              </w:rPr>
            </w:pPr>
          </w:p>
        </w:tc>
        <w:tc>
          <w:tcPr>
            <w:tcW w:w="1932" w:type="dxa"/>
            <w:shd w:val="clear" w:color="auto" w:fill="FFFFFF"/>
            <w:vAlign w:val="center"/>
          </w:tcPr>
          <w:p>
            <w:pPr>
              <w:jc w:val="right"/>
              <w:rPr>
                <w:rFonts w:ascii="Times New Roman" w:hAnsi="Times New Roman" w:eastAsia="仿宋_GB2312" w:cs="Times New Roman"/>
                <w:color w:val="000000"/>
                <w:sz w:val="24"/>
              </w:rPr>
            </w:pPr>
          </w:p>
        </w:tc>
        <w:tc>
          <w:tcPr>
            <w:tcW w:w="1005" w:type="dxa"/>
            <w:shd w:val="clear" w:color="auto" w:fill="FFFFFF"/>
            <w:vAlign w:val="center"/>
          </w:tcPr>
          <w:p>
            <w:pPr>
              <w:jc w:val="right"/>
              <w:rPr>
                <w:rFonts w:ascii="Times New Roman" w:hAnsi="Times New Roman" w:eastAsia="仿宋_GB2312" w:cs="Times New Roman"/>
                <w:color w:val="000000"/>
                <w:sz w:val="24"/>
              </w:rPr>
            </w:pPr>
          </w:p>
        </w:tc>
        <w:tc>
          <w:tcPr>
            <w:tcW w:w="1159" w:type="dxa"/>
            <w:shd w:val="clear" w:color="auto" w:fill="FFFFFF"/>
            <w:vAlign w:val="center"/>
          </w:tcPr>
          <w:p>
            <w:pPr>
              <w:jc w:val="right"/>
              <w:rPr>
                <w:rFonts w:ascii="Times New Roman" w:hAnsi="Times New Roman" w:eastAsia="仿宋_GB2312" w:cs="Times New Roman"/>
                <w:color w:val="000000"/>
                <w:sz w:val="24"/>
              </w:rPr>
            </w:pPr>
          </w:p>
        </w:tc>
        <w:tc>
          <w:tcPr>
            <w:tcW w:w="982" w:type="dxa"/>
            <w:shd w:val="clear" w:color="auto" w:fill="FFFFFF"/>
            <w:vAlign w:val="center"/>
          </w:tcPr>
          <w:p>
            <w:pPr>
              <w:jc w:val="right"/>
              <w:rPr>
                <w:rFonts w:ascii="Times New Roman" w:hAnsi="Times New Roman" w:eastAsia="仿宋_GB2312" w:cs="Times New Roman"/>
                <w:color w:val="000000"/>
                <w:sz w:val="24"/>
              </w:rPr>
            </w:pPr>
          </w:p>
        </w:tc>
        <w:tc>
          <w:tcPr>
            <w:tcW w:w="982" w:type="dxa"/>
            <w:shd w:val="clear" w:color="auto" w:fill="FFFFFF"/>
            <w:vAlign w:val="center"/>
          </w:tcPr>
          <w:p>
            <w:pPr>
              <w:jc w:val="right"/>
              <w:rPr>
                <w:rFonts w:ascii="Times New Roman" w:hAnsi="Times New Roman" w:eastAsia="仿宋_GB2312" w:cs="Times New Roman"/>
                <w:color w:val="000000"/>
                <w:sz w:val="24"/>
              </w:rPr>
            </w:pPr>
          </w:p>
        </w:tc>
        <w:tc>
          <w:tcPr>
            <w:tcW w:w="982" w:type="dxa"/>
            <w:shd w:val="clear" w:color="auto" w:fill="FFFFFF"/>
            <w:vAlign w:val="center"/>
          </w:tcPr>
          <w:p>
            <w:pPr>
              <w:jc w:val="right"/>
              <w:rPr>
                <w:rFonts w:ascii="Times New Roman" w:hAnsi="Times New Roman" w:eastAsia="仿宋_GB2312" w:cs="Times New Roman"/>
                <w:color w:val="000000"/>
                <w:sz w:val="24"/>
              </w:rPr>
            </w:pPr>
          </w:p>
        </w:tc>
        <w:tc>
          <w:tcPr>
            <w:tcW w:w="982" w:type="dxa"/>
            <w:shd w:val="clear" w:color="auto" w:fill="FFFFFF"/>
            <w:vAlign w:val="center"/>
          </w:tcPr>
          <w:p>
            <w:pPr>
              <w:jc w:val="right"/>
              <w:rPr>
                <w:rFonts w:ascii="Times New Roman" w:hAnsi="Times New Roman" w:eastAsia="仿宋_GB2312" w:cs="Times New Roman"/>
                <w:color w:val="000000"/>
                <w:sz w:val="24"/>
              </w:rPr>
            </w:pPr>
          </w:p>
        </w:tc>
        <w:tc>
          <w:tcPr>
            <w:tcW w:w="906"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公开02表</w:t>
            </w:r>
          </w:p>
        </w:tc>
      </w:tr>
      <w:tr>
        <w:tblPrEx>
          <w:tblCellMar>
            <w:top w:w="15" w:type="dxa"/>
            <w:left w:w="15" w:type="dxa"/>
            <w:bottom w:w="15" w:type="dxa"/>
            <w:right w:w="15" w:type="dxa"/>
          </w:tblCellMar>
        </w:tblPrEx>
        <w:trPr>
          <w:trHeight w:val="348" w:hRule="atLeast"/>
          <w:jc w:val="center"/>
        </w:trPr>
        <w:tc>
          <w:tcPr>
            <w:tcW w:w="2965" w:type="dxa"/>
            <w:gridSpan w:val="3"/>
            <w:shd w:val="clear" w:color="auto" w:fill="FFFFFF"/>
            <w:vAlign w:val="center"/>
          </w:tcPr>
          <w:p>
            <w:pPr>
              <w:jc w:val="left"/>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0"/>
                <w:szCs w:val="20"/>
                <w:lang w:bidi="ar"/>
              </w:rPr>
              <w:t>部门：</w:t>
            </w:r>
          </w:p>
        </w:tc>
        <w:tc>
          <w:tcPr>
            <w:tcW w:w="1005" w:type="dxa"/>
            <w:shd w:val="clear" w:color="auto" w:fill="FFFFFF"/>
            <w:vAlign w:val="center"/>
          </w:tcPr>
          <w:p>
            <w:pPr>
              <w:jc w:val="right"/>
              <w:rPr>
                <w:rFonts w:ascii="Times New Roman" w:hAnsi="Times New Roman" w:eastAsia="仿宋_GB2312" w:cs="Times New Roman"/>
                <w:color w:val="000000"/>
                <w:sz w:val="24"/>
              </w:rPr>
            </w:pPr>
          </w:p>
        </w:tc>
        <w:tc>
          <w:tcPr>
            <w:tcW w:w="2141" w:type="dxa"/>
            <w:gridSpan w:val="2"/>
            <w:shd w:val="clear" w:color="auto" w:fill="FFFFFF"/>
            <w:vAlign w:val="center"/>
          </w:tcPr>
          <w:p>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2025年度</w:t>
            </w:r>
          </w:p>
        </w:tc>
        <w:tc>
          <w:tcPr>
            <w:tcW w:w="982" w:type="dxa"/>
            <w:shd w:val="clear" w:color="auto" w:fill="FFFFFF"/>
            <w:vAlign w:val="center"/>
          </w:tcPr>
          <w:p>
            <w:pPr>
              <w:jc w:val="right"/>
              <w:rPr>
                <w:rFonts w:ascii="Times New Roman" w:hAnsi="Times New Roman" w:eastAsia="仿宋_GB2312" w:cs="Times New Roman"/>
                <w:color w:val="000000"/>
                <w:sz w:val="24"/>
              </w:rPr>
            </w:pPr>
          </w:p>
        </w:tc>
        <w:tc>
          <w:tcPr>
            <w:tcW w:w="982" w:type="dxa"/>
            <w:shd w:val="clear" w:color="auto" w:fill="FFFFFF"/>
            <w:vAlign w:val="center"/>
          </w:tcPr>
          <w:p>
            <w:pPr>
              <w:jc w:val="right"/>
              <w:rPr>
                <w:rFonts w:ascii="Times New Roman" w:hAnsi="Times New Roman" w:eastAsia="仿宋_GB2312" w:cs="Times New Roman"/>
                <w:color w:val="000000"/>
                <w:sz w:val="24"/>
              </w:rPr>
            </w:pPr>
          </w:p>
        </w:tc>
        <w:tc>
          <w:tcPr>
            <w:tcW w:w="982" w:type="dxa"/>
            <w:shd w:val="clear" w:color="auto" w:fill="FFFFFF"/>
            <w:vAlign w:val="center"/>
          </w:tcPr>
          <w:p>
            <w:pPr>
              <w:jc w:val="right"/>
              <w:rPr>
                <w:rFonts w:ascii="Times New Roman" w:hAnsi="Times New Roman" w:eastAsia="仿宋_GB2312" w:cs="Times New Roman"/>
                <w:color w:val="000000"/>
                <w:sz w:val="24"/>
              </w:rPr>
            </w:pPr>
          </w:p>
        </w:tc>
        <w:tc>
          <w:tcPr>
            <w:tcW w:w="906"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tblPrEx>
          <w:tblCellMar>
            <w:top w:w="15" w:type="dxa"/>
            <w:left w:w="15" w:type="dxa"/>
            <w:bottom w:w="15" w:type="dxa"/>
            <w:right w:w="15" w:type="dxa"/>
          </w:tblCellMar>
        </w:tblPrEx>
        <w:trPr>
          <w:trHeight w:val="499" w:hRule="atLeast"/>
          <w:jc w:val="center"/>
        </w:trPr>
        <w:tc>
          <w:tcPr>
            <w:tcW w:w="29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本年收入合计</w:t>
            </w:r>
          </w:p>
        </w:tc>
        <w:tc>
          <w:tcPr>
            <w:tcW w:w="11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财政拨款收入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上级补助收入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事业收入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经营收入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附属单位上缴收入</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其他收入</w:t>
            </w:r>
          </w:p>
        </w:tc>
      </w:tr>
      <w:tr>
        <w:tblPrEx>
          <w:tblCellMar>
            <w:top w:w="15" w:type="dxa"/>
            <w:left w:w="15" w:type="dxa"/>
            <w:bottom w:w="15" w:type="dxa"/>
            <w:right w:w="15" w:type="dxa"/>
          </w:tblCellMar>
        </w:tblPrEx>
        <w:trPr>
          <w:trHeight w:val="499" w:hRule="atLeast"/>
          <w:jc w:val="center"/>
        </w:trPr>
        <w:tc>
          <w:tcPr>
            <w:tcW w:w="103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科目代码</w:t>
            </w:r>
          </w:p>
        </w:tc>
        <w:tc>
          <w:tcPr>
            <w:tcW w:w="19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科目名称</w:t>
            </w: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r>
      <w:tr>
        <w:tblPrEx>
          <w:tblCellMar>
            <w:top w:w="15" w:type="dxa"/>
            <w:left w:w="15" w:type="dxa"/>
            <w:bottom w:w="15" w:type="dxa"/>
            <w:right w:w="15" w:type="dxa"/>
          </w:tblCellMar>
        </w:tblPrEx>
        <w:trPr>
          <w:trHeight w:val="499" w:hRule="atLeast"/>
          <w:jc w:val="center"/>
        </w:trPr>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9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1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99" w:hRule="atLeast"/>
          <w:jc w:val="center"/>
        </w:trPr>
        <w:tc>
          <w:tcPr>
            <w:tcW w:w="29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栏次</w:t>
            </w: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6</w:t>
            </w:r>
          </w:p>
        </w:tc>
        <w:tc>
          <w:tcPr>
            <w:tcW w:w="9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7</w:t>
            </w:r>
          </w:p>
        </w:tc>
      </w:tr>
      <w:tr>
        <w:tblPrEx>
          <w:tblCellMar>
            <w:top w:w="15" w:type="dxa"/>
            <w:left w:w="15" w:type="dxa"/>
            <w:bottom w:w="15" w:type="dxa"/>
            <w:right w:w="15" w:type="dxa"/>
          </w:tblCellMar>
        </w:tblPrEx>
        <w:trPr>
          <w:trHeight w:val="499" w:hRule="atLeast"/>
          <w:jc w:val="center"/>
        </w:trPr>
        <w:tc>
          <w:tcPr>
            <w:tcW w:w="29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合计</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1475.51</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1475.51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201</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一般公共服务支出</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1316.47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1316.47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677"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20106</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财政事务</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1316.47</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1316.47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2010601</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行政运行</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693.72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693.72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2010602</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一般行政管理事务</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622.75</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622.75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208</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社会保障和就业支出</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68.72</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68.72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20805</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行政单位养老支出</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65.58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65.58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2080501</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行政单位离退休</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2.48</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2.48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2080505</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机关事业单位基本养老保险缴费支出</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63.10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63.10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20899</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lang w:val="en-US" w:eastAsia="zh-CN"/>
              </w:rPr>
              <w:t>其他社会保障和就业支出</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3.14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3.14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2089999</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lang w:val="en-US" w:eastAsia="zh-CN"/>
              </w:rPr>
              <w:t>其他社会保障和就业支出</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3.14</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3.14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210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卫生健康支出</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35.89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35.89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21011</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行政事业单位医疗</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35.89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35.89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2101101</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lang w:val="en-US" w:eastAsia="zh-CN"/>
              </w:rPr>
              <w:t>行政单位医疗</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18.79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18.79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2101103</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公务员医疗补助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17.10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17.10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213</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农林水支出</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5.00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5.00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21301</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农业农村</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5.00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5.00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2130199</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其他农业农村支出</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5.00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5.00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221</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住房保障支出</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49.43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49.43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22102</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lang w:val="en-US" w:eastAsia="zh-CN"/>
              </w:rPr>
              <w:t>住房保障支出</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49.43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49.43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2210201</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住房公积金</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49.43</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49.43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657" w:hRule="atLeast"/>
          <w:jc w:val="center"/>
        </w:trPr>
        <w:tc>
          <w:tcPr>
            <w:tcW w:w="9963" w:type="dxa"/>
            <w:gridSpan w:val="10"/>
            <w:shd w:val="clear" w:color="auto" w:fill="auto"/>
            <w:vAlign w:val="center"/>
          </w:tcPr>
          <w:p>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注：本表反映部门本年度取得的各项收入情况。</w:t>
            </w:r>
          </w:p>
        </w:tc>
      </w:tr>
    </w:tbl>
    <w:p>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286" w:type="dxa"/>
        <w:jc w:val="center"/>
        <w:tblLayout w:type="fixed"/>
        <w:tblCellMar>
          <w:top w:w="15" w:type="dxa"/>
          <w:left w:w="15" w:type="dxa"/>
          <w:bottom w:w="15" w:type="dxa"/>
          <w:right w:w="15" w:type="dxa"/>
        </w:tblCellMar>
      </w:tblPr>
      <w:tblGrid>
        <w:gridCol w:w="671"/>
        <w:gridCol w:w="475"/>
        <w:gridCol w:w="2085"/>
        <w:gridCol w:w="1260"/>
        <w:gridCol w:w="1245"/>
        <w:gridCol w:w="1347"/>
        <w:gridCol w:w="1069"/>
        <w:gridCol w:w="1069"/>
        <w:gridCol w:w="1065"/>
      </w:tblGrid>
      <w:tr>
        <w:tblPrEx>
          <w:tblCellMar>
            <w:top w:w="15" w:type="dxa"/>
            <w:left w:w="15" w:type="dxa"/>
            <w:bottom w:w="15" w:type="dxa"/>
            <w:right w:w="15" w:type="dxa"/>
          </w:tblCellMar>
        </w:tblPrEx>
        <w:trPr>
          <w:trHeight w:val="435" w:hRule="atLeast"/>
          <w:jc w:val="center"/>
        </w:trPr>
        <w:tc>
          <w:tcPr>
            <w:tcW w:w="10286" w:type="dxa"/>
            <w:gridSpan w:val="9"/>
            <w:shd w:val="clear" w:color="auto" w:fill="auto"/>
            <w:vAlign w:val="center"/>
          </w:tcPr>
          <w:p>
            <w:pPr>
              <w:widowControl/>
              <w:jc w:val="center"/>
              <w:textAlignment w:val="center"/>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kern w:val="0"/>
                <w:sz w:val="32"/>
                <w:szCs w:val="32"/>
                <w:lang w:bidi="ar"/>
              </w:rPr>
              <w:t>支出决算表</w:t>
            </w:r>
          </w:p>
        </w:tc>
      </w:tr>
      <w:tr>
        <w:tblPrEx>
          <w:tblCellMar>
            <w:top w:w="15" w:type="dxa"/>
            <w:left w:w="15" w:type="dxa"/>
            <w:bottom w:w="15" w:type="dxa"/>
            <w:right w:w="15" w:type="dxa"/>
          </w:tblCellMar>
        </w:tblPrEx>
        <w:trPr>
          <w:trHeight w:val="286" w:hRule="atLeast"/>
          <w:jc w:val="center"/>
        </w:trPr>
        <w:tc>
          <w:tcPr>
            <w:tcW w:w="671" w:type="dxa"/>
            <w:shd w:val="clear" w:color="auto" w:fill="FFFFFF"/>
            <w:vAlign w:val="center"/>
          </w:tcPr>
          <w:p>
            <w:pPr>
              <w:jc w:val="right"/>
              <w:rPr>
                <w:rFonts w:ascii="Times New Roman" w:hAnsi="Times New Roman" w:eastAsia="仿宋_GB2312" w:cs="Times New Roman"/>
                <w:color w:val="000000"/>
                <w:sz w:val="24"/>
              </w:rPr>
            </w:pPr>
          </w:p>
        </w:tc>
        <w:tc>
          <w:tcPr>
            <w:tcW w:w="475" w:type="dxa"/>
            <w:shd w:val="clear" w:color="auto" w:fill="FFFFFF"/>
            <w:vAlign w:val="center"/>
          </w:tcPr>
          <w:p>
            <w:pPr>
              <w:jc w:val="right"/>
              <w:rPr>
                <w:rFonts w:ascii="Times New Roman" w:hAnsi="Times New Roman" w:eastAsia="仿宋_GB2312" w:cs="Times New Roman"/>
                <w:color w:val="000000"/>
                <w:sz w:val="24"/>
              </w:rPr>
            </w:pPr>
          </w:p>
        </w:tc>
        <w:tc>
          <w:tcPr>
            <w:tcW w:w="2085" w:type="dxa"/>
            <w:shd w:val="clear" w:color="auto" w:fill="FFFFFF"/>
            <w:vAlign w:val="center"/>
          </w:tcPr>
          <w:p>
            <w:pPr>
              <w:jc w:val="right"/>
              <w:rPr>
                <w:rFonts w:ascii="Times New Roman" w:hAnsi="Times New Roman" w:eastAsia="仿宋_GB2312" w:cs="Times New Roman"/>
                <w:color w:val="000000"/>
                <w:sz w:val="24"/>
              </w:rPr>
            </w:pPr>
          </w:p>
        </w:tc>
        <w:tc>
          <w:tcPr>
            <w:tcW w:w="1260" w:type="dxa"/>
            <w:shd w:val="clear" w:color="auto" w:fill="FFFFFF"/>
            <w:vAlign w:val="center"/>
          </w:tcPr>
          <w:p>
            <w:pPr>
              <w:jc w:val="right"/>
              <w:rPr>
                <w:rFonts w:ascii="Times New Roman" w:hAnsi="Times New Roman" w:eastAsia="仿宋_GB2312" w:cs="Times New Roman"/>
                <w:color w:val="000000"/>
                <w:sz w:val="24"/>
              </w:rPr>
            </w:pPr>
          </w:p>
        </w:tc>
        <w:tc>
          <w:tcPr>
            <w:tcW w:w="1245" w:type="dxa"/>
            <w:shd w:val="clear" w:color="auto" w:fill="FFFFFF"/>
            <w:vAlign w:val="center"/>
          </w:tcPr>
          <w:p>
            <w:pPr>
              <w:jc w:val="right"/>
              <w:rPr>
                <w:rFonts w:ascii="Times New Roman" w:hAnsi="Times New Roman" w:eastAsia="仿宋_GB2312" w:cs="Times New Roman"/>
                <w:color w:val="000000"/>
                <w:sz w:val="24"/>
              </w:rPr>
            </w:pPr>
          </w:p>
        </w:tc>
        <w:tc>
          <w:tcPr>
            <w:tcW w:w="1347" w:type="dxa"/>
            <w:shd w:val="clear" w:color="auto" w:fill="FFFFFF"/>
            <w:vAlign w:val="center"/>
          </w:tcPr>
          <w:p>
            <w:pPr>
              <w:jc w:val="right"/>
              <w:rPr>
                <w:rFonts w:ascii="Times New Roman" w:hAnsi="Times New Roman" w:eastAsia="仿宋_GB2312" w:cs="Times New Roman"/>
                <w:color w:val="000000"/>
                <w:sz w:val="24"/>
              </w:rPr>
            </w:pPr>
          </w:p>
        </w:tc>
        <w:tc>
          <w:tcPr>
            <w:tcW w:w="1069" w:type="dxa"/>
            <w:shd w:val="clear" w:color="auto" w:fill="FFFFFF"/>
            <w:vAlign w:val="center"/>
          </w:tcPr>
          <w:p>
            <w:pPr>
              <w:jc w:val="right"/>
              <w:rPr>
                <w:rFonts w:ascii="Times New Roman" w:hAnsi="Times New Roman" w:eastAsia="仿宋_GB2312" w:cs="Times New Roman"/>
                <w:color w:val="000000"/>
                <w:sz w:val="24"/>
              </w:rPr>
            </w:pPr>
          </w:p>
        </w:tc>
        <w:tc>
          <w:tcPr>
            <w:tcW w:w="1069" w:type="dxa"/>
            <w:shd w:val="clear" w:color="auto" w:fill="FFFFFF"/>
            <w:vAlign w:val="center"/>
          </w:tcPr>
          <w:p>
            <w:pPr>
              <w:jc w:val="right"/>
              <w:rPr>
                <w:rFonts w:ascii="Times New Roman" w:hAnsi="Times New Roman" w:eastAsia="仿宋_GB2312" w:cs="Times New Roman"/>
                <w:color w:val="000000"/>
                <w:sz w:val="24"/>
              </w:rPr>
            </w:pPr>
          </w:p>
        </w:tc>
        <w:tc>
          <w:tcPr>
            <w:tcW w:w="1065"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公开03表</w:t>
            </w:r>
          </w:p>
        </w:tc>
      </w:tr>
      <w:tr>
        <w:tblPrEx>
          <w:tblCellMar>
            <w:top w:w="15" w:type="dxa"/>
            <w:left w:w="15" w:type="dxa"/>
            <w:bottom w:w="15" w:type="dxa"/>
            <w:right w:w="15" w:type="dxa"/>
          </w:tblCellMar>
        </w:tblPrEx>
        <w:trPr>
          <w:trHeight w:val="286" w:hRule="atLeast"/>
          <w:jc w:val="center"/>
        </w:trPr>
        <w:tc>
          <w:tcPr>
            <w:tcW w:w="671" w:type="dxa"/>
            <w:shd w:val="clear" w:color="auto" w:fill="FFFFFF"/>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475" w:type="dxa"/>
            <w:shd w:val="clear" w:color="auto" w:fill="FFFFFF"/>
            <w:vAlign w:val="center"/>
          </w:tcPr>
          <w:p>
            <w:pPr>
              <w:jc w:val="right"/>
              <w:rPr>
                <w:rFonts w:ascii="Times New Roman" w:hAnsi="Times New Roman" w:eastAsia="仿宋_GB2312" w:cs="Times New Roman"/>
                <w:color w:val="000000"/>
                <w:sz w:val="24"/>
              </w:rPr>
            </w:pPr>
          </w:p>
        </w:tc>
        <w:tc>
          <w:tcPr>
            <w:tcW w:w="2085" w:type="dxa"/>
            <w:shd w:val="clear" w:color="auto" w:fill="FFFFFF"/>
            <w:vAlign w:val="center"/>
          </w:tcPr>
          <w:p>
            <w:pPr>
              <w:jc w:val="right"/>
              <w:rPr>
                <w:rFonts w:ascii="Times New Roman" w:hAnsi="Times New Roman" w:eastAsia="仿宋_GB2312" w:cs="Times New Roman"/>
                <w:color w:val="000000"/>
                <w:sz w:val="24"/>
              </w:rPr>
            </w:pPr>
          </w:p>
        </w:tc>
        <w:tc>
          <w:tcPr>
            <w:tcW w:w="1260" w:type="dxa"/>
            <w:shd w:val="clear" w:color="auto" w:fill="FFFFFF"/>
            <w:vAlign w:val="center"/>
          </w:tcPr>
          <w:p>
            <w:pPr>
              <w:wordWrap w:val="0"/>
              <w:jc w:val="right"/>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 xml:space="preserve"> </w:t>
            </w:r>
          </w:p>
        </w:tc>
        <w:tc>
          <w:tcPr>
            <w:tcW w:w="1245" w:type="dxa"/>
            <w:shd w:val="clear" w:color="auto" w:fill="FFFFFF"/>
            <w:vAlign w:val="center"/>
          </w:tcPr>
          <w:p>
            <w:pPr>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2025年度</w:t>
            </w:r>
          </w:p>
        </w:tc>
        <w:tc>
          <w:tcPr>
            <w:tcW w:w="1347" w:type="dxa"/>
            <w:shd w:val="clear" w:color="auto" w:fill="FFFFFF"/>
            <w:vAlign w:val="center"/>
          </w:tcPr>
          <w:p>
            <w:pPr>
              <w:jc w:val="center"/>
              <w:rPr>
                <w:rFonts w:ascii="Times New Roman" w:hAnsi="Times New Roman" w:eastAsia="仿宋_GB2312" w:cs="Times New Roman"/>
                <w:color w:val="000000"/>
                <w:sz w:val="20"/>
                <w:szCs w:val="20"/>
              </w:rPr>
            </w:pPr>
          </w:p>
        </w:tc>
        <w:tc>
          <w:tcPr>
            <w:tcW w:w="1069" w:type="dxa"/>
            <w:shd w:val="clear" w:color="auto" w:fill="FFFFFF"/>
            <w:vAlign w:val="center"/>
          </w:tcPr>
          <w:p>
            <w:pPr>
              <w:jc w:val="right"/>
              <w:rPr>
                <w:rFonts w:ascii="Times New Roman" w:hAnsi="Times New Roman" w:eastAsia="仿宋_GB2312" w:cs="Times New Roman"/>
                <w:color w:val="000000"/>
                <w:sz w:val="24"/>
              </w:rPr>
            </w:pPr>
          </w:p>
        </w:tc>
        <w:tc>
          <w:tcPr>
            <w:tcW w:w="1069" w:type="dxa"/>
            <w:shd w:val="clear" w:color="auto" w:fill="FFFFFF"/>
            <w:vAlign w:val="center"/>
          </w:tcPr>
          <w:p>
            <w:pPr>
              <w:jc w:val="right"/>
              <w:rPr>
                <w:rFonts w:ascii="Times New Roman" w:hAnsi="Times New Roman" w:eastAsia="仿宋_GB2312" w:cs="Times New Roman"/>
                <w:color w:val="000000"/>
                <w:sz w:val="24"/>
              </w:rPr>
            </w:pPr>
          </w:p>
        </w:tc>
        <w:tc>
          <w:tcPr>
            <w:tcW w:w="1065"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tblPrEx>
          <w:tblCellMar>
            <w:top w:w="15" w:type="dxa"/>
            <w:left w:w="15" w:type="dxa"/>
            <w:bottom w:w="15" w:type="dxa"/>
            <w:right w:w="15" w:type="dxa"/>
          </w:tblCellMar>
        </w:tblPrEx>
        <w:trPr>
          <w:trHeight w:val="450" w:hRule="atLeast"/>
          <w:jc w:val="center"/>
        </w:trPr>
        <w:tc>
          <w:tcPr>
            <w:tcW w:w="32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本年支出合计</w:t>
            </w:r>
          </w:p>
        </w:tc>
        <w:tc>
          <w:tcPr>
            <w:tcW w:w="12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基本支出</w:t>
            </w: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项目支出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上缴上级支出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经营支出</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对附属单位补助支出</w:t>
            </w:r>
          </w:p>
        </w:tc>
      </w:tr>
      <w:tr>
        <w:tblPrEx>
          <w:tblCellMar>
            <w:top w:w="15" w:type="dxa"/>
            <w:left w:w="15" w:type="dxa"/>
            <w:bottom w:w="15" w:type="dxa"/>
            <w:right w:w="15" w:type="dxa"/>
          </w:tblCellMar>
        </w:tblPrEx>
        <w:trPr>
          <w:trHeight w:val="450" w:hRule="atLeast"/>
          <w:jc w:val="center"/>
        </w:trPr>
        <w:tc>
          <w:tcPr>
            <w:tcW w:w="1146"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科目代码</w:t>
            </w:r>
          </w:p>
        </w:tc>
        <w:tc>
          <w:tcPr>
            <w:tcW w:w="20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科目名称</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p>
        </w:tc>
      </w:tr>
      <w:tr>
        <w:tblPrEx>
          <w:tblCellMar>
            <w:top w:w="15" w:type="dxa"/>
            <w:left w:w="15" w:type="dxa"/>
            <w:bottom w:w="15" w:type="dxa"/>
            <w:right w:w="15" w:type="dxa"/>
          </w:tblCellMar>
        </w:tblPrEx>
        <w:trPr>
          <w:trHeight w:val="450" w:hRule="atLeast"/>
          <w:jc w:val="center"/>
        </w:trPr>
        <w:tc>
          <w:tcPr>
            <w:tcW w:w="114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50" w:hRule="atLeast"/>
          <w:jc w:val="center"/>
        </w:trPr>
        <w:tc>
          <w:tcPr>
            <w:tcW w:w="32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栏次</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12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134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6</w:t>
            </w:r>
          </w:p>
        </w:tc>
      </w:tr>
      <w:tr>
        <w:tblPrEx>
          <w:tblCellMar>
            <w:top w:w="15" w:type="dxa"/>
            <w:left w:w="15" w:type="dxa"/>
            <w:bottom w:w="15" w:type="dxa"/>
            <w:right w:w="15" w:type="dxa"/>
          </w:tblCellMar>
        </w:tblPrEx>
        <w:trPr>
          <w:trHeight w:val="450" w:hRule="atLeast"/>
          <w:jc w:val="center"/>
        </w:trPr>
        <w:tc>
          <w:tcPr>
            <w:tcW w:w="32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合计</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1475.57</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827.79</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647.78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201</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一般公共服务支出</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1316.53</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673.75</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642.78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20106</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财政事务</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1316.53</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lang w:val="en-US" w:eastAsia="zh-CN"/>
              </w:rPr>
              <w:t>673.75</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642.78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2010601</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行政运行</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693.72</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lang w:val="en-US" w:eastAsia="zh-CN"/>
              </w:rPr>
              <w:t>673.75</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19.97</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2010602</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一般行政管理事务</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622.81</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622.81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208</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社会保障和就业支出</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68.72</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68.72</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20805</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行政单位养老支出</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65.58</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65.58</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2080501</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行政单位离退休</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2.48</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2.48</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2080505</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机关事业单位基本养老保险缴费支出</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63.10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63.10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20899</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其他社会保障和就业支出</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3.14</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3.14</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2089999</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其他社会保障和就业支出</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3.14</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3.14</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210</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卫生健康支出</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35.89</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35.89</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21011</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行政事业单位医疗</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35.89</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35.89</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2101101</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行政单位医疗</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18.79</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18.79</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2101103</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公务员医疗补助</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17.10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17.10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213</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农林水支出</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5.00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5.00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21301</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农业农村</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5.00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5.00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2130199</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其他农业农村支出</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5.00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5.00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221</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住房保障支出</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49.43</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49.43</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22102</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住房保障支出</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49.43</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49.43</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2210201</w:t>
            </w:r>
          </w:p>
        </w:tc>
        <w:tc>
          <w:tcPr>
            <w:tcW w:w="20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住房公积金</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lang w:val="en-US" w:eastAsia="zh-CN"/>
              </w:rPr>
            </w:pPr>
            <w:r>
              <w:rPr>
                <w:rFonts w:hint="eastAsia" w:ascii="Times New Roman" w:hAnsi="Times New Roman" w:eastAsia="仿宋_GB2312" w:cs="Times New Roman"/>
                <w:color w:val="000000"/>
                <w:sz w:val="24"/>
                <w:lang w:val="en-US" w:eastAsia="zh-CN"/>
              </w:rPr>
              <w:t>49.43</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lang w:val="en-US" w:eastAsia="zh-CN"/>
              </w:rPr>
              <w:t>49.43</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630" w:hRule="atLeast"/>
          <w:jc w:val="center"/>
        </w:trPr>
        <w:tc>
          <w:tcPr>
            <w:tcW w:w="10286" w:type="dxa"/>
            <w:gridSpan w:val="9"/>
            <w:shd w:val="clear" w:color="auto" w:fill="auto"/>
            <w:vAlign w:val="center"/>
          </w:tcPr>
          <w:p>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注：本表反映部门本年度各项支出情况。</w:t>
            </w:r>
          </w:p>
        </w:tc>
      </w:tr>
    </w:tbl>
    <w:p>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420" w:type="dxa"/>
        <w:jc w:val="center"/>
        <w:tblLayout w:type="fixed"/>
        <w:tblCellMar>
          <w:top w:w="15" w:type="dxa"/>
          <w:left w:w="15" w:type="dxa"/>
          <w:bottom w:w="15" w:type="dxa"/>
          <w:right w:w="15" w:type="dxa"/>
        </w:tblCellMar>
      </w:tblPr>
      <w:tblGrid>
        <w:gridCol w:w="2293"/>
        <w:gridCol w:w="585"/>
        <w:gridCol w:w="885"/>
        <w:gridCol w:w="2520"/>
        <w:gridCol w:w="494"/>
        <w:gridCol w:w="670"/>
        <w:gridCol w:w="89"/>
        <w:gridCol w:w="960"/>
        <w:gridCol w:w="960"/>
        <w:gridCol w:w="964"/>
      </w:tblGrid>
      <w:tr>
        <w:tblPrEx>
          <w:tblCellMar>
            <w:top w:w="15" w:type="dxa"/>
            <w:left w:w="15" w:type="dxa"/>
            <w:bottom w:w="15" w:type="dxa"/>
            <w:right w:w="15" w:type="dxa"/>
          </w:tblCellMar>
        </w:tblPrEx>
        <w:trPr>
          <w:trHeight w:val="1069" w:hRule="atLeast"/>
          <w:jc w:val="center"/>
        </w:trPr>
        <w:tc>
          <w:tcPr>
            <w:tcW w:w="10420" w:type="dxa"/>
            <w:gridSpan w:val="10"/>
            <w:tcBorders>
              <w:top w:val="nil"/>
              <w:left w:val="nil"/>
              <w:bottom w:val="nil"/>
              <w:right w:val="nil"/>
            </w:tcBorders>
            <w:shd w:val="clear" w:color="auto" w:fill="FFFFFF"/>
            <w:vAlign w:val="bottom"/>
          </w:tcPr>
          <w:p>
            <w:pPr>
              <w:widowControl/>
              <w:ind w:firstLine="3534" w:firstLineChars="1100"/>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color w:val="000000"/>
                <w:kern w:val="0"/>
                <w:sz w:val="32"/>
                <w:szCs w:val="32"/>
                <w:lang w:bidi="ar"/>
              </w:rPr>
              <w:t>财政拨款收入支出决算总表</w:t>
            </w:r>
          </w:p>
        </w:tc>
      </w:tr>
      <w:tr>
        <w:tblPrEx>
          <w:tblCellMar>
            <w:top w:w="15" w:type="dxa"/>
            <w:left w:w="15" w:type="dxa"/>
            <w:bottom w:w="15" w:type="dxa"/>
            <w:right w:w="15" w:type="dxa"/>
          </w:tblCellMar>
        </w:tblPrEx>
        <w:trPr>
          <w:trHeight w:val="347" w:hRule="atLeast"/>
          <w:jc w:val="center"/>
        </w:trPr>
        <w:tc>
          <w:tcPr>
            <w:tcW w:w="3763" w:type="dxa"/>
            <w:gridSpan w:val="3"/>
            <w:tcBorders>
              <w:top w:val="nil"/>
              <w:left w:val="nil"/>
              <w:bottom w:val="nil"/>
              <w:right w:val="nil"/>
            </w:tcBorders>
            <w:shd w:val="clear" w:color="auto" w:fill="FFFFFF"/>
            <w:vAlign w:val="center"/>
          </w:tcPr>
          <w:p>
            <w:pPr>
              <w:widowControl/>
              <w:jc w:val="right"/>
              <w:textAlignment w:val="center"/>
              <w:rPr>
                <w:rFonts w:ascii="Times New Roman" w:hAnsi="Times New Roman" w:eastAsia="仿宋_GB2312" w:cs="Times New Roman"/>
                <w:color w:val="000000"/>
                <w:kern w:val="0"/>
                <w:sz w:val="24"/>
                <w:szCs w:val="24"/>
                <w:lang w:bidi="ar"/>
              </w:rPr>
            </w:pPr>
          </w:p>
        </w:tc>
        <w:tc>
          <w:tcPr>
            <w:tcW w:w="6657" w:type="dxa"/>
            <w:gridSpan w:val="7"/>
            <w:tcBorders>
              <w:top w:val="nil"/>
              <w:left w:val="nil"/>
              <w:bottom w:val="nil"/>
              <w:right w:val="nil"/>
            </w:tcBorders>
            <w:shd w:val="clear" w:color="auto" w:fill="FFFFFF"/>
            <w:vAlign w:val="center"/>
          </w:tcPr>
          <w:p>
            <w:pPr>
              <w:widowControl/>
              <w:jc w:val="righ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0"/>
                <w:szCs w:val="20"/>
                <w:lang w:bidi="ar"/>
              </w:rPr>
              <w:t>公开04表</w:t>
            </w:r>
          </w:p>
        </w:tc>
      </w:tr>
      <w:tr>
        <w:tblPrEx>
          <w:tblCellMar>
            <w:top w:w="15" w:type="dxa"/>
            <w:left w:w="15" w:type="dxa"/>
            <w:bottom w:w="15" w:type="dxa"/>
            <w:right w:w="15" w:type="dxa"/>
          </w:tblCellMar>
        </w:tblPrEx>
        <w:trPr>
          <w:trHeight w:val="388" w:hRule="atLeast"/>
          <w:jc w:val="center"/>
        </w:trPr>
        <w:tc>
          <w:tcPr>
            <w:tcW w:w="3763" w:type="dxa"/>
            <w:gridSpan w:val="3"/>
            <w:tcBorders>
              <w:top w:val="nil"/>
              <w:left w:val="nil"/>
              <w:bottom w:val="nil"/>
              <w:right w:val="nil"/>
            </w:tcBorders>
            <w:shd w:val="clear" w:color="auto" w:fill="FFFFFF"/>
            <w:vAlign w:val="center"/>
          </w:tcPr>
          <w:p>
            <w:pPr>
              <w:widowControl/>
              <w:jc w:val="left"/>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 xml:space="preserve">部门：                    </w:t>
            </w:r>
          </w:p>
        </w:tc>
        <w:tc>
          <w:tcPr>
            <w:tcW w:w="3684" w:type="dxa"/>
            <w:gridSpan w:val="3"/>
            <w:tcBorders>
              <w:top w:val="nil"/>
              <w:left w:val="nil"/>
              <w:bottom w:val="nil"/>
              <w:right w:val="nil"/>
            </w:tcBorders>
            <w:shd w:val="clear" w:color="auto" w:fill="FFFFFF"/>
            <w:vAlign w:val="center"/>
          </w:tcPr>
          <w:p>
            <w:pPr>
              <w:widowControl/>
              <w:jc w:val="center"/>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2025年度</w:t>
            </w:r>
          </w:p>
        </w:tc>
        <w:tc>
          <w:tcPr>
            <w:tcW w:w="2973" w:type="dxa"/>
            <w:gridSpan w:val="4"/>
            <w:tcBorders>
              <w:top w:val="nil"/>
              <w:left w:val="nil"/>
              <w:bottom w:val="nil"/>
              <w:right w:val="nil"/>
            </w:tcBorders>
            <w:shd w:val="clear" w:color="auto" w:fill="FFFFFF"/>
            <w:vAlign w:val="center"/>
          </w:tcPr>
          <w:p>
            <w:pPr>
              <w:widowControl/>
              <w:jc w:val="right"/>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单位：万元</w:t>
            </w:r>
          </w:p>
        </w:tc>
      </w:tr>
      <w:tr>
        <w:tblPrEx>
          <w:tblCellMar>
            <w:top w:w="15" w:type="dxa"/>
            <w:left w:w="15" w:type="dxa"/>
            <w:bottom w:w="15" w:type="dxa"/>
            <w:right w:w="15" w:type="dxa"/>
          </w:tblCellMar>
        </w:tblPrEx>
        <w:trPr>
          <w:trHeight w:val="535" w:hRule="atLeast"/>
          <w:jc w:val="center"/>
        </w:trPr>
        <w:tc>
          <w:tcPr>
            <w:tcW w:w="37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收入</w:t>
            </w: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支出</w:t>
            </w:r>
          </w:p>
        </w:tc>
      </w:tr>
      <w:tr>
        <w:tblPrEx>
          <w:tblCellMar>
            <w:top w:w="15" w:type="dxa"/>
            <w:left w:w="15" w:type="dxa"/>
            <w:bottom w:w="15" w:type="dxa"/>
            <w:right w:w="15" w:type="dxa"/>
          </w:tblCellMar>
        </w:tblPrEx>
        <w:trPr>
          <w:trHeight w:val="997" w:hRule="atLeas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金额</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国有资本经营预算财政拨款</w:t>
            </w:r>
          </w:p>
        </w:tc>
      </w:tr>
      <w:tr>
        <w:tblPrEx>
          <w:tblCellMar>
            <w:top w:w="15" w:type="dxa"/>
            <w:left w:w="15" w:type="dxa"/>
            <w:bottom w:w="15" w:type="dxa"/>
            <w:right w:w="15" w:type="dxa"/>
          </w:tblCellMar>
        </w:tblPrEx>
        <w:trPr>
          <w:trHeight w:val="535" w:hRule="atLeas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8"/>
                <w:szCs w:val="21"/>
              </w:rPr>
              <w:t>一、一般公共预算财政拨款</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1475.51</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一、一般公共服务支出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1316.53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1316.53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8"/>
                <w:szCs w:val="21"/>
              </w:rPr>
              <w:t>二、政府性基金预算财政拨款</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2</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二、外交支出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6"/>
                <w:szCs w:val="20"/>
              </w:rPr>
              <w:t>三、国有资本经营预算财政拨款</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三、国防支出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四、公共安全支出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五、教育支出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六、科学技术支出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7</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5"/>
                <w:szCs w:val="15"/>
              </w:rPr>
            </w:pPr>
            <w:r>
              <w:rPr>
                <w:rFonts w:ascii="Times New Roman" w:hAnsi="Times New Roman" w:eastAsia="仿宋_GB2312" w:cs="Times New Roman"/>
                <w:sz w:val="20"/>
              </w:rPr>
              <w:t>七、文化旅游体育与传媒支出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8</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八、社会保障和就业支出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68.72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68.72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9</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b/>
                <w:color w:val="000000"/>
                <w:sz w:val="13"/>
                <w:szCs w:val="13"/>
              </w:rPr>
            </w:pPr>
            <w:r>
              <w:rPr>
                <w:rFonts w:ascii="Times New Roman" w:hAnsi="Times New Roman" w:eastAsia="仿宋_GB2312" w:cs="Times New Roman"/>
                <w:sz w:val="20"/>
              </w:rPr>
              <w:t>九、卫生健康支出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35.89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35.89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十、节能环保支出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十一、城乡社区支出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12</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十二、农林水支出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十三、交通运输支出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sz w:val="15"/>
                <w:szCs w:val="15"/>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14</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sz w:val="13"/>
                <w:szCs w:val="13"/>
              </w:rPr>
            </w:pPr>
            <w:r>
              <w:rPr>
                <w:rFonts w:ascii="Times New Roman" w:hAnsi="Times New Roman" w:eastAsia="仿宋_GB2312" w:cs="Times New Roman"/>
                <w:sz w:val="18"/>
                <w:szCs w:val="21"/>
              </w:rPr>
              <w:t>十四、资源勘探工业信息等支出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十五、商业服务业等支出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16</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十六、金融支出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17</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十七、援助其他地区支出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18</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8"/>
                <w:szCs w:val="21"/>
              </w:rPr>
              <w:t>十八、自然资源海洋气象等支出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19</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十九、住房保障支出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49.43</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49.43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二十、粮油物资储备支出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37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kern w:val="0"/>
                <w:sz w:val="22"/>
                <w:lang w:bidi="ar"/>
              </w:rPr>
            </w:pPr>
            <w:r>
              <w:rPr>
                <w:rFonts w:ascii="Times New Roman" w:hAnsi="Times New Roman" w:eastAsia="仿宋_GB2312" w:cs="Times New Roman"/>
                <w:b/>
                <w:bCs/>
                <w:color w:val="000000"/>
                <w:kern w:val="0"/>
                <w:sz w:val="22"/>
                <w:lang w:bidi="ar"/>
              </w:rPr>
              <w:t>收入</w:t>
            </w:r>
          </w:p>
        </w:tc>
        <w:tc>
          <w:tcPr>
            <w:tcW w:w="665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支出</w:t>
            </w:r>
          </w:p>
        </w:tc>
      </w:tr>
      <w:tr>
        <w:tblPrEx>
          <w:tblCellMar>
            <w:top w:w="15" w:type="dxa"/>
            <w:left w:w="15" w:type="dxa"/>
            <w:bottom w:w="15" w:type="dxa"/>
            <w:right w:w="15" w:type="dxa"/>
          </w:tblCellMar>
        </w:tblPrEx>
        <w:trPr>
          <w:trHeight w:val="140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行次</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金额</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国有资本经营预算财政拨款</w:t>
            </w: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    次</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    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8"/>
                <w:szCs w:val="21"/>
              </w:rPr>
              <w:t>二十一、国有资本经营预算支出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22</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6"/>
                <w:szCs w:val="20"/>
              </w:rPr>
              <w:t>二十二、灾害防治及应急管理支出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二十三、其他支出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24</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二十四、债务还本支出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二十五、债务付息支出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26</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6"/>
                <w:szCs w:val="20"/>
              </w:rPr>
              <w:t>二十六、抗疫特别国债安排的支出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r>
              <w:rPr>
                <w:rFonts w:ascii="Times New Roman" w:hAnsi="Times New Roman" w:eastAsia="仿宋_GB2312" w:cs="Times New Roman"/>
                <w:b/>
                <w:bCs/>
              </w:rPr>
              <w:t>本年收入合计</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27</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1475.51</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b/>
                <w:bCs/>
                <w:sz w:val="20"/>
              </w:rPr>
              <w:t>本年支出合计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1475.57</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1475.57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年初财政拨款结转和结余</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28</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0.09</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年末财政拨款结转和结余</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0.03</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 xml:space="preserve">  一般公共预算财政拨款</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29</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0.09</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 xml:space="preserve">  政府性基金预算财政拨款</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6"/>
                <w:szCs w:val="20"/>
              </w:rPr>
              <w:t xml:space="preserve">  国有资本经营预算财政拨款</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442" w:hRule="exact"/>
          <w:jc w:val="center"/>
        </w:trPr>
        <w:tc>
          <w:tcPr>
            <w:tcW w:w="22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r>
              <w:rPr>
                <w:rFonts w:ascii="Times New Roman" w:hAnsi="Times New Roman" w:eastAsia="仿宋_GB2312" w:cs="Times New Roman"/>
                <w:b/>
                <w:bCs/>
              </w:rPr>
              <w:t>总计</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rPr>
            </w:pPr>
            <w:r>
              <w:rPr>
                <w:rFonts w:ascii="Times New Roman" w:hAnsi="Times New Roman" w:eastAsia="仿宋_GB2312" w:cs="Times New Roman"/>
              </w:rPr>
              <w:t>32</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1475.60</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b/>
                <w:bCs/>
                <w:sz w:val="20"/>
              </w:rPr>
              <w:t>总计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1475.60</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1475.60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15" w:type="dxa"/>
            <w:left w:w="15" w:type="dxa"/>
            <w:bottom w:w="15" w:type="dxa"/>
            <w:right w:w="15" w:type="dxa"/>
          </w:tblCellMar>
        </w:tblPrEx>
        <w:trPr>
          <w:trHeight w:val="843" w:hRule="atLeast"/>
          <w:jc w:val="center"/>
        </w:trPr>
        <w:tc>
          <w:tcPr>
            <w:tcW w:w="10420" w:type="dxa"/>
            <w:gridSpan w:val="10"/>
            <w:shd w:val="clear" w:color="auto" w:fill="auto"/>
            <w:vAlign w:val="center"/>
          </w:tcPr>
          <w:p>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注：本表反映部门本年度一般公共预算财政拨款、政府性基金预算财政拨款和国有资本经营预算财政拨款的总收支和年末结转结余情况。</w:t>
            </w:r>
          </w:p>
        </w:tc>
      </w:tr>
    </w:tbl>
    <w:p>
      <w:pPr>
        <w:widowControl/>
        <w:jc w:val="center"/>
        <w:textAlignment w:val="center"/>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color w:val="000000"/>
          <w:kern w:val="0"/>
          <w:sz w:val="32"/>
          <w:szCs w:val="32"/>
          <w:lang w:bidi="ar"/>
        </w:rPr>
        <w:br w:type="page"/>
      </w:r>
    </w:p>
    <w:tbl>
      <w:tblPr>
        <w:tblStyle w:val="9"/>
        <w:tblW w:w="10900" w:type="dxa"/>
        <w:jc w:val="center"/>
        <w:tblLayout w:type="fixed"/>
        <w:tblCellMar>
          <w:top w:w="15" w:type="dxa"/>
          <w:left w:w="15" w:type="dxa"/>
          <w:bottom w:w="15" w:type="dxa"/>
          <w:right w:w="15" w:type="dxa"/>
        </w:tblCellMar>
      </w:tblPr>
      <w:tblGrid>
        <w:gridCol w:w="602"/>
        <w:gridCol w:w="1085"/>
        <w:gridCol w:w="2337"/>
        <w:gridCol w:w="2397"/>
        <w:gridCol w:w="2186"/>
        <w:gridCol w:w="2293"/>
      </w:tblGrid>
      <w:tr>
        <w:tblPrEx>
          <w:tblCellMar>
            <w:top w:w="15" w:type="dxa"/>
            <w:left w:w="15" w:type="dxa"/>
            <w:bottom w:w="15" w:type="dxa"/>
            <w:right w:w="15" w:type="dxa"/>
          </w:tblCellMar>
        </w:tblPrEx>
        <w:trPr>
          <w:trHeight w:val="628" w:hRule="atLeast"/>
          <w:jc w:val="center"/>
        </w:trPr>
        <w:tc>
          <w:tcPr>
            <w:tcW w:w="10900" w:type="dxa"/>
            <w:gridSpan w:val="6"/>
            <w:shd w:val="clear" w:color="auto" w:fill="FFFFFF"/>
            <w:vAlign w:val="center"/>
          </w:tcPr>
          <w:p>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一般公共预算财政拨款支出决算表</w:t>
            </w:r>
          </w:p>
        </w:tc>
      </w:tr>
      <w:tr>
        <w:tblPrEx>
          <w:tblCellMar>
            <w:top w:w="15" w:type="dxa"/>
            <w:left w:w="15" w:type="dxa"/>
            <w:bottom w:w="15" w:type="dxa"/>
            <w:right w:w="15" w:type="dxa"/>
          </w:tblCellMar>
        </w:tblPrEx>
        <w:trPr>
          <w:trHeight w:val="286" w:hRule="atLeast"/>
          <w:jc w:val="center"/>
        </w:trPr>
        <w:tc>
          <w:tcPr>
            <w:tcW w:w="602" w:type="dxa"/>
            <w:shd w:val="clear" w:color="auto" w:fill="FFFFFF"/>
            <w:vAlign w:val="center"/>
          </w:tcPr>
          <w:p>
            <w:pPr>
              <w:jc w:val="center"/>
              <w:rPr>
                <w:rFonts w:ascii="Times New Roman" w:hAnsi="Times New Roman" w:eastAsia="仿宋_GB2312" w:cs="Times New Roman"/>
                <w:color w:val="000000"/>
                <w:sz w:val="20"/>
                <w:szCs w:val="20"/>
              </w:rPr>
            </w:pPr>
          </w:p>
        </w:tc>
        <w:tc>
          <w:tcPr>
            <w:tcW w:w="1085" w:type="dxa"/>
            <w:shd w:val="clear" w:color="auto" w:fill="FFFFFF"/>
            <w:vAlign w:val="center"/>
          </w:tcPr>
          <w:p>
            <w:pPr>
              <w:jc w:val="center"/>
              <w:rPr>
                <w:rFonts w:ascii="Times New Roman" w:hAnsi="Times New Roman" w:eastAsia="仿宋_GB2312" w:cs="Times New Roman"/>
                <w:color w:val="000000"/>
                <w:sz w:val="20"/>
                <w:szCs w:val="20"/>
              </w:rPr>
            </w:pPr>
          </w:p>
        </w:tc>
        <w:tc>
          <w:tcPr>
            <w:tcW w:w="2337" w:type="dxa"/>
            <w:shd w:val="clear" w:color="auto" w:fill="FFFFFF"/>
            <w:vAlign w:val="center"/>
          </w:tcPr>
          <w:p>
            <w:pPr>
              <w:jc w:val="center"/>
              <w:rPr>
                <w:rFonts w:ascii="Times New Roman" w:hAnsi="Times New Roman" w:eastAsia="仿宋_GB2312" w:cs="Times New Roman"/>
                <w:color w:val="000000"/>
                <w:sz w:val="20"/>
                <w:szCs w:val="20"/>
              </w:rPr>
            </w:pPr>
          </w:p>
        </w:tc>
        <w:tc>
          <w:tcPr>
            <w:tcW w:w="2397" w:type="dxa"/>
            <w:shd w:val="clear" w:color="auto" w:fill="FFFFFF"/>
            <w:vAlign w:val="center"/>
          </w:tcPr>
          <w:p>
            <w:pPr>
              <w:rPr>
                <w:rFonts w:ascii="Times New Roman" w:hAnsi="Times New Roman" w:eastAsia="仿宋_GB2312" w:cs="Times New Roman"/>
                <w:color w:val="000000"/>
                <w:sz w:val="20"/>
                <w:szCs w:val="20"/>
              </w:rPr>
            </w:pPr>
          </w:p>
        </w:tc>
        <w:tc>
          <w:tcPr>
            <w:tcW w:w="2186" w:type="dxa"/>
            <w:shd w:val="clear" w:color="auto" w:fill="FFFFFF"/>
            <w:vAlign w:val="center"/>
          </w:tcPr>
          <w:p>
            <w:pPr>
              <w:rPr>
                <w:rFonts w:ascii="Times New Roman" w:hAnsi="Times New Roman" w:eastAsia="仿宋_GB2312" w:cs="Times New Roman"/>
                <w:color w:val="000000"/>
                <w:sz w:val="20"/>
                <w:szCs w:val="20"/>
              </w:rPr>
            </w:pPr>
          </w:p>
        </w:tc>
        <w:tc>
          <w:tcPr>
            <w:tcW w:w="2293"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w:t>
            </w:r>
            <w:r>
              <w:rPr>
                <w:rStyle w:val="17"/>
                <w:rFonts w:hint="default" w:ascii="Times New Roman" w:hAnsi="Times New Roman" w:eastAsia="仿宋_GB2312" w:cs="Times New Roman"/>
                <w:lang w:bidi="ar"/>
              </w:rPr>
              <w:t>5表</w:t>
            </w:r>
          </w:p>
        </w:tc>
      </w:tr>
      <w:tr>
        <w:tblPrEx>
          <w:tblCellMar>
            <w:top w:w="15" w:type="dxa"/>
            <w:left w:w="15" w:type="dxa"/>
            <w:bottom w:w="15" w:type="dxa"/>
            <w:right w:w="15" w:type="dxa"/>
          </w:tblCellMar>
        </w:tblPrEx>
        <w:trPr>
          <w:trHeight w:val="327" w:hRule="atLeast"/>
          <w:jc w:val="center"/>
        </w:trPr>
        <w:tc>
          <w:tcPr>
            <w:tcW w:w="602" w:type="dxa"/>
            <w:shd w:val="clear" w:color="auto" w:fill="FFFFFF"/>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1085" w:type="dxa"/>
            <w:shd w:val="clear" w:color="auto" w:fill="FFFFFF"/>
            <w:vAlign w:val="center"/>
          </w:tcPr>
          <w:p>
            <w:pPr>
              <w:jc w:val="center"/>
              <w:rPr>
                <w:rFonts w:ascii="Times New Roman" w:hAnsi="Times New Roman" w:eastAsia="仿宋_GB2312" w:cs="Times New Roman"/>
                <w:color w:val="000000"/>
                <w:sz w:val="20"/>
                <w:szCs w:val="20"/>
              </w:rPr>
            </w:pPr>
          </w:p>
        </w:tc>
        <w:tc>
          <w:tcPr>
            <w:tcW w:w="2337" w:type="dxa"/>
            <w:shd w:val="clear" w:color="auto" w:fill="FFFFFF"/>
            <w:vAlign w:val="center"/>
          </w:tcPr>
          <w:p>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 xml:space="preserve">             </w:t>
            </w:r>
          </w:p>
        </w:tc>
        <w:tc>
          <w:tcPr>
            <w:tcW w:w="2397" w:type="dxa"/>
            <w:shd w:val="clear" w:color="auto" w:fill="FFFFFF"/>
            <w:vAlign w:val="center"/>
          </w:tcPr>
          <w:p>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2186" w:type="dxa"/>
            <w:shd w:val="clear" w:color="auto" w:fill="FFFFFF"/>
            <w:vAlign w:val="center"/>
          </w:tcPr>
          <w:p>
            <w:pPr>
              <w:rPr>
                <w:rFonts w:ascii="Times New Roman" w:hAnsi="Times New Roman" w:eastAsia="仿宋_GB2312" w:cs="Times New Roman"/>
                <w:color w:val="000000"/>
                <w:sz w:val="20"/>
                <w:szCs w:val="20"/>
              </w:rPr>
            </w:pPr>
          </w:p>
        </w:tc>
        <w:tc>
          <w:tcPr>
            <w:tcW w:w="2293"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tblPrEx>
          <w:tblCellMar>
            <w:top w:w="15" w:type="dxa"/>
            <w:left w:w="15" w:type="dxa"/>
            <w:bottom w:w="15" w:type="dxa"/>
            <w:right w:w="15" w:type="dxa"/>
          </w:tblCellMar>
        </w:tblPrEx>
        <w:trPr>
          <w:trHeight w:val="38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 xml:space="preserve">项 </w:t>
            </w:r>
            <w:r>
              <w:rPr>
                <w:rStyle w:val="18"/>
                <w:rFonts w:hint="default" w:ascii="Times New Roman" w:hAnsi="Times New Roman" w:eastAsia="仿宋_GB2312" w:cs="Times New Roman"/>
                <w:b/>
                <w:lang w:bidi="ar"/>
              </w:rPr>
              <w:t xml:space="preserve">   </w:t>
            </w:r>
            <w:r>
              <w:rPr>
                <w:rStyle w:val="19"/>
                <w:rFonts w:hint="default" w:ascii="Times New Roman" w:hAnsi="Times New Roman" w:eastAsia="仿宋_GB2312" w:cs="Times New Roman"/>
                <w:b/>
                <w:sz w:val="22"/>
                <w:szCs w:val="22"/>
                <w:lang w:bidi="ar"/>
              </w:rPr>
              <w:t>目</w:t>
            </w:r>
          </w:p>
        </w:tc>
        <w:tc>
          <w:tcPr>
            <w:tcW w:w="68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w:t>
            </w:r>
          </w:p>
        </w:tc>
      </w:tr>
      <w:tr>
        <w:tblPrEx>
          <w:tblCellMar>
            <w:top w:w="15" w:type="dxa"/>
            <w:left w:w="15" w:type="dxa"/>
            <w:bottom w:w="15" w:type="dxa"/>
            <w:right w:w="15" w:type="dxa"/>
          </w:tblCellMar>
        </w:tblPrEx>
        <w:trPr>
          <w:trHeight w:val="360" w:hRule="atLeast"/>
          <w:jc w:val="center"/>
        </w:trPr>
        <w:tc>
          <w:tcPr>
            <w:tcW w:w="168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3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23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小计</w:t>
            </w:r>
          </w:p>
        </w:tc>
        <w:tc>
          <w:tcPr>
            <w:tcW w:w="2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 xml:space="preserve">基本支出  </w:t>
            </w:r>
          </w:p>
        </w:tc>
        <w:tc>
          <w:tcPr>
            <w:tcW w:w="2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项目支出</w:t>
            </w:r>
          </w:p>
        </w:tc>
      </w:tr>
      <w:tr>
        <w:tblPrEx>
          <w:tblCellMar>
            <w:top w:w="15" w:type="dxa"/>
            <w:left w:w="15" w:type="dxa"/>
            <w:bottom w:w="15" w:type="dxa"/>
            <w:right w:w="15" w:type="dxa"/>
          </w:tblCellMar>
        </w:tblPrEx>
        <w:trPr>
          <w:trHeight w:val="360"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312"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36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r>
      <w:tr>
        <w:tblPrEx>
          <w:tblCellMar>
            <w:top w:w="15" w:type="dxa"/>
            <w:left w:w="15" w:type="dxa"/>
            <w:bottom w:w="15" w:type="dxa"/>
            <w:right w:w="15" w:type="dxa"/>
          </w:tblCellMar>
        </w:tblPrEx>
        <w:trPr>
          <w:trHeight w:val="36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合计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1475.57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827.79</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647.78</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一般公共服务支出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1316.53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673.75</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642.78</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20106</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财政事务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1316.53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673.75</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642.78</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2010601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行政运行</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693.72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673.75</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19.97</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2010602</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一般行政管理事务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622.81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622.81</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208</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社会保障和就业支出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68.72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68.72</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20805</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行政单位养老支出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65.58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65.58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2080501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行政单位离退休</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2.48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2.48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2080505</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机关事业单位基本养老保险缴费支出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63.10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63.10</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20899</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其他社会保障和就业支出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3.14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3.14</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2089999</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其他社会保障和就业支出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3.14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3.14</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210</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卫生健康支出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35.89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35.89</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21011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行政事业单位医疗</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35.89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35.89</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2101101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行政单位医疗</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18.79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18.79</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2101103</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公务员医疗补助</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17.10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17.10</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213</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农林水支出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5.00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5.00</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21301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农业农村</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5.00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5.00</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2130199</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其他农业农村支出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5.00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5.00</w:t>
            </w: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221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住房保障支出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49.43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49.43</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22102</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住房保障支出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49.43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49.43</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p>
        </w:tc>
      </w:tr>
      <w:tr>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2210201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住房公积金</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49.43</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r>
              <w:rPr>
                <w:rFonts w:hint="eastAsia" w:ascii="Times New Roman" w:hAnsi="Times New Roman" w:eastAsia="仿宋_GB2312" w:cs="Times New Roman"/>
                <w:color w:val="000000"/>
                <w:sz w:val="24"/>
                <w:lang w:val="en-US" w:eastAsia="zh-CN"/>
              </w:rPr>
              <w:t>49.43</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kern w:val="2"/>
                <w:sz w:val="24"/>
                <w:szCs w:val="22"/>
                <w:lang w:val="en-US" w:eastAsia="zh-CN" w:bidi="ar-SA"/>
              </w:rPr>
            </w:pPr>
          </w:p>
        </w:tc>
      </w:tr>
      <w:tr>
        <w:tblPrEx>
          <w:tblCellMar>
            <w:top w:w="15" w:type="dxa"/>
            <w:left w:w="15" w:type="dxa"/>
            <w:bottom w:w="15" w:type="dxa"/>
            <w:right w:w="15" w:type="dxa"/>
          </w:tblCellMar>
        </w:tblPrEx>
        <w:trPr>
          <w:trHeight w:val="803" w:hRule="atLeast"/>
          <w:jc w:val="center"/>
        </w:trPr>
        <w:tc>
          <w:tcPr>
            <w:tcW w:w="10900" w:type="dxa"/>
            <w:gridSpan w:val="6"/>
            <w:shd w:val="clear" w:color="auto" w:fill="auto"/>
            <w:vAlign w:val="center"/>
          </w:tcPr>
          <w:p>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注：本表反映部门本年度一般公共预算财政拨款支出情况。</w:t>
            </w:r>
          </w:p>
        </w:tc>
      </w:tr>
    </w:tbl>
    <w:p>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760" w:type="dxa"/>
        <w:jc w:val="center"/>
        <w:tblLayout w:type="fixed"/>
        <w:tblCellMar>
          <w:top w:w="15" w:type="dxa"/>
          <w:left w:w="15" w:type="dxa"/>
          <w:bottom w:w="15" w:type="dxa"/>
          <w:right w:w="15" w:type="dxa"/>
        </w:tblCellMar>
      </w:tblPr>
      <w:tblGrid>
        <w:gridCol w:w="663"/>
        <w:gridCol w:w="2265"/>
        <w:gridCol w:w="855"/>
        <w:gridCol w:w="675"/>
        <w:gridCol w:w="1635"/>
        <w:gridCol w:w="780"/>
        <w:gridCol w:w="615"/>
        <w:gridCol w:w="2543"/>
        <w:gridCol w:w="729"/>
      </w:tblGrid>
      <w:tr>
        <w:tblPrEx>
          <w:tblCellMar>
            <w:top w:w="15" w:type="dxa"/>
            <w:left w:w="15" w:type="dxa"/>
            <w:bottom w:w="15" w:type="dxa"/>
            <w:right w:w="15" w:type="dxa"/>
          </w:tblCellMar>
        </w:tblPrEx>
        <w:trPr>
          <w:trHeight w:val="619" w:hRule="atLeast"/>
          <w:jc w:val="center"/>
        </w:trPr>
        <w:tc>
          <w:tcPr>
            <w:tcW w:w="10760" w:type="dxa"/>
            <w:gridSpan w:val="9"/>
            <w:shd w:val="clear" w:color="auto" w:fill="FFFFFF"/>
            <w:vAlign w:val="center"/>
          </w:tcPr>
          <w:p>
            <w:pPr>
              <w:widowControl/>
              <w:tabs>
                <w:tab w:val="left" w:pos="3809"/>
              </w:tabs>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b/>
                <w:bCs/>
                <w:color w:val="000000"/>
                <w:kern w:val="0"/>
                <w:sz w:val="32"/>
                <w:szCs w:val="32"/>
                <w:lang w:bidi="ar"/>
              </w:rPr>
              <w:t>一般公共预算财政拨款基本支出决算</w:t>
            </w:r>
            <w:r>
              <w:rPr>
                <w:rStyle w:val="20"/>
                <w:rFonts w:hint="default" w:ascii="Times New Roman" w:hAnsi="Times New Roman" w:eastAsia="仿宋_GB2312" w:cs="Times New Roman"/>
                <w:b/>
                <w:bCs/>
                <w:lang w:bidi="ar"/>
              </w:rPr>
              <w:t>明细</w:t>
            </w:r>
            <w:r>
              <w:rPr>
                <w:rStyle w:val="21"/>
                <w:rFonts w:hint="default" w:ascii="Times New Roman" w:hAnsi="Times New Roman" w:eastAsia="仿宋_GB2312" w:cs="Times New Roman"/>
                <w:b/>
                <w:bCs/>
                <w:lang w:bidi="ar"/>
              </w:rPr>
              <w:t>表</w:t>
            </w:r>
          </w:p>
        </w:tc>
      </w:tr>
      <w:tr>
        <w:tblPrEx>
          <w:tblCellMar>
            <w:top w:w="15" w:type="dxa"/>
            <w:left w:w="15" w:type="dxa"/>
            <w:bottom w:w="15" w:type="dxa"/>
            <w:right w:w="15" w:type="dxa"/>
          </w:tblCellMar>
        </w:tblPrEx>
        <w:trPr>
          <w:trHeight w:val="211" w:hRule="atLeast"/>
          <w:jc w:val="center"/>
        </w:trPr>
        <w:tc>
          <w:tcPr>
            <w:tcW w:w="663" w:type="dxa"/>
            <w:shd w:val="clear" w:color="auto" w:fill="FFFFFF"/>
            <w:vAlign w:val="center"/>
          </w:tcPr>
          <w:p>
            <w:pPr>
              <w:jc w:val="center"/>
              <w:rPr>
                <w:rFonts w:ascii="Times New Roman" w:hAnsi="Times New Roman" w:eastAsia="仿宋_GB2312" w:cs="Times New Roman"/>
                <w:color w:val="000000"/>
                <w:sz w:val="20"/>
                <w:szCs w:val="20"/>
              </w:rPr>
            </w:pPr>
          </w:p>
        </w:tc>
        <w:tc>
          <w:tcPr>
            <w:tcW w:w="2265" w:type="dxa"/>
            <w:shd w:val="clear" w:color="auto" w:fill="FFFFFF"/>
            <w:vAlign w:val="center"/>
          </w:tcPr>
          <w:p>
            <w:pPr>
              <w:jc w:val="center"/>
              <w:rPr>
                <w:rFonts w:ascii="Times New Roman" w:hAnsi="Times New Roman" w:eastAsia="仿宋_GB2312" w:cs="Times New Roman"/>
                <w:color w:val="000000"/>
                <w:sz w:val="20"/>
                <w:szCs w:val="20"/>
              </w:rPr>
            </w:pPr>
          </w:p>
        </w:tc>
        <w:tc>
          <w:tcPr>
            <w:tcW w:w="855" w:type="dxa"/>
            <w:shd w:val="clear" w:color="auto" w:fill="FFFFFF"/>
            <w:vAlign w:val="center"/>
          </w:tcPr>
          <w:p>
            <w:pPr>
              <w:jc w:val="center"/>
              <w:rPr>
                <w:rFonts w:ascii="Times New Roman" w:hAnsi="Times New Roman" w:eastAsia="仿宋_GB2312" w:cs="Times New Roman"/>
                <w:color w:val="000000"/>
                <w:sz w:val="20"/>
                <w:szCs w:val="20"/>
              </w:rPr>
            </w:pPr>
          </w:p>
        </w:tc>
        <w:tc>
          <w:tcPr>
            <w:tcW w:w="675" w:type="dxa"/>
            <w:shd w:val="clear" w:color="auto" w:fill="FFFFFF"/>
            <w:vAlign w:val="center"/>
          </w:tcPr>
          <w:p>
            <w:pPr>
              <w:rPr>
                <w:rFonts w:ascii="Times New Roman" w:hAnsi="Times New Roman" w:eastAsia="仿宋_GB2312" w:cs="Times New Roman"/>
                <w:color w:val="000000"/>
                <w:sz w:val="20"/>
                <w:szCs w:val="20"/>
              </w:rPr>
            </w:pPr>
          </w:p>
        </w:tc>
        <w:tc>
          <w:tcPr>
            <w:tcW w:w="1635" w:type="dxa"/>
            <w:shd w:val="clear" w:color="auto" w:fill="FFFFFF"/>
            <w:vAlign w:val="center"/>
          </w:tcPr>
          <w:p>
            <w:pPr>
              <w:rPr>
                <w:rFonts w:ascii="Times New Roman" w:hAnsi="Times New Roman" w:eastAsia="仿宋_GB2312" w:cs="Times New Roman"/>
                <w:color w:val="000000"/>
                <w:sz w:val="20"/>
                <w:szCs w:val="20"/>
              </w:rPr>
            </w:pPr>
          </w:p>
        </w:tc>
        <w:tc>
          <w:tcPr>
            <w:tcW w:w="780" w:type="dxa"/>
            <w:shd w:val="clear" w:color="auto" w:fill="FFFFFF"/>
            <w:vAlign w:val="center"/>
          </w:tcPr>
          <w:p>
            <w:pPr>
              <w:rPr>
                <w:rFonts w:ascii="Times New Roman" w:hAnsi="Times New Roman" w:eastAsia="仿宋_GB2312" w:cs="Times New Roman"/>
                <w:color w:val="000000"/>
                <w:sz w:val="20"/>
                <w:szCs w:val="20"/>
              </w:rPr>
            </w:pPr>
          </w:p>
        </w:tc>
        <w:tc>
          <w:tcPr>
            <w:tcW w:w="615" w:type="dxa"/>
            <w:shd w:val="clear" w:color="auto" w:fill="FFFFFF"/>
            <w:vAlign w:val="center"/>
          </w:tcPr>
          <w:p>
            <w:pPr>
              <w:rPr>
                <w:rFonts w:ascii="Times New Roman" w:hAnsi="Times New Roman" w:eastAsia="仿宋_GB2312" w:cs="Times New Roman"/>
                <w:color w:val="000000"/>
                <w:sz w:val="20"/>
                <w:szCs w:val="20"/>
              </w:rPr>
            </w:pPr>
          </w:p>
        </w:tc>
        <w:tc>
          <w:tcPr>
            <w:tcW w:w="3272" w:type="dxa"/>
            <w:gridSpan w:val="2"/>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公开06表</w:t>
            </w:r>
          </w:p>
        </w:tc>
      </w:tr>
      <w:tr>
        <w:tblPrEx>
          <w:tblCellMar>
            <w:top w:w="15" w:type="dxa"/>
            <w:left w:w="15" w:type="dxa"/>
            <w:bottom w:w="15" w:type="dxa"/>
            <w:right w:w="15" w:type="dxa"/>
          </w:tblCellMar>
        </w:tblPrEx>
        <w:trPr>
          <w:trHeight w:val="266" w:hRule="atLeast"/>
          <w:jc w:val="center"/>
        </w:trPr>
        <w:tc>
          <w:tcPr>
            <w:tcW w:w="663" w:type="dxa"/>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2265" w:type="dxa"/>
            <w:shd w:val="clear" w:color="auto" w:fill="auto"/>
            <w:vAlign w:val="center"/>
          </w:tcPr>
          <w:p>
            <w:pPr>
              <w:rPr>
                <w:rFonts w:ascii="Times New Roman" w:hAnsi="Times New Roman" w:eastAsia="仿宋_GB2312" w:cs="Times New Roman"/>
                <w:color w:val="000000"/>
                <w:sz w:val="20"/>
                <w:szCs w:val="20"/>
              </w:rPr>
            </w:pPr>
          </w:p>
        </w:tc>
        <w:tc>
          <w:tcPr>
            <w:tcW w:w="855" w:type="dxa"/>
            <w:shd w:val="clear" w:color="auto" w:fill="auto"/>
            <w:vAlign w:val="center"/>
          </w:tcPr>
          <w:p>
            <w:pPr>
              <w:rPr>
                <w:rFonts w:ascii="Times New Roman" w:hAnsi="Times New Roman" w:eastAsia="仿宋_GB2312" w:cs="Times New Roman"/>
                <w:color w:val="000000"/>
                <w:sz w:val="20"/>
                <w:szCs w:val="20"/>
              </w:rPr>
            </w:pPr>
          </w:p>
        </w:tc>
        <w:tc>
          <w:tcPr>
            <w:tcW w:w="675" w:type="dxa"/>
            <w:shd w:val="clear" w:color="auto" w:fill="auto"/>
            <w:vAlign w:val="center"/>
          </w:tcPr>
          <w:p>
            <w:pPr>
              <w:rPr>
                <w:rFonts w:ascii="Times New Roman" w:hAnsi="Times New Roman" w:eastAsia="仿宋_GB2312" w:cs="Times New Roman"/>
                <w:color w:val="000000"/>
                <w:sz w:val="20"/>
                <w:szCs w:val="20"/>
              </w:rPr>
            </w:pPr>
          </w:p>
        </w:tc>
        <w:tc>
          <w:tcPr>
            <w:tcW w:w="1635" w:type="dxa"/>
            <w:shd w:val="clear" w:color="auto" w:fill="auto"/>
            <w:vAlign w:val="center"/>
          </w:tcPr>
          <w:p>
            <w:pPr>
              <w:ind w:firstLine="600" w:firstLineChars="3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780" w:type="dxa"/>
            <w:shd w:val="clear" w:color="auto" w:fill="auto"/>
            <w:vAlign w:val="center"/>
          </w:tcPr>
          <w:p>
            <w:pPr>
              <w:rPr>
                <w:rFonts w:ascii="Times New Roman" w:hAnsi="Times New Roman" w:eastAsia="仿宋_GB2312" w:cs="Times New Roman"/>
                <w:color w:val="000000"/>
                <w:sz w:val="20"/>
                <w:szCs w:val="20"/>
              </w:rPr>
            </w:pPr>
          </w:p>
        </w:tc>
        <w:tc>
          <w:tcPr>
            <w:tcW w:w="615" w:type="dxa"/>
            <w:shd w:val="clear" w:color="auto" w:fill="auto"/>
            <w:vAlign w:val="center"/>
          </w:tcPr>
          <w:p>
            <w:pPr>
              <w:rPr>
                <w:rFonts w:ascii="Times New Roman" w:hAnsi="Times New Roman" w:eastAsia="仿宋_GB2312" w:cs="Times New Roman"/>
                <w:color w:val="000000"/>
                <w:sz w:val="20"/>
                <w:szCs w:val="20"/>
              </w:rPr>
            </w:pPr>
          </w:p>
        </w:tc>
        <w:tc>
          <w:tcPr>
            <w:tcW w:w="3272" w:type="dxa"/>
            <w:gridSpan w:val="2"/>
            <w:shd w:val="clear" w:color="auto" w:fill="auto"/>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trPr>
          <w:trHeight w:val="629"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工资福利支出</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627.69</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商品和服务支出</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186.81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债务利息及费用支出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基本工资</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295.08</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30201</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办公费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23.29</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国内债务付息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30102</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津贴补贴</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38.70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30202</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印刷费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1.00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国外债务付息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30103</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奖金</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61.19</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30204</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手续费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5.70</w:t>
            </w: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30106</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伙食补助费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30205</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水费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1.10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房屋建筑物购建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30107</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绩效工资</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81.16</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30206</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电费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9.20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办公设备购置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5.70</w:t>
            </w:r>
          </w:p>
        </w:tc>
      </w:tr>
      <w:tr>
        <w:tblPrEx>
          <w:tblCellMar>
            <w:top w:w="15" w:type="dxa"/>
            <w:left w:w="15" w:type="dxa"/>
            <w:bottom w:w="15" w:type="dxa"/>
            <w:right w:w="15" w:type="dxa"/>
          </w:tblCellMar>
        </w:tblPrEx>
        <w:trPr>
          <w:trHeight w:val="294"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30108</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5"/>
                <w:szCs w:val="15"/>
                <w:lang w:bidi="ar"/>
              </w:rPr>
              <w:t>机关事业单位基本养老保险缴费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63.10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30207</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邮电费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16.15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30109</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职业年金缴费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30208</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取暖费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31005</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基础设施建设</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职工基本医疗保险缴费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18.79</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30209</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物业管理费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0.30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31006</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大型修缮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公务员医疗补助缴费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17.10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30211</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差旅费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4.99</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信息网络及软件购置更新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30112</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其他社会保障缴费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3.14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30212</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16"/>
                <w:szCs w:val="16"/>
                <w:lang w:bidi="ar"/>
              </w:rPr>
              <w:t xml:space="preserve">  因公出国（境）费用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物资储备</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30113</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住房公积金</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49.43</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30213</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维修（护）费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25.57</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土地补偿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30114</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医疗费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30214</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租赁费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安置补助</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30199</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其他工资福利支出</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30215</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会议费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地上附着物和青苗补偿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对个人和家庭的补助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7.58</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30216</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培训费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拆迁补偿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离休费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30217</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公务接待费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公务用车购置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30302</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退休费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30218</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专用材料费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其他交通工具购置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30303</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退职（役）费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30224</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被装购置费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31021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文物和陈列品购置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30304</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抚恤金</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30225</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专用燃料费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31022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无形资产购置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30305</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生活补助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7.58</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30226</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劳务费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30306</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救济费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30227</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委托业务费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72.92</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30307</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医疗费补助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30228</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工会经费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0.50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国家赔偿费用支出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462"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30308</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助学金</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30229</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福利费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7.96</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对民间非营利组织和群众性自治组织补贴</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30309</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奖励金</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30231</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6"/>
                <w:szCs w:val="16"/>
                <w:lang w:bidi="ar"/>
              </w:rPr>
              <w:t xml:space="preserve"> 公务用车运行维护费</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1.50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30310</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个人农业生产补贴</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30239</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其他交通费用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14.36</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30311</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代缴社会保险费</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30240</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税金及附加费用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29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30399</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其他对个人和家庭的补助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30299</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6"/>
                <w:szCs w:val="16"/>
                <w:lang w:bidi="ar"/>
              </w:rPr>
              <w:t xml:space="preserve"> 其他商品和服务支出</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7.97</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rPr>
          <w:trHeight w:val="230"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p>
        </w:tc>
        <w:tc>
          <w:tcPr>
            <w:tcW w:w="1635" w:type="dxa"/>
          </w:tcPr>
          <w:p>
            <w:pPr>
              <w:widowControl/>
              <w:jc w:val="left"/>
              <w:textAlignment w:val="center"/>
              <w:rPr>
                <w:rFonts w:ascii="Times New Roman" w:hAnsi="Times New Roman" w:eastAsia="仿宋_GB2312" w:cs="Times New Roman"/>
                <w:color w:val="000000"/>
                <w:sz w:val="20"/>
                <w:szCs w:val="20"/>
              </w:rPr>
            </w:pPr>
            <w:bookmarkStart w:id="0" w:name="_GoBack"/>
            <w:bookmarkEnd w:id="0"/>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trHeight w:val="343" w:hRule="atLeast"/>
          <w:jc w:val="center"/>
        </w:trPr>
        <w:tc>
          <w:tcPr>
            <w:tcW w:w="2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人员经费合计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635.28</w:t>
            </w:r>
          </w:p>
        </w:tc>
        <w:tc>
          <w:tcPr>
            <w:tcW w:w="62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公用经费合计</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192.51</w:t>
            </w:r>
          </w:p>
        </w:tc>
      </w:tr>
    </w:tbl>
    <w:p>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lang w:bidi="ar"/>
        </w:rPr>
        <w:t>注：本表反映部门本年度一般公共预算财政拨款基本支出明细情况。</w:t>
      </w:r>
    </w:p>
    <w:tbl>
      <w:tblPr>
        <w:tblStyle w:val="9"/>
        <w:tblW w:w="10350" w:type="dxa"/>
        <w:jc w:val="center"/>
        <w:tblLayout w:type="fixed"/>
        <w:tblCellMar>
          <w:top w:w="15" w:type="dxa"/>
          <w:left w:w="15" w:type="dxa"/>
          <w:bottom w:w="15" w:type="dxa"/>
          <w:right w:w="15" w:type="dxa"/>
        </w:tblCellMar>
      </w:tblPr>
      <w:tblGrid>
        <w:gridCol w:w="555"/>
        <w:gridCol w:w="1080"/>
        <w:gridCol w:w="1321"/>
        <w:gridCol w:w="1996"/>
        <w:gridCol w:w="1080"/>
        <w:gridCol w:w="1080"/>
        <w:gridCol w:w="1080"/>
        <w:gridCol w:w="1081"/>
        <w:gridCol w:w="1077"/>
      </w:tblGrid>
      <w:tr>
        <w:tblPrEx>
          <w:tblCellMar>
            <w:top w:w="15" w:type="dxa"/>
            <w:left w:w="15" w:type="dxa"/>
            <w:bottom w:w="15" w:type="dxa"/>
            <w:right w:w="15" w:type="dxa"/>
          </w:tblCellMar>
        </w:tblPrEx>
        <w:trPr>
          <w:trHeight w:val="600" w:hRule="atLeast"/>
          <w:jc w:val="center"/>
        </w:trPr>
        <w:tc>
          <w:tcPr>
            <w:tcW w:w="10350" w:type="dxa"/>
            <w:gridSpan w:val="9"/>
            <w:shd w:val="clear" w:color="auto" w:fill="FFFFFF"/>
            <w:vAlign w:val="center"/>
          </w:tcPr>
          <w:p>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政府性基金预算财政拨款收入支出决算表</w:t>
            </w:r>
          </w:p>
        </w:tc>
      </w:tr>
      <w:tr>
        <w:tblPrEx>
          <w:tblCellMar>
            <w:top w:w="15" w:type="dxa"/>
            <w:left w:w="15" w:type="dxa"/>
            <w:bottom w:w="15" w:type="dxa"/>
            <w:right w:w="15" w:type="dxa"/>
          </w:tblCellMar>
        </w:tblPrEx>
        <w:trPr>
          <w:trHeight w:val="211" w:hRule="atLeast"/>
          <w:jc w:val="center"/>
        </w:trPr>
        <w:tc>
          <w:tcPr>
            <w:tcW w:w="555" w:type="dxa"/>
            <w:shd w:val="clear" w:color="auto" w:fill="FFFFFF"/>
            <w:vAlign w:val="center"/>
          </w:tcPr>
          <w:p>
            <w:pPr>
              <w:jc w:val="center"/>
              <w:rPr>
                <w:rFonts w:ascii="Times New Roman" w:hAnsi="Times New Roman" w:eastAsia="仿宋_GB2312" w:cs="Times New Roman"/>
                <w:color w:val="000000"/>
                <w:sz w:val="20"/>
                <w:szCs w:val="20"/>
              </w:rPr>
            </w:pPr>
          </w:p>
        </w:tc>
        <w:tc>
          <w:tcPr>
            <w:tcW w:w="1080" w:type="dxa"/>
            <w:shd w:val="clear" w:color="auto" w:fill="FFFFFF"/>
            <w:vAlign w:val="center"/>
          </w:tcPr>
          <w:p>
            <w:pPr>
              <w:jc w:val="center"/>
              <w:rPr>
                <w:rFonts w:ascii="Times New Roman" w:hAnsi="Times New Roman" w:eastAsia="仿宋_GB2312" w:cs="Times New Roman"/>
                <w:color w:val="000000"/>
                <w:sz w:val="20"/>
                <w:szCs w:val="20"/>
              </w:rPr>
            </w:pPr>
          </w:p>
        </w:tc>
        <w:tc>
          <w:tcPr>
            <w:tcW w:w="1321" w:type="dxa"/>
            <w:shd w:val="clear" w:color="auto" w:fill="FFFFFF"/>
            <w:vAlign w:val="center"/>
          </w:tcPr>
          <w:p>
            <w:pPr>
              <w:jc w:val="center"/>
              <w:rPr>
                <w:rFonts w:ascii="Times New Roman" w:hAnsi="Times New Roman" w:eastAsia="仿宋_GB2312" w:cs="Times New Roman"/>
                <w:color w:val="000000"/>
                <w:sz w:val="20"/>
                <w:szCs w:val="20"/>
              </w:rPr>
            </w:pPr>
          </w:p>
        </w:tc>
        <w:tc>
          <w:tcPr>
            <w:tcW w:w="1996" w:type="dxa"/>
            <w:shd w:val="clear" w:color="auto" w:fill="auto"/>
            <w:vAlign w:val="bottom"/>
          </w:tcPr>
          <w:p>
            <w:pPr>
              <w:rPr>
                <w:rFonts w:ascii="Times New Roman" w:hAnsi="Times New Roman" w:eastAsia="仿宋_GB2312" w:cs="Times New Roman"/>
                <w:color w:val="000000"/>
                <w:sz w:val="24"/>
              </w:rPr>
            </w:pPr>
          </w:p>
        </w:tc>
        <w:tc>
          <w:tcPr>
            <w:tcW w:w="1080" w:type="dxa"/>
            <w:shd w:val="clear" w:color="auto" w:fill="auto"/>
            <w:vAlign w:val="bottom"/>
          </w:tcPr>
          <w:p>
            <w:pPr>
              <w:rPr>
                <w:rFonts w:ascii="Times New Roman" w:hAnsi="Times New Roman" w:eastAsia="仿宋_GB2312" w:cs="Times New Roman"/>
                <w:color w:val="000000"/>
                <w:sz w:val="24"/>
              </w:rPr>
            </w:pPr>
          </w:p>
        </w:tc>
        <w:tc>
          <w:tcPr>
            <w:tcW w:w="1080" w:type="dxa"/>
            <w:shd w:val="clear" w:color="auto" w:fill="auto"/>
            <w:vAlign w:val="bottom"/>
          </w:tcPr>
          <w:p>
            <w:pPr>
              <w:rPr>
                <w:rFonts w:ascii="Times New Roman" w:hAnsi="Times New Roman" w:eastAsia="仿宋_GB2312" w:cs="Times New Roman"/>
                <w:color w:val="000000"/>
                <w:sz w:val="24"/>
              </w:rPr>
            </w:pPr>
          </w:p>
        </w:tc>
        <w:tc>
          <w:tcPr>
            <w:tcW w:w="1080" w:type="dxa"/>
            <w:shd w:val="clear" w:color="auto" w:fill="auto"/>
            <w:vAlign w:val="bottom"/>
          </w:tcPr>
          <w:p>
            <w:pPr>
              <w:rPr>
                <w:rFonts w:ascii="Times New Roman" w:hAnsi="Times New Roman" w:eastAsia="仿宋_GB2312" w:cs="Times New Roman"/>
                <w:color w:val="000000"/>
                <w:sz w:val="24"/>
              </w:rPr>
            </w:pPr>
          </w:p>
        </w:tc>
        <w:tc>
          <w:tcPr>
            <w:tcW w:w="1081" w:type="dxa"/>
            <w:shd w:val="clear" w:color="auto" w:fill="auto"/>
            <w:vAlign w:val="bottom"/>
          </w:tcPr>
          <w:p>
            <w:pPr>
              <w:rPr>
                <w:rFonts w:ascii="Times New Roman" w:hAnsi="Times New Roman" w:eastAsia="仿宋_GB2312" w:cs="Times New Roman"/>
                <w:color w:val="000000"/>
                <w:sz w:val="24"/>
              </w:rPr>
            </w:pPr>
          </w:p>
        </w:tc>
        <w:tc>
          <w:tcPr>
            <w:tcW w:w="1077"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公开07表</w:t>
            </w:r>
          </w:p>
        </w:tc>
      </w:tr>
      <w:tr>
        <w:tblPrEx>
          <w:tblCellMar>
            <w:top w:w="15" w:type="dxa"/>
            <w:left w:w="15" w:type="dxa"/>
            <w:bottom w:w="15" w:type="dxa"/>
            <w:right w:w="15" w:type="dxa"/>
          </w:tblCellMar>
        </w:tblPrEx>
        <w:trPr>
          <w:trHeight w:val="301" w:hRule="atLeast"/>
          <w:jc w:val="center"/>
        </w:trPr>
        <w:tc>
          <w:tcPr>
            <w:tcW w:w="555" w:type="dxa"/>
            <w:shd w:val="clear" w:color="auto" w:fill="FFFFFF"/>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1080" w:type="dxa"/>
            <w:shd w:val="clear" w:color="auto" w:fill="FFFFFF"/>
            <w:vAlign w:val="center"/>
          </w:tcPr>
          <w:p>
            <w:pPr>
              <w:jc w:val="center"/>
              <w:rPr>
                <w:rFonts w:ascii="Times New Roman" w:hAnsi="Times New Roman" w:eastAsia="仿宋_GB2312" w:cs="Times New Roman"/>
                <w:color w:val="000000"/>
                <w:sz w:val="20"/>
                <w:szCs w:val="20"/>
              </w:rPr>
            </w:pPr>
          </w:p>
        </w:tc>
        <w:tc>
          <w:tcPr>
            <w:tcW w:w="1321" w:type="dxa"/>
            <w:shd w:val="clear" w:color="auto" w:fill="FFFFFF"/>
            <w:vAlign w:val="center"/>
          </w:tcPr>
          <w:p>
            <w:pPr>
              <w:jc w:val="center"/>
              <w:rPr>
                <w:rFonts w:ascii="Times New Roman" w:hAnsi="Times New Roman" w:eastAsia="仿宋_GB2312" w:cs="Times New Roman"/>
                <w:color w:val="000000"/>
                <w:sz w:val="20"/>
                <w:szCs w:val="20"/>
              </w:rPr>
            </w:pPr>
          </w:p>
        </w:tc>
        <w:tc>
          <w:tcPr>
            <w:tcW w:w="1996" w:type="dxa"/>
            <w:shd w:val="clear" w:color="auto" w:fill="FFFFFF"/>
            <w:vAlign w:val="center"/>
          </w:tcPr>
          <w:p>
            <w:pPr>
              <w:rPr>
                <w:rFonts w:ascii="Times New Roman" w:hAnsi="Times New Roman" w:eastAsia="仿宋_GB2312" w:cs="Times New Roman"/>
                <w:color w:val="000000"/>
                <w:sz w:val="20"/>
                <w:szCs w:val="20"/>
              </w:rPr>
            </w:pPr>
          </w:p>
        </w:tc>
        <w:tc>
          <w:tcPr>
            <w:tcW w:w="1080" w:type="dxa"/>
            <w:shd w:val="clear" w:color="auto" w:fill="FFFFFF"/>
            <w:vAlign w:val="center"/>
          </w:tcPr>
          <w:p>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1080" w:type="dxa"/>
            <w:shd w:val="clear" w:color="auto" w:fill="FFFFFF"/>
            <w:vAlign w:val="center"/>
          </w:tcPr>
          <w:p>
            <w:pPr>
              <w:rPr>
                <w:rFonts w:ascii="Times New Roman" w:hAnsi="Times New Roman" w:eastAsia="仿宋_GB2312" w:cs="Times New Roman"/>
                <w:color w:val="000000"/>
                <w:sz w:val="20"/>
                <w:szCs w:val="20"/>
              </w:rPr>
            </w:pPr>
          </w:p>
        </w:tc>
        <w:tc>
          <w:tcPr>
            <w:tcW w:w="1080" w:type="dxa"/>
            <w:shd w:val="clear" w:color="auto" w:fill="FFFFFF"/>
            <w:vAlign w:val="center"/>
          </w:tcPr>
          <w:p>
            <w:pPr>
              <w:rPr>
                <w:rFonts w:ascii="Times New Roman" w:hAnsi="Times New Roman" w:eastAsia="仿宋_GB2312" w:cs="Times New Roman"/>
                <w:color w:val="000000"/>
                <w:sz w:val="20"/>
                <w:szCs w:val="20"/>
              </w:rPr>
            </w:pPr>
          </w:p>
        </w:tc>
        <w:tc>
          <w:tcPr>
            <w:tcW w:w="1081" w:type="dxa"/>
            <w:shd w:val="clear" w:color="auto" w:fill="FFFFFF"/>
            <w:vAlign w:val="center"/>
          </w:tcPr>
          <w:p>
            <w:pPr>
              <w:rPr>
                <w:rFonts w:ascii="Times New Roman" w:hAnsi="Times New Roman" w:eastAsia="仿宋_GB2312" w:cs="Times New Roman"/>
                <w:color w:val="000000"/>
                <w:sz w:val="20"/>
                <w:szCs w:val="20"/>
              </w:rPr>
            </w:pPr>
          </w:p>
        </w:tc>
        <w:tc>
          <w:tcPr>
            <w:tcW w:w="1077"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tblPrEx>
          <w:tblCellMar>
            <w:top w:w="15" w:type="dxa"/>
            <w:left w:w="15" w:type="dxa"/>
            <w:bottom w:w="15" w:type="dxa"/>
            <w:right w:w="15" w:type="dxa"/>
          </w:tblCellMar>
        </w:tblPrEx>
        <w:trPr>
          <w:trHeight w:val="405"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项    </w:t>
            </w:r>
            <w:r>
              <w:rPr>
                <w:rStyle w:val="22"/>
                <w:rFonts w:hint="default" w:ascii="Times New Roman" w:hAnsi="Times New Roman" w:eastAsia="仿宋_GB2312" w:cs="Times New Roman"/>
                <w:b/>
                <w:bCs/>
                <w:sz w:val="22"/>
                <w:szCs w:val="22"/>
                <w:lang w:bidi="ar"/>
              </w:rPr>
              <w:t>目</w:t>
            </w:r>
          </w:p>
        </w:tc>
        <w:tc>
          <w:tcPr>
            <w:tcW w:w="1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年初结转和结余</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本年收入</w:t>
            </w:r>
          </w:p>
        </w:tc>
        <w:tc>
          <w:tcPr>
            <w:tcW w:w="32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年末结转和结余</w:t>
            </w:r>
          </w:p>
        </w:tc>
      </w:tr>
      <w:tr>
        <w:tblPrEx>
          <w:tblCellMar>
            <w:top w:w="15" w:type="dxa"/>
            <w:left w:w="15" w:type="dxa"/>
            <w:bottom w:w="15" w:type="dxa"/>
            <w:right w:w="15" w:type="dxa"/>
          </w:tblCellMar>
        </w:tblPrEx>
        <w:trPr>
          <w:trHeight w:val="540" w:hRule="atLeast"/>
          <w:jc w:val="center"/>
        </w:trPr>
        <w:tc>
          <w:tcPr>
            <w:tcW w:w="16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基本支出  </w:t>
            </w: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r>
      <w:tr>
        <w:tblPrEx>
          <w:tblCellMar>
            <w:top w:w="15" w:type="dxa"/>
            <w:left w:w="15" w:type="dxa"/>
            <w:bottom w:w="15" w:type="dxa"/>
            <w:right w:w="15" w:type="dxa"/>
          </w:tblCellMar>
        </w:tblPrEx>
        <w:trPr>
          <w:trHeight w:val="36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5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r>
      <w:tr>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合计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645" w:hRule="atLeast"/>
          <w:jc w:val="center"/>
        </w:trPr>
        <w:tc>
          <w:tcPr>
            <w:tcW w:w="10350" w:type="dxa"/>
            <w:gridSpan w:val="9"/>
            <w:shd w:val="clear" w:color="auto" w:fill="auto"/>
            <w:vAlign w:val="center"/>
          </w:tcPr>
          <w:p>
            <w:pPr>
              <w:rPr>
                <w:rFonts w:ascii="Times New Roman" w:hAnsi="Times New Roman" w:eastAsia="仿宋_GB2312" w:cs="Times New Roman"/>
                <w:b/>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r>
              <w:rPr>
                <w:rFonts w:ascii="Times New Roman" w:hAnsi="Times New Roman" w:eastAsia="仿宋_GB2312" w:cs="Times New Roman"/>
                <w:highlight w:val="green"/>
              </w:rPr>
              <w:t>（如无相关数据，则需注明空表列示）</w:t>
            </w:r>
            <w:r>
              <w:rPr>
                <w:rFonts w:ascii="Times New Roman" w:hAnsi="Times New Roman" w:eastAsia="仿宋_GB2312" w:cs="Times New Roman"/>
                <w:b/>
              </w:rPr>
              <w:br w:type="page"/>
            </w:r>
          </w:p>
          <w:p>
            <w:pPr>
              <w:widowControl/>
              <w:jc w:val="left"/>
              <w:textAlignment w:val="center"/>
              <w:rPr>
                <w:rFonts w:ascii="Times New Roman" w:hAnsi="Times New Roman" w:eastAsia="仿宋_GB2312" w:cs="Times New Roman"/>
                <w:color w:val="000000"/>
                <w:sz w:val="24"/>
              </w:rPr>
            </w:pPr>
          </w:p>
        </w:tc>
      </w:tr>
    </w:tbl>
    <w:p>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422" w:type="dxa"/>
        <w:jc w:val="center"/>
        <w:tblLayout w:type="fixed"/>
        <w:tblCellMar>
          <w:top w:w="15" w:type="dxa"/>
          <w:left w:w="15" w:type="dxa"/>
          <w:bottom w:w="15" w:type="dxa"/>
          <w:right w:w="15" w:type="dxa"/>
        </w:tblCellMar>
      </w:tblPr>
      <w:tblGrid>
        <w:gridCol w:w="1016"/>
        <w:gridCol w:w="176"/>
        <w:gridCol w:w="819"/>
        <w:gridCol w:w="1056"/>
        <w:gridCol w:w="2419"/>
        <w:gridCol w:w="762"/>
        <w:gridCol w:w="1036"/>
        <w:gridCol w:w="977"/>
        <w:gridCol w:w="2161"/>
      </w:tblGrid>
      <w:tr>
        <w:tblPrEx>
          <w:tblCellMar>
            <w:top w:w="15" w:type="dxa"/>
            <w:left w:w="15" w:type="dxa"/>
            <w:bottom w:w="15" w:type="dxa"/>
            <w:right w:w="15" w:type="dxa"/>
          </w:tblCellMar>
        </w:tblPrEx>
        <w:trPr>
          <w:trHeight w:val="720" w:hRule="atLeast"/>
          <w:jc w:val="center"/>
        </w:trPr>
        <w:tc>
          <w:tcPr>
            <w:tcW w:w="10422" w:type="dxa"/>
            <w:gridSpan w:val="9"/>
            <w:shd w:val="clear" w:color="auto" w:fill="FFFFFF"/>
            <w:vAlign w:val="center"/>
          </w:tcPr>
          <w:p>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国有资本经营预算财政拨款支出决算表</w:t>
            </w:r>
          </w:p>
        </w:tc>
      </w:tr>
      <w:tr>
        <w:tblPrEx>
          <w:tblCellMar>
            <w:top w:w="15" w:type="dxa"/>
            <w:left w:w="15" w:type="dxa"/>
            <w:bottom w:w="15" w:type="dxa"/>
            <w:right w:w="15" w:type="dxa"/>
          </w:tblCellMar>
        </w:tblPrEx>
        <w:trPr>
          <w:trHeight w:val="286" w:hRule="atLeast"/>
          <w:jc w:val="center"/>
        </w:trPr>
        <w:tc>
          <w:tcPr>
            <w:tcW w:w="1016" w:type="dxa"/>
            <w:shd w:val="clear" w:color="auto" w:fill="FFFFFF"/>
            <w:vAlign w:val="center"/>
          </w:tcPr>
          <w:p>
            <w:pPr>
              <w:jc w:val="center"/>
              <w:rPr>
                <w:rFonts w:ascii="Times New Roman" w:hAnsi="Times New Roman" w:eastAsia="仿宋_GB2312" w:cs="Times New Roman"/>
                <w:color w:val="000000"/>
                <w:sz w:val="20"/>
                <w:szCs w:val="20"/>
              </w:rPr>
            </w:pPr>
          </w:p>
        </w:tc>
        <w:tc>
          <w:tcPr>
            <w:tcW w:w="995" w:type="dxa"/>
            <w:gridSpan w:val="2"/>
            <w:shd w:val="clear" w:color="auto" w:fill="FFFFFF"/>
            <w:vAlign w:val="center"/>
          </w:tcPr>
          <w:p>
            <w:pPr>
              <w:jc w:val="center"/>
              <w:rPr>
                <w:rFonts w:ascii="Times New Roman" w:hAnsi="Times New Roman" w:eastAsia="仿宋_GB2312" w:cs="Times New Roman"/>
                <w:color w:val="000000"/>
                <w:sz w:val="20"/>
                <w:szCs w:val="20"/>
              </w:rPr>
            </w:pPr>
          </w:p>
        </w:tc>
        <w:tc>
          <w:tcPr>
            <w:tcW w:w="1056" w:type="dxa"/>
            <w:shd w:val="clear" w:color="auto" w:fill="FFFFFF"/>
            <w:vAlign w:val="center"/>
          </w:tcPr>
          <w:p>
            <w:pPr>
              <w:jc w:val="center"/>
              <w:rPr>
                <w:rFonts w:ascii="Times New Roman" w:hAnsi="Times New Roman" w:eastAsia="仿宋_GB2312" w:cs="Times New Roman"/>
                <w:color w:val="000000"/>
                <w:sz w:val="20"/>
                <w:szCs w:val="20"/>
              </w:rPr>
            </w:pPr>
          </w:p>
        </w:tc>
        <w:tc>
          <w:tcPr>
            <w:tcW w:w="3181" w:type="dxa"/>
            <w:gridSpan w:val="2"/>
            <w:shd w:val="clear" w:color="auto" w:fill="FFFFFF"/>
            <w:vAlign w:val="center"/>
          </w:tcPr>
          <w:p>
            <w:pPr>
              <w:rPr>
                <w:rFonts w:ascii="Times New Roman" w:hAnsi="Times New Roman" w:eastAsia="仿宋_GB2312" w:cs="Times New Roman"/>
                <w:color w:val="000000"/>
                <w:sz w:val="20"/>
                <w:szCs w:val="20"/>
              </w:rPr>
            </w:pPr>
          </w:p>
        </w:tc>
        <w:tc>
          <w:tcPr>
            <w:tcW w:w="1036" w:type="dxa"/>
            <w:shd w:val="clear" w:color="auto" w:fill="FFFFFF"/>
            <w:vAlign w:val="center"/>
          </w:tcPr>
          <w:p>
            <w:pPr>
              <w:rPr>
                <w:rFonts w:ascii="Times New Roman" w:hAnsi="Times New Roman" w:eastAsia="仿宋_GB2312" w:cs="Times New Roman"/>
                <w:color w:val="000000"/>
                <w:sz w:val="20"/>
                <w:szCs w:val="20"/>
              </w:rPr>
            </w:pPr>
          </w:p>
        </w:tc>
        <w:tc>
          <w:tcPr>
            <w:tcW w:w="3138" w:type="dxa"/>
            <w:gridSpan w:val="2"/>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公开08表</w:t>
            </w:r>
          </w:p>
        </w:tc>
      </w:tr>
      <w:tr>
        <w:tblPrEx>
          <w:tblCellMar>
            <w:top w:w="15" w:type="dxa"/>
            <w:left w:w="15" w:type="dxa"/>
            <w:bottom w:w="15" w:type="dxa"/>
            <w:right w:w="15" w:type="dxa"/>
          </w:tblCellMar>
        </w:tblPrEx>
        <w:trPr>
          <w:trHeight w:val="286" w:hRule="atLeast"/>
          <w:jc w:val="center"/>
        </w:trPr>
        <w:tc>
          <w:tcPr>
            <w:tcW w:w="1016" w:type="dxa"/>
            <w:shd w:val="clear" w:color="auto" w:fill="FFFFFF"/>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995" w:type="dxa"/>
            <w:gridSpan w:val="2"/>
            <w:shd w:val="clear" w:color="auto" w:fill="FFFFFF"/>
            <w:vAlign w:val="center"/>
          </w:tcPr>
          <w:p>
            <w:pPr>
              <w:jc w:val="center"/>
              <w:rPr>
                <w:rFonts w:ascii="Times New Roman" w:hAnsi="Times New Roman" w:eastAsia="仿宋_GB2312" w:cs="Times New Roman"/>
                <w:color w:val="000000"/>
                <w:sz w:val="20"/>
                <w:szCs w:val="20"/>
              </w:rPr>
            </w:pPr>
          </w:p>
        </w:tc>
        <w:tc>
          <w:tcPr>
            <w:tcW w:w="1056" w:type="dxa"/>
            <w:shd w:val="clear" w:color="auto" w:fill="FFFFFF"/>
            <w:vAlign w:val="center"/>
          </w:tcPr>
          <w:p>
            <w:pPr>
              <w:jc w:val="center"/>
              <w:rPr>
                <w:rFonts w:ascii="Times New Roman" w:hAnsi="Times New Roman" w:eastAsia="仿宋_GB2312" w:cs="Times New Roman"/>
                <w:color w:val="000000"/>
                <w:sz w:val="20"/>
                <w:szCs w:val="20"/>
              </w:rPr>
            </w:pPr>
          </w:p>
        </w:tc>
        <w:tc>
          <w:tcPr>
            <w:tcW w:w="3181" w:type="dxa"/>
            <w:gridSpan w:val="2"/>
            <w:shd w:val="clear" w:color="auto" w:fill="FFFFFF"/>
            <w:vAlign w:val="center"/>
          </w:tcPr>
          <w:p>
            <w:pPr>
              <w:ind w:firstLine="1800" w:firstLineChars="9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1036" w:type="dxa"/>
            <w:shd w:val="clear" w:color="auto" w:fill="FFFFFF"/>
            <w:vAlign w:val="center"/>
          </w:tcPr>
          <w:p>
            <w:pPr>
              <w:rPr>
                <w:rFonts w:ascii="Times New Roman" w:hAnsi="Times New Roman" w:eastAsia="仿宋_GB2312" w:cs="Times New Roman"/>
                <w:color w:val="000000"/>
                <w:sz w:val="20"/>
                <w:szCs w:val="20"/>
              </w:rPr>
            </w:pPr>
          </w:p>
        </w:tc>
        <w:tc>
          <w:tcPr>
            <w:tcW w:w="3138" w:type="dxa"/>
            <w:gridSpan w:val="2"/>
            <w:shd w:val="clear" w:color="auto" w:fill="FFFFFF"/>
            <w:vAlign w:val="center"/>
          </w:tcPr>
          <w:p>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73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r>
      <w:tr>
        <w:tblPrEx>
          <w:tblCellMar>
            <w:top w:w="15" w:type="dxa"/>
            <w:left w:w="15" w:type="dxa"/>
            <w:bottom w:w="15" w:type="dxa"/>
            <w:right w:w="15" w:type="dxa"/>
          </w:tblCellMar>
        </w:tblPrEx>
        <w:trPr>
          <w:trHeight w:val="390" w:hRule="atLeast"/>
          <w:jc w:val="center"/>
        </w:trPr>
        <w:tc>
          <w:tcPr>
            <w:tcW w:w="11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8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2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27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基本支出  </w:t>
            </w:r>
          </w:p>
        </w:tc>
        <w:tc>
          <w:tcPr>
            <w:tcW w:w="2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r>
      <w:tr>
        <w:trPr>
          <w:trHeight w:val="390"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312"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r>
      <w:tr>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合计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rPr>
            </w:pPr>
          </w:p>
        </w:tc>
      </w:tr>
      <w:tr>
        <w:trPr>
          <w:trHeight w:val="720" w:hRule="atLeast"/>
          <w:jc w:val="center"/>
        </w:trPr>
        <w:tc>
          <w:tcPr>
            <w:tcW w:w="10422" w:type="dxa"/>
            <w:gridSpan w:val="9"/>
            <w:shd w:val="clear" w:color="auto" w:fill="auto"/>
            <w:vAlign w:val="center"/>
          </w:tcPr>
          <w:p>
            <w:pPr>
              <w:rPr>
                <w:rFonts w:ascii="Times New Roman" w:hAnsi="Times New Roman" w:eastAsia="仿宋_GB2312" w:cs="Times New Roman"/>
                <w:b/>
              </w:rPr>
            </w:pPr>
            <w:r>
              <w:rPr>
                <w:rFonts w:ascii="Times New Roman" w:hAnsi="Times New Roman" w:eastAsia="仿宋_GB2312" w:cs="Times New Roman"/>
                <w:color w:val="000000"/>
                <w:kern w:val="0"/>
                <w:sz w:val="24"/>
                <w:szCs w:val="24"/>
                <w:lang w:bidi="ar"/>
              </w:rPr>
              <w:t>注：本表反映部门本年度国有资本经营预算财政拨款支出情况。</w:t>
            </w:r>
            <w:r>
              <w:rPr>
                <w:rFonts w:ascii="Times New Roman" w:hAnsi="Times New Roman" w:eastAsia="仿宋_GB2312" w:cs="Times New Roman"/>
                <w:highlight w:val="green"/>
              </w:rPr>
              <w:t>（如无相关数据，则需注明空表列示）</w:t>
            </w:r>
            <w:r>
              <w:rPr>
                <w:rFonts w:ascii="Times New Roman" w:hAnsi="Times New Roman" w:eastAsia="仿宋_GB2312" w:cs="Times New Roman"/>
                <w:b/>
              </w:rPr>
              <w:br w:type="page"/>
            </w:r>
          </w:p>
          <w:p>
            <w:pPr>
              <w:widowControl/>
              <w:jc w:val="left"/>
              <w:textAlignment w:val="center"/>
              <w:rPr>
                <w:rFonts w:ascii="Times New Roman" w:hAnsi="Times New Roman" w:eastAsia="仿宋_GB2312" w:cs="Times New Roman"/>
                <w:color w:val="000000"/>
                <w:sz w:val="24"/>
              </w:rPr>
            </w:pPr>
          </w:p>
        </w:tc>
      </w:tr>
    </w:tbl>
    <w:p>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3090" w:type="dxa"/>
        <w:tblInd w:w="-552" w:type="dxa"/>
        <w:tblLayout w:type="fixed"/>
        <w:tblCellMar>
          <w:top w:w="15" w:type="dxa"/>
          <w:left w:w="15" w:type="dxa"/>
          <w:bottom w:w="15" w:type="dxa"/>
          <w:right w:w="15" w:type="dxa"/>
        </w:tblCellMar>
      </w:tblPr>
      <w:tblGrid>
        <w:gridCol w:w="723"/>
        <w:gridCol w:w="468"/>
        <w:gridCol w:w="357"/>
        <w:gridCol w:w="711"/>
        <w:gridCol w:w="77"/>
        <w:gridCol w:w="881"/>
        <w:gridCol w:w="97"/>
        <w:gridCol w:w="939"/>
        <w:gridCol w:w="116"/>
        <w:gridCol w:w="1056"/>
        <w:gridCol w:w="240"/>
        <w:gridCol w:w="740"/>
        <w:gridCol w:w="768"/>
        <w:gridCol w:w="492"/>
        <w:gridCol w:w="165"/>
        <w:gridCol w:w="731"/>
        <w:gridCol w:w="172"/>
        <w:gridCol w:w="803"/>
        <w:gridCol w:w="252"/>
        <w:gridCol w:w="939"/>
        <w:gridCol w:w="116"/>
        <w:gridCol w:w="240"/>
        <w:gridCol w:w="240"/>
        <w:gridCol w:w="1767"/>
      </w:tblGrid>
      <w:tr>
        <w:tblPrEx>
          <w:tblCellMar>
            <w:top w:w="15" w:type="dxa"/>
            <w:left w:w="15" w:type="dxa"/>
            <w:bottom w:w="15" w:type="dxa"/>
            <w:right w:w="15" w:type="dxa"/>
          </w:tblCellMar>
        </w:tblPrEx>
        <w:trPr>
          <w:gridAfter w:val="4"/>
          <w:wAfter w:w="2363" w:type="dxa"/>
          <w:trHeight w:val="600" w:hRule="atLeast"/>
        </w:trPr>
        <w:tc>
          <w:tcPr>
            <w:tcW w:w="10727" w:type="dxa"/>
            <w:gridSpan w:val="20"/>
            <w:shd w:val="clear" w:color="auto" w:fill="FFFFFF"/>
            <w:vAlign w:val="center"/>
          </w:tcPr>
          <w:p>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财政拨款“三公”经费支出决算表</w:t>
            </w:r>
          </w:p>
        </w:tc>
      </w:tr>
      <w:tr>
        <w:tblPrEx>
          <w:tblCellMar>
            <w:top w:w="15" w:type="dxa"/>
            <w:left w:w="15" w:type="dxa"/>
            <w:bottom w:w="15" w:type="dxa"/>
            <w:right w:w="15" w:type="dxa"/>
          </w:tblCellMar>
        </w:tblPrEx>
        <w:trPr>
          <w:gridAfter w:val="1"/>
          <w:wAfter w:w="1767" w:type="dxa"/>
          <w:trHeight w:val="211" w:hRule="atLeast"/>
        </w:trPr>
        <w:tc>
          <w:tcPr>
            <w:tcW w:w="1191" w:type="dxa"/>
            <w:gridSpan w:val="2"/>
            <w:shd w:val="clear" w:color="auto" w:fill="auto"/>
            <w:vAlign w:val="center"/>
          </w:tcPr>
          <w:p>
            <w:pPr>
              <w:jc w:val="center"/>
              <w:rPr>
                <w:rFonts w:ascii="Times New Roman" w:hAnsi="Times New Roman" w:eastAsia="仿宋_GB2312" w:cs="Times New Roman"/>
                <w:color w:val="000000"/>
                <w:sz w:val="24"/>
              </w:rPr>
            </w:pPr>
          </w:p>
        </w:tc>
        <w:tc>
          <w:tcPr>
            <w:tcW w:w="1068" w:type="dxa"/>
            <w:gridSpan w:val="2"/>
            <w:shd w:val="clear" w:color="auto" w:fill="auto"/>
            <w:vAlign w:val="center"/>
          </w:tcPr>
          <w:p>
            <w:pPr>
              <w:jc w:val="center"/>
              <w:rPr>
                <w:rFonts w:ascii="Times New Roman" w:hAnsi="Times New Roman" w:eastAsia="仿宋_GB2312" w:cs="Times New Roman"/>
                <w:color w:val="000000"/>
                <w:sz w:val="24"/>
              </w:rPr>
            </w:pPr>
          </w:p>
        </w:tc>
        <w:tc>
          <w:tcPr>
            <w:tcW w:w="1055" w:type="dxa"/>
            <w:gridSpan w:val="3"/>
            <w:shd w:val="clear" w:color="auto" w:fill="auto"/>
            <w:vAlign w:val="center"/>
          </w:tcPr>
          <w:p>
            <w:pPr>
              <w:jc w:val="center"/>
              <w:rPr>
                <w:rFonts w:ascii="Times New Roman" w:hAnsi="Times New Roman" w:eastAsia="仿宋_GB2312" w:cs="Times New Roman"/>
                <w:color w:val="000000"/>
                <w:sz w:val="24"/>
              </w:rPr>
            </w:pPr>
          </w:p>
        </w:tc>
        <w:tc>
          <w:tcPr>
            <w:tcW w:w="1055" w:type="dxa"/>
            <w:gridSpan w:val="2"/>
            <w:shd w:val="clear" w:color="auto" w:fill="auto"/>
            <w:vAlign w:val="center"/>
          </w:tcPr>
          <w:p>
            <w:pPr>
              <w:rPr>
                <w:rFonts w:ascii="Times New Roman" w:hAnsi="Times New Roman" w:eastAsia="仿宋_GB2312" w:cs="Times New Roman"/>
                <w:color w:val="000000"/>
                <w:sz w:val="24"/>
              </w:rPr>
            </w:pPr>
          </w:p>
        </w:tc>
        <w:tc>
          <w:tcPr>
            <w:tcW w:w="1056" w:type="dxa"/>
            <w:shd w:val="clear" w:color="auto" w:fill="auto"/>
            <w:vAlign w:val="center"/>
          </w:tcPr>
          <w:p>
            <w:pPr>
              <w:rPr>
                <w:rFonts w:ascii="Times New Roman" w:hAnsi="Times New Roman" w:eastAsia="仿宋_GB2312" w:cs="Times New Roman"/>
                <w:color w:val="000000"/>
                <w:sz w:val="24"/>
              </w:rPr>
            </w:pPr>
          </w:p>
        </w:tc>
        <w:tc>
          <w:tcPr>
            <w:tcW w:w="240" w:type="dxa"/>
            <w:shd w:val="clear" w:color="auto" w:fill="auto"/>
            <w:vAlign w:val="center"/>
          </w:tcPr>
          <w:p>
            <w:pPr>
              <w:widowControl/>
              <w:jc w:val="right"/>
              <w:textAlignment w:val="center"/>
              <w:rPr>
                <w:rFonts w:ascii="Times New Roman" w:hAnsi="Times New Roman" w:eastAsia="仿宋_GB2312" w:cs="Times New Roman"/>
                <w:color w:val="000000"/>
                <w:sz w:val="24"/>
              </w:rPr>
            </w:pPr>
          </w:p>
        </w:tc>
        <w:tc>
          <w:tcPr>
            <w:tcW w:w="2000" w:type="dxa"/>
            <w:gridSpan w:val="3"/>
            <w:shd w:val="clear" w:color="auto" w:fill="auto"/>
            <w:vAlign w:val="bottom"/>
          </w:tcPr>
          <w:p>
            <w:pPr>
              <w:jc w:val="right"/>
              <w:rPr>
                <w:rFonts w:ascii="Times New Roman" w:hAnsi="Times New Roman" w:eastAsia="仿宋_GB2312" w:cs="Times New Roman"/>
                <w:color w:val="000000"/>
                <w:sz w:val="24"/>
              </w:rPr>
            </w:pPr>
          </w:p>
        </w:tc>
        <w:tc>
          <w:tcPr>
            <w:tcW w:w="1068" w:type="dxa"/>
            <w:gridSpan w:val="3"/>
            <w:shd w:val="clear" w:color="auto" w:fill="auto"/>
            <w:vAlign w:val="bottom"/>
          </w:tcPr>
          <w:p>
            <w:pPr>
              <w:wordWrap w:val="0"/>
              <w:jc w:val="right"/>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 xml:space="preserve">    </w:t>
            </w:r>
          </w:p>
        </w:tc>
        <w:tc>
          <w:tcPr>
            <w:tcW w:w="1055" w:type="dxa"/>
            <w:gridSpan w:val="2"/>
            <w:shd w:val="clear" w:color="auto" w:fill="auto"/>
            <w:vAlign w:val="bottom"/>
          </w:tcPr>
          <w:p>
            <w:pPr>
              <w:jc w:val="right"/>
              <w:rPr>
                <w:rFonts w:ascii="Times New Roman" w:hAnsi="Times New Roman" w:eastAsia="仿宋_GB2312" w:cs="Times New Roman"/>
                <w:color w:val="000000"/>
                <w:sz w:val="24"/>
              </w:rPr>
            </w:pPr>
          </w:p>
        </w:tc>
        <w:tc>
          <w:tcPr>
            <w:tcW w:w="1055" w:type="dxa"/>
            <w:gridSpan w:val="2"/>
            <w:shd w:val="clear" w:color="auto" w:fill="auto"/>
            <w:vAlign w:val="bottom"/>
          </w:tcPr>
          <w:p>
            <w:pPr>
              <w:jc w:val="left"/>
              <w:rPr>
                <w:rFonts w:ascii="Times New Roman" w:hAnsi="Times New Roman" w:eastAsia="仿宋_GB2312" w:cs="Times New Roman"/>
                <w:color w:val="000000"/>
                <w:sz w:val="24"/>
              </w:rPr>
            </w:pPr>
            <w:r>
              <w:rPr>
                <w:rFonts w:ascii="Times New Roman" w:hAnsi="Times New Roman" w:eastAsia="仿宋_GB2312" w:cs="Times New Roman"/>
                <w:color w:val="000000"/>
                <w:szCs w:val="21"/>
              </w:rPr>
              <w:t>公开</w:t>
            </w:r>
            <w:r>
              <w:rPr>
                <w:rFonts w:ascii="Times New Roman" w:hAnsi="Times New Roman" w:eastAsia="仿宋_GB2312" w:cs="Times New Roman"/>
                <w:color w:val="000000"/>
                <w:sz w:val="20"/>
                <w:szCs w:val="20"/>
              </w:rPr>
              <w:t>09</w:t>
            </w:r>
            <w:r>
              <w:rPr>
                <w:rFonts w:ascii="Times New Roman" w:hAnsi="Times New Roman" w:eastAsia="仿宋_GB2312" w:cs="Times New Roman"/>
                <w:color w:val="000000"/>
                <w:szCs w:val="21"/>
              </w:rPr>
              <w:t>表</w:t>
            </w:r>
          </w:p>
        </w:tc>
        <w:tc>
          <w:tcPr>
            <w:tcW w:w="240" w:type="dxa"/>
            <w:shd w:val="clear" w:color="auto" w:fill="auto"/>
            <w:vAlign w:val="bottom"/>
          </w:tcPr>
          <w:p>
            <w:pPr>
              <w:rPr>
                <w:rFonts w:ascii="Times New Roman" w:hAnsi="Times New Roman" w:eastAsia="仿宋_GB2312" w:cs="Times New Roman"/>
                <w:color w:val="000000"/>
                <w:sz w:val="24"/>
              </w:rPr>
            </w:pPr>
          </w:p>
        </w:tc>
        <w:tc>
          <w:tcPr>
            <w:tcW w:w="240"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p>
        </w:tc>
      </w:tr>
      <w:tr>
        <w:trPr>
          <w:gridAfter w:val="1"/>
          <w:wAfter w:w="1767" w:type="dxa"/>
          <w:trHeight w:val="301" w:hRule="atLeast"/>
        </w:trPr>
        <w:tc>
          <w:tcPr>
            <w:tcW w:w="1191" w:type="dxa"/>
            <w:gridSpan w:val="2"/>
            <w:shd w:val="clear" w:color="auto" w:fill="FFFFFF"/>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p>
        </w:tc>
        <w:tc>
          <w:tcPr>
            <w:tcW w:w="1068" w:type="dxa"/>
            <w:gridSpan w:val="2"/>
            <w:shd w:val="clear" w:color="auto" w:fill="FFFFFF"/>
            <w:vAlign w:val="center"/>
          </w:tcPr>
          <w:p>
            <w:pPr>
              <w:jc w:val="center"/>
              <w:rPr>
                <w:rFonts w:ascii="Times New Roman" w:hAnsi="Times New Roman" w:eastAsia="仿宋_GB2312" w:cs="Times New Roman"/>
                <w:color w:val="000000"/>
                <w:sz w:val="20"/>
                <w:szCs w:val="20"/>
              </w:rPr>
            </w:pPr>
          </w:p>
        </w:tc>
        <w:tc>
          <w:tcPr>
            <w:tcW w:w="1055" w:type="dxa"/>
            <w:gridSpan w:val="3"/>
            <w:shd w:val="clear" w:color="auto" w:fill="FFFFFF"/>
            <w:vAlign w:val="center"/>
          </w:tcPr>
          <w:p>
            <w:pPr>
              <w:jc w:val="center"/>
              <w:rPr>
                <w:rFonts w:ascii="Times New Roman" w:hAnsi="Times New Roman" w:eastAsia="仿宋_GB2312" w:cs="Times New Roman"/>
                <w:color w:val="000000"/>
                <w:sz w:val="20"/>
                <w:szCs w:val="20"/>
              </w:rPr>
            </w:pPr>
          </w:p>
        </w:tc>
        <w:tc>
          <w:tcPr>
            <w:tcW w:w="1055" w:type="dxa"/>
            <w:gridSpan w:val="2"/>
            <w:shd w:val="clear" w:color="auto" w:fill="FFFFFF"/>
            <w:vAlign w:val="center"/>
          </w:tcPr>
          <w:p>
            <w:pPr>
              <w:jc w:val="right"/>
              <w:rPr>
                <w:rFonts w:ascii="Times New Roman" w:hAnsi="Times New Roman" w:eastAsia="仿宋_GB2312" w:cs="Times New Roman"/>
                <w:color w:val="000000"/>
                <w:sz w:val="20"/>
                <w:szCs w:val="20"/>
              </w:rPr>
            </w:pPr>
          </w:p>
        </w:tc>
        <w:tc>
          <w:tcPr>
            <w:tcW w:w="1056" w:type="dxa"/>
            <w:shd w:val="clear" w:color="auto" w:fill="FFFFFF"/>
            <w:vAlign w:val="center"/>
          </w:tcPr>
          <w:p>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240" w:type="dxa"/>
            <w:shd w:val="clear" w:color="auto" w:fill="FFFFFF"/>
            <w:vAlign w:val="center"/>
          </w:tcPr>
          <w:p>
            <w:pPr>
              <w:widowControl/>
              <w:ind w:right="-5048" w:rightChars="-2404"/>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c>
          <w:tcPr>
            <w:tcW w:w="5418" w:type="dxa"/>
            <w:gridSpan w:val="11"/>
            <w:shd w:val="clear" w:color="auto" w:fill="FFFFFF"/>
            <w:vAlign w:val="center"/>
          </w:tcPr>
          <w:p>
            <w:pPr>
              <w:widowControl/>
              <w:tabs>
                <w:tab w:val="left" w:pos="630"/>
                <w:tab w:val="left" w:pos="5250"/>
              </w:tabs>
              <w:ind w:right="346" w:rightChars="165"/>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 xml:space="preserve">                                        </w:t>
            </w:r>
            <w:r>
              <w:rPr>
                <w:rFonts w:ascii="Times New Roman" w:hAnsi="Times New Roman" w:eastAsia="仿宋_GB2312" w:cs="Times New Roman"/>
                <w:color w:val="000000"/>
                <w:kern w:val="0"/>
                <w:sz w:val="20"/>
                <w:szCs w:val="20"/>
                <w:lang w:bidi="ar"/>
              </w:rPr>
              <w:t>单位：万元</w:t>
            </w:r>
          </w:p>
        </w:tc>
        <w:tc>
          <w:tcPr>
            <w:tcW w:w="240" w:type="dxa"/>
            <w:shd w:val="clear" w:color="auto" w:fill="FFFFFF"/>
            <w:vAlign w:val="center"/>
          </w:tcPr>
          <w:p>
            <w:pPr>
              <w:widowControl/>
              <w:jc w:val="right"/>
              <w:textAlignment w:val="center"/>
              <w:rPr>
                <w:rFonts w:ascii="Times New Roman" w:hAnsi="Times New Roman" w:eastAsia="仿宋_GB2312" w:cs="Times New Roman"/>
                <w:color w:val="000000"/>
                <w:sz w:val="20"/>
                <w:szCs w:val="20"/>
              </w:rPr>
            </w:pPr>
          </w:p>
        </w:tc>
      </w:tr>
      <w:tr>
        <w:tblPrEx>
          <w:tblCellMar>
            <w:top w:w="15" w:type="dxa"/>
            <w:left w:w="15" w:type="dxa"/>
            <w:bottom w:w="15" w:type="dxa"/>
            <w:right w:w="15" w:type="dxa"/>
          </w:tblCellMar>
        </w:tblPrEx>
        <w:trPr>
          <w:gridAfter w:val="4"/>
          <w:wAfter w:w="2363" w:type="dxa"/>
          <w:trHeight w:val="555" w:hRule="atLeast"/>
        </w:trPr>
        <w:tc>
          <w:tcPr>
            <w:tcW w:w="56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预算数</w:t>
            </w:r>
          </w:p>
        </w:tc>
        <w:tc>
          <w:tcPr>
            <w:tcW w:w="506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tblPrEx>
          <w:tblCellMar>
            <w:top w:w="15" w:type="dxa"/>
            <w:left w:w="15" w:type="dxa"/>
            <w:bottom w:w="15" w:type="dxa"/>
            <w:right w:w="15" w:type="dxa"/>
          </w:tblCellMar>
        </w:tblPrEx>
        <w:trPr>
          <w:gridAfter w:val="4"/>
          <w:wAfter w:w="2363" w:type="dxa"/>
          <w:trHeight w:val="600" w:hRule="atLeast"/>
        </w:trPr>
        <w:tc>
          <w:tcPr>
            <w:tcW w:w="7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7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3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1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15" w:type="dxa"/>
            <w:left w:w="15" w:type="dxa"/>
            <w:bottom w:w="15" w:type="dxa"/>
            <w:right w:w="15" w:type="dxa"/>
          </w:tblCellMar>
        </w:tblPrEx>
        <w:trPr>
          <w:gridAfter w:val="4"/>
          <w:wAfter w:w="2363" w:type="dxa"/>
          <w:trHeight w:val="600" w:hRule="atLeast"/>
        </w:trPr>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公务用车运行维护费</w:t>
            </w:r>
          </w:p>
        </w:tc>
        <w:tc>
          <w:tcPr>
            <w:tcW w:w="14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kern w:val="0"/>
                <w:sz w:val="22"/>
                <w:lang w:bidi="ar"/>
              </w:rPr>
            </w:pPr>
            <w:r>
              <w:rPr>
                <w:rFonts w:ascii="Times New Roman" w:hAnsi="Times New Roman" w:eastAsia="仿宋_GB2312" w:cs="Times New Roman"/>
                <w:b/>
                <w:bCs/>
                <w:color w:val="000000"/>
                <w:kern w:val="0"/>
                <w:sz w:val="22"/>
                <w:lang w:bidi="ar"/>
              </w:rPr>
              <w:t>公务用车</w:t>
            </w:r>
          </w:p>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运行维护费</w:t>
            </w:r>
          </w:p>
        </w:tc>
        <w:tc>
          <w:tcPr>
            <w:tcW w:w="11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bCs/>
                <w:color w:val="000000"/>
                <w:sz w:val="22"/>
              </w:rPr>
            </w:pPr>
          </w:p>
        </w:tc>
      </w:tr>
      <w:tr>
        <w:tblPrEx>
          <w:tblCellMar>
            <w:top w:w="15" w:type="dxa"/>
            <w:left w:w="15" w:type="dxa"/>
            <w:bottom w:w="15" w:type="dxa"/>
            <w:right w:w="15" w:type="dxa"/>
          </w:tblCellMar>
        </w:tblPrEx>
        <w:trPr>
          <w:gridAfter w:val="4"/>
          <w:wAfter w:w="2363" w:type="dxa"/>
          <w:trHeight w:val="555"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15" w:type="dxa"/>
            <w:left w:w="15" w:type="dxa"/>
            <w:bottom w:w="15" w:type="dxa"/>
            <w:right w:w="15" w:type="dxa"/>
          </w:tblCellMar>
        </w:tblPrEx>
        <w:trPr>
          <w:gridAfter w:val="4"/>
          <w:wAfter w:w="2363" w:type="dxa"/>
          <w:trHeight w:val="427"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1.69</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1.50</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1.50</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0.19</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1.50</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1.50</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r>
        <w:tblPrEx>
          <w:tblCellMar>
            <w:top w:w="15" w:type="dxa"/>
            <w:left w:w="15" w:type="dxa"/>
            <w:bottom w:w="15" w:type="dxa"/>
            <w:right w:w="15" w:type="dxa"/>
          </w:tblCellMar>
        </w:tblPrEx>
        <w:trPr>
          <w:trHeight w:val="900" w:hRule="atLeast"/>
        </w:trPr>
        <w:tc>
          <w:tcPr>
            <w:tcW w:w="13090" w:type="dxa"/>
            <w:gridSpan w:val="24"/>
            <w:shd w:val="clear" w:color="auto" w:fill="auto"/>
            <w:vAlign w:val="center"/>
          </w:tcPr>
          <w:p>
            <w:pPr>
              <w:widowControl/>
              <w:ind w:right="2339" w:rightChars="1114"/>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widowControl/>
        <w:spacing w:after="312" w:afterLines="100" w:line="580" w:lineRule="exact"/>
        <w:ind w:left="1757"/>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第三部分 2025年度部门决算情况说明</w:t>
      </w:r>
    </w:p>
    <w:p>
      <w:pPr>
        <w:rPr>
          <w:rFonts w:ascii="Times New Roman" w:hAnsi="Times New Roman" w:eastAsia="黑体" w:cs="Times New Roman"/>
          <w:sz w:val="32"/>
          <w:szCs w:val="32"/>
        </w:rPr>
      </w:pPr>
    </w:p>
    <w:p>
      <w:pPr>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一、收入</w:t>
      </w:r>
      <w:r>
        <w:rPr>
          <w:rFonts w:ascii="Times New Roman" w:hAnsi="Times New Roman" w:eastAsia="黑体" w:cs="Times New Roman"/>
          <w:kern w:val="0"/>
          <w:sz w:val="32"/>
          <w:szCs w:val="32"/>
        </w:rPr>
        <w:t>支出</w:t>
      </w:r>
      <w:r>
        <w:rPr>
          <w:rFonts w:ascii="Times New Roman" w:hAnsi="Times New Roman" w:eastAsia="黑体" w:cs="Times New Roman"/>
          <w:sz w:val="32"/>
          <w:szCs w:val="32"/>
        </w:rPr>
        <w:t>决算总体情况说明</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本部门2025年度收、支总计（含结转和结余）均为</w:t>
      </w:r>
      <w:r>
        <w:rPr>
          <w:rFonts w:hint="eastAsia" w:ascii="Times New Roman" w:hAnsi="Times New Roman" w:eastAsia="仿宋_GB2312" w:cs="Times New Roman"/>
          <w:sz w:val="32"/>
          <w:szCs w:val="32"/>
          <w:lang w:val="en-US" w:eastAsia="zh-CN"/>
        </w:rPr>
        <w:t>1475.6</w:t>
      </w:r>
      <w:r>
        <w:rPr>
          <w:rFonts w:ascii="Times New Roman" w:hAnsi="Times New Roman" w:eastAsia="仿宋_GB2312" w:cs="Times New Roman"/>
          <w:sz w:val="32"/>
          <w:szCs w:val="32"/>
        </w:rPr>
        <w:t>万元。与2024年度决算相比，收支各增加</w:t>
      </w:r>
      <w:r>
        <w:rPr>
          <w:rFonts w:hint="eastAsia" w:ascii="Times New Roman" w:hAnsi="Times New Roman" w:eastAsia="仿宋_GB2312" w:cs="Times New Roman"/>
          <w:sz w:val="32"/>
          <w:szCs w:val="32"/>
          <w:lang w:val="en-US" w:eastAsia="zh-CN"/>
        </w:rPr>
        <w:t>136.51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项目经费增加</w:t>
      </w:r>
      <w:r>
        <w:rPr>
          <w:rFonts w:ascii="Times New Roman" w:hAnsi="Times New Roman" w:eastAsia="仿宋_GB2312" w:cs="Times New Roman"/>
          <w:sz w:val="32"/>
          <w:szCs w:val="32"/>
        </w:rPr>
        <w:t>。</w:t>
      </w:r>
    </w:p>
    <w:p>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二、收入决算情况说明</w:t>
      </w:r>
    </w:p>
    <w:p>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本部门2025年度本年收入合计</w:t>
      </w:r>
      <w:r>
        <w:rPr>
          <w:rFonts w:hint="eastAsia" w:ascii="Times New Roman" w:hAnsi="Times New Roman" w:eastAsia="仿宋_GB2312" w:cs="Times New Roman"/>
          <w:sz w:val="32"/>
          <w:szCs w:val="32"/>
          <w:lang w:val="en-US" w:eastAsia="zh-CN"/>
        </w:rPr>
        <w:t>1475.51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1475.51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三、支出决算情况说明</w:t>
      </w:r>
    </w:p>
    <w:p>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本部门2025年度本年支出合计</w:t>
      </w:r>
      <w:r>
        <w:rPr>
          <w:rFonts w:hint="eastAsia" w:ascii="Times New Roman" w:hAnsi="Times New Roman" w:eastAsia="仿宋_GB2312" w:cs="Times New Roman"/>
          <w:sz w:val="32"/>
          <w:szCs w:val="32"/>
          <w:lang w:val="en-US" w:eastAsia="zh-CN"/>
        </w:rPr>
        <w:t>1475.57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827.79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56.10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647.78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43.9</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spacing w:line="580" w:lineRule="exact"/>
        <w:ind w:firstLine="640" w:firstLineChars="200"/>
        <w:outlineLvl w:val="1"/>
        <w:rPr>
          <w:rFonts w:ascii="Times New Roman" w:hAnsi="Times New Roman" w:eastAsia="黑体" w:cs="Times New Roman"/>
          <w:sz w:val="32"/>
          <w:szCs w:val="32"/>
        </w:rPr>
      </w:pPr>
      <w:r>
        <w:rPr>
          <w:rFonts w:ascii="Times New Roman" w:hAnsi="Times New Roman" w:eastAsia="黑体" w:cs="Times New Roman"/>
          <w:sz w:val="32"/>
          <w:szCs w:val="32"/>
        </w:rPr>
        <w:t>四、</w:t>
      </w:r>
      <w:r>
        <w:rPr>
          <w:rFonts w:ascii="Times New Roman" w:hAnsi="Times New Roman" w:eastAsia="黑体" w:cs="Times New Roman"/>
          <w:kern w:val="0"/>
          <w:sz w:val="32"/>
          <w:szCs w:val="32"/>
        </w:rPr>
        <w:t>财政</w:t>
      </w:r>
      <w:r>
        <w:rPr>
          <w:rFonts w:ascii="Times New Roman" w:hAnsi="Times New Roman" w:eastAsia="黑体" w:cs="Times New Roman"/>
          <w:sz w:val="32"/>
          <w:szCs w:val="32"/>
        </w:rPr>
        <w:t>拨款收入支出决算总体情况说明</w:t>
      </w:r>
    </w:p>
    <w:p>
      <w:pPr>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（一）财政拨款收支与2024年度决算对比情况</w:t>
      </w:r>
    </w:p>
    <w:p>
      <w:pPr>
        <w:adjustRightInd w:val="0"/>
        <w:snapToGrid w:val="0"/>
        <w:spacing w:line="580" w:lineRule="exact"/>
        <w:ind w:firstLine="640" w:firstLineChars="200"/>
        <w:rPr>
          <w:rFonts w:ascii="Times New Roman" w:hAnsi="Times New Roman" w:eastAsia="仿宋_GB2312" w:cs="Times New Roman"/>
          <w:b/>
          <w:color w:val="FF0000"/>
          <w:sz w:val="32"/>
          <w:szCs w:val="32"/>
        </w:rPr>
      </w:pPr>
      <w:r>
        <w:rPr>
          <w:rFonts w:ascii="Times New Roman" w:hAnsi="Times New Roman" w:eastAsia="仿宋_GB2312" w:cs="Times New Roman"/>
          <w:sz w:val="32"/>
          <w:szCs w:val="32"/>
        </w:rPr>
        <w:t>本部门2025年度财政拨款收、支总计（含结转和结余）均为</w:t>
      </w:r>
      <w:r>
        <w:rPr>
          <w:rFonts w:hint="eastAsia" w:ascii="Times New Roman" w:hAnsi="Times New Roman" w:eastAsia="仿宋_GB2312" w:cs="Times New Roman"/>
          <w:sz w:val="32"/>
          <w:szCs w:val="32"/>
          <w:lang w:val="en-US" w:eastAsia="zh-CN"/>
        </w:rPr>
        <w:t>1475.6</w:t>
      </w:r>
      <w:r>
        <w:rPr>
          <w:rFonts w:ascii="Times New Roman" w:hAnsi="Times New Roman" w:eastAsia="仿宋_GB2312" w:cs="Times New Roman"/>
          <w:sz w:val="32"/>
          <w:szCs w:val="32"/>
        </w:rPr>
        <w:t>万元。与2024年度相比，财政拨款收支各增加</w:t>
      </w:r>
      <w:r>
        <w:rPr>
          <w:rFonts w:hint="eastAsia" w:ascii="Times New Roman" w:hAnsi="Times New Roman" w:eastAsia="仿宋_GB2312" w:cs="Times New Roman"/>
          <w:sz w:val="32"/>
          <w:szCs w:val="32"/>
          <w:lang w:val="en-US" w:eastAsia="zh-CN"/>
        </w:rPr>
        <w:t>136.51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项目经费增加</w:t>
      </w:r>
      <w:r>
        <w:rPr>
          <w:rFonts w:ascii="Times New Roman" w:hAnsi="Times New Roman" w:eastAsia="仿宋_GB2312" w:cs="Times New Roman"/>
          <w:sz w:val="32"/>
          <w:szCs w:val="32"/>
        </w:rPr>
        <w:t>。</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本部门2025年度财政拨款本年收入</w:t>
      </w:r>
      <w:r>
        <w:rPr>
          <w:rFonts w:hint="eastAsia" w:ascii="Times New Roman" w:hAnsi="Times New Roman" w:eastAsia="仿宋_GB2312" w:cs="Times New Roman"/>
          <w:sz w:val="32"/>
          <w:szCs w:val="32"/>
          <w:lang w:val="en-US" w:eastAsia="zh-CN"/>
        </w:rPr>
        <w:t>1475.57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比2024年度增加</w:t>
      </w:r>
      <w:r>
        <w:rPr>
          <w:rFonts w:hint="eastAsia" w:ascii="Times New Roman" w:hAnsi="Times New Roman" w:eastAsia="仿宋_GB2312" w:cs="Times New Roman"/>
          <w:sz w:val="32"/>
          <w:szCs w:val="32"/>
          <w:lang w:val="en-US" w:eastAsia="zh-CN"/>
        </w:rPr>
        <w:t>135.77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项目经费的增加</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lang w:val="en-US" w:eastAsia="zh-CN"/>
        </w:rPr>
        <w:t>1475.57</w:t>
      </w:r>
      <w:r>
        <w:rPr>
          <w:rFonts w:ascii="Times New Roman" w:hAnsi="Times New Roman" w:eastAsia="仿宋_GB2312" w:cs="Times New Roman"/>
          <w:sz w:val="32"/>
          <w:szCs w:val="32"/>
        </w:rPr>
        <w:t>万元，增加</w:t>
      </w:r>
      <w:r>
        <w:rPr>
          <w:rFonts w:hint="eastAsia" w:ascii="Times New Roman" w:hAnsi="Times New Roman" w:eastAsia="仿宋_GB2312" w:cs="Times New Roman"/>
          <w:sz w:val="32"/>
          <w:szCs w:val="32"/>
          <w:lang w:val="en-US" w:eastAsia="zh-CN"/>
        </w:rPr>
        <w:t>136.45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项目经费的增加</w:t>
      </w:r>
      <w:r>
        <w:rPr>
          <w:rFonts w:ascii="Times New Roman" w:hAnsi="Times New Roman" w:eastAsia="仿宋_GB2312" w:cs="Times New Roman"/>
          <w:sz w:val="32"/>
          <w:szCs w:val="32"/>
        </w:rPr>
        <w:t>。具体情况如下：</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1.一般公共预算财政拨款本年收入</w:t>
      </w:r>
      <w:r>
        <w:rPr>
          <w:rFonts w:hint="eastAsia" w:ascii="Times New Roman" w:hAnsi="Times New Roman" w:eastAsia="仿宋_GB2312" w:cs="Times New Roman"/>
          <w:sz w:val="32"/>
          <w:szCs w:val="32"/>
          <w:lang w:val="en-US" w:eastAsia="zh-CN"/>
        </w:rPr>
        <w:t>1475.51</w:t>
      </w:r>
      <w:r>
        <w:rPr>
          <w:rFonts w:ascii="Times New Roman" w:hAnsi="Times New Roman" w:eastAsia="仿宋_GB2312" w:cs="Times New Roman"/>
          <w:sz w:val="32"/>
          <w:szCs w:val="32"/>
        </w:rPr>
        <w:t>万元，比上年增加</w:t>
      </w:r>
      <w:r>
        <w:rPr>
          <w:rFonts w:hint="eastAsia" w:ascii="Times New Roman" w:hAnsi="Times New Roman" w:eastAsia="仿宋_GB2312" w:cs="Times New Roman"/>
          <w:sz w:val="32"/>
          <w:szCs w:val="32"/>
          <w:lang w:val="en-US" w:eastAsia="zh-CN"/>
        </w:rPr>
        <w:t>135.77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9.2</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项目经费的增加</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lang w:val="en-US" w:eastAsia="zh-CN"/>
        </w:rPr>
        <w:t>1475.57</w:t>
      </w:r>
      <w:r>
        <w:rPr>
          <w:rFonts w:ascii="Times New Roman" w:hAnsi="Times New Roman" w:eastAsia="仿宋_GB2312" w:cs="Times New Roman"/>
          <w:sz w:val="32"/>
          <w:szCs w:val="32"/>
        </w:rPr>
        <w:t>万元，比上年增加</w:t>
      </w:r>
      <w:r>
        <w:rPr>
          <w:rFonts w:hint="eastAsia" w:ascii="Times New Roman" w:hAnsi="Times New Roman" w:eastAsia="仿宋_GB2312" w:cs="Times New Roman"/>
          <w:sz w:val="32"/>
          <w:szCs w:val="32"/>
          <w:lang w:val="en-US" w:eastAsia="zh-CN"/>
        </w:rPr>
        <w:t>136.45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项目经费的增加</w:t>
      </w:r>
      <w:r>
        <w:rPr>
          <w:rFonts w:ascii="Times New Roman" w:hAnsi="Times New Roman" w:eastAsia="仿宋_GB2312" w:cs="Times New Roman"/>
          <w:sz w:val="32"/>
          <w:szCs w:val="32"/>
        </w:rPr>
        <w:t>。</w:t>
      </w:r>
    </w:p>
    <w:p>
      <w:pPr>
        <w:keepNext w:val="0"/>
        <w:keepLines w:val="0"/>
        <w:widowControl/>
        <w:suppressLineNumbers w:val="0"/>
        <w:ind w:firstLine="640" w:firstLineChars="200"/>
        <w:jc w:val="left"/>
      </w:pPr>
      <w:r>
        <w:rPr>
          <w:rFonts w:ascii="Times New Roman" w:hAnsi="Times New Roman" w:eastAsia="仿宋_GB2312" w:cs="Times New Roman"/>
          <w:sz w:val="32"/>
          <w:szCs w:val="32"/>
        </w:rPr>
        <w:t>2.</w:t>
      </w:r>
      <w:r>
        <w:rPr>
          <w:rFonts w:ascii="仿宋_GB2312" w:hAnsi="仿宋_GB2312" w:eastAsia="仿宋_GB2312" w:cs="仿宋_GB2312"/>
          <w:color w:val="000000"/>
          <w:kern w:val="0"/>
          <w:sz w:val="31"/>
          <w:szCs w:val="31"/>
          <w:lang w:val="en-US" w:eastAsia="zh-CN" w:bidi="ar"/>
        </w:rPr>
        <w:t xml:space="preserve">政府性基金预算财政拨款本年收入 </w:t>
      </w:r>
      <w:r>
        <w:rPr>
          <w:rFonts w:hint="default" w:ascii="Times New Roman" w:hAnsi="Times New Roman" w:eastAsia="宋体" w:cs="Times New Roman"/>
          <w:color w:val="000000"/>
          <w:kern w:val="0"/>
          <w:sz w:val="31"/>
          <w:szCs w:val="31"/>
          <w:lang w:val="en-US" w:eastAsia="zh-CN" w:bidi="ar"/>
        </w:rPr>
        <w:t xml:space="preserve">0.00 </w:t>
      </w:r>
      <w:r>
        <w:rPr>
          <w:rFonts w:ascii="仿宋_GB2312" w:hAnsi="仿宋_GB2312" w:eastAsia="仿宋_GB2312" w:cs="仿宋_GB2312"/>
          <w:color w:val="000000"/>
          <w:kern w:val="0"/>
          <w:sz w:val="31"/>
          <w:szCs w:val="31"/>
          <w:lang w:val="en-US" w:eastAsia="zh-CN" w:bidi="ar"/>
        </w:rPr>
        <w:t>万元，比上年增加</w:t>
      </w:r>
      <w:r>
        <w:rPr>
          <w:rFonts w:hint="default" w:ascii="Times New Roman" w:hAnsi="Times New Roman" w:eastAsia="宋体" w:cs="Times New Roman"/>
          <w:color w:val="000000"/>
          <w:kern w:val="0"/>
          <w:sz w:val="31"/>
          <w:szCs w:val="31"/>
          <w:lang w:val="en-US" w:eastAsia="zh-CN" w:bidi="ar"/>
        </w:rPr>
        <w:t xml:space="preserve">0.00 </w:t>
      </w:r>
      <w:r>
        <w:rPr>
          <w:rFonts w:ascii="仿宋_GB2312" w:hAnsi="仿宋_GB2312" w:eastAsia="仿宋_GB2312" w:cs="仿宋_GB2312"/>
          <w:color w:val="000000"/>
          <w:kern w:val="0"/>
          <w:sz w:val="31"/>
          <w:szCs w:val="31"/>
          <w:lang w:val="en-US" w:eastAsia="zh-CN" w:bidi="ar"/>
        </w:rPr>
        <w:t xml:space="preserve">万元，增长 </w:t>
      </w:r>
      <w:r>
        <w:rPr>
          <w:rFonts w:hint="default" w:ascii="Times New Roman" w:hAnsi="Times New Roman" w:eastAsia="宋体" w:cs="Times New Roman"/>
          <w:color w:val="000000"/>
          <w:kern w:val="0"/>
          <w:sz w:val="31"/>
          <w:szCs w:val="31"/>
          <w:lang w:val="en-US" w:eastAsia="zh-CN" w:bidi="ar"/>
        </w:rPr>
        <w:t>0.00%</w:t>
      </w:r>
      <w:r>
        <w:rPr>
          <w:rFonts w:ascii="仿宋_GB2312" w:hAnsi="仿宋_GB2312" w:eastAsia="仿宋_GB2312" w:cs="仿宋_GB2312"/>
          <w:color w:val="000000"/>
          <w:kern w:val="0"/>
          <w:sz w:val="31"/>
          <w:szCs w:val="31"/>
          <w:lang w:val="en-US" w:eastAsia="zh-CN" w:bidi="ar"/>
        </w:rPr>
        <w:t xml:space="preserve">，主要原因是本年无预、决算收支等相关数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据；本年支出 </w:t>
      </w:r>
      <w:r>
        <w:rPr>
          <w:rFonts w:hint="default" w:ascii="Times New Roman" w:hAnsi="Times New Roman" w:eastAsia="宋体" w:cs="Times New Roman"/>
          <w:color w:val="000000"/>
          <w:kern w:val="0"/>
          <w:sz w:val="31"/>
          <w:szCs w:val="31"/>
          <w:lang w:val="en-US" w:eastAsia="zh-CN" w:bidi="ar"/>
        </w:rPr>
        <w:t xml:space="preserve">0.00 </w:t>
      </w:r>
      <w:r>
        <w:rPr>
          <w:rFonts w:ascii="仿宋_GB2312" w:hAnsi="仿宋_GB2312" w:eastAsia="仿宋_GB2312" w:cs="仿宋_GB2312"/>
          <w:color w:val="000000"/>
          <w:kern w:val="0"/>
          <w:sz w:val="31"/>
          <w:szCs w:val="31"/>
          <w:lang w:val="en-US" w:eastAsia="zh-CN" w:bidi="ar"/>
        </w:rPr>
        <w:t xml:space="preserve">万元，比上年增加 </w:t>
      </w:r>
      <w:r>
        <w:rPr>
          <w:rFonts w:hint="default" w:ascii="Times New Roman" w:hAnsi="Times New Roman" w:eastAsia="宋体" w:cs="Times New Roman"/>
          <w:color w:val="000000"/>
          <w:kern w:val="0"/>
          <w:sz w:val="31"/>
          <w:szCs w:val="31"/>
          <w:lang w:val="en-US" w:eastAsia="zh-CN" w:bidi="ar"/>
        </w:rPr>
        <w:t xml:space="preserve">0.00 </w:t>
      </w:r>
      <w:r>
        <w:rPr>
          <w:rFonts w:ascii="仿宋_GB2312" w:hAnsi="仿宋_GB2312" w:eastAsia="仿宋_GB2312" w:cs="仿宋_GB2312"/>
          <w:color w:val="000000"/>
          <w:kern w:val="0"/>
          <w:sz w:val="31"/>
          <w:szCs w:val="31"/>
          <w:lang w:val="en-US" w:eastAsia="zh-CN" w:bidi="ar"/>
        </w:rPr>
        <w:t xml:space="preserve">万元，增长 </w:t>
      </w:r>
      <w:r>
        <w:rPr>
          <w:rFonts w:hint="default" w:ascii="Times New Roman" w:hAnsi="Times New Roman" w:eastAsia="宋体" w:cs="Times New Roman"/>
          <w:color w:val="000000"/>
          <w:kern w:val="0"/>
          <w:sz w:val="31"/>
          <w:szCs w:val="31"/>
          <w:lang w:val="en-US" w:eastAsia="zh-CN" w:bidi="ar"/>
        </w:rPr>
        <w:t>0.00%</w:t>
      </w:r>
      <w:r>
        <w:rPr>
          <w:rFonts w:ascii="仿宋_GB2312" w:hAnsi="仿宋_GB2312" w:eastAsia="仿宋_GB2312" w:cs="仿宋_GB2312"/>
          <w:color w:val="000000"/>
          <w:kern w:val="0"/>
          <w:sz w:val="31"/>
          <w:szCs w:val="31"/>
          <w:lang w:val="en-US" w:eastAsia="zh-CN" w:bidi="ar"/>
        </w:rPr>
        <w:t xml:space="preserve">，主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要原因是本年无预、决算收支等相关数据。</w:t>
      </w:r>
    </w:p>
    <w:p>
      <w:pPr>
        <w:keepNext w:val="0"/>
        <w:keepLines w:val="0"/>
        <w:widowControl/>
        <w:suppressLineNumbers w:val="0"/>
        <w:ind w:firstLine="640" w:firstLineChars="200"/>
        <w:jc w:val="left"/>
      </w:pPr>
      <w:r>
        <w:rPr>
          <w:rFonts w:ascii="Times New Roman" w:hAnsi="Times New Roman" w:eastAsia="仿宋_GB2312" w:cs="Times New Roman"/>
          <w:sz w:val="32"/>
          <w:szCs w:val="32"/>
        </w:rPr>
        <w:t>3.</w:t>
      </w:r>
      <w:r>
        <w:rPr>
          <w:rFonts w:ascii="仿宋_GB2312" w:hAnsi="仿宋_GB2312" w:eastAsia="仿宋_GB2312" w:cs="仿宋_GB2312"/>
          <w:color w:val="000000"/>
          <w:kern w:val="0"/>
          <w:sz w:val="31"/>
          <w:szCs w:val="31"/>
          <w:lang w:val="en-US" w:eastAsia="zh-CN" w:bidi="ar"/>
        </w:rPr>
        <w:t xml:space="preserve">国有资本经营预算财政拨款本年收入 </w:t>
      </w:r>
      <w:r>
        <w:rPr>
          <w:rFonts w:hint="default" w:ascii="Times New Roman" w:hAnsi="Times New Roman" w:eastAsia="宋体" w:cs="Times New Roman"/>
          <w:color w:val="000000"/>
          <w:kern w:val="0"/>
          <w:sz w:val="31"/>
          <w:szCs w:val="31"/>
          <w:lang w:val="en-US" w:eastAsia="zh-CN" w:bidi="ar"/>
        </w:rPr>
        <w:t xml:space="preserve">0.00 </w:t>
      </w:r>
      <w:r>
        <w:rPr>
          <w:rFonts w:ascii="仿宋_GB2312" w:hAnsi="仿宋_GB2312" w:eastAsia="仿宋_GB2312" w:cs="仿宋_GB2312"/>
          <w:color w:val="000000"/>
          <w:kern w:val="0"/>
          <w:sz w:val="31"/>
          <w:szCs w:val="31"/>
          <w:lang w:val="en-US" w:eastAsia="zh-CN" w:bidi="ar"/>
        </w:rPr>
        <w:t xml:space="preserve">万元，比上年增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加 </w:t>
      </w:r>
      <w:r>
        <w:rPr>
          <w:rFonts w:hint="default" w:ascii="Times New Roman" w:hAnsi="Times New Roman" w:eastAsia="宋体" w:cs="Times New Roman"/>
          <w:color w:val="000000"/>
          <w:kern w:val="0"/>
          <w:sz w:val="31"/>
          <w:szCs w:val="31"/>
          <w:lang w:val="en-US" w:eastAsia="zh-CN" w:bidi="ar"/>
        </w:rPr>
        <w:t xml:space="preserve">0.00 </w:t>
      </w:r>
      <w:r>
        <w:rPr>
          <w:rFonts w:ascii="仿宋_GB2312" w:hAnsi="仿宋_GB2312" w:eastAsia="仿宋_GB2312" w:cs="仿宋_GB2312"/>
          <w:color w:val="000000"/>
          <w:kern w:val="0"/>
          <w:sz w:val="31"/>
          <w:szCs w:val="31"/>
          <w:lang w:val="en-US" w:eastAsia="zh-CN" w:bidi="ar"/>
        </w:rPr>
        <w:t xml:space="preserve">万元，增长 </w:t>
      </w:r>
      <w:r>
        <w:rPr>
          <w:rFonts w:hint="default" w:ascii="Times New Roman" w:hAnsi="Times New Roman" w:eastAsia="宋体" w:cs="Times New Roman"/>
          <w:color w:val="000000"/>
          <w:kern w:val="0"/>
          <w:sz w:val="31"/>
          <w:szCs w:val="31"/>
          <w:lang w:val="en-US" w:eastAsia="zh-CN" w:bidi="ar"/>
        </w:rPr>
        <w:t>0.00%</w:t>
      </w:r>
      <w:r>
        <w:rPr>
          <w:rFonts w:ascii="仿宋_GB2312" w:hAnsi="仿宋_GB2312" w:eastAsia="仿宋_GB2312" w:cs="仿宋_GB2312"/>
          <w:color w:val="000000"/>
          <w:kern w:val="0"/>
          <w:sz w:val="31"/>
          <w:szCs w:val="31"/>
          <w:lang w:val="en-US" w:eastAsia="zh-CN" w:bidi="ar"/>
        </w:rPr>
        <w:t xml:space="preserve">，主要原因是本年无预、决算收支等相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关数据；本年支出 </w:t>
      </w:r>
      <w:r>
        <w:rPr>
          <w:rFonts w:hint="default" w:ascii="Times New Roman" w:hAnsi="Times New Roman" w:eastAsia="宋体" w:cs="Times New Roman"/>
          <w:color w:val="000000"/>
          <w:kern w:val="0"/>
          <w:sz w:val="31"/>
          <w:szCs w:val="31"/>
          <w:lang w:val="en-US" w:eastAsia="zh-CN" w:bidi="ar"/>
        </w:rPr>
        <w:t xml:space="preserve">0.00 </w:t>
      </w:r>
      <w:r>
        <w:rPr>
          <w:rFonts w:ascii="仿宋_GB2312" w:hAnsi="仿宋_GB2312" w:eastAsia="仿宋_GB2312" w:cs="仿宋_GB2312"/>
          <w:color w:val="000000"/>
          <w:kern w:val="0"/>
          <w:sz w:val="31"/>
          <w:szCs w:val="31"/>
          <w:lang w:val="en-US" w:eastAsia="zh-CN" w:bidi="ar"/>
        </w:rPr>
        <w:t xml:space="preserve">万元，比上年增加 </w:t>
      </w:r>
      <w:r>
        <w:rPr>
          <w:rFonts w:hint="default" w:ascii="Times New Roman" w:hAnsi="Times New Roman" w:eastAsia="宋体" w:cs="Times New Roman"/>
          <w:color w:val="000000"/>
          <w:kern w:val="0"/>
          <w:sz w:val="31"/>
          <w:szCs w:val="31"/>
          <w:lang w:val="en-US" w:eastAsia="zh-CN" w:bidi="ar"/>
        </w:rPr>
        <w:t xml:space="preserve">0.00 </w:t>
      </w:r>
      <w:r>
        <w:rPr>
          <w:rFonts w:ascii="仿宋_GB2312" w:hAnsi="仿宋_GB2312" w:eastAsia="仿宋_GB2312" w:cs="仿宋_GB2312"/>
          <w:color w:val="000000"/>
          <w:kern w:val="0"/>
          <w:sz w:val="31"/>
          <w:szCs w:val="31"/>
          <w:lang w:val="en-US" w:eastAsia="zh-CN" w:bidi="ar"/>
        </w:rPr>
        <w:t xml:space="preserve">万元，增长 </w:t>
      </w:r>
      <w:r>
        <w:rPr>
          <w:rFonts w:hint="default" w:ascii="Times New Roman" w:hAnsi="Times New Roman" w:eastAsia="宋体" w:cs="Times New Roman"/>
          <w:color w:val="000000"/>
          <w:kern w:val="0"/>
          <w:sz w:val="31"/>
          <w:szCs w:val="31"/>
          <w:lang w:val="en-US" w:eastAsia="zh-CN" w:bidi="ar"/>
        </w:rPr>
        <w:t>0.00%</w:t>
      </w:r>
      <w:r>
        <w:rPr>
          <w:rFonts w:ascii="仿宋_GB2312" w:hAnsi="仿宋_GB2312" w:eastAsia="仿宋_GB2312" w:cs="仿宋_GB2312"/>
          <w:color w:val="000000"/>
          <w:kern w:val="0"/>
          <w:sz w:val="31"/>
          <w:szCs w:val="31"/>
          <w:lang w:val="en-US" w:eastAsia="zh-CN" w:bidi="ar"/>
        </w:rPr>
        <w:t xml:space="preserve">， </w:t>
      </w:r>
    </w:p>
    <w:p>
      <w:pPr>
        <w:keepNext w:val="0"/>
        <w:keepLines w:val="0"/>
        <w:widowControl/>
        <w:suppressLineNumbers w:val="0"/>
        <w:jc w:val="left"/>
        <w:rPr>
          <w:rFonts w:ascii="Times New Roman" w:hAnsi="Times New Roman" w:eastAsia="仿宋_GB2312" w:cs="Times New Roman"/>
          <w:sz w:val="32"/>
          <w:szCs w:val="32"/>
        </w:rPr>
      </w:pPr>
      <w:r>
        <w:rPr>
          <w:rFonts w:ascii="仿宋_GB2312" w:hAnsi="仿宋_GB2312" w:eastAsia="仿宋_GB2312" w:cs="仿宋_GB2312"/>
          <w:color w:val="000000"/>
          <w:kern w:val="0"/>
          <w:sz w:val="31"/>
          <w:szCs w:val="31"/>
          <w:lang w:val="en-US" w:eastAsia="zh-CN" w:bidi="ar"/>
        </w:rPr>
        <w:t>主要原因是本年无预、决算收支等相关数据</w:t>
      </w:r>
      <w:r>
        <w:rPr>
          <w:rFonts w:ascii="Times New Roman" w:hAnsi="Times New Roman" w:eastAsia="仿宋_GB2312" w:cs="Times New Roman"/>
          <w:sz w:val="32"/>
          <w:szCs w:val="32"/>
        </w:rPr>
        <w:t>。</w:t>
      </w:r>
    </w:p>
    <w:p>
      <w:pPr>
        <w:pStyle w:val="2"/>
        <w:bidi w:val="0"/>
        <w:rPr>
          <w:rFonts w:hint="eastAsia"/>
          <w:lang w:eastAsia="zh-CN"/>
        </w:rPr>
      </w:pPr>
      <w:r>
        <w:drawing>
          <wp:inline distT="0" distB="0" distL="114300" distR="114300">
            <wp:extent cx="5756910" cy="2986405"/>
            <wp:effectExtent l="4445" t="4445" r="10795" b="1905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（二）财政拨款收支与年初预算数对比情况</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本部门2025年度财政拨款本年收入</w:t>
      </w:r>
      <w:r>
        <w:rPr>
          <w:rFonts w:hint="eastAsia" w:ascii="Times New Roman" w:hAnsi="Times New Roman" w:eastAsia="仿宋_GB2312" w:cs="Times New Roman"/>
          <w:sz w:val="32"/>
          <w:szCs w:val="32"/>
          <w:lang w:val="en-US" w:eastAsia="zh-CN"/>
        </w:rPr>
        <w:t>1475.51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86.7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比年初预算减少</w:t>
      </w:r>
      <w:r>
        <w:rPr>
          <w:rFonts w:hint="eastAsia" w:ascii="Times New Roman" w:hAnsi="Times New Roman" w:eastAsia="仿宋_GB2312" w:cs="Times New Roman"/>
          <w:sz w:val="32"/>
          <w:szCs w:val="32"/>
          <w:lang w:val="en-US" w:eastAsia="zh-CN"/>
        </w:rPr>
        <w:t>196.07</w:t>
      </w:r>
      <w:r>
        <w:rPr>
          <w:rFonts w:ascii="Times New Roman" w:hAnsi="Times New Roman" w:eastAsia="仿宋_GB2312" w:cs="Times New Roman"/>
          <w:sz w:val="32"/>
          <w:szCs w:val="32"/>
        </w:rPr>
        <w:t>万元，决算数小于预算数主要原因是</w:t>
      </w:r>
      <w:r>
        <w:rPr>
          <w:rFonts w:hint="eastAsia" w:ascii="Times New Roman" w:hAnsi="Times New Roman" w:eastAsia="仿宋_GB2312" w:cs="Times New Roman"/>
          <w:sz w:val="32"/>
          <w:szCs w:val="32"/>
          <w:lang w:val="en-US" w:eastAsia="zh-CN"/>
        </w:rPr>
        <w:t>厉行节约压缩开支</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lang w:val="en-US" w:eastAsia="zh-CN"/>
        </w:rPr>
        <w:t>1475.57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88.33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比年初预算减少</w:t>
      </w:r>
      <w:r>
        <w:rPr>
          <w:rFonts w:hint="eastAsia" w:ascii="Times New Roman" w:hAnsi="Times New Roman" w:eastAsia="仿宋_GB2312" w:cs="Times New Roman"/>
          <w:sz w:val="32"/>
          <w:szCs w:val="32"/>
          <w:lang w:val="en-US" w:eastAsia="zh-CN"/>
        </w:rPr>
        <w:t>195.01</w:t>
      </w:r>
      <w:r>
        <w:rPr>
          <w:rFonts w:ascii="Times New Roman" w:hAnsi="Times New Roman" w:eastAsia="仿宋_GB2312" w:cs="Times New Roman"/>
          <w:sz w:val="32"/>
          <w:szCs w:val="32"/>
        </w:rPr>
        <w:t>万元，决算数小于预算数主要原因是</w:t>
      </w:r>
      <w:r>
        <w:rPr>
          <w:rFonts w:hint="eastAsia" w:ascii="Times New Roman" w:hAnsi="Times New Roman" w:eastAsia="仿宋_GB2312" w:cs="Times New Roman"/>
          <w:sz w:val="32"/>
          <w:szCs w:val="32"/>
          <w:lang w:val="en-US" w:eastAsia="zh-CN"/>
        </w:rPr>
        <w:t>厉行节约压缩开支</w:t>
      </w:r>
      <w:r>
        <w:rPr>
          <w:rFonts w:ascii="Times New Roman" w:hAnsi="Times New Roman" w:eastAsia="仿宋_GB2312" w:cs="Times New Roman"/>
          <w:sz w:val="32"/>
          <w:szCs w:val="32"/>
        </w:rPr>
        <w:t>。具体情况如下：</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1.一般公共预算财政拨款本年收入完成年初预算</w:t>
      </w:r>
      <w:r>
        <w:rPr>
          <w:rFonts w:hint="eastAsia" w:ascii="Times New Roman" w:hAnsi="Times New Roman" w:eastAsia="仿宋_GB2312" w:cs="Times New Roman"/>
          <w:sz w:val="32"/>
          <w:szCs w:val="32"/>
          <w:lang w:val="en-US" w:eastAsia="zh-CN"/>
        </w:rPr>
        <w:t>86.7</w:t>
      </w:r>
      <w:r>
        <w:rPr>
          <w:rFonts w:ascii="Times New Roman" w:hAnsi="Times New Roman" w:eastAsia="仿宋_GB2312" w:cs="Times New Roman"/>
          <w:sz w:val="32"/>
          <w:szCs w:val="32"/>
        </w:rPr>
        <w:t>%，比年初预算减少</w:t>
      </w:r>
      <w:r>
        <w:rPr>
          <w:rFonts w:hint="eastAsia" w:ascii="Times New Roman" w:hAnsi="Times New Roman" w:eastAsia="仿宋_GB2312" w:cs="Times New Roman"/>
          <w:sz w:val="32"/>
          <w:szCs w:val="32"/>
          <w:lang w:val="en-US" w:eastAsia="zh-CN"/>
        </w:rPr>
        <w:t>196.07</w:t>
      </w:r>
      <w:r>
        <w:rPr>
          <w:rFonts w:ascii="Times New Roman" w:hAnsi="Times New Roman" w:eastAsia="仿宋_GB2312" w:cs="Times New Roman"/>
          <w:sz w:val="32"/>
          <w:szCs w:val="32"/>
        </w:rPr>
        <w:t>万元，主要原因是</w:t>
      </w:r>
      <w:r>
        <w:rPr>
          <w:rFonts w:hint="eastAsia" w:ascii="Times New Roman" w:hAnsi="Times New Roman" w:eastAsia="仿宋_GB2312" w:cs="Times New Roman"/>
          <w:sz w:val="32"/>
          <w:szCs w:val="32"/>
          <w:lang w:val="en-US" w:eastAsia="zh-CN"/>
        </w:rPr>
        <w:t>厉行节约压缩开支</w:t>
      </w:r>
      <w:r>
        <w:rPr>
          <w:rFonts w:ascii="Times New Roman" w:hAnsi="Times New Roman" w:eastAsia="仿宋_GB2312" w:cs="Times New Roman"/>
          <w:sz w:val="32"/>
          <w:szCs w:val="32"/>
        </w:rPr>
        <w:t>；支出完成年初预算</w:t>
      </w:r>
      <w:r>
        <w:rPr>
          <w:rFonts w:hint="eastAsia" w:ascii="Times New Roman" w:hAnsi="Times New Roman" w:eastAsia="仿宋_GB2312" w:cs="Times New Roman"/>
          <w:sz w:val="32"/>
          <w:szCs w:val="32"/>
          <w:lang w:val="en-US" w:eastAsia="zh-CN"/>
        </w:rPr>
        <w:t>88.33</w:t>
      </w:r>
      <w:r>
        <w:rPr>
          <w:rFonts w:ascii="Times New Roman" w:hAnsi="Times New Roman" w:eastAsia="仿宋_GB2312" w:cs="Times New Roman"/>
          <w:sz w:val="32"/>
          <w:szCs w:val="32"/>
        </w:rPr>
        <w:t>%，比年初预算减少</w:t>
      </w:r>
      <w:r>
        <w:rPr>
          <w:rFonts w:hint="eastAsia" w:ascii="Times New Roman" w:hAnsi="Times New Roman" w:eastAsia="仿宋_GB2312" w:cs="Times New Roman"/>
          <w:sz w:val="32"/>
          <w:szCs w:val="32"/>
          <w:lang w:val="en-US" w:eastAsia="zh-CN"/>
        </w:rPr>
        <w:t>195.01</w:t>
      </w:r>
      <w:r>
        <w:rPr>
          <w:rFonts w:ascii="Times New Roman" w:hAnsi="Times New Roman" w:eastAsia="仿宋_GB2312" w:cs="Times New Roman"/>
          <w:sz w:val="32"/>
          <w:szCs w:val="32"/>
        </w:rPr>
        <w:t>万元，主要原因是</w:t>
      </w:r>
      <w:r>
        <w:rPr>
          <w:rFonts w:hint="eastAsia" w:ascii="Times New Roman" w:hAnsi="Times New Roman" w:eastAsia="仿宋_GB2312" w:cs="Times New Roman"/>
          <w:sz w:val="32"/>
          <w:szCs w:val="32"/>
          <w:lang w:val="en-US" w:eastAsia="zh-CN"/>
        </w:rPr>
        <w:t>厉行节约压缩开支</w:t>
      </w:r>
      <w:r>
        <w:rPr>
          <w:rFonts w:ascii="Times New Roman" w:hAnsi="Times New Roman" w:eastAsia="仿宋_GB2312" w:cs="Times New Roman"/>
          <w:sz w:val="32"/>
          <w:szCs w:val="32"/>
        </w:rPr>
        <w:t>。</w:t>
      </w:r>
    </w:p>
    <w:p>
      <w:pPr>
        <w:keepNext w:val="0"/>
        <w:keepLines w:val="0"/>
        <w:widowControl/>
        <w:suppressLineNumbers w:val="0"/>
        <w:ind w:firstLine="640" w:firstLineChars="200"/>
        <w:jc w:val="left"/>
      </w:pPr>
      <w:r>
        <w:rPr>
          <w:rFonts w:ascii="Times New Roman" w:hAnsi="Times New Roman" w:eastAsia="仿宋_GB2312" w:cs="Times New Roman"/>
          <w:sz w:val="32"/>
          <w:szCs w:val="32"/>
        </w:rPr>
        <w:t>2.</w:t>
      </w:r>
      <w:r>
        <w:rPr>
          <w:rFonts w:ascii="仿宋_GB2312" w:hAnsi="仿宋_GB2312" w:eastAsia="仿宋_GB2312" w:cs="仿宋_GB2312"/>
          <w:color w:val="000000"/>
          <w:kern w:val="0"/>
          <w:sz w:val="31"/>
          <w:szCs w:val="31"/>
          <w:lang w:val="en-US" w:eastAsia="zh-CN" w:bidi="ar"/>
        </w:rPr>
        <w:t xml:space="preserve">政府性基金预算财政拨款本年收入完成年初预算的 </w:t>
      </w:r>
      <w:r>
        <w:rPr>
          <w:rFonts w:hint="default" w:ascii="Times New Roman" w:hAnsi="Times New Roman" w:eastAsia="宋体" w:cs="Times New Roman"/>
          <w:color w:val="000000"/>
          <w:kern w:val="0"/>
          <w:sz w:val="31"/>
          <w:szCs w:val="31"/>
          <w:lang w:val="en-US" w:eastAsia="zh-CN" w:bidi="ar"/>
        </w:rPr>
        <w:t>0.0%</w:t>
      </w:r>
      <w:r>
        <w:rPr>
          <w:rFonts w:ascii="仿宋_GB2312" w:hAnsi="仿宋_GB2312" w:eastAsia="仿宋_GB2312" w:cs="仿宋_GB2312"/>
          <w:color w:val="000000"/>
          <w:kern w:val="0"/>
          <w:sz w:val="31"/>
          <w:szCs w:val="31"/>
          <w:lang w:val="en-US" w:eastAsia="zh-CN" w:bidi="ar"/>
        </w:rPr>
        <w:t xml:space="preserve">，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比年初预算增加 </w:t>
      </w:r>
      <w:r>
        <w:rPr>
          <w:rFonts w:hint="default" w:ascii="Times New Roman" w:hAnsi="Times New Roman" w:eastAsia="宋体" w:cs="Times New Roman"/>
          <w:color w:val="000000"/>
          <w:kern w:val="0"/>
          <w:sz w:val="31"/>
          <w:szCs w:val="31"/>
          <w:lang w:val="en-US" w:eastAsia="zh-CN" w:bidi="ar"/>
        </w:rPr>
        <w:t xml:space="preserve">0.00 </w:t>
      </w:r>
      <w:r>
        <w:rPr>
          <w:rFonts w:ascii="仿宋_GB2312" w:hAnsi="仿宋_GB2312" w:eastAsia="仿宋_GB2312" w:cs="仿宋_GB2312"/>
          <w:color w:val="000000"/>
          <w:kern w:val="0"/>
          <w:sz w:val="31"/>
          <w:szCs w:val="31"/>
          <w:lang w:val="en-US" w:eastAsia="zh-CN" w:bidi="ar"/>
        </w:rPr>
        <w:t xml:space="preserve">万元，主要原因是本年无预、决算收支等相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关数据；支出完成年初预算的 </w:t>
      </w:r>
      <w:r>
        <w:rPr>
          <w:rFonts w:hint="default" w:ascii="Times New Roman" w:hAnsi="Times New Roman" w:eastAsia="宋体" w:cs="Times New Roman"/>
          <w:color w:val="000000"/>
          <w:kern w:val="0"/>
          <w:sz w:val="31"/>
          <w:szCs w:val="31"/>
          <w:lang w:val="en-US" w:eastAsia="zh-CN" w:bidi="ar"/>
        </w:rPr>
        <w:t>0.0%</w:t>
      </w:r>
      <w:r>
        <w:rPr>
          <w:rFonts w:ascii="仿宋_GB2312" w:hAnsi="仿宋_GB2312" w:eastAsia="仿宋_GB2312" w:cs="仿宋_GB2312"/>
          <w:color w:val="000000"/>
          <w:kern w:val="0"/>
          <w:sz w:val="31"/>
          <w:szCs w:val="31"/>
          <w:lang w:val="en-US" w:eastAsia="zh-CN" w:bidi="ar"/>
        </w:rPr>
        <w:t xml:space="preserve">，比年初预算增加 </w:t>
      </w:r>
      <w:r>
        <w:rPr>
          <w:rFonts w:hint="default" w:ascii="Times New Roman" w:hAnsi="Times New Roman" w:eastAsia="宋体" w:cs="Times New Roman"/>
          <w:color w:val="000000"/>
          <w:kern w:val="0"/>
          <w:sz w:val="31"/>
          <w:szCs w:val="31"/>
          <w:lang w:val="en-US" w:eastAsia="zh-CN" w:bidi="ar"/>
        </w:rPr>
        <w:t xml:space="preserve">0.00 </w:t>
      </w:r>
      <w:r>
        <w:rPr>
          <w:rFonts w:ascii="仿宋_GB2312" w:hAnsi="仿宋_GB2312" w:eastAsia="仿宋_GB2312" w:cs="仿宋_GB2312"/>
          <w:color w:val="000000"/>
          <w:kern w:val="0"/>
          <w:sz w:val="31"/>
          <w:szCs w:val="31"/>
          <w:lang w:val="en-US" w:eastAsia="zh-CN" w:bidi="ar"/>
        </w:rPr>
        <w:t xml:space="preserve">万元，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主要原因是本年无预、决算收支等相关数据。 </w:t>
      </w:r>
    </w:p>
    <w:p>
      <w:pPr>
        <w:keepNext w:val="0"/>
        <w:keepLines w:val="0"/>
        <w:widowControl/>
        <w:suppressLineNumbers w:val="0"/>
        <w:ind w:firstLine="620" w:firstLineChars="200"/>
        <w:jc w:val="left"/>
      </w:pPr>
      <w:r>
        <w:rPr>
          <w:rFonts w:hint="default" w:ascii="Times New Roman" w:hAnsi="Times New Roman" w:eastAsia="宋体" w:cs="Times New Roman"/>
          <w:color w:val="000000"/>
          <w:kern w:val="0"/>
          <w:sz w:val="31"/>
          <w:szCs w:val="31"/>
          <w:lang w:val="en-US" w:eastAsia="zh-CN" w:bidi="ar"/>
        </w:rPr>
        <w:t xml:space="preserve">3. </w:t>
      </w:r>
      <w:r>
        <w:rPr>
          <w:rFonts w:ascii="仿宋_GB2312" w:hAnsi="仿宋_GB2312" w:eastAsia="仿宋_GB2312" w:cs="仿宋_GB2312"/>
          <w:color w:val="000000"/>
          <w:kern w:val="0"/>
          <w:sz w:val="31"/>
          <w:szCs w:val="31"/>
          <w:lang w:val="en-US" w:eastAsia="zh-CN" w:bidi="ar"/>
        </w:rPr>
        <w:t>国有资本经营预算财政拨款本年收入完成年初预算的</w:t>
      </w:r>
      <w:r>
        <w:rPr>
          <w:rFonts w:hint="default" w:ascii="Times New Roman" w:hAnsi="Times New Roman" w:eastAsia="宋体" w:cs="Times New Roman"/>
          <w:color w:val="000000"/>
          <w:kern w:val="0"/>
          <w:sz w:val="31"/>
          <w:szCs w:val="31"/>
          <w:lang w:val="en-US" w:eastAsia="zh-CN" w:bidi="ar"/>
        </w:rPr>
        <w:t>0.0%</w:t>
      </w:r>
      <w:r>
        <w:rPr>
          <w:rFonts w:ascii="仿宋_GB2312" w:hAnsi="仿宋_GB2312" w:eastAsia="仿宋_GB2312" w:cs="仿宋_GB2312"/>
          <w:color w:val="000000"/>
          <w:kern w:val="0"/>
          <w:sz w:val="31"/>
          <w:szCs w:val="31"/>
          <w:lang w:val="en-US" w:eastAsia="zh-CN" w:bidi="ar"/>
        </w:rPr>
        <w:t xml:space="preserve">，比年初预算增加 </w:t>
      </w:r>
      <w:r>
        <w:rPr>
          <w:rFonts w:hint="default" w:ascii="Times New Roman" w:hAnsi="Times New Roman" w:eastAsia="宋体" w:cs="Times New Roman"/>
          <w:color w:val="000000"/>
          <w:kern w:val="0"/>
          <w:sz w:val="31"/>
          <w:szCs w:val="31"/>
          <w:lang w:val="en-US" w:eastAsia="zh-CN" w:bidi="ar"/>
        </w:rPr>
        <w:t xml:space="preserve">0.00 </w:t>
      </w:r>
      <w:r>
        <w:rPr>
          <w:rFonts w:ascii="仿宋_GB2312" w:hAnsi="仿宋_GB2312" w:eastAsia="仿宋_GB2312" w:cs="仿宋_GB2312"/>
          <w:color w:val="000000"/>
          <w:kern w:val="0"/>
          <w:sz w:val="31"/>
          <w:szCs w:val="31"/>
          <w:lang w:val="en-US" w:eastAsia="zh-CN" w:bidi="ar"/>
        </w:rPr>
        <w:t xml:space="preserve">万元，主要原因是本年无预、决算收支等相关数据；支出完成年初预算的 </w:t>
      </w:r>
      <w:r>
        <w:rPr>
          <w:rFonts w:hint="default" w:ascii="Times New Roman" w:hAnsi="Times New Roman" w:eastAsia="宋体" w:cs="Times New Roman"/>
          <w:color w:val="000000"/>
          <w:kern w:val="0"/>
          <w:sz w:val="31"/>
          <w:szCs w:val="31"/>
          <w:lang w:val="en-US" w:eastAsia="zh-CN" w:bidi="ar"/>
        </w:rPr>
        <w:t>0.0%</w:t>
      </w:r>
      <w:r>
        <w:rPr>
          <w:rFonts w:ascii="仿宋_GB2312" w:hAnsi="仿宋_GB2312" w:eastAsia="仿宋_GB2312" w:cs="仿宋_GB2312"/>
          <w:color w:val="000000"/>
          <w:kern w:val="0"/>
          <w:sz w:val="31"/>
          <w:szCs w:val="31"/>
          <w:lang w:val="en-US" w:eastAsia="zh-CN" w:bidi="ar"/>
        </w:rPr>
        <w:t>，比年初预算增加</w:t>
      </w:r>
      <w:r>
        <w:rPr>
          <w:rFonts w:hint="default" w:ascii="Times New Roman" w:hAnsi="Times New Roman" w:eastAsia="宋体" w:cs="Times New Roman"/>
          <w:color w:val="000000"/>
          <w:kern w:val="0"/>
          <w:sz w:val="31"/>
          <w:szCs w:val="31"/>
          <w:lang w:val="en-US" w:eastAsia="zh-CN" w:bidi="ar"/>
        </w:rPr>
        <w:t>0.00</w:t>
      </w:r>
      <w:r>
        <w:rPr>
          <w:rFonts w:ascii="仿宋_GB2312" w:hAnsi="仿宋_GB2312" w:eastAsia="仿宋_GB2312" w:cs="仿宋_GB2312"/>
          <w:color w:val="000000"/>
          <w:kern w:val="0"/>
          <w:sz w:val="31"/>
          <w:szCs w:val="31"/>
          <w:lang w:val="en-US" w:eastAsia="zh-CN" w:bidi="ar"/>
        </w:rPr>
        <w:t xml:space="preserve">万元，主要原因是本年无预、决算收支等相关数据。 </w:t>
      </w:r>
    </w:p>
    <w:p>
      <w:pPr>
        <w:adjustRightInd w:val="0"/>
        <w:snapToGrid w:val="0"/>
        <w:spacing w:line="580" w:lineRule="exact"/>
        <w:ind w:firstLine="640" w:firstLineChars="200"/>
        <w:rPr>
          <w:rFonts w:ascii="Times New Roman" w:hAnsi="Times New Roman" w:eastAsia="仿宋_GB2312" w:cs="Times New Roman"/>
          <w:sz w:val="32"/>
          <w:szCs w:val="32"/>
        </w:rPr>
      </w:pPr>
    </w:p>
    <w:p>
      <w:pPr>
        <w:adjustRightInd w:val="0"/>
        <w:snapToGrid w:val="0"/>
        <w:spacing w:line="580" w:lineRule="exact"/>
        <w:ind w:left="420"/>
        <w:rPr>
          <w:rFonts w:hint="eastAsia" w:ascii="Times New Roman" w:hAnsi="Times New Roman" w:eastAsia="楷体_GB2312" w:cs="Times New Roman"/>
          <w:b/>
          <w:bCs/>
          <w:sz w:val="32"/>
          <w:szCs w:val="32"/>
        </w:rPr>
      </w:pPr>
      <w:r>
        <w:drawing>
          <wp:anchor distT="0" distB="0" distL="114300" distR="114300" simplePos="0" relativeHeight="251662336" behindDoc="0" locked="0" layoutInCell="1" allowOverlap="1">
            <wp:simplePos x="0" y="0"/>
            <wp:positionH relativeFrom="column">
              <wp:posOffset>-62230</wp:posOffset>
            </wp:positionH>
            <wp:positionV relativeFrom="paragraph">
              <wp:posOffset>67310</wp:posOffset>
            </wp:positionV>
            <wp:extent cx="5829300" cy="3143250"/>
            <wp:effectExtent l="4445" t="4445" r="14605" b="14605"/>
            <wp:wrapSquare wrapText="bothSides"/>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adjustRightInd w:val="0"/>
        <w:snapToGrid w:val="0"/>
        <w:spacing w:line="580" w:lineRule="exact"/>
        <w:ind w:left="420"/>
        <w:rPr>
          <w:rFonts w:hint="eastAsia" w:ascii="Times New Roman" w:hAnsi="Times New Roman" w:eastAsia="楷体_GB2312" w:cs="Times New Roman"/>
          <w:b/>
          <w:bCs/>
          <w:sz w:val="32"/>
          <w:szCs w:val="32"/>
        </w:rPr>
      </w:pPr>
    </w:p>
    <w:p>
      <w:pPr>
        <w:adjustRightInd w:val="0"/>
        <w:snapToGrid w:val="0"/>
        <w:spacing w:line="580" w:lineRule="exact"/>
        <w:ind w:left="420"/>
        <w:rPr>
          <w:rFonts w:hint="eastAsia" w:ascii="Times New Roman" w:hAnsi="Times New Roman" w:eastAsia="楷体_GB2312" w:cs="Times New Roman"/>
          <w:b/>
          <w:bCs/>
          <w:sz w:val="32"/>
          <w:szCs w:val="32"/>
        </w:rPr>
      </w:pPr>
    </w:p>
    <w:p>
      <w:pPr>
        <w:adjustRightInd w:val="0"/>
        <w:snapToGrid w:val="0"/>
        <w:spacing w:line="580" w:lineRule="exact"/>
        <w:ind w:left="420"/>
        <w:rPr>
          <w:rFonts w:hint="eastAsia" w:ascii="Times New Roman" w:hAnsi="Times New Roman" w:eastAsia="楷体_GB2312" w:cs="Times New Roman"/>
          <w:b/>
          <w:bCs/>
          <w:sz w:val="32"/>
          <w:szCs w:val="32"/>
        </w:rPr>
      </w:pPr>
    </w:p>
    <w:p>
      <w:pPr>
        <w:adjustRightInd w:val="0"/>
        <w:snapToGrid w:val="0"/>
        <w:spacing w:line="580" w:lineRule="exact"/>
        <w:rPr>
          <w:rFonts w:hint="eastAsia" w:ascii="Times New Roman" w:hAnsi="Times New Roman" w:eastAsia="楷体_GB2312" w:cs="Times New Roman"/>
          <w:b/>
          <w:bCs/>
          <w:sz w:val="32"/>
          <w:szCs w:val="32"/>
        </w:rPr>
      </w:pPr>
    </w:p>
    <w:p>
      <w:pPr>
        <w:adjustRightInd w:val="0"/>
        <w:snapToGrid w:val="0"/>
        <w:spacing w:line="580" w:lineRule="exact"/>
        <w:ind w:left="420"/>
        <w:rPr>
          <w:rFonts w:ascii="Times New Roman" w:hAnsi="Times New Roman" w:eastAsia="楷体_GB2312" w:cs="Times New Roman"/>
          <w:b/>
          <w:bCs/>
          <w:sz w:val="32"/>
          <w:szCs w:val="32"/>
        </w:rPr>
      </w:pPr>
      <w:r>
        <w:rPr>
          <w:rFonts w:hint="eastAsia" w:ascii="Times New Roman" w:hAnsi="Times New Roman" w:eastAsia="楷体_GB2312" w:cs="Times New Roman"/>
          <w:b/>
          <w:bCs/>
          <w:sz w:val="32"/>
          <w:szCs w:val="32"/>
        </w:rPr>
        <w:t>（三）</w:t>
      </w:r>
      <w:r>
        <w:rPr>
          <w:rFonts w:ascii="Times New Roman" w:hAnsi="Times New Roman" w:eastAsia="楷体_GB2312" w:cs="Times New Roman"/>
          <w:b/>
          <w:bCs/>
          <w:sz w:val="32"/>
          <w:szCs w:val="32"/>
        </w:rPr>
        <w:t>财政拨款支出决算结构情况</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2025年度财政拨款支出</w:t>
      </w:r>
      <w:r>
        <w:rPr>
          <w:rFonts w:hint="eastAsia" w:ascii="Times New Roman" w:hAnsi="Times New Roman" w:eastAsia="仿宋_GB2312" w:cs="Times New Roman"/>
          <w:sz w:val="32"/>
          <w:szCs w:val="32"/>
          <w:lang w:val="en-US" w:eastAsia="zh-CN"/>
        </w:rPr>
        <w:t>1475.57</w:t>
      </w:r>
      <w:r>
        <w:rPr>
          <w:rFonts w:ascii="Times New Roman" w:hAnsi="Times New Roman" w:eastAsia="仿宋_GB2312" w:cs="Times New Roman"/>
          <w:sz w:val="32"/>
          <w:szCs w:val="32"/>
        </w:rPr>
        <w:t>万元，主要用于以下方面</w:t>
      </w:r>
    </w:p>
    <w:p>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一般公共预算财政拨款支出</w:t>
      </w:r>
      <w:r>
        <w:rPr>
          <w:rFonts w:hint="eastAsia" w:ascii="Times New Roman" w:hAnsi="Times New Roman" w:eastAsia="仿宋_GB2312" w:cs="Times New Roman"/>
          <w:b/>
          <w:sz w:val="32"/>
          <w:szCs w:val="32"/>
        </w:rPr>
        <w:t>：</w:t>
      </w:r>
    </w:p>
    <w:p>
      <w:pPr>
        <w:keepNext w:val="0"/>
        <w:keepLines w:val="0"/>
        <w:widowControl/>
        <w:suppressLineNumbers w:val="0"/>
        <w:jc w:val="left"/>
      </w:pPr>
      <w:r>
        <w:rPr>
          <w:rFonts w:ascii="Times New Roman" w:hAnsi="Times New Roman" w:eastAsia="仿宋_GB2312" w:cs="Times New Roman"/>
          <w:sz w:val="32"/>
          <w:szCs w:val="32"/>
        </w:rPr>
        <w:t>一般公共服务（类）支出</w:t>
      </w:r>
      <w:r>
        <w:rPr>
          <w:rFonts w:hint="eastAsia" w:ascii="Times New Roman" w:hAnsi="Times New Roman" w:eastAsia="仿宋_GB2312" w:cs="Times New Roman"/>
          <w:sz w:val="32"/>
          <w:szCs w:val="32"/>
          <w:lang w:val="en-US" w:eastAsia="zh-CN"/>
        </w:rPr>
        <w:t>1316.53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89.22</w:t>
      </w:r>
      <w:r>
        <w:rPr>
          <w:rFonts w:ascii="Times New Roman" w:hAnsi="Times New Roman" w:eastAsia="仿宋_GB2312" w:cs="Times New Roman"/>
          <w:sz w:val="32"/>
          <w:szCs w:val="32"/>
        </w:rPr>
        <w:t>%，主要用于</w:t>
      </w:r>
      <w:r>
        <w:rPr>
          <w:rFonts w:ascii="仿宋_GB2312" w:hAnsi="仿宋_GB2312" w:eastAsia="仿宋_GB2312" w:cs="仿宋_GB2312"/>
          <w:color w:val="000000"/>
          <w:kern w:val="0"/>
          <w:sz w:val="31"/>
          <w:szCs w:val="31"/>
          <w:lang w:val="en-US" w:eastAsia="zh-CN" w:bidi="ar"/>
        </w:rPr>
        <w:t>人员经费和项目经费</w:t>
      </w:r>
      <w:r>
        <w:rPr>
          <w:rFonts w:ascii="Times New Roman" w:hAnsi="Times New Roman" w:eastAsia="仿宋_GB2312" w:cs="Times New Roman"/>
          <w:sz w:val="32"/>
          <w:szCs w:val="32"/>
        </w:rPr>
        <w:t xml:space="preserve">等支出；社会保障和就业（类）支出 </w:t>
      </w:r>
      <w:r>
        <w:rPr>
          <w:rFonts w:hint="eastAsia" w:ascii="Times New Roman" w:hAnsi="Times New Roman" w:eastAsia="仿宋_GB2312" w:cs="Times New Roman"/>
          <w:sz w:val="32"/>
          <w:szCs w:val="32"/>
          <w:lang w:val="en-US" w:eastAsia="zh-CN"/>
        </w:rPr>
        <w:t>68.72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4.66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主要用</w:t>
      </w:r>
      <w:r>
        <w:rPr>
          <w:rFonts w:ascii="仿宋_GB2312" w:hAnsi="仿宋_GB2312" w:eastAsia="仿宋_GB2312" w:cs="仿宋_GB2312"/>
          <w:color w:val="000000"/>
          <w:kern w:val="0"/>
          <w:sz w:val="31"/>
          <w:szCs w:val="31"/>
          <w:lang w:val="en-US" w:eastAsia="zh-CN" w:bidi="ar"/>
        </w:rPr>
        <w:t>于人员经费等支出</w:t>
      </w:r>
      <w:r>
        <w:rPr>
          <w:rFonts w:ascii="Times New Roman" w:hAnsi="Times New Roman" w:eastAsia="仿宋_GB2312" w:cs="Times New Roman"/>
          <w:sz w:val="32"/>
          <w:szCs w:val="32"/>
        </w:rPr>
        <w:t>；住房保障（类）支出</w:t>
      </w:r>
      <w:r>
        <w:rPr>
          <w:rFonts w:hint="eastAsia" w:ascii="Times New Roman" w:hAnsi="Times New Roman" w:eastAsia="仿宋_GB2312" w:cs="Times New Roman"/>
          <w:sz w:val="32"/>
          <w:szCs w:val="32"/>
          <w:lang w:val="en-US" w:eastAsia="zh-CN"/>
        </w:rPr>
        <w:t>49.43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3.35</w:t>
      </w:r>
      <w:r>
        <w:rPr>
          <w:rFonts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住房公积金</w:t>
      </w:r>
      <w:r>
        <w:rPr>
          <w:rFonts w:ascii="Times New Roman" w:hAnsi="Times New Roman" w:eastAsia="仿宋_GB2312" w:cs="Times New Roman"/>
          <w:sz w:val="32"/>
          <w:szCs w:val="32"/>
        </w:rPr>
        <w:t>支出。</w:t>
      </w:r>
      <w:r>
        <w:rPr>
          <w:rFonts w:ascii="仿宋_GB2312" w:hAnsi="仿宋_GB2312" w:eastAsia="仿宋_GB2312" w:cs="仿宋_GB2312"/>
          <w:color w:val="000000"/>
          <w:kern w:val="0"/>
          <w:sz w:val="31"/>
          <w:szCs w:val="31"/>
          <w:lang w:val="en-US" w:eastAsia="zh-CN" w:bidi="ar"/>
        </w:rPr>
        <w:t xml:space="preserve">卫生健康（类）支出 </w:t>
      </w:r>
    </w:p>
    <w:p>
      <w:pPr>
        <w:keepNext w:val="0"/>
        <w:keepLines w:val="0"/>
        <w:widowControl/>
        <w:suppressLineNumbers w:val="0"/>
        <w:jc w:val="left"/>
      </w:pPr>
      <w:r>
        <w:rPr>
          <w:rFonts w:hint="eastAsia" w:ascii="Times New Roman" w:hAnsi="Times New Roman" w:eastAsia="宋体" w:cs="Times New Roman"/>
          <w:color w:val="000000"/>
          <w:kern w:val="0"/>
          <w:sz w:val="31"/>
          <w:szCs w:val="31"/>
          <w:lang w:val="en-US" w:eastAsia="zh-CN" w:bidi="ar"/>
        </w:rPr>
        <w:t>35.89</w:t>
      </w:r>
      <w:r>
        <w:rPr>
          <w:rFonts w:hint="default" w:ascii="Times New Roman" w:hAnsi="Times New Roman" w:eastAsia="宋体" w:cs="Times New Roman"/>
          <w:color w:val="000000"/>
          <w:kern w:val="0"/>
          <w:sz w:val="31"/>
          <w:szCs w:val="31"/>
          <w:lang w:val="en-US" w:eastAsia="zh-CN" w:bidi="ar"/>
        </w:rPr>
        <w:t xml:space="preserve"> </w:t>
      </w:r>
      <w:r>
        <w:rPr>
          <w:rFonts w:ascii="仿宋_GB2312" w:hAnsi="仿宋_GB2312" w:eastAsia="仿宋_GB2312" w:cs="仿宋_GB2312"/>
          <w:color w:val="000000"/>
          <w:kern w:val="0"/>
          <w:sz w:val="31"/>
          <w:szCs w:val="31"/>
          <w:lang w:val="en-US" w:eastAsia="zh-CN" w:bidi="ar"/>
        </w:rPr>
        <w:t xml:space="preserve">万元，占 </w:t>
      </w:r>
      <w:r>
        <w:rPr>
          <w:rFonts w:hint="eastAsia" w:ascii="Times New Roman" w:hAnsi="Times New Roman" w:eastAsia="宋体" w:cs="Times New Roman"/>
          <w:color w:val="000000"/>
          <w:kern w:val="0"/>
          <w:sz w:val="31"/>
          <w:szCs w:val="31"/>
          <w:lang w:val="en-US" w:eastAsia="zh-CN" w:bidi="ar"/>
        </w:rPr>
        <w:t>2.43</w:t>
      </w:r>
      <w:r>
        <w:rPr>
          <w:rFonts w:hint="default" w:ascii="Times New Roman" w:hAnsi="Times New Roman" w:eastAsia="宋体" w:cs="Times New Roman"/>
          <w:color w:val="000000"/>
          <w:kern w:val="0"/>
          <w:sz w:val="31"/>
          <w:szCs w:val="31"/>
          <w:lang w:val="en-US" w:eastAsia="zh-CN" w:bidi="ar"/>
        </w:rPr>
        <w:t>%</w:t>
      </w:r>
      <w:r>
        <w:rPr>
          <w:rFonts w:ascii="仿宋_GB2312" w:hAnsi="仿宋_GB2312" w:eastAsia="仿宋_GB2312" w:cs="仿宋_GB2312"/>
          <w:color w:val="000000"/>
          <w:kern w:val="0"/>
          <w:sz w:val="31"/>
          <w:szCs w:val="31"/>
          <w:lang w:val="en-US" w:eastAsia="zh-CN" w:bidi="ar"/>
        </w:rPr>
        <w:t>，主要用于人员经费等支出；农林水（类）支出</w:t>
      </w:r>
      <w:r>
        <w:rPr>
          <w:rFonts w:hint="eastAsia" w:ascii="Times New Roman" w:hAnsi="Times New Roman" w:eastAsia="宋体" w:cs="Times New Roman"/>
          <w:color w:val="000000"/>
          <w:kern w:val="0"/>
          <w:sz w:val="31"/>
          <w:szCs w:val="31"/>
          <w:lang w:val="en-US" w:eastAsia="zh-CN" w:bidi="ar"/>
        </w:rPr>
        <w:t>5</w:t>
      </w:r>
      <w:r>
        <w:rPr>
          <w:rFonts w:ascii="仿宋_GB2312" w:hAnsi="仿宋_GB2312" w:eastAsia="仿宋_GB2312" w:cs="仿宋_GB2312"/>
          <w:color w:val="000000"/>
          <w:kern w:val="0"/>
          <w:sz w:val="31"/>
          <w:szCs w:val="31"/>
          <w:lang w:val="en-US" w:eastAsia="zh-CN" w:bidi="ar"/>
        </w:rPr>
        <w:t xml:space="preserve">万元，占 </w:t>
      </w:r>
      <w:r>
        <w:rPr>
          <w:rFonts w:hint="eastAsia" w:ascii="Times New Roman" w:hAnsi="Times New Roman" w:eastAsia="宋体" w:cs="Times New Roman"/>
          <w:color w:val="000000"/>
          <w:kern w:val="0"/>
          <w:sz w:val="31"/>
          <w:szCs w:val="31"/>
          <w:lang w:val="en-US" w:eastAsia="zh-CN" w:bidi="ar"/>
        </w:rPr>
        <w:t>0.3</w:t>
      </w:r>
      <w:r>
        <w:rPr>
          <w:rFonts w:hint="default" w:ascii="Times New Roman" w:hAnsi="Times New Roman" w:eastAsia="宋体" w:cs="Times New Roman"/>
          <w:color w:val="000000"/>
          <w:kern w:val="0"/>
          <w:sz w:val="31"/>
          <w:szCs w:val="31"/>
          <w:lang w:val="en-US" w:eastAsia="zh-CN" w:bidi="ar"/>
        </w:rPr>
        <w:t>%</w:t>
      </w:r>
      <w:r>
        <w:rPr>
          <w:rFonts w:ascii="仿宋_GB2312" w:hAnsi="仿宋_GB2312" w:eastAsia="仿宋_GB2312" w:cs="仿宋_GB2312"/>
          <w:color w:val="000000"/>
          <w:kern w:val="0"/>
          <w:sz w:val="31"/>
          <w:szCs w:val="31"/>
          <w:lang w:val="en-US" w:eastAsia="zh-CN" w:bidi="ar"/>
        </w:rPr>
        <w:t>，主要用于农村财会人员培训等支出</w:t>
      </w:r>
      <w:r>
        <w:rPr>
          <w:rFonts w:ascii="Times New Roman" w:hAnsi="Times New Roman" w:eastAsia="仿宋_GB2312" w:cs="Times New Roman"/>
          <w:sz w:val="32"/>
          <w:szCs w:val="32"/>
        </w:rPr>
        <w:t>。</w:t>
      </w:r>
    </w:p>
    <w:p>
      <w:pPr>
        <w:adjustRightInd w:val="0"/>
        <w:snapToGrid w:val="0"/>
        <w:spacing w:line="580" w:lineRule="exact"/>
        <w:ind w:left="420" w:left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（四）一般公共预算财政拨款基本支出决算情况说明</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2025年度财政拨款基本支出</w:t>
      </w:r>
      <w:r>
        <w:rPr>
          <w:rFonts w:hint="eastAsia" w:ascii="Times New Roman" w:hAnsi="Times New Roman" w:eastAsia="仿宋_GB2312" w:cs="Times New Roman"/>
          <w:sz w:val="32"/>
          <w:szCs w:val="32"/>
          <w:lang w:val="en-US" w:eastAsia="zh-CN"/>
        </w:rPr>
        <w:t>827.79</w:t>
      </w:r>
      <w:r>
        <w:rPr>
          <w:rFonts w:ascii="Times New Roman" w:hAnsi="Times New Roman" w:eastAsia="仿宋_GB2312" w:cs="Times New Roman"/>
          <w:sz w:val="32"/>
          <w:szCs w:val="32"/>
        </w:rPr>
        <w:t>万元，其中：</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人员经费 </w:t>
      </w:r>
      <w:r>
        <w:rPr>
          <w:rFonts w:hint="eastAsia" w:ascii="Times New Roman" w:hAnsi="Times New Roman" w:eastAsia="仿宋_GB2312" w:cs="Times New Roman"/>
          <w:sz w:val="32"/>
          <w:szCs w:val="32"/>
          <w:lang w:val="en-US" w:eastAsia="zh-CN"/>
        </w:rPr>
        <w:t>635.28</w:t>
      </w:r>
      <w:r>
        <w:rPr>
          <w:rFonts w:ascii="Times New Roman" w:hAnsi="Times New Roman" w:eastAsia="仿宋_GB2312" w:cs="Times New Roman"/>
          <w:sz w:val="32"/>
          <w:szCs w:val="32"/>
        </w:rPr>
        <w:t>万元，主要包括基本工资、津贴补贴、奖金、伙食补助费、绩效工资、机关事业单位基本养老保险缴费、职业年金缴费、职工基本医疗保险缴费、公务员医疗补助缴费、住房公积金、医疗费、其他工资福利支出、离休费、退休费、抚恤金、生活补助、医疗费补助、奖励金、其他对个人和家庭的补助支出。</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公用经费</w:t>
      </w:r>
      <w:r>
        <w:rPr>
          <w:rFonts w:hint="eastAsia" w:ascii="Times New Roman" w:hAnsi="Times New Roman" w:eastAsia="仿宋_GB2312" w:cs="Times New Roman"/>
          <w:sz w:val="32"/>
          <w:szCs w:val="32"/>
          <w:lang w:val="en-US" w:eastAsia="zh-CN"/>
        </w:rPr>
        <w:t>192.51</w:t>
      </w:r>
      <w:r>
        <w:rPr>
          <w:rFonts w:ascii="Times New Roman" w:hAnsi="Times New Roman" w:eastAsia="仿宋_GB2312" w:cs="Times New Roman"/>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五、财政拨款“三公” 经费支出决算情况说明</w:t>
      </w:r>
    </w:p>
    <w:p>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（一）“三公”经费财政拨款支出决算总体情况说明</w:t>
      </w:r>
    </w:p>
    <w:p>
      <w:pPr>
        <w:keepNext w:val="0"/>
        <w:keepLines w:val="0"/>
        <w:widowControl/>
        <w:suppressLineNumbers w:val="0"/>
        <w:jc w:val="left"/>
      </w:pPr>
      <w:r>
        <w:rPr>
          <w:rFonts w:ascii="Times New Roman" w:hAnsi="Times New Roman" w:eastAsia="仿宋_GB2312" w:cs="Times New Roman"/>
          <w:sz w:val="32"/>
          <w:szCs w:val="32"/>
        </w:rPr>
        <w:t>本部门2025年度“三公”经费财政拨款支出预算为</w:t>
      </w:r>
      <w:r>
        <w:rPr>
          <w:rFonts w:hint="eastAsia" w:ascii="Times New Roman" w:hAnsi="Times New Roman" w:eastAsia="仿宋_GB2312" w:cs="Times New Roman"/>
          <w:sz w:val="32"/>
          <w:szCs w:val="32"/>
          <w:lang w:val="en-US" w:eastAsia="zh-CN"/>
        </w:rPr>
        <w:t>1.69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88.76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较预算减少</w:t>
      </w:r>
      <w:r>
        <w:rPr>
          <w:rFonts w:hint="eastAsia" w:ascii="Times New Roman" w:hAnsi="Times New Roman" w:eastAsia="仿宋_GB2312" w:cs="Times New Roman"/>
          <w:sz w:val="32"/>
          <w:szCs w:val="32"/>
          <w:lang w:val="en-US" w:eastAsia="zh-CN"/>
        </w:rPr>
        <w:t>0.19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12.67</w:t>
      </w:r>
      <w:r>
        <w:rPr>
          <w:rFonts w:ascii="Times New Roman" w:hAnsi="Times New Roman" w:eastAsia="仿宋_GB2312" w:cs="Times New Roman"/>
          <w:sz w:val="32"/>
          <w:szCs w:val="32"/>
        </w:rPr>
        <w:t>%，主要原因是</w:t>
      </w:r>
      <w:r>
        <w:rPr>
          <w:rFonts w:ascii="仿宋_GB2312" w:hAnsi="仿宋_GB2312" w:eastAsia="仿宋_GB2312" w:cs="仿宋_GB2312"/>
          <w:color w:val="000000"/>
          <w:kern w:val="0"/>
          <w:sz w:val="31"/>
          <w:szCs w:val="31"/>
          <w:lang w:val="en-US" w:eastAsia="zh-CN" w:bidi="ar"/>
        </w:rPr>
        <w:t xml:space="preserve">认真贯彻落实中央八项规定精神和厉行节 </w:t>
      </w:r>
    </w:p>
    <w:p>
      <w:pPr>
        <w:keepNext w:val="0"/>
        <w:keepLines w:val="0"/>
        <w:widowControl/>
        <w:suppressLineNumbers w:val="0"/>
        <w:jc w:val="left"/>
        <w:rPr>
          <w:rFonts w:ascii="Times New Roman" w:hAnsi="Times New Roman" w:eastAsia="仿宋_GB2312" w:cs="Times New Roman"/>
          <w:sz w:val="32"/>
          <w:szCs w:val="32"/>
        </w:rPr>
      </w:pPr>
      <w:r>
        <w:rPr>
          <w:rFonts w:ascii="仿宋_GB2312" w:hAnsi="仿宋_GB2312" w:eastAsia="仿宋_GB2312" w:cs="仿宋_GB2312"/>
          <w:color w:val="000000"/>
          <w:kern w:val="0"/>
          <w:sz w:val="31"/>
          <w:szCs w:val="31"/>
          <w:lang w:val="en-US" w:eastAsia="zh-CN" w:bidi="ar"/>
        </w:rPr>
        <w:t>约要求，从严控制</w:t>
      </w:r>
      <w:r>
        <w:rPr>
          <w:rFonts w:ascii="Calibri" w:hAnsi="Calibri" w:eastAsia="宋体" w:cs="Calibri"/>
          <w:color w:val="000000"/>
          <w:kern w:val="0"/>
          <w:sz w:val="31"/>
          <w:szCs w:val="31"/>
          <w:lang w:val="en-US" w:eastAsia="zh-CN" w:bidi="ar"/>
        </w:rPr>
        <w:t>“</w:t>
      </w:r>
      <w:r>
        <w:rPr>
          <w:rFonts w:ascii="仿宋_GB2312" w:hAnsi="仿宋_GB2312" w:eastAsia="仿宋_GB2312" w:cs="仿宋_GB2312"/>
          <w:color w:val="000000"/>
          <w:kern w:val="0"/>
          <w:sz w:val="31"/>
          <w:szCs w:val="31"/>
          <w:lang w:val="en-US" w:eastAsia="zh-CN" w:bidi="ar"/>
        </w:rPr>
        <w:t>三公</w:t>
      </w:r>
      <w:r>
        <w:rPr>
          <w:rFonts w:hint="default" w:ascii="Calibri" w:hAnsi="Calibri" w:eastAsia="宋体" w:cs="Calibri"/>
          <w:color w:val="000000"/>
          <w:kern w:val="0"/>
          <w:sz w:val="31"/>
          <w:szCs w:val="31"/>
          <w:lang w:val="en-US" w:eastAsia="zh-CN" w:bidi="ar"/>
        </w:rPr>
        <w:t>”</w:t>
      </w:r>
      <w:r>
        <w:rPr>
          <w:rFonts w:ascii="仿宋_GB2312" w:hAnsi="仿宋_GB2312" w:eastAsia="仿宋_GB2312" w:cs="仿宋_GB2312"/>
          <w:color w:val="000000"/>
          <w:kern w:val="0"/>
          <w:sz w:val="31"/>
          <w:szCs w:val="31"/>
          <w:lang w:val="en-US" w:eastAsia="zh-CN" w:bidi="ar"/>
        </w:rPr>
        <w:t>经费开支，全年实际支出比预算有所节约</w:t>
      </w:r>
      <w:r>
        <w:rPr>
          <w:rFonts w:ascii="Times New Roman" w:hAnsi="Times New Roman" w:eastAsia="仿宋_GB2312" w:cs="Times New Roman"/>
          <w:sz w:val="32"/>
          <w:szCs w:val="32"/>
        </w:rPr>
        <w:t>；较2024年度决算增加</w:t>
      </w:r>
      <w:r>
        <w:rPr>
          <w:rFonts w:hint="eastAsia" w:ascii="Times New Roman" w:hAnsi="Times New Roman" w:eastAsia="仿宋_GB2312" w:cs="Times New Roman"/>
          <w:sz w:val="32"/>
          <w:szCs w:val="32"/>
          <w:lang w:val="en-US" w:eastAsia="zh-CN"/>
        </w:rPr>
        <w:t>1.01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32.67</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公务用车维修费用增加</w:t>
      </w:r>
      <w:r>
        <w:rPr>
          <w:rFonts w:ascii="Times New Roman" w:hAnsi="Times New Roman" w:eastAsia="仿宋_GB2312" w:cs="Times New Roman"/>
          <w:sz w:val="32"/>
          <w:szCs w:val="32"/>
        </w:rPr>
        <w:t>。</w:t>
      </w:r>
    </w:p>
    <w:p>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（二）“三公”经费财政拨款支出决算具体情况说明</w:t>
      </w:r>
    </w:p>
    <w:p>
      <w:pPr>
        <w:keepNext w:val="0"/>
        <w:keepLines w:val="0"/>
        <w:widowControl/>
        <w:suppressLineNumbers w:val="0"/>
        <w:ind w:firstLine="643" w:firstLineChars="200"/>
        <w:jc w:val="left"/>
      </w:pPr>
      <w:r>
        <w:rPr>
          <w:rFonts w:ascii="Times New Roman" w:hAnsi="Times New Roman" w:eastAsia="楷体_GB2312" w:cs="Times New Roman"/>
          <w:b/>
          <w:bCs/>
          <w:sz w:val="32"/>
          <w:szCs w:val="32"/>
        </w:rPr>
        <w:t>1.因公出国（境）费支出情况。</w:t>
      </w:r>
      <w:r>
        <w:rPr>
          <w:rFonts w:ascii="Times New Roman" w:hAnsi="Times New Roman" w:eastAsia="仿宋_GB2312" w:cs="Times New Roman"/>
          <w:sz w:val="32"/>
          <w:szCs w:val="32"/>
        </w:rPr>
        <w:t>本部门2025年度因公出国（境）费支出预算为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仿宋_GB2312" w:hAnsi="仿宋_GB2312" w:eastAsia="仿宋_GB2312" w:cs="仿宋_GB2312"/>
          <w:color w:val="000000"/>
          <w:kern w:val="0"/>
          <w:sz w:val="31"/>
          <w:szCs w:val="31"/>
          <w:lang w:val="en-US" w:eastAsia="zh-CN" w:bidi="ar"/>
        </w:rPr>
        <w:t xml:space="preserve">因公出国（境）费支出较预算增加 </w:t>
      </w:r>
      <w:r>
        <w:rPr>
          <w:rFonts w:hint="default" w:ascii="Times New Roman" w:hAnsi="Times New Roman" w:eastAsia="宋体" w:cs="Times New Roman"/>
          <w:color w:val="000000"/>
          <w:kern w:val="0"/>
          <w:sz w:val="31"/>
          <w:szCs w:val="31"/>
          <w:lang w:val="en-US" w:eastAsia="zh-CN" w:bidi="ar"/>
        </w:rPr>
        <w:t xml:space="preserve">0.00 </w:t>
      </w:r>
      <w:r>
        <w:rPr>
          <w:rFonts w:ascii="仿宋_GB2312" w:hAnsi="仿宋_GB2312" w:eastAsia="仿宋_GB2312" w:cs="仿宋_GB2312"/>
          <w:color w:val="000000"/>
          <w:kern w:val="0"/>
          <w:sz w:val="31"/>
          <w:szCs w:val="31"/>
          <w:lang w:val="en-US" w:eastAsia="zh-CN" w:bidi="ar"/>
        </w:rPr>
        <w:t xml:space="preserve">万元，增长 </w:t>
      </w:r>
      <w:r>
        <w:rPr>
          <w:rFonts w:hint="default" w:ascii="Times New Roman" w:hAnsi="Times New Roman" w:eastAsia="宋体" w:cs="Times New Roman"/>
          <w:color w:val="000000"/>
          <w:kern w:val="0"/>
          <w:sz w:val="31"/>
          <w:szCs w:val="31"/>
          <w:lang w:val="en-US" w:eastAsia="zh-CN" w:bidi="ar"/>
        </w:rPr>
        <w:t>0.0%,</w:t>
      </w:r>
      <w:r>
        <w:rPr>
          <w:rFonts w:ascii="仿宋_GB2312" w:hAnsi="仿宋_GB2312" w:eastAsia="仿宋_GB2312" w:cs="仿宋_GB2312"/>
          <w:color w:val="000000"/>
          <w:kern w:val="0"/>
          <w:sz w:val="31"/>
          <w:szCs w:val="31"/>
          <w:lang w:val="en-US" w:eastAsia="zh-CN" w:bidi="ar"/>
        </w:rPr>
        <w:t xml:space="preserve">主要原因是当年没有因公出国的工作任务；较上年增加 </w:t>
      </w:r>
      <w:r>
        <w:rPr>
          <w:rFonts w:hint="default" w:ascii="Times New Roman" w:hAnsi="Times New Roman" w:eastAsia="宋体" w:cs="Times New Roman"/>
          <w:color w:val="000000"/>
          <w:kern w:val="0"/>
          <w:sz w:val="31"/>
          <w:szCs w:val="31"/>
          <w:lang w:val="en-US" w:eastAsia="zh-CN" w:bidi="ar"/>
        </w:rPr>
        <w:t xml:space="preserve">0.00 </w:t>
      </w:r>
      <w:r>
        <w:rPr>
          <w:rFonts w:ascii="仿宋_GB2312" w:hAnsi="仿宋_GB2312" w:eastAsia="仿宋_GB2312" w:cs="仿宋_GB2312"/>
          <w:color w:val="000000"/>
          <w:kern w:val="0"/>
          <w:sz w:val="31"/>
          <w:szCs w:val="31"/>
          <w:lang w:val="en-US" w:eastAsia="zh-CN" w:bidi="ar"/>
        </w:rPr>
        <w:t>万元，增长</w:t>
      </w:r>
      <w:r>
        <w:rPr>
          <w:rFonts w:hint="default" w:ascii="Times New Roman" w:hAnsi="Times New Roman" w:eastAsia="宋体" w:cs="Times New Roman"/>
          <w:color w:val="000000"/>
          <w:kern w:val="0"/>
          <w:sz w:val="31"/>
          <w:szCs w:val="31"/>
          <w:lang w:val="en-US" w:eastAsia="zh-CN" w:bidi="ar"/>
        </w:rPr>
        <w:t>0.00%,</w:t>
      </w:r>
      <w:r>
        <w:rPr>
          <w:rFonts w:ascii="仿宋_GB2312" w:hAnsi="仿宋_GB2312" w:eastAsia="仿宋_GB2312" w:cs="仿宋_GB2312"/>
          <w:color w:val="000000"/>
          <w:kern w:val="0"/>
          <w:sz w:val="31"/>
          <w:szCs w:val="31"/>
          <w:lang w:val="en-US" w:eastAsia="zh-CN" w:bidi="ar"/>
        </w:rPr>
        <w:t xml:space="preserve">主要原因是当年没有因公出国的工作任务。因公出国（境）团组 </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个、共 </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人、参加其他单位组织的因公出国（境）团组 </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个、共 </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人</w:t>
      </w:r>
      <w:r>
        <w:rPr>
          <w:rFonts w:hint="default" w:ascii="Times New Roman" w:hAnsi="Times New Roman" w:eastAsia="宋体" w:cs="Times New Roman"/>
          <w:color w:val="000000"/>
          <w:kern w:val="0"/>
          <w:sz w:val="31"/>
          <w:szCs w:val="31"/>
          <w:lang w:val="en-US" w:eastAsia="zh-CN" w:bidi="ar"/>
        </w:rPr>
        <w:t>/</w:t>
      </w:r>
      <w:r>
        <w:rPr>
          <w:rFonts w:ascii="仿宋_GB2312" w:hAnsi="仿宋_GB2312" w:eastAsia="仿宋_GB2312" w:cs="仿宋_GB2312"/>
          <w:color w:val="000000"/>
          <w:kern w:val="0"/>
          <w:sz w:val="31"/>
          <w:szCs w:val="31"/>
          <w:lang w:val="en-US" w:eastAsia="zh-CN" w:bidi="ar"/>
        </w:rPr>
        <w:t>无本部门组织的出国（境）团组。</w:t>
      </w:r>
    </w:p>
    <w:p>
      <w:pPr>
        <w:keepNext w:val="0"/>
        <w:keepLines w:val="0"/>
        <w:widowControl/>
        <w:suppressLineNumbers w:val="0"/>
        <w:ind w:firstLine="643" w:firstLineChars="200"/>
        <w:jc w:val="left"/>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2.公务用车购置及运行维护费支出情况。</w:t>
      </w:r>
      <w:r>
        <w:rPr>
          <w:rFonts w:ascii="Times New Roman" w:hAnsi="Times New Roman" w:eastAsia="仿宋_GB2312" w:cs="Times New Roman"/>
          <w:sz w:val="32"/>
          <w:szCs w:val="32"/>
        </w:rPr>
        <w:t>本部门2025年度公务用车购置及运行维护费预算为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%。较预算</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；较上年增加</w:t>
      </w:r>
      <w:r>
        <w:rPr>
          <w:rFonts w:hint="eastAsia" w:ascii="Times New Roman" w:hAnsi="Times New Roman" w:eastAsia="仿宋_GB2312" w:cs="Times New Roman"/>
          <w:sz w:val="32"/>
          <w:szCs w:val="32"/>
          <w:lang w:val="en-US" w:eastAsia="zh-CN"/>
        </w:rPr>
        <w:t>1.01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32.67</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公务用车维修费用增加</w:t>
      </w:r>
      <w:r>
        <w:rPr>
          <w:rFonts w:ascii="Times New Roman" w:hAnsi="Times New Roman" w:eastAsia="仿宋_GB2312" w:cs="Times New Roman"/>
          <w:sz w:val="32"/>
          <w:szCs w:val="32"/>
        </w:rPr>
        <w:t>。其中：</w:t>
      </w:r>
    </w:p>
    <w:p>
      <w:pPr>
        <w:keepNext w:val="0"/>
        <w:keepLines w:val="0"/>
        <w:widowControl/>
        <w:suppressLineNumbers w:val="0"/>
        <w:ind w:firstLine="643" w:firstLineChars="200"/>
        <w:jc w:val="left"/>
        <w:rPr>
          <w:rFonts w:hint="default"/>
          <w:lang w:val="en-US"/>
        </w:rPr>
      </w:pPr>
      <w:r>
        <w:rPr>
          <w:rFonts w:ascii="Times New Roman" w:hAnsi="Times New Roman" w:eastAsia="仿宋_GB2312" w:cs="Times New Roman"/>
          <w:b/>
          <w:sz w:val="32"/>
          <w:szCs w:val="32"/>
        </w:rPr>
        <w:t>公务用车购置费支出</w:t>
      </w:r>
      <w:r>
        <w:rPr>
          <w:rFonts w:hint="eastAsia" w:ascii="Times New Roman" w:hAnsi="Times New Roman" w:eastAsia="仿宋_GB2312" w:cs="Times New Roman"/>
          <w:b/>
          <w:sz w:val="32"/>
          <w:szCs w:val="32"/>
          <w:lang w:val="en-US" w:eastAsia="zh-CN"/>
        </w:rPr>
        <w:t>0</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本部门2025年度公务用车购置量</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辆，发生“公务用车购置”经费支出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仿宋_GB2312" w:hAnsi="仿宋_GB2312" w:eastAsia="仿宋_GB2312" w:cs="仿宋_GB2312"/>
          <w:color w:val="000000"/>
          <w:kern w:val="0"/>
          <w:sz w:val="31"/>
          <w:szCs w:val="31"/>
          <w:lang w:val="en-US" w:eastAsia="zh-CN" w:bidi="ar"/>
        </w:rPr>
        <w:t xml:space="preserve">公务用车购置费支出较预算增加 </w:t>
      </w:r>
      <w:r>
        <w:rPr>
          <w:rFonts w:hint="default" w:ascii="Times New Roman" w:hAnsi="Times New Roman" w:eastAsia="宋体" w:cs="Times New Roman"/>
          <w:color w:val="000000"/>
          <w:kern w:val="0"/>
          <w:sz w:val="31"/>
          <w:szCs w:val="31"/>
          <w:lang w:val="en-US" w:eastAsia="zh-CN" w:bidi="ar"/>
        </w:rPr>
        <w:t xml:space="preserve">0.00 </w:t>
      </w:r>
      <w:r>
        <w:rPr>
          <w:rFonts w:ascii="仿宋_GB2312" w:hAnsi="仿宋_GB2312" w:eastAsia="仿宋_GB2312" w:cs="仿宋_GB2312"/>
          <w:color w:val="000000"/>
          <w:kern w:val="0"/>
          <w:sz w:val="31"/>
          <w:szCs w:val="31"/>
          <w:lang w:val="en-US" w:eastAsia="zh-CN" w:bidi="ar"/>
        </w:rPr>
        <w:t xml:space="preserve">万元，增长 </w:t>
      </w:r>
      <w:r>
        <w:rPr>
          <w:rFonts w:hint="default" w:ascii="Times New Roman" w:hAnsi="Times New Roman" w:eastAsia="宋体" w:cs="Times New Roman"/>
          <w:color w:val="000000"/>
          <w:kern w:val="0"/>
          <w:sz w:val="31"/>
          <w:szCs w:val="31"/>
          <w:lang w:val="en-US" w:eastAsia="zh-CN" w:bidi="ar"/>
        </w:rPr>
        <w:t>0.0%,</w:t>
      </w:r>
      <w:r>
        <w:rPr>
          <w:rFonts w:ascii="仿宋_GB2312" w:hAnsi="仿宋_GB2312" w:eastAsia="仿宋_GB2312" w:cs="仿宋_GB2312"/>
          <w:color w:val="000000"/>
          <w:kern w:val="0"/>
          <w:sz w:val="31"/>
          <w:szCs w:val="31"/>
          <w:lang w:val="en-US" w:eastAsia="zh-CN" w:bidi="ar"/>
        </w:rPr>
        <w:t xml:space="preserve">主要原因是当年没有公车购置的安排；较上年增加 </w:t>
      </w:r>
      <w:r>
        <w:rPr>
          <w:rFonts w:hint="default" w:ascii="Times New Roman" w:hAnsi="Times New Roman" w:eastAsia="宋体" w:cs="Times New Roman"/>
          <w:color w:val="000000"/>
          <w:kern w:val="0"/>
          <w:sz w:val="31"/>
          <w:szCs w:val="31"/>
          <w:lang w:val="en-US" w:eastAsia="zh-CN" w:bidi="ar"/>
        </w:rPr>
        <w:t xml:space="preserve">0.00 </w:t>
      </w:r>
      <w:r>
        <w:rPr>
          <w:rFonts w:ascii="仿宋_GB2312" w:hAnsi="仿宋_GB2312" w:eastAsia="仿宋_GB2312" w:cs="仿宋_GB2312"/>
          <w:color w:val="000000"/>
          <w:kern w:val="0"/>
          <w:sz w:val="31"/>
          <w:szCs w:val="31"/>
          <w:lang w:val="en-US" w:eastAsia="zh-CN" w:bidi="ar"/>
        </w:rPr>
        <w:t xml:space="preserve">万元，增长 </w:t>
      </w:r>
      <w:r>
        <w:rPr>
          <w:rFonts w:hint="default" w:ascii="Times New Roman" w:hAnsi="Times New Roman" w:eastAsia="宋体" w:cs="Times New Roman"/>
          <w:color w:val="000000"/>
          <w:kern w:val="0"/>
          <w:sz w:val="31"/>
          <w:szCs w:val="31"/>
          <w:lang w:val="en-US" w:eastAsia="zh-CN" w:bidi="ar"/>
        </w:rPr>
        <w:t>0.00%,</w:t>
      </w:r>
      <w:r>
        <w:rPr>
          <w:rFonts w:ascii="仿宋_GB2312" w:hAnsi="仿宋_GB2312" w:eastAsia="仿宋_GB2312" w:cs="仿宋_GB2312"/>
          <w:color w:val="000000"/>
          <w:kern w:val="0"/>
          <w:sz w:val="31"/>
          <w:szCs w:val="31"/>
          <w:lang w:val="en-US" w:eastAsia="zh-CN" w:bidi="ar"/>
        </w:rPr>
        <w:t>主要原因是当年没有公车购置的安排</w:t>
      </w:r>
      <w:r>
        <w:rPr>
          <w:rFonts w:ascii="Times New Roman" w:hAnsi="Times New Roman" w:eastAsia="仿宋_GB2312" w:cs="Times New Roman"/>
          <w:sz w:val="32"/>
          <w:szCs w:val="32"/>
        </w:rPr>
        <w:t>。</w:t>
      </w:r>
    </w:p>
    <w:p>
      <w:pPr>
        <w:adjustRightInd w:val="0"/>
        <w:snapToGrid w:val="0"/>
        <w:spacing w:line="580" w:lineRule="exact"/>
        <w:ind w:firstLine="643" w:firstLineChars="200"/>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sz w:val="32"/>
          <w:szCs w:val="32"/>
        </w:rPr>
        <w:t>公务用车运行维护费支出</w:t>
      </w:r>
      <w:r>
        <w:rPr>
          <w:rFonts w:hint="eastAsia" w:ascii="Times New Roman" w:hAnsi="Times New Roman" w:eastAsia="仿宋_GB2312" w:cs="Times New Roman"/>
          <w:b/>
          <w:sz w:val="32"/>
          <w:szCs w:val="32"/>
          <w:lang w:val="en-US" w:eastAsia="zh-CN"/>
        </w:rPr>
        <w:t>1.5</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本部门2025年度财政开支公务用车保有量</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辆。公车运行维护费支出较预算</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较上年增加</w:t>
      </w:r>
      <w:r>
        <w:rPr>
          <w:rFonts w:hint="eastAsia" w:ascii="Times New Roman" w:hAnsi="Times New Roman" w:eastAsia="仿宋_GB2312" w:cs="Times New Roman"/>
          <w:sz w:val="32"/>
          <w:szCs w:val="32"/>
          <w:lang w:val="en-US" w:eastAsia="zh-CN"/>
        </w:rPr>
        <w:t>1.01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32.67</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公务用车维修费用增加</w:t>
      </w:r>
      <w:r>
        <w:rPr>
          <w:rFonts w:ascii="Times New Roman" w:hAnsi="Times New Roman" w:eastAsia="仿宋_GB2312" w:cs="Times New Roman"/>
          <w:sz w:val="32"/>
          <w:szCs w:val="32"/>
        </w:rPr>
        <w:t>。</w:t>
      </w:r>
    </w:p>
    <w:p>
      <w:pPr>
        <w:keepNext w:val="0"/>
        <w:keepLines w:val="0"/>
        <w:widowControl/>
        <w:suppressLineNumbers w:val="0"/>
        <w:ind w:firstLine="643" w:firstLineChars="200"/>
        <w:jc w:val="left"/>
      </w:pPr>
      <w:r>
        <w:rPr>
          <w:rFonts w:ascii="Times New Roman" w:hAnsi="Times New Roman" w:eastAsia="楷体_GB2312" w:cs="Times New Roman"/>
          <w:b/>
          <w:bCs/>
          <w:sz w:val="32"/>
          <w:szCs w:val="32"/>
        </w:rPr>
        <w:t>3.公务接待费支出情况。</w:t>
      </w:r>
      <w:r>
        <w:rPr>
          <w:rFonts w:ascii="Times New Roman" w:hAnsi="Times New Roman" w:eastAsia="仿宋_GB2312" w:cs="Times New Roman"/>
          <w:sz w:val="32"/>
          <w:szCs w:val="32"/>
        </w:rPr>
        <w:t>本部门2025年度公务接待费支出预算为</w:t>
      </w:r>
      <w:r>
        <w:rPr>
          <w:rFonts w:hint="eastAsia" w:ascii="Times New Roman" w:hAnsi="Times New Roman" w:eastAsia="仿宋_GB2312" w:cs="Times New Roman"/>
          <w:sz w:val="32"/>
          <w:szCs w:val="32"/>
          <w:lang w:val="en-US" w:eastAsia="zh-CN"/>
        </w:rPr>
        <w:t>0.19</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仿宋_GB2312" w:hAnsi="仿宋_GB2312" w:eastAsia="仿宋_GB2312" w:cs="仿宋_GB2312"/>
          <w:color w:val="000000"/>
          <w:kern w:val="0"/>
          <w:sz w:val="31"/>
          <w:szCs w:val="31"/>
          <w:lang w:val="en-US" w:eastAsia="zh-CN" w:bidi="ar"/>
        </w:rPr>
        <w:t xml:space="preserve">公务接待费支出较预算减少 </w:t>
      </w:r>
      <w:r>
        <w:rPr>
          <w:rFonts w:hint="eastAsia" w:ascii="Times New Roman" w:hAnsi="Times New Roman" w:eastAsia="宋体" w:cs="Times New Roman"/>
          <w:color w:val="000000"/>
          <w:kern w:val="0"/>
          <w:sz w:val="31"/>
          <w:szCs w:val="31"/>
          <w:lang w:val="en-US" w:eastAsia="zh-CN" w:bidi="ar"/>
        </w:rPr>
        <w:t>0.19</w:t>
      </w:r>
      <w:r>
        <w:rPr>
          <w:rFonts w:ascii="仿宋_GB2312" w:hAnsi="仿宋_GB2312" w:eastAsia="仿宋_GB2312" w:cs="仿宋_GB2312"/>
          <w:color w:val="000000"/>
          <w:kern w:val="0"/>
          <w:sz w:val="31"/>
          <w:szCs w:val="31"/>
          <w:lang w:val="en-US" w:eastAsia="zh-CN" w:bidi="ar"/>
        </w:rPr>
        <w:t xml:space="preserve">万元，降低 </w:t>
      </w:r>
      <w:r>
        <w:rPr>
          <w:rFonts w:hint="default" w:ascii="Times New Roman" w:hAnsi="Times New Roman" w:eastAsia="宋体" w:cs="Times New Roman"/>
          <w:color w:val="000000"/>
          <w:kern w:val="0"/>
          <w:sz w:val="31"/>
          <w:szCs w:val="31"/>
          <w:lang w:val="en-US" w:eastAsia="zh-CN" w:bidi="ar"/>
        </w:rPr>
        <w:t>100.0%,</w:t>
      </w:r>
      <w:r>
        <w:rPr>
          <w:rFonts w:ascii="仿宋_GB2312" w:hAnsi="仿宋_GB2312" w:eastAsia="仿宋_GB2312" w:cs="仿宋_GB2312"/>
          <w:color w:val="000000"/>
          <w:kern w:val="0"/>
          <w:sz w:val="31"/>
          <w:szCs w:val="31"/>
          <w:lang w:val="en-US" w:eastAsia="zh-CN" w:bidi="ar"/>
        </w:rPr>
        <w:t>主要原因是认真贯彻落实中央八项规定精神和厉行节约要求，节约了开支；较上年度增加</w:t>
      </w:r>
      <w:r>
        <w:rPr>
          <w:rFonts w:hint="default" w:ascii="Times New Roman" w:hAnsi="Times New Roman" w:eastAsia="宋体" w:cs="Times New Roman"/>
          <w:color w:val="000000"/>
          <w:kern w:val="0"/>
          <w:sz w:val="31"/>
          <w:szCs w:val="31"/>
          <w:lang w:val="en-US" w:eastAsia="zh-CN" w:bidi="ar"/>
        </w:rPr>
        <w:t>0.00</w:t>
      </w:r>
      <w:r>
        <w:rPr>
          <w:rFonts w:ascii="仿宋_GB2312" w:hAnsi="仿宋_GB2312" w:eastAsia="仿宋_GB2312" w:cs="仿宋_GB2312"/>
          <w:color w:val="000000"/>
          <w:kern w:val="0"/>
          <w:sz w:val="31"/>
          <w:szCs w:val="31"/>
          <w:lang w:val="en-US" w:eastAsia="zh-CN" w:bidi="ar"/>
        </w:rPr>
        <w:t xml:space="preserve">万元，增长 </w:t>
      </w:r>
      <w:r>
        <w:rPr>
          <w:rFonts w:hint="default" w:ascii="Times New Roman" w:hAnsi="Times New Roman" w:eastAsia="宋体" w:cs="Times New Roman"/>
          <w:color w:val="000000"/>
          <w:kern w:val="0"/>
          <w:sz w:val="31"/>
          <w:szCs w:val="31"/>
          <w:lang w:val="en-US" w:eastAsia="zh-CN" w:bidi="ar"/>
        </w:rPr>
        <w:t>0.00%,</w:t>
      </w:r>
      <w:r>
        <w:rPr>
          <w:rFonts w:ascii="仿宋_GB2312" w:hAnsi="仿宋_GB2312" w:eastAsia="仿宋_GB2312" w:cs="仿宋_GB2312"/>
          <w:color w:val="000000"/>
          <w:kern w:val="0"/>
          <w:sz w:val="31"/>
          <w:szCs w:val="31"/>
          <w:lang w:val="en-US" w:eastAsia="zh-CN" w:bidi="ar"/>
        </w:rPr>
        <w:t>主要原因是认真贯彻落实中央八项规定精神和厉行节约要求，节约了开支。本年度共发生公务接待</w:t>
      </w:r>
      <w:r>
        <w:rPr>
          <w:rFonts w:hint="default" w:ascii="Times New Roman" w:hAnsi="Times New Roman" w:eastAsia="宋体" w:cs="Times New Roman"/>
          <w:color w:val="000000"/>
          <w:kern w:val="0"/>
          <w:sz w:val="31"/>
          <w:szCs w:val="31"/>
          <w:lang w:val="en-US" w:eastAsia="zh-CN" w:bidi="ar"/>
        </w:rPr>
        <w:t>0</w:t>
      </w:r>
      <w:r>
        <w:rPr>
          <w:rFonts w:ascii="仿宋_GB2312" w:hAnsi="仿宋_GB2312" w:eastAsia="仿宋_GB2312" w:cs="仿宋_GB2312"/>
          <w:color w:val="000000"/>
          <w:kern w:val="0"/>
          <w:sz w:val="31"/>
          <w:szCs w:val="31"/>
          <w:lang w:val="en-US" w:eastAsia="zh-CN" w:bidi="ar"/>
        </w:rPr>
        <w:t>批次、</w:t>
      </w:r>
      <w:r>
        <w:rPr>
          <w:rFonts w:hint="default" w:ascii="Times New Roman" w:hAnsi="Times New Roman" w:eastAsia="宋体" w:cs="Times New Roman"/>
          <w:color w:val="000000"/>
          <w:kern w:val="0"/>
          <w:sz w:val="31"/>
          <w:szCs w:val="31"/>
          <w:lang w:val="en-US" w:eastAsia="zh-CN" w:bidi="ar"/>
        </w:rPr>
        <w:t>0</w:t>
      </w:r>
      <w:r>
        <w:rPr>
          <w:rFonts w:ascii="仿宋_GB2312" w:hAnsi="仿宋_GB2312" w:eastAsia="仿宋_GB2312" w:cs="仿宋_GB2312"/>
          <w:color w:val="000000"/>
          <w:kern w:val="0"/>
          <w:sz w:val="31"/>
          <w:szCs w:val="31"/>
          <w:lang w:val="en-US" w:eastAsia="zh-CN" w:bidi="ar"/>
        </w:rPr>
        <w:t>人次</w:t>
      </w:r>
      <w:r>
        <w:rPr>
          <w:rFonts w:ascii="Times New Roman" w:hAnsi="Times New Roman" w:eastAsia="仿宋_GB2312" w:cs="Times New Roman"/>
          <w:sz w:val="32"/>
          <w:szCs w:val="32"/>
        </w:rPr>
        <w:t>。</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六、机关运行经费支出说明</w:t>
      </w:r>
    </w:p>
    <w:p>
      <w:pPr>
        <w:keepNext w:val="0"/>
        <w:keepLines w:val="0"/>
        <w:widowControl/>
        <w:suppressLineNumbers w:val="0"/>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本部门2025年度机关运行经费支出</w:t>
      </w:r>
      <w:r>
        <w:rPr>
          <w:rFonts w:hint="eastAsia" w:ascii="Times New Roman" w:hAnsi="Times New Roman" w:eastAsia="仿宋_GB2312" w:cs="Times New Roman"/>
          <w:sz w:val="32"/>
          <w:szCs w:val="32"/>
          <w:lang w:val="en-US" w:eastAsia="zh-CN"/>
        </w:rPr>
        <w:t>192.51</w:t>
      </w:r>
      <w:r>
        <w:rPr>
          <w:rFonts w:ascii="Times New Roman" w:hAnsi="Times New Roman" w:eastAsia="仿宋_GB2312" w:cs="Times New Roman"/>
          <w:sz w:val="32"/>
          <w:szCs w:val="32"/>
        </w:rPr>
        <w:t>万元，较2024年度减少</w:t>
      </w:r>
      <w:r>
        <w:rPr>
          <w:rFonts w:hint="eastAsia" w:ascii="Times New Roman" w:hAnsi="Times New Roman" w:eastAsia="仿宋_GB2312" w:cs="Times New Roman"/>
          <w:sz w:val="32"/>
          <w:szCs w:val="32"/>
          <w:lang w:val="en-US" w:eastAsia="zh-CN"/>
        </w:rPr>
        <w:t>7.95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3.96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ascii="仿宋_GB2312" w:hAnsi="仿宋_GB2312" w:eastAsia="仿宋_GB2312" w:cs="仿宋_GB2312"/>
          <w:color w:val="000000"/>
          <w:kern w:val="0"/>
          <w:sz w:val="31"/>
          <w:szCs w:val="31"/>
          <w:lang w:val="en-US" w:eastAsia="zh-CN" w:bidi="ar"/>
        </w:rPr>
        <w:t>是厉行节约，减少开支</w:t>
      </w:r>
      <w:r>
        <w:rPr>
          <w:rFonts w:ascii="Times New Roman" w:hAnsi="Times New Roman" w:eastAsia="仿宋_GB2312" w:cs="Times New Roman"/>
          <w:sz w:val="32"/>
          <w:szCs w:val="32"/>
        </w:rPr>
        <w:t>。</w:t>
      </w:r>
    </w:p>
    <w:p>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七、政府采购支出说明</w:t>
      </w:r>
    </w:p>
    <w:p>
      <w:pPr>
        <w:snapToGrid w:val="0"/>
        <w:spacing w:line="580" w:lineRule="exact"/>
        <w:ind w:firstLine="640" w:firstLineChars="200"/>
        <w:jc w:val="left"/>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sz w:val="32"/>
          <w:szCs w:val="32"/>
        </w:rPr>
        <w:t>本部门2025年度政府采购支出总额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万元，从采购类型来看，</w:t>
      </w:r>
      <w:r>
        <w:rPr>
          <w:rFonts w:ascii="Times New Roman" w:hAnsi="Times New Roman" w:eastAsia="仿宋_GB2312" w:cs="Times New Roman"/>
          <w:color w:val="000000"/>
          <w:kern w:val="0"/>
          <w:sz w:val="32"/>
          <w:szCs w:val="32"/>
          <w:lang w:bidi="ar"/>
        </w:rPr>
        <w:t>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000000"/>
          <w:kern w:val="0"/>
          <w:sz w:val="32"/>
          <w:szCs w:val="32"/>
          <w:lang w:bidi="ar"/>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000000"/>
          <w:kern w:val="0"/>
          <w:sz w:val="32"/>
          <w:szCs w:val="32"/>
          <w:lang w:bidi="ar"/>
        </w:rPr>
        <w:t xml:space="preserve">万元、政府采购服务支出 </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000000"/>
          <w:kern w:val="0"/>
          <w:sz w:val="32"/>
          <w:szCs w:val="32"/>
          <w:lang w:bidi="ar"/>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000000"/>
          <w:kern w:val="0"/>
          <w:sz w:val="32"/>
          <w:szCs w:val="32"/>
          <w:lang w:bidi="ar"/>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000000"/>
          <w:kern w:val="0"/>
          <w:sz w:val="32"/>
          <w:szCs w:val="32"/>
          <w:lang w:bidi="ar"/>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000000"/>
          <w:kern w:val="0"/>
          <w:sz w:val="32"/>
          <w:szCs w:val="32"/>
          <w:lang w:bidi="ar"/>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color w:val="000000"/>
          <w:kern w:val="0"/>
          <w:sz w:val="32"/>
          <w:szCs w:val="32"/>
          <w:lang w:bidi="ar"/>
        </w:rPr>
        <w:t>%。</w:t>
      </w:r>
    </w:p>
    <w:p>
      <w:pPr>
        <w:snapToGrid w:val="0"/>
        <w:spacing w:line="580" w:lineRule="exact"/>
        <w:ind w:firstLine="640" w:firstLineChars="200"/>
        <w:jc w:val="left"/>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八、国有资产占用情况说明</w:t>
      </w:r>
    </w:p>
    <w:p>
      <w:pPr>
        <w:keepNext w:val="0"/>
        <w:keepLines w:val="0"/>
        <w:widowControl/>
        <w:suppressLineNumbers w:val="0"/>
        <w:jc w:val="left"/>
        <w:rPr>
          <w:rFonts w:ascii="Times New Roman" w:hAnsi="Times New Roman" w:eastAsia="黑体" w:cs="Times New Roman"/>
          <w:sz w:val="32"/>
          <w:szCs w:val="40"/>
          <w:highlight w:val="yellow"/>
        </w:rPr>
      </w:pPr>
      <w:r>
        <w:rPr>
          <w:rFonts w:ascii="Times New Roman" w:hAnsi="Times New Roman" w:eastAsia="仿宋_GB2312" w:cs="Times New Roman"/>
          <w:sz w:val="32"/>
          <w:szCs w:val="32"/>
        </w:rPr>
        <w:t>截至2025年12月31日，本部门共有车辆</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辆，比上年增加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辆，主要是</w:t>
      </w:r>
      <w:r>
        <w:rPr>
          <w:rFonts w:ascii="仿宋_GB2312" w:hAnsi="仿宋_GB2312" w:eastAsia="仿宋_GB2312" w:cs="仿宋_GB2312"/>
          <w:color w:val="000000"/>
          <w:kern w:val="0"/>
          <w:sz w:val="31"/>
          <w:szCs w:val="31"/>
          <w:lang w:val="en-US" w:eastAsia="zh-CN" w:bidi="ar"/>
        </w:rPr>
        <w:t xml:space="preserve">是加强公务用车管理，无新购置公务用车。其中，副部（省）级及以上领导用车 </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辆，主要负责人用车 </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辆，机要通信用车 </w:t>
      </w:r>
      <w:r>
        <w:rPr>
          <w:rFonts w:hint="default" w:ascii="Times New Roman" w:hAnsi="Times New Roman" w:eastAsia="宋体" w:cs="Times New Roman"/>
          <w:color w:val="000000"/>
          <w:kern w:val="0"/>
          <w:sz w:val="31"/>
          <w:szCs w:val="31"/>
          <w:lang w:val="en-US" w:eastAsia="zh-CN" w:bidi="ar"/>
        </w:rPr>
        <w:t xml:space="preserve">1 </w:t>
      </w:r>
      <w:r>
        <w:rPr>
          <w:rFonts w:ascii="仿宋_GB2312" w:hAnsi="仿宋_GB2312" w:eastAsia="仿宋_GB2312" w:cs="仿宋_GB2312"/>
          <w:color w:val="000000"/>
          <w:kern w:val="0"/>
          <w:sz w:val="31"/>
          <w:szCs w:val="31"/>
          <w:lang w:val="en-US" w:eastAsia="zh-CN" w:bidi="ar"/>
        </w:rPr>
        <w:t xml:space="preserve">辆，应急保障用车 </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辆，执法执勤用车 </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辆，特种专业技术用车 </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辆，离退休干部用车 </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辆，其他用车 </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辆，其他用车主要是加强公务用车管理，无新购置公务用车。单位价值 </w:t>
      </w:r>
      <w:r>
        <w:rPr>
          <w:rFonts w:hint="default" w:ascii="Times New Roman" w:hAnsi="Times New Roman" w:eastAsia="宋体" w:cs="Times New Roman"/>
          <w:color w:val="000000"/>
          <w:kern w:val="0"/>
          <w:sz w:val="31"/>
          <w:szCs w:val="31"/>
          <w:lang w:val="en-US" w:eastAsia="zh-CN" w:bidi="ar"/>
        </w:rPr>
        <w:t xml:space="preserve">100 </w:t>
      </w:r>
      <w:r>
        <w:rPr>
          <w:rFonts w:ascii="仿宋_GB2312" w:hAnsi="仿宋_GB2312" w:eastAsia="仿宋_GB2312" w:cs="仿宋_GB2312"/>
          <w:color w:val="000000"/>
          <w:kern w:val="0"/>
          <w:sz w:val="31"/>
          <w:szCs w:val="31"/>
          <w:lang w:val="en-US" w:eastAsia="zh-CN" w:bidi="ar"/>
        </w:rPr>
        <w:t>万元（含）以上设备（不含车辆）</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台（套）。 </w:t>
      </w:r>
    </w:p>
    <w:p>
      <w:pPr>
        <w:widowControl/>
        <w:spacing w:after="160" w:line="580" w:lineRule="exact"/>
        <w:ind w:firstLine="640" w:firstLineChars="200"/>
        <w:rPr>
          <w:rFonts w:hint="eastAsia" w:ascii="Times New Roman" w:hAnsi="Times New Roman" w:eastAsia="黑体" w:cs="Times New Roman"/>
          <w:sz w:val="32"/>
          <w:szCs w:val="40"/>
        </w:rPr>
      </w:pPr>
      <w:r>
        <w:rPr>
          <w:rFonts w:ascii="Times New Roman" w:hAnsi="Times New Roman" w:eastAsia="黑体" w:cs="Times New Roman"/>
          <w:sz w:val="32"/>
          <w:szCs w:val="40"/>
        </w:rPr>
        <w:t>九、关于2025年度绩效评价情况的说明</w:t>
      </w:r>
    </w:p>
    <w:p>
      <w:pPr>
        <w:widowControl/>
        <w:spacing w:after="160" w:line="58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（一）绩效评价工作开展情况</w:t>
      </w:r>
    </w:p>
    <w:p>
      <w:pPr>
        <w:keepNext w:val="0"/>
        <w:keepLines w:val="0"/>
        <w:widowControl/>
        <w:suppressLineNumbers w:val="0"/>
        <w:ind w:firstLine="620" w:firstLineChars="200"/>
        <w:jc w:val="left"/>
      </w:pPr>
      <w:r>
        <w:rPr>
          <w:rFonts w:ascii="仿宋_GB2312" w:hAnsi="仿宋_GB2312" w:eastAsia="仿宋_GB2312" w:cs="仿宋_GB2312"/>
          <w:color w:val="000000"/>
          <w:kern w:val="0"/>
          <w:sz w:val="31"/>
          <w:szCs w:val="31"/>
          <w:lang w:val="en-US" w:eastAsia="zh-CN" w:bidi="ar"/>
        </w:rPr>
        <w:t xml:space="preserve">根据预算绩效管理要求，本单位组织对 </w:t>
      </w:r>
      <w:r>
        <w:rPr>
          <w:rFonts w:hint="default" w:ascii="Times New Roman" w:hAnsi="Times New Roman" w:eastAsia="宋体" w:cs="Times New Roman"/>
          <w:color w:val="000000"/>
          <w:kern w:val="0"/>
          <w:sz w:val="31"/>
          <w:szCs w:val="31"/>
          <w:lang w:val="en-US" w:eastAsia="zh-CN" w:bidi="ar"/>
        </w:rPr>
        <w:t>202</w:t>
      </w:r>
      <w:r>
        <w:rPr>
          <w:rFonts w:hint="eastAsia" w:ascii="Times New Roman" w:hAnsi="Times New Roman" w:eastAsia="宋体" w:cs="Times New Roman"/>
          <w:color w:val="000000"/>
          <w:kern w:val="0"/>
          <w:sz w:val="31"/>
          <w:szCs w:val="31"/>
          <w:lang w:val="en-US" w:eastAsia="zh-CN" w:bidi="ar"/>
        </w:rPr>
        <w:t>5</w:t>
      </w:r>
      <w:r>
        <w:rPr>
          <w:rFonts w:ascii="仿宋_GB2312" w:hAnsi="仿宋_GB2312" w:eastAsia="仿宋_GB2312" w:cs="仿宋_GB2312"/>
          <w:color w:val="000000"/>
          <w:kern w:val="0"/>
          <w:sz w:val="31"/>
          <w:szCs w:val="31"/>
          <w:lang w:val="en-US" w:eastAsia="zh-CN" w:bidi="ar"/>
        </w:rPr>
        <w:t xml:space="preserve">年度本级预算项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目支出全面开展绩效自评，共涉及资金</w:t>
      </w:r>
      <w:r>
        <w:rPr>
          <w:rFonts w:hint="eastAsia" w:ascii="仿宋_GB2312" w:hAnsi="仿宋_GB2312" w:eastAsia="仿宋_GB2312" w:cs="仿宋_GB2312"/>
          <w:color w:val="000000"/>
          <w:kern w:val="0"/>
          <w:sz w:val="31"/>
          <w:szCs w:val="31"/>
          <w:lang w:val="en-US" w:eastAsia="zh-CN" w:bidi="ar"/>
        </w:rPr>
        <w:t>651.5</w:t>
      </w:r>
      <w:r>
        <w:rPr>
          <w:rFonts w:ascii="仿宋_GB2312" w:hAnsi="仿宋_GB2312" w:eastAsia="仿宋_GB2312" w:cs="仿宋_GB2312"/>
          <w:color w:val="000000"/>
          <w:kern w:val="0"/>
          <w:sz w:val="31"/>
          <w:szCs w:val="31"/>
          <w:lang w:val="en-US" w:eastAsia="zh-CN" w:bidi="ar"/>
        </w:rPr>
        <w:t xml:space="preserve">万元（决算金额）。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其中，一般公共预算项目</w:t>
      </w:r>
      <w:r>
        <w:rPr>
          <w:rFonts w:hint="eastAsia" w:ascii="仿宋_GB2312" w:hAnsi="仿宋_GB2312" w:eastAsia="仿宋_GB2312" w:cs="仿宋_GB2312"/>
          <w:color w:val="000000"/>
          <w:kern w:val="0"/>
          <w:sz w:val="31"/>
          <w:szCs w:val="31"/>
          <w:lang w:val="en-US" w:eastAsia="zh-CN" w:bidi="ar"/>
        </w:rPr>
        <w:t>8</w:t>
      </w:r>
      <w:r>
        <w:rPr>
          <w:rFonts w:hint="default" w:ascii="Times New Roman" w:hAnsi="Times New Roman" w:eastAsia="宋体" w:cs="Times New Roman"/>
          <w:color w:val="000000"/>
          <w:kern w:val="0"/>
          <w:sz w:val="31"/>
          <w:szCs w:val="31"/>
          <w:lang w:val="en-US" w:eastAsia="zh-CN" w:bidi="ar"/>
        </w:rPr>
        <w:t xml:space="preserve"> </w:t>
      </w:r>
      <w:r>
        <w:rPr>
          <w:rFonts w:ascii="仿宋_GB2312" w:hAnsi="仿宋_GB2312" w:eastAsia="仿宋_GB2312" w:cs="仿宋_GB2312"/>
          <w:color w:val="000000"/>
          <w:kern w:val="0"/>
          <w:sz w:val="31"/>
          <w:szCs w:val="31"/>
          <w:lang w:val="en-US" w:eastAsia="zh-CN" w:bidi="ar"/>
        </w:rPr>
        <w:t xml:space="preserve">个，涉及资金 </w:t>
      </w:r>
      <w:r>
        <w:rPr>
          <w:rFonts w:hint="eastAsia" w:ascii="仿宋_GB2312" w:hAnsi="仿宋_GB2312" w:eastAsia="仿宋_GB2312" w:cs="仿宋_GB2312"/>
          <w:color w:val="000000"/>
          <w:kern w:val="0"/>
          <w:sz w:val="31"/>
          <w:szCs w:val="31"/>
          <w:lang w:val="en-US" w:eastAsia="zh-CN" w:bidi="ar"/>
        </w:rPr>
        <w:t>651.5</w:t>
      </w:r>
      <w:r>
        <w:rPr>
          <w:rFonts w:ascii="仿宋_GB2312" w:hAnsi="仿宋_GB2312" w:eastAsia="仿宋_GB2312" w:cs="仿宋_GB2312"/>
          <w:color w:val="000000"/>
          <w:kern w:val="0"/>
          <w:sz w:val="31"/>
          <w:szCs w:val="31"/>
          <w:lang w:val="en-US" w:eastAsia="zh-CN" w:bidi="ar"/>
        </w:rPr>
        <w:t xml:space="preserve">万元，占一般公共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预算项目支出总额的 </w:t>
      </w:r>
      <w:r>
        <w:rPr>
          <w:rFonts w:hint="default" w:ascii="Times New Roman" w:hAnsi="Times New Roman" w:eastAsia="宋体" w:cs="Times New Roman"/>
          <w:color w:val="000000"/>
          <w:kern w:val="0"/>
          <w:sz w:val="31"/>
          <w:szCs w:val="31"/>
          <w:lang w:val="en-US" w:eastAsia="zh-CN" w:bidi="ar"/>
        </w:rPr>
        <w:t>100%</w:t>
      </w:r>
      <w:r>
        <w:rPr>
          <w:rFonts w:ascii="仿宋_GB2312" w:hAnsi="仿宋_GB2312" w:eastAsia="仿宋_GB2312" w:cs="仿宋_GB2312"/>
          <w:color w:val="000000"/>
          <w:kern w:val="0"/>
          <w:sz w:val="31"/>
          <w:szCs w:val="31"/>
          <w:lang w:val="en-US" w:eastAsia="zh-CN" w:bidi="ar"/>
        </w:rPr>
        <w:t xml:space="preserve">；政府性基金预算项目 </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个，涉及资金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万元，占政府性基金预算项目支出总额的 </w:t>
      </w:r>
      <w:r>
        <w:rPr>
          <w:rFonts w:hint="default" w:ascii="Times New Roman" w:hAnsi="Times New Roman" w:eastAsia="宋体" w:cs="Times New Roman"/>
          <w:color w:val="000000"/>
          <w:kern w:val="0"/>
          <w:sz w:val="31"/>
          <w:szCs w:val="31"/>
          <w:lang w:val="en-US" w:eastAsia="zh-CN" w:bidi="ar"/>
        </w:rPr>
        <w:t>0%</w:t>
      </w:r>
      <w:r>
        <w:rPr>
          <w:rFonts w:ascii="仿宋_GB2312" w:hAnsi="仿宋_GB2312" w:eastAsia="仿宋_GB2312" w:cs="仿宋_GB2312"/>
          <w:color w:val="000000"/>
          <w:kern w:val="0"/>
          <w:sz w:val="31"/>
          <w:szCs w:val="31"/>
          <w:lang w:val="en-US" w:eastAsia="zh-CN" w:bidi="ar"/>
        </w:rPr>
        <w:t xml:space="preserve">；国有资本经营预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算项目 </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个，涉及资金 </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万元，占国有资本经营预算项目支出总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额的 </w:t>
      </w:r>
      <w:r>
        <w:rPr>
          <w:rFonts w:hint="default" w:ascii="Times New Roman" w:hAnsi="Times New Roman" w:eastAsia="宋体" w:cs="Times New Roman"/>
          <w:color w:val="000000"/>
          <w:kern w:val="0"/>
          <w:sz w:val="31"/>
          <w:szCs w:val="31"/>
          <w:lang w:val="en-US" w:eastAsia="zh-CN" w:bidi="ar"/>
        </w:rPr>
        <w:t>0%</w:t>
      </w:r>
      <w:r>
        <w:rPr>
          <w:rFonts w:ascii="仿宋_GB2312" w:hAnsi="仿宋_GB2312" w:eastAsia="仿宋_GB2312" w:cs="仿宋_GB2312"/>
          <w:color w:val="000000"/>
          <w:kern w:val="0"/>
          <w:sz w:val="31"/>
          <w:szCs w:val="31"/>
          <w:lang w:val="en-US" w:eastAsia="zh-CN" w:bidi="ar"/>
        </w:rPr>
        <w:t>。组织对财政改革业务费等</w:t>
      </w:r>
      <w:r>
        <w:rPr>
          <w:rFonts w:hint="eastAsia" w:ascii="仿宋_GB2312" w:hAnsi="仿宋_GB2312" w:eastAsia="仿宋_GB2312" w:cs="仿宋_GB2312"/>
          <w:color w:val="000000"/>
          <w:kern w:val="0"/>
          <w:sz w:val="31"/>
          <w:szCs w:val="31"/>
          <w:lang w:val="en-US" w:eastAsia="zh-CN" w:bidi="ar"/>
        </w:rPr>
        <w:t>8</w:t>
      </w:r>
      <w:r>
        <w:rPr>
          <w:rFonts w:ascii="仿宋_GB2312" w:hAnsi="仿宋_GB2312" w:eastAsia="仿宋_GB2312" w:cs="仿宋_GB2312"/>
          <w:color w:val="000000"/>
          <w:kern w:val="0"/>
          <w:sz w:val="31"/>
          <w:szCs w:val="31"/>
          <w:lang w:val="en-US" w:eastAsia="zh-CN" w:bidi="ar"/>
        </w:rPr>
        <w:t>个项目开展了部门重点评价，涉及一般公共预算支出</w:t>
      </w:r>
      <w:r>
        <w:rPr>
          <w:rFonts w:hint="eastAsia" w:ascii="仿宋_GB2312" w:hAnsi="仿宋_GB2312" w:eastAsia="仿宋_GB2312" w:cs="仿宋_GB2312"/>
          <w:color w:val="000000"/>
          <w:kern w:val="0"/>
          <w:sz w:val="31"/>
          <w:szCs w:val="31"/>
          <w:lang w:val="en-US" w:eastAsia="zh-CN" w:bidi="ar"/>
        </w:rPr>
        <w:t>651.5</w:t>
      </w:r>
      <w:r>
        <w:rPr>
          <w:rFonts w:ascii="仿宋_GB2312" w:hAnsi="仿宋_GB2312" w:eastAsia="仿宋_GB2312" w:cs="仿宋_GB2312"/>
          <w:color w:val="000000"/>
          <w:kern w:val="0"/>
          <w:sz w:val="31"/>
          <w:szCs w:val="31"/>
          <w:lang w:val="en-US" w:eastAsia="zh-CN" w:bidi="ar"/>
        </w:rPr>
        <w:t xml:space="preserve">万元，政府性基金预算支出 </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万元，国有资本经营预算支出 </w:t>
      </w:r>
      <w:r>
        <w:rPr>
          <w:rFonts w:hint="default" w:ascii="Times New Roman" w:hAnsi="Times New Roman" w:eastAsia="宋体" w:cs="Times New Roman"/>
          <w:color w:val="000000"/>
          <w:kern w:val="0"/>
          <w:sz w:val="31"/>
          <w:szCs w:val="31"/>
          <w:lang w:val="en-US" w:eastAsia="zh-CN" w:bidi="ar"/>
        </w:rPr>
        <w:t xml:space="preserve">0 </w:t>
      </w:r>
      <w:r>
        <w:rPr>
          <w:rFonts w:ascii="仿宋_GB2312" w:hAnsi="仿宋_GB2312" w:eastAsia="仿宋_GB2312" w:cs="仿宋_GB2312"/>
          <w:color w:val="000000"/>
          <w:kern w:val="0"/>
          <w:sz w:val="31"/>
          <w:szCs w:val="31"/>
          <w:lang w:val="en-US" w:eastAsia="zh-CN" w:bidi="ar"/>
        </w:rPr>
        <w:t xml:space="preserve">万元，从评价情况来看，我局此次绩效自 </w:t>
      </w:r>
    </w:p>
    <w:p>
      <w:pPr>
        <w:keepNext w:val="0"/>
        <w:keepLines w:val="0"/>
        <w:widowControl/>
        <w:suppressLineNumbers w:val="0"/>
        <w:jc w:val="left"/>
        <w:rPr>
          <w:rFonts w:ascii="Times New Roman" w:hAnsi="Times New Roman" w:eastAsia="仿宋_GB2312" w:cs="Times New Roman"/>
          <w:b/>
          <w:bCs/>
          <w:sz w:val="32"/>
          <w:szCs w:val="32"/>
        </w:rPr>
      </w:pPr>
      <w:r>
        <w:rPr>
          <w:rFonts w:ascii="仿宋_GB2312" w:hAnsi="仿宋_GB2312" w:eastAsia="仿宋_GB2312" w:cs="仿宋_GB2312"/>
          <w:color w:val="000000"/>
          <w:kern w:val="0"/>
          <w:sz w:val="31"/>
          <w:szCs w:val="31"/>
          <w:lang w:val="en-US" w:eastAsia="zh-CN" w:bidi="ar"/>
        </w:rPr>
        <w:t>评结果较好，经费支出均已达到年初工作既定目标要求。</w:t>
      </w:r>
    </w:p>
    <w:p>
      <w:pPr>
        <w:numPr>
          <w:ilvl w:val="0"/>
          <w:numId w:val="1"/>
        </w:num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部门决算中项目绩效自评结果</w:t>
      </w:r>
    </w:p>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r>
        <w:rPr>
          <w:rFonts w:ascii="仿宋_GB2312" w:hAnsi="仿宋_GB2312" w:eastAsia="仿宋_GB2312" w:cs="仿宋_GB2312"/>
          <w:color w:val="000000"/>
          <w:kern w:val="0"/>
          <w:sz w:val="31"/>
          <w:szCs w:val="31"/>
          <w:lang w:val="en-US" w:eastAsia="zh-CN" w:bidi="ar"/>
        </w:rPr>
        <w:t>本单位在今年部门决算公开中反映</w:t>
      </w:r>
      <w:r>
        <w:rPr>
          <w:rFonts w:hint="eastAsia" w:ascii="仿宋_GB2312" w:hAnsi="仿宋_GB2312" w:eastAsia="仿宋_GB2312" w:cs="仿宋_GB2312"/>
          <w:color w:val="000000"/>
          <w:kern w:val="0"/>
          <w:sz w:val="31"/>
          <w:szCs w:val="31"/>
          <w:lang w:val="en-US" w:eastAsia="zh-CN" w:bidi="ar"/>
        </w:rPr>
        <w:t>委托业务费</w:t>
      </w:r>
      <w:r>
        <w:rPr>
          <w:rFonts w:ascii="仿宋_GB2312" w:hAnsi="仿宋_GB2312" w:eastAsia="仿宋_GB2312" w:cs="仿宋_GB2312"/>
          <w:color w:val="000000"/>
          <w:kern w:val="0"/>
          <w:sz w:val="31"/>
          <w:szCs w:val="31"/>
          <w:lang w:val="en-US" w:eastAsia="zh-CN" w:bidi="ar"/>
        </w:rPr>
        <w:t>等</w:t>
      </w:r>
      <w:r>
        <w:rPr>
          <w:rFonts w:hint="eastAsia" w:ascii="仿宋_GB2312" w:hAnsi="仿宋_GB2312" w:eastAsia="仿宋_GB2312" w:cs="仿宋_GB2312"/>
          <w:color w:val="000000"/>
          <w:kern w:val="0"/>
          <w:sz w:val="31"/>
          <w:szCs w:val="31"/>
          <w:lang w:val="en-US" w:eastAsia="zh-CN" w:bidi="ar"/>
        </w:rPr>
        <w:t>8</w:t>
      </w:r>
      <w:r>
        <w:rPr>
          <w:rFonts w:ascii="仿宋_GB2312" w:hAnsi="仿宋_GB2312" w:eastAsia="仿宋_GB2312" w:cs="仿宋_GB2312"/>
          <w:color w:val="000000"/>
          <w:kern w:val="0"/>
          <w:sz w:val="31"/>
          <w:szCs w:val="31"/>
          <w:lang w:val="en-US" w:eastAsia="zh-CN" w:bidi="ar"/>
        </w:rPr>
        <w:t>个项目绩效自评结果。根据年初设定的绩效目标，</w:t>
      </w:r>
      <w:r>
        <w:rPr>
          <w:rFonts w:hint="eastAsia" w:ascii="仿宋_GB2312" w:hAnsi="仿宋_GB2312" w:eastAsia="仿宋_GB2312" w:cs="仿宋_GB2312"/>
          <w:color w:val="000000"/>
          <w:kern w:val="0"/>
          <w:sz w:val="31"/>
          <w:szCs w:val="31"/>
          <w:lang w:val="en-US" w:eastAsia="zh-CN" w:bidi="ar"/>
        </w:rPr>
        <w:t>委托业务费</w:t>
      </w:r>
      <w:r>
        <w:rPr>
          <w:rFonts w:ascii="仿宋_GB2312" w:hAnsi="仿宋_GB2312" w:eastAsia="仿宋_GB2312" w:cs="仿宋_GB2312"/>
          <w:color w:val="000000"/>
          <w:kern w:val="0"/>
          <w:sz w:val="31"/>
          <w:szCs w:val="31"/>
          <w:lang w:val="en-US" w:eastAsia="zh-CN" w:bidi="ar"/>
        </w:rPr>
        <w:t>、省级农村财会人员培训费、评审费、劳务派遣人员工资、</w:t>
      </w:r>
      <w:r>
        <w:rPr>
          <w:rFonts w:hint="eastAsia" w:ascii="仿宋_GB2312" w:hAnsi="仿宋_GB2312" w:eastAsia="仿宋_GB2312" w:cs="仿宋_GB2312"/>
          <w:color w:val="000000"/>
          <w:kern w:val="0"/>
          <w:sz w:val="31"/>
          <w:szCs w:val="31"/>
          <w:lang w:val="en-US" w:eastAsia="zh-CN" w:bidi="ar"/>
        </w:rPr>
        <w:t>智税分析平台费用</w:t>
      </w:r>
      <w:r>
        <w:rPr>
          <w:rFonts w:ascii="仿宋_GB2312" w:hAnsi="仿宋_GB2312" w:eastAsia="仿宋_GB2312" w:cs="仿宋_GB2312"/>
          <w:color w:val="000000"/>
          <w:kern w:val="0"/>
          <w:sz w:val="31"/>
          <w:szCs w:val="31"/>
          <w:lang w:val="en-US" w:eastAsia="zh-CN" w:bidi="ar"/>
        </w:rPr>
        <w:t>、</w:t>
      </w:r>
      <w:r>
        <w:rPr>
          <w:rFonts w:hint="eastAsia" w:ascii="仿宋_GB2312" w:hAnsi="仿宋_GB2312" w:eastAsia="仿宋_GB2312" w:cs="仿宋_GB2312"/>
          <w:color w:val="000000"/>
          <w:kern w:val="0"/>
          <w:sz w:val="31"/>
          <w:szCs w:val="31"/>
          <w:lang w:val="en-US" w:eastAsia="zh-CN" w:bidi="ar"/>
        </w:rPr>
        <w:t>机关运行经费</w:t>
      </w:r>
      <w:r>
        <w:rPr>
          <w:rFonts w:ascii="仿宋_GB2312" w:hAnsi="仿宋_GB2312" w:eastAsia="仿宋_GB2312" w:cs="仿宋_GB2312"/>
          <w:color w:val="000000"/>
          <w:kern w:val="0"/>
          <w:sz w:val="31"/>
          <w:szCs w:val="31"/>
          <w:lang w:val="en-US" w:eastAsia="zh-CN" w:bidi="ar"/>
        </w:rPr>
        <w:t>、</w:t>
      </w:r>
      <w:r>
        <w:rPr>
          <w:rFonts w:hint="eastAsia" w:ascii="仿宋_GB2312" w:hAnsi="仿宋_GB2312" w:eastAsia="仿宋_GB2312" w:cs="仿宋_GB2312"/>
          <w:color w:val="000000"/>
          <w:kern w:val="0"/>
          <w:sz w:val="31"/>
          <w:szCs w:val="31"/>
          <w:lang w:val="en-US" w:eastAsia="zh-CN" w:bidi="ar"/>
        </w:rPr>
        <w:t>政府救助保险工作经费</w:t>
      </w:r>
      <w:r>
        <w:rPr>
          <w:rFonts w:ascii="仿宋_GB2312" w:hAnsi="仿宋_GB2312" w:eastAsia="仿宋_GB2312" w:cs="仿宋_GB2312"/>
          <w:color w:val="000000"/>
          <w:kern w:val="0"/>
          <w:sz w:val="31"/>
          <w:szCs w:val="31"/>
          <w:lang w:val="en-US" w:eastAsia="zh-CN" w:bidi="ar"/>
        </w:rPr>
        <w:t>、</w:t>
      </w:r>
      <w:r>
        <w:rPr>
          <w:rFonts w:hint="eastAsia" w:ascii="仿宋_GB2312" w:hAnsi="仿宋_GB2312" w:eastAsia="仿宋_GB2312" w:cs="仿宋_GB2312"/>
          <w:color w:val="000000"/>
          <w:kern w:val="0"/>
          <w:sz w:val="31"/>
          <w:szCs w:val="31"/>
          <w:lang w:val="en-US" w:eastAsia="zh-CN" w:bidi="ar"/>
        </w:rPr>
        <w:t>供热管道维修费</w:t>
      </w:r>
      <w:r>
        <w:rPr>
          <w:rFonts w:ascii="仿宋_GB2312" w:hAnsi="仿宋_GB2312" w:eastAsia="仿宋_GB2312" w:cs="仿宋_GB2312"/>
          <w:color w:val="000000"/>
          <w:kern w:val="0"/>
          <w:sz w:val="31"/>
          <w:szCs w:val="31"/>
          <w:lang w:val="en-US" w:eastAsia="zh-CN" w:bidi="ar"/>
        </w:rPr>
        <w:t xml:space="preserve">项目绩效自评得分为 </w:t>
      </w:r>
      <w:r>
        <w:rPr>
          <w:rFonts w:hint="eastAsia" w:ascii="Times New Roman" w:hAnsi="Times New Roman" w:eastAsia="宋体" w:cs="Times New Roman"/>
          <w:color w:val="000000"/>
          <w:kern w:val="0"/>
          <w:sz w:val="31"/>
          <w:szCs w:val="31"/>
          <w:lang w:val="en-US" w:eastAsia="zh-CN" w:bidi="ar"/>
        </w:rPr>
        <w:t>97</w:t>
      </w:r>
      <w:r>
        <w:rPr>
          <w:rFonts w:ascii="仿宋_GB2312" w:hAnsi="仿宋_GB2312" w:eastAsia="仿宋_GB2312" w:cs="仿宋_GB2312"/>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97</w:t>
      </w:r>
      <w:r>
        <w:rPr>
          <w:rFonts w:ascii="仿宋_GB2312" w:hAnsi="仿宋_GB2312" w:eastAsia="仿宋_GB2312" w:cs="仿宋_GB2312"/>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96</w:t>
      </w:r>
      <w:r>
        <w:rPr>
          <w:rFonts w:ascii="仿宋_GB2312" w:hAnsi="仿宋_GB2312" w:eastAsia="仿宋_GB2312" w:cs="仿宋_GB2312"/>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97</w:t>
      </w:r>
      <w:r>
        <w:rPr>
          <w:rFonts w:ascii="仿宋_GB2312" w:hAnsi="仿宋_GB2312" w:eastAsia="仿宋_GB2312" w:cs="仿宋_GB2312"/>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96</w:t>
      </w:r>
      <w:r>
        <w:rPr>
          <w:rFonts w:ascii="仿宋_GB2312" w:hAnsi="仿宋_GB2312" w:eastAsia="仿宋_GB2312" w:cs="仿宋_GB2312"/>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95</w:t>
      </w:r>
      <w:r>
        <w:rPr>
          <w:rFonts w:ascii="仿宋_GB2312" w:hAnsi="仿宋_GB2312" w:eastAsia="仿宋_GB2312" w:cs="仿宋_GB2312"/>
          <w:color w:val="000000"/>
          <w:kern w:val="0"/>
          <w:sz w:val="31"/>
          <w:szCs w:val="31"/>
          <w:lang w:val="en-US" w:eastAsia="zh-CN" w:bidi="ar"/>
        </w:rPr>
        <w:t>、</w:t>
      </w:r>
      <w:r>
        <w:rPr>
          <w:rFonts w:hint="eastAsia" w:ascii="仿宋_GB2312" w:hAnsi="仿宋_GB2312" w:eastAsia="仿宋_GB2312" w:cs="仿宋_GB2312"/>
          <w:color w:val="000000"/>
          <w:kern w:val="0"/>
          <w:sz w:val="31"/>
          <w:szCs w:val="31"/>
          <w:lang w:val="en-US" w:eastAsia="zh-CN" w:bidi="ar"/>
        </w:rPr>
        <w:t>97</w:t>
      </w:r>
      <w:r>
        <w:rPr>
          <w:rFonts w:ascii="仿宋_GB2312" w:hAnsi="仿宋_GB2312" w:eastAsia="仿宋_GB2312" w:cs="仿宋_GB2312"/>
          <w:color w:val="000000"/>
          <w:kern w:val="0"/>
          <w:sz w:val="31"/>
          <w:szCs w:val="31"/>
          <w:lang w:val="en-US" w:eastAsia="zh-CN" w:bidi="ar"/>
        </w:rPr>
        <w:t>、</w:t>
      </w:r>
      <w:r>
        <w:rPr>
          <w:rFonts w:hint="eastAsia" w:ascii="仿宋_GB2312" w:hAnsi="仿宋_GB2312" w:eastAsia="仿宋_GB2312" w:cs="仿宋_GB2312"/>
          <w:color w:val="000000"/>
          <w:kern w:val="0"/>
          <w:sz w:val="31"/>
          <w:szCs w:val="31"/>
          <w:lang w:val="en-US" w:eastAsia="zh-CN" w:bidi="ar"/>
        </w:rPr>
        <w:t>97</w:t>
      </w:r>
      <w:r>
        <w:rPr>
          <w:rFonts w:hint="default" w:ascii="Times New Roman" w:hAnsi="Times New Roman" w:eastAsia="宋体" w:cs="Times New Roman"/>
          <w:color w:val="000000"/>
          <w:kern w:val="0"/>
          <w:sz w:val="31"/>
          <w:szCs w:val="31"/>
          <w:lang w:val="en-US" w:eastAsia="zh-CN" w:bidi="ar"/>
        </w:rPr>
        <w:t xml:space="preserve"> </w:t>
      </w:r>
      <w:r>
        <w:rPr>
          <w:rFonts w:ascii="仿宋_GB2312" w:hAnsi="仿宋_GB2312" w:eastAsia="仿宋_GB2312" w:cs="仿宋_GB2312"/>
          <w:color w:val="000000"/>
          <w:kern w:val="0"/>
          <w:sz w:val="31"/>
          <w:szCs w:val="31"/>
          <w:lang w:val="en-US" w:eastAsia="zh-CN" w:bidi="ar"/>
        </w:rPr>
        <w:t>分（绩效自评表附后）。全年预算数为</w:t>
      </w:r>
      <w:r>
        <w:rPr>
          <w:rFonts w:hint="eastAsia" w:ascii="仿宋_GB2312" w:hAnsi="仿宋_GB2312" w:eastAsia="仿宋_GB2312" w:cs="仿宋_GB2312"/>
          <w:color w:val="000000"/>
          <w:kern w:val="0"/>
          <w:sz w:val="31"/>
          <w:szCs w:val="31"/>
          <w:lang w:val="en-US" w:eastAsia="zh-CN" w:bidi="ar"/>
        </w:rPr>
        <w:t>651.5</w:t>
      </w:r>
      <w:r>
        <w:rPr>
          <w:rFonts w:ascii="仿宋_GB2312" w:hAnsi="仿宋_GB2312" w:eastAsia="仿宋_GB2312" w:cs="仿宋_GB2312"/>
          <w:color w:val="000000"/>
          <w:kern w:val="0"/>
          <w:sz w:val="31"/>
          <w:szCs w:val="31"/>
          <w:lang w:val="en-US" w:eastAsia="zh-CN" w:bidi="ar"/>
        </w:rPr>
        <w:t>万元，执行数为</w:t>
      </w:r>
      <w:r>
        <w:rPr>
          <w:rFonts w:hint="eastAsia" w:ascii="仿宋_GB2312" w:hAnsi="仿宋_GB2312" w:eastAsia="仿宋_GB2312" w:cs="仿宋_GB2312"/>
          <w:color w:val="000000"/>
          <w:kern w:val="0"/>
          <w:sz w:val="31"/>
          <w:szCs w:val="31"/>
          <w:lang w:val="en-US" w:eastAsia="zh-CN" w:bidi="ar"/>
        </w:rPr>
        <w:t>651.5</w:t>
      </w:r>
      <w:r>
        <w:rPr>
          <w:rFonts w:ascii="仿宋_GB2312" w:hAnsi="仿宋_GB2312" w:eastAsia="仿宋_GB2312" w:cs="仿宋_GB2312"/>
          <w:color w:val="000000"/>
          <w:kern w:val="0"/>
          <w:sz w:val="31"/>
          <w:szCs w:val="31"/>
          <w:lang w:val="en-US" w:eastAsia="zh-CN" w:bidi="ar"/>
        </w:rPr>
        <w:t xml:space="preserve">万元， 完成预算的 </w:t>
      </w:r>
      <w:r>
        <w:rPr>
          <w:rFonts w:hint="default" w:ascii="Times New Roman" w:hAnsi="Times New Roman" w:eastAsia="宋体" w:cs="Times New Roman"/>
          <w:color w:val="000000"/>
          <w:kern w:val="0"/>
          <w:sz w:val="31"/>
          <w:szCs w:val="31"/>
          <w:lang w:val="en-US" w:eastAsia="zh-CN" w:bidi="ar"/>
        </w:rPr>
        <w:t>100%</w:t>
      </w:r>
      <w:r>
        <w:rPr>
          <w:rFonts w:ascii="仿宋_GB2312" w:hAnsi="仿宋_GB2312" w:eastAsia="仿宋_GB2312" w:cs="仿宋_GB2312"/>
          <w:color w:val="000000"/>
          <w:kern w:val="0"/>
          <w:sz w:val="31"/>
          <w:szCs w:val="31"/>
          <w:lang w:val="en-US" w:eastAsia="zh-CN" w:bidi="ar"/>
        </w:rPr>
        <w:t xml:space="preserve">。项目绩效目标完成情况：一是我单位在设置总体目标和具体绩效指标时，牢牢把握关联性、可控性、可实施性，精准性，可衡量和低成本的原则，根据各项预算特点设置相应绩效目标。；二是部门严格按照相关法律法规以及资金管理办法规定的用途使用预算资金。发现的主要问题及原因是：一是在工作中根据不断出现的新情况和发现的新问题，逐步完善项目绩效评价管理体系，进一步提高项目绩效管理水平；；二是对相关人员加强培训，特别是针对《预算法》，《政府会计制度》，项目立项规范，绩效评价相关方针、政策以及市、县财政有关规定等的学习培训，切实提高部门预算收支管理水平、项目立项管理水平和绩效目标管理水平。下一步改进措施：一是通过年度绩效评价，有效了解预算编制、预算执行、绩效目标实现等相关情况，对以后的年度预算安排和预算收支管理工作具有指导性意义。二是对相关人员加强培训，切实提高部门预算收支管理水平、项目立项管理水平和绩效目标管理水平。 </w:t>
      </w:r>
    </w:p>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ind w:firstLine="620" w:firstLineChars="200"/>
        <w:jc w:val="left"/>
        <w:rPr>
          <w:rFonts w:hint="default" w:ascii="仿宋_GB2312" w:hAnsi="仿宋_GB2312" w:eastAsia="仿宋_GB2312" w:cs="仿宋_GB2312"/>
          <w:color w:val="000000"/>
          <w:kern w:val="0"/>
          <w:sz w:val="31"/>
          <w:szCs w:val="31"/>
          <w:lang w:val="en-US" w:eastAsia="zh-CN" w:bidi="ar"/>
        </w:rPr>
      </w:pPr>
      <w:r>
        <w:rPr>
          <w:rFonts w:hint="eastAsia" w:ascii="仿宋_GB2312" w:hAnsi="仿宋_GB2312" w:eastAsia="仿宋_GB2312" w:cs="仿宋_GB2312"/>
          <w:color w:val="000000"/>
          <w:kern w:val="0"/>
          <w:sz w:val="31"/>
          <w:szCs w:val="31"/>
          <w:lang w:val="en-US" w:eastAsia="zh-CN" w:bidi="ar"/>
        </w:rPr>
        <w:t>项目评价表</w:t>
      </w:r>
    </w:p>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p>
    <w:tbl>
      <w:tblPr>
        <w:tblStyle w:val="9"/>
        <w:tblW w:w="90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05"/>
        <w:gridCol w:w="1155"/>
        <w:gridCol w:w="1140"/>
        <w:gridCol w:w="1012"/>
        <w:gridCol w:w="846"/>
        <w:gridCol w:w="1179"/>
        <w:gridCol w:w="1256"/>
        <w:gridCol w:w="11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036"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default" w:ascii="方正小标宋_GBK" w:hAnsi="方正小标宋_GBK" w:eastAsia="方正小标宋_GBK" w:cs="方正小标宋_GBK"/>
                <w:i w:val="0"/>
                <w:iCs w:val="0"/>
                <w:color w:val="000000"/>
                <w:kern w:val="0"/>
                <w:sz w:val="40"/>
                <w:szCs w:val="40"/>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填报单位：</w:t>
            </w: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30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基本情况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2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委托业务费</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实施(主管）单位</w:t>
            </w:r>
          </w:p>
        </w:tc>
        <w:tc>
          <w:tcPr>
            <w:tcW w:w="36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二、预算执行情况</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1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资金到位情况</w:t>
            </w:r>
          </w:p>
        </w:tc>
        <w:tc>
          <w:tcPr>
            <w:tcW w:w="24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资金执行情况</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69.6012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到位数：</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69.6012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69.6012</w:t>
            </w:r>
          </w:p>
        </w:tc>
        <w:tc>
          <w:tcPr>
            <w:tcW w:w="11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69.6012</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69.6012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69.6012</w:t>
            </w:r>
          </w:p>
        </w:tc>
        <w:tc>
          <w:tcPr>
            <w:tcW w:w="11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18"/>
                <w:szCs w:val="18"/>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1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1305"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三、目标完成情况</w:t>
            </w:r>
          </w:p>
        </w:tc>
        <w:tc>
          <w:tcPr>
            <w:tcW w:w="33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年度预期目标</w:t>
            </w:r>
          </w:p>
        </w:tc>
        <w:tc>
          <w:tcPr>
            <w:tcW w:w="32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具体完成情况</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305"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307" w:type="dxa"/>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及时拨付</w:t>
            </w:r>
          </w:p>
        </w:tc>
        <w:tc>
          <w:tcPr>
            <w:tcW w:w="3281" w:type="dxa"/>
            <w:gridSpan w:val="3"/>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完成良好</w:t>
            </w:r>
          </w:p>
        </w:tc>
        <w:tc>
          <w:tcPr>
            <w:tcW w:w="114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305"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年度绩效指标完成情况</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预期指标值</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30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55"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w:t>
            </w:r>
          </w:p>
        </w:tc>
        <w:tc>
          <w:tcPr>
            <w:tcW w:w="114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绩效评价报告数量</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w:t>
            </w:r>
            <w:r>
              <w:rPr>
                <w:rFonts w:ascii="宋体" w:hAnsi="宋体" w:eastAsia="宋体" w:cs="宋体"/>
                <w:i w:val="0"/>
                <w:iCs w:val="0"/>
                <w:color w:val="000000"/>
                <w:kern w:val="0"/>
                <w:sz w:val="18"/>
                <w:szCs w:val="18"/>
                <w:u w:val="none"/>
                <w:lang w:val="en-US" w:eastAsia="zh-CN" w:bidi="ar"/>
              </w:rPr>
              <w:t>份</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10</w:t>
            </w:r>
            <w:r>
              <w:rPr>
                <w:rFonts w:ascii="宋体" w:hAnsi="宋体" w:eastAsia="宋体" w:cs="宋体"/>
                <w:i w:val="0"/>
                <w:iCs w:val="0"/>
                <w:color w:val="000000"/>
                <w:kern w:val="0"/>
                <w:sz w:val="18"/>
                <w:szCs w:val="18"/>
                <w:u w:val="none"/>
                <w:lang w:val="en-US" w:eastAsia="zh-CN" w:bidi="ar"/>
              </w:rPr>
              <w:t>份</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30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报告质量</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达到了行业标准</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达到了行业标准</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0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项目执行效率</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合同规定时间内完成</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合同规定时间内完成</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55"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项目总预算数</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70</w:t>
            </w:r>
            <w:r>
              <w:rPr>
                <w:rFonts w:hint="eastAsia" w:ascii="宋体" w:hAnsi="宋体" w:eastAsia="宋体" w:cs="宋体"/>
                <w:i w:val="0"/>
                <w:iCs w:val="0"/>
                <w:color w:val="000000"/>
                <w:kern w:val="0"/>
                <w:sz w:val="18"/>
                <w:szCs w:val="18"/>
                <w:u w:val="none"/>
                <w:lang w:val="en-US" w:eastAsia="zh-CN" w:bidi="ar"/>
              </w:rPr>
              <w:t>万元</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69.6012</w:t>
            </w:r>
            <w:r>
              <w:rPr>
                <w:rFonts w:hint="eastAsia" w:ascii="宋体" w:hAnsi="宋体" w:eastAsia="宋体" w:cs="宋体"/>
                <w:i w:val="0"/>
                <w:iCs w:val="0"/>
                <w:color w:val="000000"/>
                <w:kern w:val="0"/>
                <w:sz w:val="18"/>
                <w:szCs w:val="18"/>
                <w:u w:val="none"/>
                <w:lang w:val="en-US" w:eastAsia="zh-CN" w:bidi="ar"/>
              </w:rPr>
              <w:t>万元</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30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14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1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100%</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100%</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30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55" w:type="dxa"/>
            <w:vMerge w:val="restar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效益指标（40）</w:t>
            </w:r>
          </w:p>
        </w:tc>
        <w:tc>
          <w:tcPr>
            <w:tcW w:w="114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提高工作效率</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有所提升</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有所提升</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0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55"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工作完成率</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0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14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8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30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58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30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存在问题、原因及下一步整改措施</w:t>
            </w:r>
          </w:p>
        </w:tc>
        <w:tc>
          <w:tcPr>
            <w:tcW w:w="77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将进一步认真梳理解决资金管理中的薄弱环节，进一步明确专项资金申报、拨付、使用、管理相关要求，完善专项资金管理制度，确保专项资金按项目、预算、进度、用途，合法、合理、合规的使用。</w:t>
            </w:r>
          </w:p>
        </w:tc>
      </w:tr>
    </w:tbl>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p>
    <w:tbl>
      <w:tblPr>
        <w:tblStyle w:val="9"/>
        <w:tblW w:w="92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5"/>
        <w:gridCol w:w="1000"/>
        <w:gridCol w:w="1065"/>
        <w:gridCol w:w="1260"/>
        <w:gridCol w:w="1160"/>
        <w:gridCol w:w="1110"/>
        <w:gridCol w:w="1060"/>
        <w:gridCol w:w="12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280"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6"/>
                <w:szCs w:val="36"/>
                <w:u w:val="none"/>
              </w:rPr>
            </w:pPr>
            <w:r>
              <w:rPr>
                <w:rFonts w:hint="default" w:ascii="方正小标宋_GBK" w:hAnsi="方正小标宋_GBK" w:eastAsia="方正小标宋_GBK" w:cs="方正小标宋_GBK"/>
                <w:i w:val="0"/>
                <w:iCs w:val="0"/>
                <w:color w:val="000000"/>
                <w:kern w:val="0"/>
                <w:sz w:val="36"/>
                <w:szCs w:val="36"/>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填报单位：</w:t>
            </w: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36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基本情况</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2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评审费</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实施(主管）单位</w:t>
            </w:r>
          </w:p>
        </w:tc>
        <w:tc>
          <w:tcPr>
            <w:tcW w:w="34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二、预算执行情况</w:t>
            </w: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24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资金到位情况</w:t>
            </w:r>
          </w:p>
        </w:tc>
        <w:tc>
          <w:tcPr>
            <w:tcW w:w="21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资金执行情况</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389.5117</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到位数：</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389.5117</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389.5117</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389.5117</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389.5117</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389.5117</w:t>
            </w: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18"/>
                <w:szCs w:val="18"/>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8"/>
                <w:szCs w:val="18"/>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三、目标完成情况</w:t>
            </w:r>
          </w:p>
        </w:tc>
        <w:tc>
          <w:tcPr>
            <w:tcW w:w="33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年度预期目标</w:t>
            </w:r>
          </w:p>
        </w:tc>
        <w:tc>
          <w:tcPr>
            <w:tcW w:w="33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具体完成情况</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32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对已安排建设项目、建设项目竣工财务结（决）算以及建设类项目投资效果进行评价审查，对依法依规委托的财政专项资金安排的项目进行追踪问效和核查。</w:t>
            </w:r>
          </w:p>
        </w:tc>
        <w:tc>
          <w:tcPr>
            <w:tcW w:w="333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完成良好</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3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3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3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3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365"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年度绩效指标完成情况</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24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预期指标值</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0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w:t>
            </w:r>
          </w:p>
        </w:tc>
        <w:tc>
          <w:tcPr>
            <w:tcW w:w="106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4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委托中介机构完成财政资金预算评审、决算审查项目数量</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≥40件</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≥40件</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0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24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报告质量</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达到行业标准</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达到行业标准</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0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4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评审项目完成时间</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合同规定时间内完成</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合同规定时间内完成</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0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24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评审费用</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390</w:t>
            </w:r>
            <w:r>
              <w:rPr>
                <w:rFonts w:hint="eastAsia" w:ascii="宋体" w:hAnsi="宋体" w:eastAsia="宋体" w:cs="宋体"/>
                <w:i w:val="0"/>
                <w:iCs w:val="0"/>
                <w:color w:val="000000"/>
                <w:kern w:val="0"/>
                <w:sz w:val="18"/>
                <w:szCs w:val="18"/>
                <w:u w:val="none"/>
                <w:lang w:val="en-US" w:eastAsia="zh-CN" w:bidi="ar"/>
              </w:rPr>
              <w:t>万元</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390</w:t>
            </w:r>
            <w:r>
              <w:rPr>
                <w:rFonts w:hint="eastAsia" w:ascii="宋体" w:hAnsi="宋体" w:eastAsia="宋体" w:cs="宋体"/>
                <w:i w:val="0"/>
                <w:iCs w:val="0"/>
                <w:color w:val="000000"/>
                <w:kern w:val="0"/>
                <w:sz w:val="18"/>
                <w:szCs w:val="18"/>
                <w:u w:val="none"/>
                <w:lang w:val="en-US" w:eastAsia="zh-CN" w:bidi="ar"/>
              </w:rPr>
              <w:t>万元</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0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4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100%</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00"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效益指标（40）</w:t>
            </w:r>
          </w:p>
        </w:tc>
        <w:tc>
          <w:tcPr>
            <w:tcW w:w="106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4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评审程序和结果公正</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评审程序和结果公正</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（10分）</w:t>
            </w:r>
          </w:p>
        </w:tc>
        <w:tc>
          <w:tcPr>
            <w:tcW w:w="106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24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委托方满意度</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96%</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95%</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36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5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136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w:t>
            </w:r>
            <w:r>
              <w:rPr>
                <w:rFonts w:ascii="Calibri" w:hAnsi="Calibri" w:eastAsia="宋体" w:cs="Calibri"/>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存在问题、原因及下一步整改措施</w:t>
            </w:r>
          </w:p>
        </w:tc>
        <w:tc>
          <w:tcPr>
            <w:tcW w:w="791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将进一步认真梳理解决资金管理中的薄弱环节，进一步明确专项资金申报、拨付、使用、管理相关要求，完善专项资金管理制度，确保专项资金按项目、预算、进度、用途，合法、合理、合规的使用。</w:t>
            </w:r>
          </w:p>
        </w:tc>
      </w:tr>
    </w:tbl>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tbl>
      <w:tblPr>
        <w:tblStyle w:val="9"/>
        <w:tblW w:w="89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5"/>
        <w:gridCol w:w="1095"/>
        <w:gridCol w:w="1005"/>
        <w:gridCol w:w="1380"/>
        <w:gridCol w:w="1005"/>
        <w:gridCol w:w="990"/>
        <w:gridCol w:w="1155"/>
        <w:gridCol w:w="11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70"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6"/>
                <w:szCs w:val="36"/>
                <w:u w:val="none"/>
              </w:rPr>
            </w:pPr>
            <w:r>
              <w:rPr>
                <w:rFonts w:hint="default" w:ascii="方正小标宋_GBK" w:hAnsi="方正小标宋_GBK" w:eastAsia="方正小标宋_GBK" w:cs="方正小标宋_GBK"/>
                <w:i w:val="0"/>
                <w:iCs w:val="0"/>
                <w:color w:val="000000"/>
                <w:kern w:val="0"/>
                <w:sz w:val="36"/>
                <w:szCs w:val="36"/>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填报单位：</w:t>
            </w: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21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w:t>
            </w:r>
            <w:r>
              <w:rPr>
                <w:rFonts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基本情况</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项目名称</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财政机关运行经费/财政综合管理经费</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实施(主管）单位</w:t>
            </w:r>
          </w:p>
        </w:tc>
        <w:tc>
          <w:tcPr>
            <w:tcW w:w="32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二、预算执行情况</w:t>
            </w: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预算安排情况（调整后）</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资金到位情况</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资金执行情况</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预算数：</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96.41349</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到位数：</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96.41349</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执行数：</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96.41349</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                 财政资金</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96.41349</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                      财政资金</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96.41349</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                     财政资金</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96.41349</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16"/>
                <w:szCs w:val="16"/>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三、目标完成情况</w:t>
            </w:r>
          </w:p>
        </w:tc>
        <w:tc>
          <w:tcPr>
            <w:tcW w:w="34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年度预期目标</w:t>
            </w:r>
          </w:p>
        </w:tc>
        <w:tc>
          <w:tcPr>
            <w:tcW w:w="31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具体完成情况</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48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加强了工作制度建设，工作效能的建设和工作队伍的建设，提高政策研究能力和执行服务能力。</w:t>
            </w:r>
          </w:p>
        </w:tc>
        <w:tc>
          <w:tcPr>
            <w:tcW w:w="31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完成良好</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4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1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48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1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215"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四、</w:t>
            </w:r>
            <w:r>
              <w:rPr>
                <w:rFonts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年度绩效指标完成情况</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一级指标</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二级指标</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预期指标值</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实际完成值</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95"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产出指标（40）</w:t>
            </w:r>
          </w:p>
        </w:tc>
        <w:tc>
          <w:tcPr>
            <w:tcW w:w="100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数量指标</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财政拨款保障率</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95"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质量指标</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工作任务完成情况</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按时完成</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按时完成</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95"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时效指标</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工作按时完成率</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95"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成本指标</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项目预算控制额</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96.41349</w:t>
            </w:r>
            <w:r>
              <w:rPr>
                <w:rFonts w:hint="eastAsia" w:ascii="宋体" w:hAnsi="宋体" w:eastAsia="宋体" w:cs="宋体"/>
                <w:i w:val="0"/>
                <w:iCs w:val="0"/>
                <w:color w:val="000000"/>
                <w:kern w:val="0"/>
                <w:sz w:val="16"/>
                <w:szCs w:val="16"/>
                <w:u w:val="none"/>
                <w:lang w:val="en-US" w:eastAsia="zh-CN" w:bidi="ar"/>
              </w:rPr>
              <w:t>万元</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96.41349</w:t>
            </w:r>
            <w:r>
              <w:rPr>
                <w:rFonts w:hint="eastAsia" w:ascii="宋体" w:hAnsi="宋体" w:eastAsia="宋体" w:cs="宋体"/>
                <w:i w:val="0"/>
                <w:iCs w:val="0"/>
                <w:color w:val="000000"/>
                <w:kern w:val="0"/>
                <w:sz w:val="16"/>
                <w:szCs w:val="16"/>
                <w:u w:val="none"/>
                <w:lang w:val="en-US" w:eastAsia="zh-CN" w:bidi="ar"/>
              </w:rPr>
              <w:t>万元</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（10分）</w:t>
            </w:r>
          </w:p>
        </w:tc>
        <w:tc>
          <w:tcPr>
            <w:tcW w:w="100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95" w:type="dxa"/>
            <w:vMerge w:val="restar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效益指标（40）</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经济效益指标</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降低办公资源，提升管理水平</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合理分配办公资源，降低办公费用，提升管理水平</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合理分配办公资源，有效提高管理水平</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95"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社会效益指标</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加强工作建设，提高工作效率</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保障工作效率</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加强工作建设，有效保障工作效率</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（10分）</w:t>
            </w:r>
          </w:p>
        </w:tc>
        <w:tc>
          <w:tcPr>
            <w:tcW w:w="100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p>
        </w:tc>
        <w:tc>
          <w:tcPr>
            <w:tcW w:w="2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服务对象满意度</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6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总分</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21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775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将进一步认真梳理解决资金管理中的薄弱环节,确保专项资金按项目、预算、进度、用途，合法、合理、合规的使用。</w:t>
            </w:r>
          </w:p>
        </w:tc>
      </w:tr>
    </w:tbl>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p>
    <w:tbl>
      <w:tblPr>
        <w:tblStyle w:val="9"/>
        <w:tblW w:w="88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924"/>
        <w:gridCol w:w="1016"/>
        <w:gridCol w:w="1037"/>
        <w:gridCol w:w="1297"/>
        <w:gridCol w:w="971"/>
        <w:gridCol w:w="1069"/>
        <w:gridCol w:w="13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29" w:hRule="atLeast"/>
        </w:trPr>
        <w:tc>
          <w:tcPr>
            <w:tcW w:w="8840"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default"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115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劳务派遣人员工资</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3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11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8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4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23.28788</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23.28788</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23.28788</w:t>
            </w:r>
          </w:p>
        </w:tc>
        <w:tc>
          <w:tcPr>
            <w:tcW w:w="13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9" w:hRule="atLeast"/>
        </w:trPr>
        <w:tc>
          <w:tcPr>
            <w:tcW w:w="1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23.28788</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23.28788</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23.28788</w:t>
            </w: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1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0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3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01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保障人员工资按时发放</w:t>
            </w:r>
          </w:p>
        </w:tc>
        <w:tc>
          <w:tcPr>
            <w:tcW w:w="336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完成良好</w:t>
            </w:r>
          </w:p>
        </w:tc>
        <w:tc>
          <w:tcPr>
            <w:tcW w:w="13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1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0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6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1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0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6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1153"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4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153"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4"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96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4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劳务派遣人员数量</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≥5人</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5人</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153"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4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保障工作的正常开展</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正常开展</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正常开展</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153"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4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发放的及时性</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99%</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1153"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4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项目总预算数</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28</w:t>
            </w:r>
            <w:r>
              <w:rPr>
                <w:rFonts w:hint="eastAsia" w:ascii="宋体" w:hAnsi="宋体" w:eastAsia="宋体" w:cs="宋体"/>
                <w:i w:val="0"/>
                <w:iCs w:val="0"/>
                <w:color w:val="000000"/>
                <w:kern w:val="0"/>
                <w:sz w:val="20"/>
                <w:szCs w:val="20"/>
                <w:u w:val="none"/>
                <w:lang w:val="en-US" w:eastAsia="zh-CN" w:bidi="ar"/>
              </w:rPr>
              <w:t>万元</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23.28788</w:t>
            </w:r>
            <w:r>
              <w:rPr>
                <w:rFonts w:hint="eastAsia" w:ascii="宋体" w:hAnsi="宋体" w:eastAsia="宋体" w:cs="宋体"/>
                <w:i w:val="0"/>
                <w:iCs w:val="0"/>
                <w:color w:val="000000"/>
                <w:kern w:val="0"/>
                <w:sz w:val="20"/>
                <w:szCs w:val="20"/>
                <w:u w:val="none"/>
                <w:lang w:val="en-US" w:eastAsia="zh-CN" w:bidi="ar"/>
              </w:rPr>
              <w:t>万元</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9" w:hRule="atLeast"/>
        </w:trPr>
        <w:tc>
          <w:tcPr>
            <w:tcW w:w="1153"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6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4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2" w:hRule="atLeast"/>
        </w:trPr>
        <w:tc>
          <w:tcPr>
            <w:tcW w:w="1153"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4"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96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4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家庭生活改善提升 幸福指数提升情况 得以改善</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较提升</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6" w:hRule="atLeast"/>
        </w:trPr>
        <w:tc>
          <w:tcPr>
            <w:tcW w:w="1153"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6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4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受益群体满意度</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153"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3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6" w:hRule="atLeast"/>
        </w:trPr>
        <w:tc>
          <w:tcPr>
            <w:tcW w:w="1153"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768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将进一步认真梳理解决资金管理中的薄弱环节,确保专项资金按项目、预算、进度、用途，合法、合理、合规的使用。</w:t>
            </w:r>
          </w:p>
        </w:tc>
      </w:tr>
    </w:tbl>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ind w:firstLine="620" w:firstLineChars="200"/>
        <w:jc w:val="left"/>
        <w:rPr>
          <w:rFonts w:ascii="仿宋_GB2312" w:hAnsi="仿宋_GB2312" w:eastAsia="仿宋_GB2312" w:cs="仿宋_GB2312"/>
          <w:color w:val="000000"/>
          <w:kern w:val="0"/>
          <w:sz w:val="31"/>
          <w:szCs w:val="31"/>
          <w:lang w:val="en-US" w:eastAsia="zh-CN" w:bidi="ar"/>
        </w:rPr>
      </w:pPr>
    </w:p>
    <w:tbl>
      <w:tblPr>
        <w:tblStyle w:val="9"/>
        <w:tblW w:w="90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944"/>
        <w:gridCol w:w="879"/>
        <w:gridCol w:w="1261"/>
        <w:gridCol w:w="1282"/>
        <w:gridCol w:w="1018"/>
        <w:gridCol w:w="1092"/>
        <w:gridCol w:w="13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1" w:hRule="atLeast"/>
        </w:trPr>
        <w:tc>
          <w:tcPr>
            <w:tcW w:w="9020"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default"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trPr>
        <w:tc>
          <w:tcPr>
            <w:tcW w:w="0" w:type="auto"/>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1116"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省级农村财会人员培训（省级专项资金）</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4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11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8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1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c>
          <w:tcPr>
            <w:tcW w:w="13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3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11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3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1116"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1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4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140" w:type="dxa"/>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组织开展农村财会人员支农惠农政策培训工作，确保资金管理规范。</w:t>
            </w:r>
          </w:p>
        </w:tc>
        <w:tc>
          <w:tcPr>
            <w:tcW w:w="3435" w:type="dxa"/>
            <w:gridSpan w:val="3"/>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完成良好</w:t>
            </w:r>
          </w:p>
        </w:tc>
        <w:tc>
          <w:tcPr>
            <w:tcW w:w="1329"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140" w:type="dxa"/>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35" w:type="dxa"/>
            <w:gridSpan w:val="3"/>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29"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1116"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111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4"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932"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支农惠农政策宣传次数</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5次</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5次</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111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培训人数</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≥240</w:t>
            </w:r>
            <w:r>
              <w:rPr>
                <w:rFonts w:hint="eastAsia" w:ascii="宋体" w:hAnsi="宋体" w:eastAsia="宋体" w:cs="宋体"/>
                <w:i w:val="0"/>
                <w:iCs w:val="0"/>
                <w:color w:val="000000"/>
                <w:kern w:val="0"/>
                <w:sz w:val="20"/>
                <w:szCs w:val="20"/>
                <w:u w:val="none"/>
                <w:lang w:val="en-US" w:eastAsia="zh-CN" w:bidi="ar"/>
              </w:rPr>
              <w:t>人</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220</w:t>
            </w:r>
            <w:r>
              <w:rPr>
                <w:rFonts w:hint="eastAsia" w:ascii="宋体" w:hAnsi="宋体" w:eastAsia="宋体" w:cs="宋体"/>
                <w:i w:val="0"/>
                <w:iCs w:val="0"/>
                <w:color w:val="000000"/>
                <w:kern w:val="0"/>
                <w:sz w:val="20"/>
                <w:szCs w:val="20"/>
                <w:u w:val="none"/>
                <w:lang w:val="en-US" w:eastAsia="zh-CN" w:bidi="ar"/>
              </w:rPr>
              <w:t>人</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111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支农惠农政策宣传时间</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111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项目预算控制额</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万元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万元</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0" w:hRule="atLeast"/>
        </w:trPr>
        <w:tc>
          <w:tcPr>
            <w:tcW w:w="111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3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70" w:hRule="atLeast"/>
        </w:trPr>
        <w:tc>
          <w:tcPr>
            <w:tcW w:w="111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4" w:type="dxa"/>
            <w:vMerge w:val="restar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93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支农惠农政策宣传力度</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实施乡村振兴战略，扎实推进新农村建设</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全县人民认识、了解到了惠农政策，起到了乡村壮大经济，百姓致富的作用</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7" w:hRule="atLeast"/>
        </w:trPr>
        <w:tc>
          <w:tcPr>
            <w:tcW w:w="111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4"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业务能力提升</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了解国家财政惠农政策，提升财会人员业务能力提升</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了解国家财政惠农政策，提升财会人员业务能力提升</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0" w:hRule="atLeast"/>
        </w:trPr>
        <w:tc>
          <w:tcPr>
            <w:tcW w:w="111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3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受益群体满意度</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96%</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111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9" w:hRule="atLeast"/>
        </w:trPr>
        <w:tc>
          <w:tcPr>
            <w:tcW w:w="1116"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790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将进一步认真梳理解决资金管理中的薄弱环节,确保专项资金按项目、预算、进度、用途，合法、合理、合规的使用。</w:t>
            </w:r>
          </w:p>
        </w:tc>
      </w:tr>
    </w:tbl>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tbl>
      <w:tblPr>
        <w:tblStyle w:val="9"/>
        <w:tblW w:w="87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973"/>
        <w:gridCol w:w="925"/>
        <w:gridCol w:w="1272"/>
        <w:gridCol w:w="1011"/>
        <w:gridCol w:w="1049"/>
        <w:gridCol w:w="923"/>
        <w:gridCol w:w="13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48" w:hRule="atLeast"/>
        </w:trPr>
        <w:tc>
          <w:tcPr>
            <w:tcW w:w="8740"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default"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0" w:type="auto"/>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0"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115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智税分析平台费用</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3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9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50</w:t>
            </w:r>
          </w:p>
        </w:tc>
        <w:tc>
          <w:tcPr>
            <w:tcW w:w="13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3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3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2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29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3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利用综合智税系统数据，充分挖掘收潜力，科学治税、信息治税，完善协税护税体系，堵塞税收征管漏洞，实现依法治税。</w:t>
            </w:r>
          </w:p>
        </w:tc>
        <w:tc>
          <w:tcPr>
            <w:tcW w:w="298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完成良好</w:t>
            </w:r>
          </w:p>
        </w:tc>
        <w:tc>
          <w:tcPr>
            <w:tcW w:w="13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3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98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3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98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1150"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15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73"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961"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涉税信息分析数量条数</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≥10万条</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10万条</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15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73"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疑似税源入库率</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≥3000万元</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3000</w:t>
            </w:r>
            <w:r>
              <w:rPr>
                <w:rFonts w:hint="eastAsia" w:ascii="宋体" w:hAnsi="宋体" w:eastAsia="宋体" w:cs="宋体"/>
                <w:i w:val="0"/>
                <w:iCs w:val="0"/>
                <w:color w:val="000000"/>
                <w:kern w:val="0"/>
                <w:sz w:val="20"/>
                <w:szCs w:val="20"/>
                <w:u w:val="none"/>
                <w:lang w:val="en-US" w:eastAsia="zh-CN" w:bidi="ar"/>
              </w:rPr>
              <w:t>万元</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15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73"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信息获取及时率</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15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73"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年初预算数</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50</w:t>
            </w:r>
            <w:r>
              <w:rPr>
                <w:rFonts w:hint="eastAsia" w:ascii="宋体" w:hAnsi="宋体" w:eastAsia="宋体" w:cs="宋体"/>
                <w:i w:val="0"/>
                <w:iCs w:val="0"/>
                <w:color w:val="000000"/>
                <w:kern w:val="0"/>
                <w:sz w:val="20"/>
                <w:szCs w:val="20"/>
                <w:u w:val="none"/>
                <w:lang w:val="en-US" w:eastAsia="zh-CN" w:bidi="ar"/>
              </w:rPr>
              <w:t>万元</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50</w:t>
            </w:r>
            <w:r>
              <w:rPr>
                <w:rFonts w:hint="eastAsia" w:ascii="宋体" w:hAnsi="宋体" w:eastAsia="宋体" w:cs="宋体"/>
                <w:i w:val="0"/>
                <w:iCs w:val="0"/>
                <w:color w:val="000000"/>
                <w:kern w:val="0"/>
                <w:sz w:val="20"/>
                <w:szCs w:val="20"/>
                <w:u w:val="none"/>
                <w:lang w:val="en-US" w:eastAsia="zh-CN" w:bidi="ar"/>
              </w:rPr>
              <w:t>万元</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trPr>
        <w:tc>
          <w:tcPr>
            <w:tcW w:w="115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61"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115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73"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96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税收金额达到数</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≥1000万元</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1000</w:t>
            </w:r>
            <w:r>
              <w:rPr>
                <w:rFonts w:hint="eastAsia" w:ascii="宋体" w:hAnsi="宋体" w:eastAsia="宋体" w:cs="宋体"/>
                <w:i w:val="0"/>
                <w:iCs w:val="0"/>
                <w:color w:val="000000"/>
                <w:kern w:val="0"/>
                <w:sz w:val="20"/>
                <w:szCs w:val="20"/>
                <w:u w:val="none"/>
                <w:lang w:val="en-US" w:eastAsia="zh-CN" w:bidi="ar"/>
              </w:rPr>
              <w:t>万元</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6" w:hRule="atLeast"/>
        </w:trPr>
        <w:tc>
          <w:tcPr>
            <w:tcW w:w="115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6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115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2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4" w:hRule="atLeast"/>
        </w:trPr>
        <w:tc>
          <w:tcPr>
            <w:tcW w:w="115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759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将进一步认真梳理解决资金管理中的薄弱环节,确保专项资金按项目、预算、进度、用途，合法、合理、合规的使用。</w:t>
            </w:r>
          </w:p>
        </w:tc>
      </w:tr>
    </w:tbl>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tbl>
      <w:tblPr>
        <w:tblStyle w:val="9"/>
        <w:tblW w:w="89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936"/>
        <w:gridCol w:w="924"/>
        <w:gridCol w:w="1232"/>
        <w:gridCol w:w="1223"/>
        <w:gridCol w:w="1009"/>
        <w:gridCol w:w="1082"/>
        <w:gridCol w:w="13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8940"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default"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0" w:type="auto"/>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trPr>
        <w:tc>
          <w:tcPr>
            <w:tcW w:w="1106"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1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政府救助保险工作</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4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trPr>
        <w:tc>
          <w:tcPr>
            <w:tcW w:w="1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1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1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维护社会和谐稳定，保障全县群众生命、财产安全，提高社会救助能力。</w:t>
            </w:r>
          </w:p>
        </w:tc>
        <w:tc>
          <w:tcPr>
            <w:tcW w:w="340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完成良好</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1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0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1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0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106"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10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6"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924"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保障全县人数</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≥17.7万人</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17.7万人</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110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6"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有效服务保障率</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trPr>
        <w:tc>
          <w:tcPr>
            <w:tcW w:w="110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6"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预算资金</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17.7</w:t>
            </w:r>
            <w:r>
              <w:rPr>
                <w:rFonts w:hint="eastAsia" w:ascii="宋体" w:hAnsi="宋体" w:eastAsia="宋体" w:cs="宋体"/>
                <w:i w:val="0"/>
                <w:iCs w:val="0"/>
                <w:color w:val="000000"/>
                <w:kern w:val="0"/>
                <w:sz w:val="20"/>
                <w:szCs w:val="20"/>
                <w:u w:val="none"/>
                <w:lang w:val="en-US" w:eastAsia="zh-CN" w:bidi="ar"/>
              </w:rPr>
              <w:t>万元</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17.7</w:t>
            </w:r>
            <w:r>
              <w:rPr>
                <w:rFonts w:hint="eastAsia" w:ascii="宋体" w:hAnsi="宋体" w:eastAsia="宋体" w:cs="宋体"/>
                <w:i w:val="0"/>
                <w:iCs w:val="0"/>
                <w:color w:val="000000"/>
                <w:kern w:val="0"/>
                <w:sz w:val="20"/>
                <w:szCs w:val="20"/>
                <w:u w:val="none"/>
                <w:lang w:val="en-US" w:eastAsia="zh-CN" w:bidi="ar"/>
              </w:rPr>
              <w:t>万元</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9" w:hRule="atLeast"/>
        </w:trPr>
        <w:tc>
          <w:tcPr>
            <w:tcW w:w="110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2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trPr>
        <w:tc>
          <w:tcPr>
            <w:tcW w:w="110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6"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92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切实维护社会稳定</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切实维护社会稳定</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有效维护社会稳定</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9" w:hRule="atLeast"/>
        </w:trPr>
        <w:tc>
          <w:tcPr>
            <w:tcW w:w="110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2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110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1" w:hRule="atLeast"/>
        </w:trPr>
        <w:tc>
          <w:tcPr>
            <w:tcW w:w="1106"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783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将进一步认真梳理解决资金管理中的薄弱环节,确保专项资金按项目、预算、进度、用途，合法、合理、合规的使用。</w:t>
            </w:r>
          </w:p>
        </w:tc>
      </w:tr>
    </w:tbl>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tbl>
      <w:tblPr>
        <w:tblStyle w:val="9"/>
        <w:tblW w:w="89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940"/>
        <w:gridCol w:w="928"/>
        <w:gridCol w:w="1183"/>
        <w:gridCol w:w="1289"/>
        <w:gridCol w:w="1014"/>
        <w:gridCol w:w="1087"/>
        <w:gridCol w:w="13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1" w:hRule="atLeast"/>
        </w:trPr>
        <w:tc>
          <w:tcPr>
            <w:tcW w:w="8980"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default"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1111"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1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供热管道维修和楼顶修缮费用</w:t>
            </w:r>
          </w:p>
        </w:tc>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4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11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8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5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6"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4.975</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4.975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4.975</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4.975</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4.975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4.975</w:t>
            </w: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trPr>
        <w:tc>
          <w:tcPr>
            <w:tcW w:w="11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1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4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12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供热管道维修和楼顶修缮费用</w:t>
            </w:r>
          </w:p>
        </w:tc>
        <w:tc>
          <w:tcPr>
            <w:tcW w:w="34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完成良好</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12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1111"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5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111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92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5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房屋维修</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1次</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111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5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工程验收合格率</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99%</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111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5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按期完成情况</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按时完成</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按时完成</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111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5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项目总成本</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4.975</w:t>
            </w:r>
            <w:r>
              <w:rPr>
                <w:rFonts w:hint="eastAsia" w:ascii="宋体" w:hAnsi="宋体" w:eastAsia="宋体" w:cs="宋体"/>
                <w:i w:val="0"/>
                <w:iCs w:val="0"/>
                <w:color w:val="000000"/>
                <w:kern w:val="0"/>
                <w:sz w:val="20"/>
                <w:szCs w:val="20"/>
                <w:u w:val="none"/>
                <w:lang w:val="en-US" w:eastAsia="zh-CN" w:bidi="ar"/>
              </w:rPr>
              <w:t>万元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4.975</w:t>
            </w:r>
            <w:r>
              <w:rPr>
                <w:rFonts w:hint="eastAsia" w:ascii="宋体" w:hAnsi="宋体" w:eastAsia="宋体" w:cs="宋体"/>
                <w:i w:val="0"/>
                <w:iCs w:val="0"/>
                <w:color w:val="000000"/>
                <w:kern w:val="0"/>
                <w:sz w:val="20"/>
                <w:szCs w:val="20"/>
                <w:u w:val="none"/>
                <w:lang w:val="en-US" w:eastAsia="zh-CN" w:bidi="ar"/>
              </w:rPr>
              <w:t>万元</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11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28"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5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111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0"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92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5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保障正常办公</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保障正常办公</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保障正常办公</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11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2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5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1111"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4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0" w:hRule="atLeast"/>
        </w:trPr>
        <w:tc>
          <w:tcPr>
            <w:tcW w:w="1111"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786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将进一步认真梳理解决资金管理中的薄弱环节,确保专项资金按项目、预算、进度、用途，合法、合理、合规的使用。</w:t>
            </w:r>
          </w:p>
        </w:tc>
      </w:tr>
    </w:tbl>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numPr>
          <w:ilvl w:val="0"/>
          <w:numId w:val="2"/>
        </w:num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部门评价项目绩效评价结果</w:t>
      </w:r>
    </w:p>
    <w:p>
      <w:pPr>
        <w:keepNext w:val="0"/>
        <w:keepLines w:val="0"/>
        <w:widowControl/>
        <w:suppressLineNumbers w:val="0"/>
        <w:ind w:firstLine="620" w:firstLineChars="200"/>
        <w:jc w:val="left"/>
      </w:pPr>
      <w:r>
        <w:rPr>
          <w:rFonts w:ascii="仿宋_GB2312" w:hAnsi="仿宋_GB2312" w:eastAsia="仿宋_GB2312" w:cs="仿宋_GB2312"/>
          <w:color w:val="000000"/>
          <w:kern w:val="0"/>
          <w:sz w:val="31"/>
          <w:szCs w:val="31"/>
          <w:lang w:val="en-US" w:eastAsia="zh-CN" w:bidi="ar"/>
        </w:rPr>
        <w:t xml:space="preserve">绩效评价小组根据《项目支出绩效评价管理办法》发文要求，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为全面实施预算绩效管理，建立科学、合理的项目支出绩效评价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管理体系，提高财政资源配置效率和使用效益，依照《中华人民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共和国预算法》和《中共中央国务院关于全面实施预算绩效管理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的意见》等有关规定，对 </w:t>
      </w:r>
      <w:r>
        <w:rPr>
          <w:rFonts w:hint="default" w:ascii="Times New Roman" w:hAnsi="Times New Roman" w:eastAsia="宋体" w:cs="Times New Roman"/>
          <w:color w:val="000000"/>
          <w:kern w:val="0"/>
          <w:sz w:val="31"/>
          <w:szCs w:val="31"/>
          <w:lang w:val="en-US" w:eastAsia="zh-CN" w:bidi="ar"/>
        </w:rPr>
        <w:t>202</w:t>
      </w:r>
      <w:r>
        <w:rPr>
          <w:rFonts w:hint="eastAsia" w:ascii="Times New Roman" w:hAnsi="Times New Roman" w:eastAsia="宋体" w:cs="Times New Roman"/>
          <w:color w:val="000000"/>
          <w:kern w:val="0"/>
          <w:sz w:val="31"/>
          <w:szCs w:val="31"/>
          <w:lang w:val="en-US" w:eastAsia="zh-CN" w:bidi="ar"/>
        </w:rPr>
        <w:t>5</w:t>
      </w:r>
      <w:r>
        <w:rPr>
          <w:rFonts w:hint="default" w:ascii="Times New Roman" w:hAnsi="Times New Roman" w:eastAsia="宋体" w:cs="Times New Roman"/>
          <w:color w:val="000000"/>
          <w:kern w:val="0"/>
          <w:sz w:val="31"/>
          <w:szCs w:val="31"/>
          <w:lang w:val="en-US" w:eastAsia="zh-CN" w:bidi="ar"/>
        </w:rPr>
        <w:t xml:space="preserve"> </w:t>
      </w:r>
      <w:r>
        <w:rPr>
          <w:rFonts w:ascii="仿宋_GB2312" w:hAnsi="仿宋_GB2312" w:eastAsia="仿宋_GB2312" w:cs="仿宋_GB2312"/>
          <w:color w:val="000000"/>
          <w:kern w:val="0"/>
          <w:sz w:val="31"/>
          <w:szCs w:val="31"/>
          <w:lang w:val="en-US" w:eastAsia="zh-CN" w:bidi="ar"/>
        </w:rPr>
        <w:t xml:space="preserve">年度高邑县财政局进行绩效评价工 </w:t>
      </w:r>
    </w:p>
    <w:p>
      <w:pPr>
        <w:keepNext w:val="0"/>
        <w:keepLines w:val="0"/>
        <w:widowControl/>
        <w:suppressLineNumbers w:val="0"/>
        <w:jc w:val="left"/>
        <w:rPr>
          <w:rFonts w:ascii="Times New Roman" w:hAnsi="Times New Roman" w:eastAsia="仿宋_GB2312" w:cs="Times New Roman"/>
          <w:b/>
          <w:bCs/>
          <w:sz w:val="32"/>
          <w:szCs w:val="32"/>
        </w:rPr>
      </w:pPr>
      <w:r>
        <w:rPr>
          <w:rFonts w:ascii="仿宋_GB2312" w:hAnsi="仿宋_GB2312" w:eastAsia="仿宋_GB2312" w:cs="仿宋_GB2312"/>
          <w:color w:val="000000"/>
          <w:kern w:val="0"/>
          <w:sz w:val="31"/>
          <w:szCs w:val="31"/>
          <w:lang w:val="en-US" w:eastAsia="zh-CN" w:bidi="ar"/>
        </w:rPr>
        <w:t>作。经自评等级为</w:t>
      </w:r>
      <w:r>
        <w:rPr>
          <w:rFonts w:ascii="Calibri" w:hAnsi="Calibri" w:eastAsia="宋体" w:cs="Calibri"/>
          <w:color w:val="000000"/>
          <w:kern w:val="0"/>
          <w:sz w:val="31"/>
          <w:szCs w:val="31"/>
          <w:lang w:val="en-US" w:eastAsia="zh-CN" w:bidi="ar"/>
        </w:rPr>
        <w:t>“</w:t>
      </w:r>
      <w:r>
        <w:rPr>
          <w:rFonts w:ascii="仿宋_GB2312" w:hAnsi="仿宋_GB2312" w:eastAsia="仿宋_GB2312" w:cs="仿宋_GB2312"/>
          <w:color w:val="000000"/>
          <w:kern w:val="0"/>
          <w:sz w:val="31"/>
          <w:szCs w:val="31"/>
          <w:lang w:val="en-US" w:eastAsia="zh-CN" w:bidi="ar"/>
        </w:rPr>
        <w:t>优秀</w:t>
      </w:r>
      <w:r>
        <w:rPr>
          <w:rFonts w:hint="default" w:ascii="Calibri" w:hAnsi="Calibri" w:eastAsia="宋体" w:cs="Calibri"/>
          <w:color w:val="000000"/>
          <w:kern w:val="0"/>
          <w:sz w:val="31"/>
          <w:szCs w:val="31"/>
          <w:lang w:val="en-US" w:eastAsia="zh-CN" w:bidi="ar"/>
        </w:rPr>
        <w:t>”</w:t>
      </w:r>
      <w:r>
        <w:rPr>
          <w:rFonts w:ascii="仿宋_GB2312" w:hAnsi="仿宋_GB2312" w:eastAsia="仿宋_GB2312" w:cs="仿宋_GB2312"/>
          <w:color w:val="000000"/>
          <w:kern w:val="0"/>
          <w:sz w:val="31"/>
          <w:szCs w:val="31"/>
          <w:lang w:val="en-US" w:eastAsia="zh-CN" w:bidi="ar"/>
        </w:rPr>
        <w:t>，较好地完成了年度工作目标。</w:t>
      </w:r>
    </w:p>
    <w:p>
      <w:pPr>
        <w:adjustRightInd w:val="0"/>
        <w:snapToGrid w:val="0"/>
        <w:spacing w:line="580" w:lineRule="exact"/>
        <w:ind w:firstLine="640" w:firstLineChars="200"/>
        <w:rPr>
          <w:rFonts w:ascii="Times New Roman" w:hAnsi="Times New Roman" w:eastAsia="楷体_GB2312" w:cs="Times New Roman"/>
          <w:b/>
          <w:bCs/>
          <w:sz w:val="32"/>
          <w:szCs w:val="32"/>
        </w:rPr>
      </w:pPr>
      <w:r>
        <w:rPr>
          <w:rFonts w:ascii="Times New Roman" w:hAnsi="Times New Roman" w:eastAsia="黑体" w:cs="Times New Roman"/>
          <w:sz w:val="32"/>
          <w:szCs w:val="32"/>
        </w:rPr>
        <w:t>十、其他需要说明的情况</w:t>
      </w:r>
    </w:p>
    <w:p>
      <w:pPr>
        <w:keepNext w:val="0"/>
        <w:keepLines w:val="0"/>
        <w:widowControl/>
        <w:suppressLineNumbers w:val="0"/>
        <w:ind w:firstLine="640" w:firstLineChars="200"/>
        <w:jc w:val="left"/>
      </w:pPr>
      <w:r>
        <w:rPr>
          <w:rFonts w:ascii="Times New Roman" w:hAnsi="Times New Roman" w:eastAsia="仿宋_GB2312" w:cs="Times New Roman"/>
          <w:sz w:val="32"/>
          <w:szCs w:val="32"/>
        </w:rPr>
        <w:t>1. 本部门2025年度</w:t>
      </w:r>
      <w:r>
        <w:rPr>
          <w:rFonts w:ascii="仿宋_GB2312" w:hAnsi="仿宋_GB2312" w:eastAsia="仿宋_GB2312" w:cs="仿宋_GB2312"/>
          <w:color w:val="000000"/>
          <w:kern w:val="0"/>
          <w:sz w:val="31"/>
          <w:szCs w:val="31"/>
          <w:lang w:val="en-US" w:eastAsia="zh-CN" w:bidi="ar"/>
        </w:rPr>
        <w:t xml:space="preserve">政府性基金预算财政拨款收入支出决算表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（公开 </w:t>
      </w:r>
      <w:r>
        <w:rPr>
          <w:rFonts w:hint="default" w:ascii="Times New Roman" w:hAnsi="Times New Roman" w:eastAsia="宋体" w:cs="Times New Roman"/>
          <w:color w:val="000000"/>
          <w:kern w:val="0"/>
          <w:sz w:val="31"/>
          <w:szCs w:val="31"/>
          <w:lang w:val="en-US" w:eastAsia="zh-CN" w:bidi="ar"/>
        </w:rPr>
        <w:t xml:space="preserve">07 </w:t>
      </w:r>
      <w:r>
        <w:rPr>
          <w:rFonts w:ascii="仿宋_GB2312" w:hAnsi="仿宋_GB2312" w:eastAsia="仿宋_GB2312" w:cs="仿宋_GB2312"/>
          <w:color w:val="000000"/>
          <w:kern w:val="0"/>
          <w:sz w:val="31"/>
          <w:szCs w:val="31"/>
          <w:lang w:val="en-US" w:eastAsia="zh-CN" w:bidi="ar"/>
        </w:rPr>
        <w:t xml:space="preserve">表）、国有资本经营预算财政拨款支出决算表（公开 </w:t>
      </w:r>
      <w:r>
        <w:rPr>
          <w:rFonts w:hint="default" w:ascii="Times New Roman" w:hAnsi="Times New Roman" w:eastAsia="宋体" w:cs="Times New Roman"/>
          <w:color w:val="000000"/>
          <w:kern w:val="0"/>
          <w:sz w:val="31"/>
          <w:szCs w:val="31"/>
          <w:lang w:val="en-US" w:eastAsia="zh-CN" w:bidi="ar"/>
        </w:rPr>
        <w:t xml:space="preserve">08 </w:t>
      </w:r>
    </w:p>
    <w:p>
      <w:pPr>
        <w:keepNext w:val="0"/>
        <w:keepLines w:val="0"/>
        <w:widowControl/>
        <w:suppressLineNumbers w:val="0"/>
        <w:jc w:val="left"/>
      </w:pPr>
      <w:r>
        <w:rPr>
          <w:rFonts w:ascii="仿宋_GB2312" w:hAnsi="仿宋_GB2312" w:eastAsia="仿宋_GB2312" w:cs="仿宋_GB2312"/>
          <w:color w:val="000000"/>
          <w:kern w:val="0"/>
          <w:sz w:val="31"/>
          <w:szCs w:val="31"/>
          <w:lang w:val="en-US" w:eastAsia="zh-CN" w:bidi="ar"/>
        </w:rPr>
        <w:t xml:space="preserve">表）无相应收支，故空表列示。 </w:t>
      </w:r>
    </w:p>
    <w:p>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 由于决算公开表格中金额数值应当保留两位小数，公开数据为四舍五入计算结果，个别数据合计项与分项之和存在小数点后差额，特此说明。</w:t>
      </w:r>
    </w:p>
    <w:p>
      <w:pPr>
        <w:widowControl/>
        <w:spacing w:line="580" w:lineRule="exact"/>
        <w:ind w:firstLine="883" w:firstLineChars="200"/>
        <w:jc w:val="left"/>
        <w:rPr>
          <w:rFonts w:ascii="Times New Roman" w:hAnsi="Times New Roman" w:eastAsia="宋体" w:cs="Times New Roman"/>
          <w:b/>
          <w:bCs/>
          <w:kern w:val="0"/>
          <w:sz w:val="44"/>
          <w:szCs w:val="44"/>
        </w:rPr>
      </w:pPr>
    </w:p>
    <w:p>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line="580" w:lineRule="exact"/>
        <w:jc w:val="center"/>
        <w:rPr>
          <w:rFonts w:ascii="Times New Roman" w:hAnsi="Times New Roman" w:cs="Times New Roman"/>
          <w:sz w:val="44"/>
          <w:szCs w:val="44"/>
          <w14:textOutline w14:w="9525" w14:cap="flat" w14:cmpd="sng" w14:algn="ctr">
            <w14:solidFill>
              <w14:schemeClr w14:val="tx1">
                <w14:lumMod w14:val="50000"/>
                <w14:lumOff w14:val="50000"/>
              </w14:schemeClr>
            </w14:solidFill>
            <w14:prstDash w14:val="solid"/>
            <w14:round/>
          </w14:textOutline>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第四部分 名词解释</w:t>
      </w:r>
    </w:p>
    <w:p>
      <w:pPr>
        <w:spacing w:line="580" w:lineRule="exact"/>
        <w:rPr>
          <w:rFonts w:ascii="Times New Roman" w:hAnsi="Times New Roman" w:eastAsia="仿宋_GB2312" w:cs="Times New Roman"/>
          <w:sz w:val="32"/>
          <w:szCs w:val="32"/>
        </w:rPr>
      </w:pPr>
    </w:p>
    <w:p>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一、财政拨款收入：</w:t>
      </w:r>
      <w:r>
        <w:rPr>
          <w:rFonts w:ascii="Times New Roman" w:hAnsi="Times New Roman" w:eastAsia="仿宋_GB2312" w:cs="Times New Roman"/>
          <w:sz w:val="32"/>
          <w:szCs w:val="32"/>
        </w:rPr>
        <w:t>指单位从同级财政部门取得的财政预算资金。</w:t>
      </w:r>
    </w:p>
    <w:p>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二、事业收入：</w:t>
      </w:r>
      <w:r>
        <w:rPr>
          <w:rFonts w:ascii="Times New Roman" w:hAnsi="Times New Roman" w:eastAsia="仿宋_GB2312" w:cs="Times New Roman"/>
          <w:sz w:val="32"/>
          <w:szCs w:val="32"/>
        </w:rPr>
        <w:t>指事业单位开展专业业务活动及辅助活动取得的收入。</w:t>
      </w:r>
    </w:p>
    <w:p>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三、经营收入：</w:t>
      </w:r>
      <w:r>
        <w:rPr>
          <w:rFonts w:ascii="Times New Roman" w:hAnsi="Times New Roman" w:eastAsia="仿宋_GB2312" w:cs="Times New Roman"/>
          <w:sz w:val="32"/>
          <w:szCs w:val="32"/>
        </w:rPr>
        <w:t>指事业单位在专业业务活动及其辅助活动之外开展非独立核算经营活动取得的收入。</w:t>
      </w:r>
    </w:p>
    <w:p>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四、其他收入：</w:t>
      </w:r>
      <w:r>
        <w:rPr>
          <w:rFonts w:ascii="Times New Roman" w:hAnsi="Times New Roman" w:eastAsia="仿宋_GB2312" w:cs="Times New Roman"/>
          <w:sz w:val="32"/>
          <w:szCs w:val="32"/>
        </w:rPr>
        <w:t>指单位取得的除上述收入以外的各项收入。主要是事业单位固定资产出租收入、存款利息收入等。</w:t>
      </w:r>
    </w:p>
    <w:p>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五、使用非财政拨款结余（含专用结余）：</w:t>
      </w:r>
      <w:r>
        <w:rPr>
          <w:rFonts w:ascii="Times New Roman" w:hAnsi="Times New Roman" w:eastAsia="仿宋_GB2312" w:cs="Times New Roman"/>
          <w:sz w:val="32"/>
          <w:szCs w:val="32"/>
        </w:rPr>
        <w:t>指事业单位按照预算管理要求使用非财政拨款结余弥补收支差额的金额，以及使用专用结余安排支出的金额。</w:t>
      </w:r>
    </w:p>
    <w:p>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六、年初结转和结余：</w:t>
      </w:r>
      <w:r>
        <w:rPr>
          <w:rFonts w:ascii="Times New Roman" w:hAnsi="Times New Roman" w:eastAsia="仿宋_GB2312" w:cs="Times New Roman"/>
          <w:bCs/>
          <w:color w:val="000000"/>
          <w:kern w:val="0"/>
          <w:sz w:val="32"/>
          <w:szCs w:val="32"/>
        </w:rPr>
        <w:t>指单位以前年度尚未完成、结转到本年仍按原规定用途继续使用的资金，或项目已完成等产生的结余资金。</w:t>
      </w:r>
    </w:p>
    <w:p>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七、结余分配：</w:t>
      </w:r>
      <w:r>
        <w:rPr>
          <w:rFonts w:ascii="Times New Roman" w:hAnsi="Times New Roman" w:eastAsia="仿宋_GB2312" w:cs="Times New Roman"/>
          <w:bCs/>
          <w:color w:val="000000"/>
          <w:kern w:val="0"/>
          <w:sz w:val="32"/>
          <w:szCs w:val="32"/>
        </w:rPr>
        <w:t>指事业单位按照会计制度规定缴纳的所得税、提取的专用结余以及转入非财政拨款结余的金额等。</w:t>
      </w:r>
    </w:p>
    <w:p>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八、年末结转和结余：</w:t>
      </w:r>
      <w:r>
        <w:rPr>
          <w:rFonts w:ascii="Times New Roman" w:hAnsi="Times New Roman" w:eastAsia="仿宋_GB2312" w:cs="Times New Roman"/>
          <w:bCs/>
          <w:color w:val="000000"/>
          <w:kern w:val="0"/>
          <w:sz w:val="32"/>
          <w:szCs w:val="32"/>
        </w:rPr>
        <w:t>指单位按有关规定结转到下年或以后年度继续使用的资金，或项目已完成等产生的结余资金。</w:t>
      </w:r>
    </w:p>
    <w:p>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九、基本支出：</w:t>
      </w:r>
      <w:r>
        <w:rPr>
          <w:rFonts w:ascii="Times New Roman" w:hAnsi="Times New Roman" w:eastAsia="仿宋_GB2312" w:cs="Times New Roman"/>
          <w:bCs/>
          <w:color w:val="000000"/>
          <w:kern w:val="0"/>
          <w:sz w:val="32"/>
          <w:szCs w:val="32"/>
        </w:rPr>
        <w:t>指为保障机构正常运转、完成日常工作任务而发生的人员支出和公用支出。</w:t>
      </w:r>
    </w:p>
    <w:p>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十、项目支出：</w:t>
      </w:r>
      <w:r>
        <w:rPr>
          <w:rFonts w:ascii="Times New Roman" w:hAnsi="Times New Roman" w:eastAsia="仿宋_GB2312" w:cs="Times New Roman"/>
          <w:color w:val="000000"/>
          <w:kern w:val="0"/>
          <w:sz w:val="32"/>
          <w:szCs w:val="32"/>
        </w:rPr>
        <w:t>指在基本支出之外为完成特定行政任务和事业发展目标所发生的支出。</w:t>
      </w:r>
    </w:p>
    <w:p>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十一、经营支出</w:t>
      </w:r>
      <w:r>
        <w:rPr>
          <w:rFonts w:hint="eastAsia" w:ascii="Times New Roman" w:hAnsi="Times New Roman" w:eastAsia="仿宋_GB2312" w:cs="Times New Roman"/>
          <w:b/>
          <w:bCs/>
          <w:color w:val="000000"/>
          <w:kern w:val="0"/>
          <w:sz w:val="32"/>
          <w:szCs w:val="32"/>
        </w:rPr>
        <w:t>：</w:t>
      </w:r>
      <w:r>
        <w:rPr>
          <w:rFonts w:ascii="Times New Roman" w:hAnsi="Times New Roman" w:eastAsia="仿宋_GB2312" w:cs="Times New Roman"/>
          <w:color w:val="000000"/>
          <w:kern w:val="0"/>
          <w:sz w:val="32"/>
          <w:szCs w:val="32"/>
        </w:rPr>
        <w:t>指事业单位在专业业务活动及其辅助活动之外开展非独立核算经营活动发生的支出。</w:t>
      </w:r>
    </w:p>
    <w:p>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十二、基本建设支出：</w:t>
      </w:r>
      <w:r>
        <w:rPr>
          <w:rFonts w:ascii="Times New Roman" w:hAnsi="Times New Roman"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580" w:lineRule="exact"/>
        <w:ind w:firstLine="643" w:firstLineChars="200"/>
        <w:rPr>
          <w:rFonts w:ascii="Times New Roman" w:hAnsi="Times New Roman" w:eastAsia="仿宋_GB2312" w:cs="Times New Roman"/>
          <w:b/>
          <w:bCs/>
          <w:color w:val="000000"/>
          <w:kern w:val="0"/>
          <w:sz w:val="32"/>
          <w:szCs w:val="32"/>
        </w:rPr>
      </w:pPr>
      <w:r>
        <w:rPr>
          <w:rFonts w:ascii="Times New Roman" w:hAnsi="Times New Roman" w:eastAsia="仿宋_GB2312" w:cs="Times New Roman"/>
          <w:b/>
          <w:bCs/>
          <w:color w:val="000000"/>
          <w:kern w:val="0"/>
          <w:sz w:val="32"/>
          <w:szCs w:val="32"/>
        </w:rPr>
        <w:t>十三、其他资本性支出：</w:t>
      </w:r>
      <w:r>
        <w:rPr>
          <w:rFonts w:ascii="Times New Roman" w:hAnsi="Times New Roman"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十四、“三公”经费：</w:t>
      </w:r>
      <w:r>
        <w:rPr>
          <w:rFonts w:ascii="Times New Roman" w:hAnsi="Times New Roman"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十五、其他交通费用：</w:t>
      </w:r>
      <w:r>
        <w:rPr>
          <w:rFonts w:ascii="Times New Roman" w:hAnsi="Times New Roman" w:eastAsia="仿宋_GB2312"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十六、公务用车购置：</w:t>
      </w:r>
      <w:r>
        <w:rPr>
          <w:rFonts w:ascii="Times New Roman" w:hAnsi="Times New Roman" w:eastAsia="仿宋_GB2312" w:cs="Times New Roman"/>
          <w:color w:val="000000"/>
          <w:kern w:val="0"/>
          <w:sz w:val="32"/>
          <w:szCs w:val="32"/>
        </w:rPr>
        <w:t>填列单位公务用车车辆购置支出（含车辆购置税、牌照费）。</w:t>
      </w:r>
    </w:p>
    <w:p>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十七、其他交通工具购置：</w:t>
      </w:r>
      <w:r>
        <w:rPr>
          <w:rFonts w:ascii="Times New Roman" w:hAnsi="Times New Roman" w:eastAsia="仿宋_GB2312" w:cs="Times New Roman"/>
          <w:color w:val="000000"/>
          <w:kern w:val="0"/>
          <w:sz w:val="32"/>
          <w:szCs w:val="32"/>
        </w:rPr>
        <w:t>填列单位除公务用车外的其他各类交通工具（如船舶、飞机等）购置支出（含车辆购置税、牌照费）。</w:t>
      </w:r>
    </w:p>
    <w:p>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十八、机关运行经费：</w:t>
      </w:r>
      <w:r>
        <w:rPr>
          <w:rFonts w:ascii="Times New Roman" w:hAnsi="Times New Roman"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spacing w:line="580" w:lineRule="exact"/>
        <w:rPr>
          <w:rFonts w:ascii="Times New Roman" w:hAnsi="Times New Roman" w:cs="Times New Roman"/>
        </w:rPr>
      </w:pPr>
    </w:p>
    <w:sectPr>
      <w:pgSz w:w="11906" w:h="16838"/>
      <w:pgMar w:top="2098" w:right="1418" w:bottom="1871" w:left="1418"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幼圆">
    <w:altName w:val="宋体"/>
    <w:panose1 w:val="0201050906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6528923"/>
    </w:sdtPr>
    <w:sdtEndPr>
      <w:rPr>
        <w:rFonts w:ascii="Times New Roman" w:hAnsi="Times New Roman" w:cs="Times New Roman"/>
        <w:sz w:val="28"/>
        <w:szCs w:val="28"/>
      </w:rPr>
    </w:sdtEndPr>
    <w:sdtContent>
      <w:p>
        <w:pPr>
          <w:pStyle w:val="5"/>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w:t>
        </w:r>
        <w:r>
          <w:rPr>
            <w:rFonts w:ascii="Times New Roman" w:hAnsi="Times New Roman" w:cs="Times New Roman"/>
            <w:sz w:val="28"/>
            <w:szCs w:val="28"/>
          </w:rPr>
          <w:fldChar w:fldCharType="end"/>
        </w:r>
        <w:r>
          <w:rPr>
            <w:rFonts w:ascii="Times New Roman" w:hAnsi="Times New Roman" w:cs="Times New Roman"/>
            <w:sz w:val="28"/>
            <w:szCs w:val="28"/>
          </w:rPr>
          <w:t>—</w:t>
        </w:r>
      </w:p>
    </w:sdtContent>
  </w:sdt>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A340D3"/>
    <w:multiLevelType w:val="singleLevel"/>
    <w:tmpl w:val="D0A340D3"/>
    <w:lvl w:ilvl="0" w:tentative="0">
      <w:start w:val="3"/>
      <w:numFmt w:val="chineseCounting"/>
      <w:suff w:val="nothing"/>
      <w:lvlText w:val="（%1）"/>
      <w:lvlJc w:val="left"/>
      <w:rPr>
        <w:rFonts w:hint="eastAsia"/>
      </w:rPr>
    </w:lvl>
  </w:abstractNum>
  <w:abstractNum w:abstractNumId="1">
    <w:nsid w:val="26428EDC"/>
    <w:multiLevelType w:val="singleLevel"/>
    <w:tmpl w:val="26428EDC"/>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7B9"/>
    <w:rsid w:val="000807B9"/>
    <w:rsid w:val="000E6F60"/>
    <w:rsid w:val="001243B4"/>
    <w:rsid w:val="00154098"/>
    <w:rsid w:val="00172677"/>
    <w:rsid w:val="001C6A6A"/>
    <w:rsid w:val="002110B9"/>
    <w:rsid w:val="00220943"/>
    <w:rsid w:val="002D4C51"/>
    <w:rsid w:val="002F2DB6"/>
    <w:rsid w:val="003301C9"/>
    <w:rsid w:val="00332905"/>
    <w:rsid w:val="00341D98"/>
    <w:rsid w:val="003F7706"/>
    <w:rsid w:val="00447340"/>
    <w:rsid w:val="00462F02"/>
    <w:rsid w:val="00471A54"/>
    <w:rsid w:val="004B34F6"/>
    <w:rsid w:val="00520668"/>
    <w:rsid w:val="005B5FCD"/>
    <w:rsid w:val="00605266"/>
    <w:rsid w:val="00606924"/>
    <w:rsid w:val="00653521"/>
    <w:rsid w:val="00686BDC"/>
    <w:rsid w:val="006A6374"/>
    <w:rsid w:val="00726674"/>
    <w:rsid w:val="00733638"/>
    <w:rsid w:val="00775C9C"/>
    <w:rsid w:val="007B1ACA"/>
    <w:rsid w:val="007E5523"/>
    <w:rsid w:val="00802F5C"/>
    <w:rsid w:val="00804174"/>
    <w:rsid w:val="0082221E"/>
    <w:rsid w:val="00836FA6"/>
    <w:rsid w:val="008948AE"/>
    <w:rsid w:val="008D24C5"/>
    <w:rsid w:val="00947354"/>
    <w:rsid w:val="00947C75"/>
    <w:rsid w:val="00954CA2"/>
    <w:rsid w:val="00967126"/>
    <w:rsid w:val="009B09E1"/>
    <w:rsid w:val="00A40C19"/>
    <w:rsid w:val="00A61549"/>
    <w:rsid w:val="00A866E4"/>
    <w:rsid w:val="00A9383B"/>
    <w:rsid w:val="00B00F32"/>
    <w:rsid w:val="00B7646C"/>
    <w:rsid w:val="00BA2A97"/>
    <w:rsid w:val="00BC5A71"/>
    <w:rsid w:val="00BC6BE1"/>
    <w:rsid w:val="00C20F51"/>
    <w:rsid w:val="00C6541E"/>
    <w:rsid w:val="00C945DD"/>
    <w:rsid w:val="00CA03A3"/>
    <w:rsid w:val="00CB1126"/>
    <w:rsid w:val="00D40E9A"/>
    <w:rsid w:val="00D73746"/>
    <w:rsid w:val="00D822EA"/>
    <w:rsid w:val="00DA2495"/>
    <w:rsid w:val="00DC37FD"/>
    <w:rsid w:val="00DD39E4"/>
    <w:rsid w:val="00E07713"/>
    <w:rsid w:val="00E1417B"/>
    <w:rsid w:val="00E33A0E"/>
    <w:rsid w:val="00EA6A18"/>
    <w:rsid w:val="00F04B90"/>
    <w:rsid w:val="00F143AE"/>
    <w:rsid w:val="00F565FC"/>
    <w:rsid w:val="00F94EBA"/>
    <w:rsid w:val="00F95C94"/>
    <w:rsid w:val="00FC3968"/>
    <w:rsid w:val="00FC7282"/>
    <w:rsid w:val="00FD16C8"/>
    <w:rsid w:val="024D3A43"/>
    <w:rsid w:val="03DD5898"/>
    <w:rsid w:val="0B8F2FBD"/>
    <w:rsid w:val="0CC41671"/>
    <w:rsid w:val="16D9794A"/>
    <w:rsid w:val="17445DA5"/>
    <w:rsid w:val="17C31355"/>
    <w:rsid w:val="182F1538"/>
    <w:rsid w:val="18F13BDB"/>
    <w:rsid w:val="199015C5"/>
    <w:rsid w:val="1DB71419"/>
    <w:rsid w:val="231D65B1"/>
    <w:rsid w:val="24751C29"/>
    <w:rsid w:val="256D7E07"/>
    <w:rsid w:val="2B91339F"/>
    <w:rsid w:val="2BAC159C"/>
    <w:rsid w:val="2CBE5810"/>
    <w:rsid w:val="2DB759F2"/>
    <w:rsid w:val="31F36233"/>
    <w:rsid w:val="3AB02799"/>
    <w:rsid w:val="45F13468"/>
    <w:rsid w:val="47D128CC"/>
    <w:rsid w:val="48BB399F"/>
    <w:rsid w:val="4B2711BE"/>
    <w:rsid w:val="4F1C6304"/>
    <w:rsid w:val="511A2C8A"/>
    <w:rsid w:val="53350000"/>
    <w:rsid w:val="58294328"/>
    <w:rsid w:val="59760FEE"/>
    <w:rsid w:val="5AA31831"/>
    <w:rsid w:val="5B75607A"/>
    <w:rsid w:val="5E1C6E5F"/>
    <w:rsid w:val="5F0D24D7"/>
    <w:rsid w:val="68EF7116"/>
    <w:rsid w:val="6AE674BA"/>
    <w:rsid w:val="6E943ADE"/>
    <w:rsid w:val="758918C0"/>
    <w:rsid w:val="759F4EC1"/>
    <w:rsid w:val="776C4A5C"/>
    <w:rsid w:val="77A55067"/>
    <w:rsid w:val="79837AD1"/>
    <w:rsid w:val="7C4E031E"/>
    <w:rsid w:val="7D1645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iPriority="99"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4"/>
    <w:qFormat/>
    <w:uiPriority w:val="0"/>
    <w:pPr>
      <w:spacing w:after="120"/>
    </w:pPr>
  </w:style>
  <w:style w:type="paragraph" w:styleId="4">
    <w:name w:val="Balloon Text"/>
    <w:basedOn w:val="1"/>
    <w:link w:val="16"/>
    <w:qFormat/>
    <w:uiPriority w:val="0"/>
    <w:rPr>
      <w:sz w:val="18"/>
      <w:szCs w:val="18"/>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7">
    <w:name w:val="Normal (Web)"/>
    <w:basedOn w:val="1"/>
    <w:qFormat/>
    <w:uiPriority w:val="0"/>
    <w:rPr>
      <w:sz w:val="24"/>
      <w:szCs w:val="24"/>
    </w:rPr>
  </w:style>
  <w:style w:type="paragraph" w:styleId="8">
    <w:name w:val="Body Text First Indent"/>
    <w:basedOn w:val="3"/>
    <w:link w:val="25"/>
    <w:qFormat/>
    <w:uiPriority w:val="0"/>
    <w:pPr>
      <w:ind w:firstLine="420" w:firstLineChars="100"/>
    </w:pPr>
  </w:style>
  <w:style w:type="table" w:styleId="10">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2">
    <w:name w:val="标题 1 Char"/>
    <w:basedOn w:val="11"/>
    <w:link w:val="2"/>
    <w:qFormat/>
    <w:uiPriority w:val="0"/>
    <w:rPr>
      <w:b/>
      <w:bCs/>
      <w:kern w:val="44"/>
      <w:sz w:val="44"/>
      <w:szCs w:val="44"/>
    </w:rPr>
  </w:style>
  <w:style w:type="character" w:customStyle="1" w:styleId="13">
    <w:name w:val="页脚 Char"/>
    <w:basedOn w:val="11"/>
    <w:link w:val="5"/>
    <w:qFormat/>
    <w:uiPriority w:val="99"/>
    <w:rPr>
      <w:sz w:val="18"/>
      <w:szCs w:val="18"/>
    </w:rPr>
  </w:style>
  <w:style w:type="character" w:customStyle="1" w:styleId="14">
    <w:name w:val="页眉 Char"/>
    <w:basedOn w:val="11"/>
    <w:link w:val="6"/>
    <w:qFormat/>
    <w:uiPriority w:val="0"/>
    <w:rPr>
      <w:sz w:val="18"/>
      <w:szCs w:val="18"/>
    </w:rPr>
  </w:style>
  <w:style w:type="paragraph" w:styleId="15">
    <w:name w:val="No Spacing"/>
    <w:semiHidden/>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6">
    <w:name w:val="批注框文本 Char"/>
    <w:basedOn w:val="11"/>
    <w:link w:val="4"/>
    <w:qFormat/>
    <w:uiPriority w:val="99"/>
    <w:rPr>
      <w:sz w:val="18"/>
      <w:szCs w:val="18"/>
    </w:rPr>
  </w:style>
  <w:style w:type="character" w:customStyle="1" w:styleId="17">
    <w:name w:val="font11"/>
    <w:basedOn w:val="11"/>
    <w:qFormat/>
    <w:uiPriority w:val="0"/>
    <w:rPr>
      <w:rFonts w:hint="eastAsia" w:ascii="宋体" w:hAnsi="宋体" w:eastAsia="宋体" w:cs="宋体"/>
      <w:color w:val="000000"/>
      <w:sz w:val="20"/>
      <w:szCs w:val="20"/>
      <w:u w:val="none"/>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41"/>
    <w:basedOn w:val="11"/>
    <w:qFormat/>
    <w:uiPriority w:val="0"/>
    <w:rPr>
      <w:rFonts w:hint="eastAsia" w:ascii="宋体" w:hAnsi="宋体" w:eastAsia="宋体" w:cs="宋体"/>
      <w:color w:val="000000"/>
      <w:sz w:val="24"/>
      <w:szCs w:val="24"/>
      <w:u w:val="none"/>
    </w:rPr>
  </w:style>
  <w:style w:type="character" w:customStyle="1" w:styleId="20">
    <w:name w:val="font31"/>
    <w:basedOn w:val="11"/>
    <w:qFormat/>
    <w:uiPriority w:val="0"/>
    <w:rPr>
      <w:rFonts w:hint="eastAsia" w:ascii="华文中宋" w:hAnsi="华文中宋" w:eastAsia="华文中宋" w:cs="华文中宋"/>
      <w:color w:val="000000"/>
      <w:sz w:val="32"/>
      <w:szCs w:val="32"/>
      <w:u w:val="none"/>
    </w:rPr>
  </w:style>
  <w:style w:type="character" w:customStyle="1" w:styleId="21">
    <w:name w:val="font91"/>
    <w:basedOn w:val="11"/>
    <w:qFormat/>
    <w:uiPriority w:val="0"/>
    <w:rPr>
      <w:rFonts w:hint="eastAsia" w:ascii="华文中宋" w:hAnsi="华文中宋" w:eastAsia="华文中宋" w:cs="华文中宋"/>
      <w:color w:val="000000"/>
      <w:sz w:val="32"/>
      <w:szCs w:val="32"/>
      <w:u w:val="none"/>
    </w:rPr>
  </w:style>
  <w:style w:type="character" w:customStyle="1" w:styleId="22">
    <w:name w:val="font51"/>
    <w:basedOn w:val="11"/>
    <w:qFormat/>
    <w:uiPriority w:val="0"/>
    <w:rPr>
      <w:rFonts w:hint="eastAsia" w:ascii="宋体" w:hAnsi="宋体" w:eastAsia="宋体" w:cs="宋体"/>
      <w:color w:val="000000"/>
      <w:sz w:val="24"/>
      <w:szCs w:val="24"/>
      <w:u w:val="none"/>
    </w:rPr>
  </w:style>
  <w:style w:type="paragraph" w:styleId="23">
    <w:name w:val="List Paragraph"/>
    <w:basedOn w:val="1"/>
    <w:semiHidden/>
    <w:unhideWhenUsed/>
    <w:qFormat/>
    <w:uiPriority w:val="99"/>
    <w:pPr>
      <w:ind w:firstLine="420" w:firstLineChars="200"/>
    </w:pPr>
  </w:style>
  <w:style w:type="character" w:customStyle="1" w:styleId="24">
    <w:name w:val="正文文本 Char"/>
    <w:basedOn w:val="11"/>
    <w:link w:val="3"/>
    <w:semiHidden/>
    <w:qFormat/>
    <w:uiPriority w:val="99"/>
  </w:style>
  <w:style w:type="character" w:customStyle="1" w:styleId="25">
    <w:name w:val="正文首行缩进 Char"/>
    <w:basedOn w:val="24"/>
    <w:link w:val="8"/>
    <w:qFormat/>
    <w:uiPriority w:val="99"/>
  </w:style>
  <w:style w:type="character" w:customStyle="1" w:styleId="26">
    <w:name w:val="font61"/>
    <w:basedOn w:val="11"/>
    <w:qFormat/>
    <w:uiPriority w:val="0"/>
    <w:rPr>
      <w:rFonts w:hint="eastAsia" w:ascii="宋体" w:hAnsi="宋体" w:eastAsia="宋体" w:cs="宋体"/>
      <w:color w:val="000000"/>
      <w:sz w:val="20"/>
      <w:szCs w:val="20"/>
      <w:u w:val="none"/>
    </w:rPr>
  </w:style>
  <w:style w:type="character" w:customStyle="1" w:styleId="27">
    <w:name w:val="font71"/>
    <w:basedOn w:val="11"/>
    <w:qFormat/>
    <w:uiPriority w:val="0"/>
    <w:rPr>
      <w:rFonts w:hint="eastAsia" w:ascii="宋体" w:hAnsi="宋体" w:eastAsia="宋体" w:cs="宋体"/>
      <w:color w:val="000000"/>
      <w:sz w:val="20"/>
      <w:szCs w:val="20"/>
      <w:u w:val="none"/>
    </w:rPr>
  </w:style>
  <w:style w:type="character" w:customStyle="1" w:styleId="28">
    <w:name w:val="font101"/>
    <w:basedOn w:val="11"/>
    <w:uiPriority w:val="0"/>
    <w:rPr>
      <w:rFonts w:hint="default" w:ascii="Calibri" w:hAnsi="Calibri" w:cs="Calibri"/>
      <w:color w:val="000000"/>
      <w:sz w:val="16"/>
      <w:szCs w:val="16"/>
      <w:u w:val="none"/>
    </w:rPr>
  </w:style>
  <w:style w:type="character" w:customStyle="1" w:styleId="29">
    <w:name w:val="font81"/>
    <w:basedOn w:val="11"/>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image" Target="media/image1.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AppData\Local\Temp\wps.LjjsOm\Chart%20in%20Wps.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26&#24180;&#32489;&#25928;&#33258;&#35780;\&#38468;&#20214;2&#65306;&#37096;&#38376;&#39044;&#31639;&#39033;&#30446;&#32489;&#25928;&#33258;&#35780;&#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sz="1600">
                <a:latin typeface="黑体" panose="02010609060101010101" charset="-122"/>
                <a:ea typeface="黑体" panose="02010609060101010101" charset="-122"/>
                <a:cs typeface="黑体" panose="02010609060101010101" charset="-122"/>
              </a:rPr>
              <a:t>2024-2025</a:t>
            </a:r>
            <a:r>
              <a:rPr altLang="en-US" sz="1600">
                <a:latin typeface="黑体" panose="02010609060101010101" charset="-122"/>
                <a:ea typeface="黑体" panose="02010609060101010101" charset="-122"/>
                <a:cs typeface="黑体" panose="02010609060101010101" charset="-122"/>
              </a:rPr>
              <a:t>年财政拨款收支对比图（万元）</a:t>
            </a:r>
            <a:endParaRPr lang="en-US" altLang="en-US" sz="1600">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tx>
            <c:strRef>
              <c:f>'[Chart in Wps.xlsx]Sheet1'!$A$2</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'[Chart in Wps.xlsx]Sheet1'!$B$1:$I$1</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'[Chart in Wps.xlsx]Sheet1'!$B$2:$I$2</c:f>
              <c:numCache>
                <c:formatCode>General</c:formatCode>
                <c:ptCount val="8"/>
                <c:pt idx="0">
                  <c:v>1611.34</c:v>
                </c:pt>
                <c:pt idx="1">
                  <c:v>1612.02</c:v>
                </c:pt>
                <c:pt idx="2">
                  <c:v>1611.34</c:v>
                </c:pt>
                <c:pt idx="3">
                  <c:v>1612.02</c:v>
                </c:pt>
                <c:pt idx="4">
                  <c:v>0</c:v>
                </c:pt>
                <c:pt idx="5">
                  <c:v>0</c:v>
                </c:pt>
                <c:pt idx="6">
                  <c:v>0</c:v>
                </c:pt>
                <c:pt idx="7">
                  <c:v>0</c:v>
                </c:pt>
              </c:numCache>
            </c:numRef>
          </c:val>
        </c:ser>
        <c:ser>
          <c:idx val="1"/>
          <c:order val="1"/>
          <c:tx>
            <c:strRef>
              <c:f>'[Chart in Wps.xlsx]Sheet1'!$A$3</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'[Chart in Wps.xlsx]Sheet1'!$B$1:$I$1</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'[Chart in Wps.xlsx]Sheet1'!$B$3:$I$3</c:f>
              <c:numCache>
                <c:formatCode>General</c:formatCode>
                <c:ptCount val="8"/>
                <c:pt idx="0">
                  <c:v>1475.51</c:v>
                </c:pt>
                <c:pt idx="1">
                  <c:v>1475.57</c:v>
                </c:pt>
                <c:pt idx="2">
                  <c:v>1475.51</c:v>
                </c:pt>
                <c:pt idx="3">
                  <c:v>1475.57</c:v>
                </c:pt>
                <c:pt idx="4">
                  <c:v>0</c:v>
                </c:pt>
                <c:pt idx="5">
                  <c:v>0</c:v>
                </c:pt>
                <c:pt idx="6">
                  <c:v>0</c:v>
                </c:pt>
                <c:pt idx="7">
                  <c:v>0</c:v>
                </c:pt>
              </c:numCache>
            </c:numRef>
          </c:val>
        </c:ser>
        <c:dLbls>
          <c:showLegendKey val="0"/>
          <c:showVal val="1"/>
          <c:showCatName val="0"/>
          <c:showSerName val="0"/>
          <c:showPercent val="0"/>
          <c:showBubbleSize val="0"/>
        </c:dLbls>
        <c:gapWidth val="219"/>
        <c:overlap val="-27"/>
        <c:axId val="153350727"/>
        <c:axId val="346677275"/>
      </c:barChart>
      <c:catAx>
        <c:axId val="15335072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6677275"/>
        <c:crosses val="autoZero"/>
        <c:auto val="1"/>
        <c:lblAlgn val="ctr"/>
        <c:lblOffset val="100"/>
        <c:noMultiLvlLbl val="0"/>
      </c:catAx>
      <c:valAx>
        <c:axId val="3466772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335072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财政拨款收支预算对比图（万元）</a:t>
            </a:r>
          </a:p>
        </c:rich>
      </c:tx>
      <c:layout/>
      <c:overlay val="0"/>
      <c:spPr>
        <a:noFill/>
        <a:ln>
          <a:noFill/>
        </a:ln>
        <a:effectLst/>
      </c:spPr>
    </c:title>
    <c:autoTitleDeleted val="0"/>
    <c:plotArea>
      <c:layout/>
      <c:barChart>
        <c:barDir val="col"/>
        <c:grouping val="clustered"/>
        <c:varyColors val="0"/>
        <c:ser>
          <c:idx val="0"/>
          <c:order val="0"/>
          <c:tx>
            <c:strRef>
              <c:f>'[附件2：部门预算项目绩效自评表.xls]Sheet2'!$A$2</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'[附件2：部门预算项目绩效自评表.xls]Sheet2'!$B$1:$I$1</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'[附件2：部门预算项目绩效自评表.xls]Sheet2'!$B$2:$I$2</c:f>
              <c:numCache>
                <c:formatCode>General</c:formatCode>
                <c:ptCount val="8"/>
                <c:pt idx="0">
                  <c:v>1670.58</c:v>
                </c:pt>
                <c:pt idx="1">
                  <c:v>1670.58</c:v>
                </c:pt>
                <c:pt idx="2">
                  <c:v>1670.58</c:v>
                </c:pt>
                <c:pt idx="3">
                  <c:v>1670.58</c:v>
                </c:pt>
                <c:pt idx="4">
                  <c:v>0</c:v>
                </c:pt>
                <c:pt idx="5">
                  <c:v>0</c:v>
                </c:pt>
                <c:pt idx="6">
                  <c:v>0</c:v>
                </c:pt>
                <c:pt idx="7">
                  <c:v>0</c:v>
                </c:pt>
              </c:numCache>
            </c:numRef>
          </c:val>
        </c:ser>
        <c:ser>
          <c:idx val="1"/>
          <c:order val="1"/>
          <c:tx>
            <c:strRef>
              <c:f>'[附件2：部门预算项目绩效自评表.xls]Sheet2'!$A$3</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'[附件2：部门预算项目绩效自评表.xls]Sheet2'!$B$1:$I$1</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'[附件2：部门预算项目绩效自评表.xls]Sheet2'!$B$3:$I$3</c:f>
              <c:numCache>
                <c:formatCode>General</c:formatCode>
                <c:ptCount val="8"/>
                <c:pt idx="0">
                  <c:v>1475.51</c:v>
                </c:pt>
                <c:pt idx="1">
                  <c:v>1475.57</c:v>
                </c:pt>
                <c:pt idx="2">
                  <c:v>1475.51</c:v>
                </c:pt>
                <c:pt idx="3">
                  <c:v>1475.57</c:v>
                </c:pt>
                <c:pt idx="4">
                  <c:v>0</c:v>
                </c:pt>
                <c:pt idx="5">
                  <c:v>0</c:v>
                </c:pt>
                <c:pt idx="6">
                  <c:v>0</c:v>
                </c:pt>
                <c:pt idx="7">
                  <c:v>0</c:v>
                </c:pt>
              </c:numCache>
            </c:numRef>
          </c:val>
        </c:ser>
        <c:dLbls>
          <c:showLegendKey val="0"/>
          <c:showVal val="1"/>
          <c:showCatName val="0"/>
          <c:showSerName val="0"/>
          <c:showPercent val="0"/>
          <c:showBubbleSize val="0"/>
        </c:dLbls>
        <c:gapWidth val="219"/>
        <c:overlap val="-27"/>
        <c:axId val="930122641"/>
        <c:axId val="734279024"/>
      </c:barChart>
      <c:catAx>
        <c:axId val="93012264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4279024"/>
        <c:crosses val="autoZero"/>
        <c:auto val="1"/>
        <c:lblAlgn val="ctr"/>
        <c:lblOffset val="100"/>
        <c:noMultiLvlLbl val="0"/>
      </c:catAx>
      <c:valAx>
        <c:axId val="734279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012264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31</Pages>
  <Words>1893</Words>
  <Characters>10792</Characters>
  <Lines>89</Lines>
  <Paragraphs>25</Paragraphs>
  <TotalTime>5</TotalTime>
  <ScaleCrop>false</ScaleCrop>
  <LinksUpToDate>false</LinksUpToDate>
  <CharactersWithSpaces>12660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2025-07-29T11:35:00Z</dcterms:created>
  <dc:creator>user</dc:creator>
  <cp:lastModifiedBy>A</cp:lastModifiedBy>
  <cp:lastPrinted>2026-07-23T03:10:00Z</cp:lastPrinted>
  <dcterms:modified xsi:type="dcterms:W3CDTF">2026-10-12T01:38:50Z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eyJoZGlkIjoiYjVlNDBkZTQ5YmIxNzgzYjQ3ZTBhNjY5MDZlNzE2ZjkiLCJ1c2VySWQiOiIyOTIyMTYyOTIifQ==</vt:lpwstr>
  </property>
  <property fmtid="{D5CDD505-2E9C-101B-9397-08002B2CF9AE}" pid="3" name="KSOProductBuildVer">
    <vt:lpwstr>2052-11.8.2.11500</vt:lpwstr>
  </property>
  <property fmtid="{D5CDD505-2E9C-101B-9397-08002B2CF9AE}" pid="4" name="ICV">
    <vt:lpwstr>B21D18FB37274BA8A00E3C6917B1CC0E_12</vt:lpwstr>
  </property>
</Properties>
</file>