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楷体_GB2312" w:hAnsi="楷体_GB2312" w:eastAsia="楷体_GB2312" w:cs="楷体_GB2312"/>
          <w:b/>
          <w:bCs/>
          <w:color w:val="0C0C0C" w:themeColor="text1" w:themeTint="F2"/>
          <w:kern w:val="2"/>
          <w:sz w:val="48"/>
          <w:szCs w:val="56"/>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cstate="print"/>
                    <a:srcRect/>
                    <a:stretch>
                      <a:fillRect/>
                    </a:stretch>
                  </pic:blipFill>
                  <pic:spPr>
                    <a:xfrm>
                      <a:off x="0" y="0"/>
                      <a:ext cx="7569835" cy="10692130"/>
                    </a:xfrm>
                    <a:prstGeom prst="rect">
                      <a:avLst/>
                    </a:prstGeom>
                  </pic:spPr>
                </pic:pic>
              </a:graphicData>
            </a:graphic>
          </wp:anchor>
        </w:drawing>
      </w:r>
      <w:r>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path/>
            <v:fill on="f" focussize="0,0"/>
            <v:stroke on="f" joinstyle="miter"/>
            <v:imagedata o:title=""/>
            <o:lock v:ext="edit"/>
            <v:textbox>
              <w:txbxContent>
                <w:p>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2025年度</w:t>
                  </w:r>
                </w:p>
                <w:p>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部门决算公开文本</w:t>
                  </w:r>
                </w:p>
              </w:txbxContent>
            </v:textbox>
          </v:shape>
        </w:pict>
      </w: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jc w:val="center"/>
        <w:rPr>
          <w:rFonts w:ascii="楷体_GB2312" w:hAnsi="楷体_GB2312" w:eastAsia="楷体_GB2312" w:cs="楷体_GB2312"/>
          <w:b/>
          <w:bCs/>
          <w:color w:val="0C0C0C" w:themeColor="text1" w:themeTint="F2"/>
          <w:kern w:val="2"/>
          <w:sz w:val="48"/>
          <w:szCs w:val="56"/>
        </w:rPr>
      </w:pPr>
    </w:p>
    <w:p>
      <w:pPr>
        <w:jc w:val="center"/>
        <w:rPr>
          <w:rFonts w:ascii="楷体_GB2312" w:hAnsi="楷体_GB2312" w:eastAsia="楷体_GB2312" w:cs="楷体_GB2312"/>
          <w:b/>
          <w:bCs/>
          <w:color w:val="0C0C0C" w:themeColor="text1" w:themeTint="F2"/>
          <w:kern w:val="2"/>
          <w:sz w:val="48"/>
          <w:szCs w:val="56"/>
        </w:rPr>
      </w:pPr>
    </w:p>
    <w:p>
      <w:pPr>
        <w:jc w:val="center"/>
        <w:rPr>
          <w:rFonts w:ascii="楷体_GB2312" w:hAnsi="楷体_GB2312" w:eastAsia="楷体_GB2312" w:cs="楷体_GB2312"/>
          <w:b/>
          <w:bCs/>
          <w:color w:val="0C0C0C" w:themeColor="text1" w:themeTint="F2"/>
          <w:kern w:val="2"/>
          <w:sz w:val="48"/>
          <w:szCs w:val="56"/>
        </w:rPr>
      </w:pPr>
    </w:p>
    <w:p>
      <w:pPr>
        <w:jc w:val="center"/>
        <w:rPr>
          <w:rFonts w:ascii="楷体_GB2312" w:hAnsi="楷体_GB2312" w:eastAsia="楷体_GB2312" w:cs="楷体_GB2312"/>
          <w:b/>
          <w:bCs/>
          <w:color w:val="0C0C0C" w:themeColor="text1" w:themeTint="F2"/>
          <w:kern w:val="2"/>
          <w:sz w:val="48"/>
          <w:szCs w:val="56"/>
        </w:rPr>
      </w:pPr>
    </w:p>
    <w:p>
      <w:pPr>
        <w:rPr>
          <w:rFonts w:ascii="楷体_GB2312" w:hAnsi="楷体_GB2312" w:eastAsia="楷体_GB2312" w:cs="楷体_GB2312"/>
          <w:b/>
          <w:bCs/>
          <w:color w:val="0C0C0C" w:themeColor="text1" w:themeTint="F2"/>
          <w:kern w:val="2"/>
          <w:sz w:val="48"/>
          <w:szCs w:val="56"/>
        </w:rPr>
      </w:pPr>
    </w:p>
    <w:p>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高邑县富村镇人民政府</w:t>
      </w:r>
    </w:p>
    <w:p>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预算代码：768</w:t>
      </w:r>
    </w:p>
    <w:p>
      <w:pPr>
        <w:jc w:val="center"/>
        <w:rPr>
          <w:rFonts w:ascii="楷体_GB2312" w:hAnsi="楷体_GB2312" w:eastAsia="楷体_GB2312" w:cs="楷体_GB2312"/>
          <w:b/>
          <w:bCs/>
          <w:color w:val="0C0C0C" w:themeColor="text1" w:themeTint="F2"/>
          <w:sz w:val="48"/>
          <w:szCs w:val="56"/>
        </w:rPr>
      </w:pPr>
    </w:p>
    <w:p>
      <w:pPr>
        <w:jc w:val="center"/>
        <w:rPr>
          <w:rFonts w:ascii="楷体_GB2312" w:hAnsi="楷体_GB2312" w:eastAsia="楷体_GB2312" w:cs="楷体_GB2312"/>
          <w:b/>
          <w:bCs/>
          <w:color w:val="0C0C0C" w:themeColor="text1" w:themeTint="F2"/>
          <w:sz w:val="48"/>
          <w:szCs w:val="56"/>
        </w:rPr>
      </w:pPr>
      <w:r>
        <w:rPr>
          <w:rFonts w:hint="eastAsia" w:ascii="楷体_GB2312" w:hAnsi="楷体_GB2312" w:eastAsia="楷体_GB2312" w:cs="楷体_GB2312"/>
          <w:b/>
          <w:bCs/>
          <w:color w:val="0C0C0C" w:themeColor="text1" w:themeTint="F2"/>
          <w:sz w:val="48"/>
          <w:szCs w:val="56"/>
        </w:rPr>
        <w:t>二〇二六年十月</w:t>
      </w:r>
    </w:p>
    <w:p>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pPr>
        <w:spacing w:line="600" w:lineRule="auto"/>
        <w:jc w:val="center"/>
        <w:rPr>
          <w:rFonts w:ascii="楷体_GB2312" w:hAnsi="楷体_GB2312" w:eastAsia="楷体_GB2312" w:cs="楷体_GB2312"/>
          <w:color w:val="000000"/>
          <w:sz w:val="40"/>
          <w:szCs w:val="40"/>
        </w:rPr>
      </w:pPr>
    </w:p>
    <w:p>
      <w:pPr>
        <w:rPr>
          <w:rFonts w:ascii="黑体" w:hAnsi="黑体" w:eastAsia="黑体" w:cs="黑体"/>
          <w:b/>
          <w:bCs/>
          <w:sz w:val="32"/>
          <w:szCs w:val="36"/>
          <w:highlight w:val="yellow"/>
        </w:rPr>
      </w:pPr>
    </w:p>
    <w:p>
      <w:pPr>
        <w:widowControl/>
        <w:spacing w:line="360" w:lineRule="auto"/>
        <w:jc w:val="center"/>
        <w:rPr>
          <w:rFonts w:ascii="Times New Roman" w:eastAsia="方正小标宋_GBK"/>
          <w:sz w:val="72"/>
          <w:szCs w:val="72"/>
        </w:rPr>
      </w:pPr>
      <w:r>
        <w:rPr>
          <w:rFonts w:ascii="Times New Roman" w:eastAsia="方正小标宋_GBK"/>
          <w:sz w:val="72"/>
          <w:szCs w:val="72"/>
        </w:rPr>
        <w:t>高邑县富村镇人民政府</w:t>
      </w:r>
    </w:p>
    <w:p>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pPr>
        <w:spacing w:line="360" w:lineRule="auto"/>
        <w:jc w:val="center"/>
        <w:rPr>
          <w:rFonts w:ascii="黑体" w:hAnsi="黑体" w:eastAsia="黑体" w:cs="黑体"/>
          <w:sz w:val="56"/>
          <w:szCs w:val="72"/>
        </w:rPr>
      </w:pPr>
    </w:p>
    <w:p>
      <w:pPr>
        <w:spacing w:line="480" w:lineRule="auto"/>
        <w:rPr>
          <w:rFonts w:ascii="黑体" w:hAnsi="黑体" w:eastAsia="黑体" w:cs="黑体"/>
          <w:sz w:val="56"/>
          <w:szCs w:val="72"/>
        </w:rPr>
      </w:pPr>
    </w:p>
    <w:p>
      <w:pPr>
        <w:widowControl/>
        <w:spacing w:line="360" w:lineRule="auto"/>
        <w:jc w:val="center"/>
        <w:rPr>
          <w:rFonts w:ascii="Times New Roman" w:eastAsia="楷体_GB2312"/>
          <w:sz w:val="44"/>
          <w:szCs w:val="44"/>
        </w:rPr>
      </w:pPr>
      <w:r>
        <w:rPr>
          <w:rFonts w:ascii="Times New Roman" w:eastAsia="楷体_GB2312"/>
          <w:sz w:val="44"/>
          <w:szCs w:val="44"/>
        </w:rPr>
        <w:t>高邑县富村镇人民政府</w:t>
      </w:r>
    </w:p>
    <w:p>
      <w:pPr>
        <w:widowControl/>
        <w:jc w:val="center"/>
        <w:rPr>
          <w:rFonts w:ascii="Times New Roman" w:eastAsia="楷体_GB2312"/>
          <w:sz w:val="44"/>
          <w:szCs w:val="44"/>
        </w:rPr>
      </w:pPr>
    </w:p>
    <w:p>
      <w:pPr>
        <w:widowControl/>
        <w:spacing w:line="360" w:lineRule="auto"/>
        <w:jc w:val="center"/>
        <w:rPr>
          <w:rFonts w:ascii="Times New Roman" w:eastAsia="楷体_GB2312"/>
          <w:sz w:val="44"/>
          <w:szCs w:val="44"/>
        </w:rPr>
      </w:pPr>
      <w:r>
        <w:rPr>
          <w:rFonts w:ascii="Times New Roman" w:eastAsia="楷体_GB2312"/>
          <w:sz w:val="44"/>
          <w:szCs w:val="44"/>
        </w:rPr>
        <w:t>二〇二六年</w:t>
      </w:r>
      <w:r>
        <w:rPr>
          <w:rFonts w:hint="eastAsia" w:ascii="Times New Roman" w:eastAsia="楷体_GB2312"/>
          <w:sz w:val="44"/>
          <w:szCs w:val="44"/>
        </w:rPr>
        <w:t>十</w:t>
      </w:r>
      <w:r>
        <w:rPr>
          <w:rFonts w:ascii="Times New Roman" w:eastAsia="楷体_GB2312"/>
          <w:sz w:val="44"/>
          <w:szCs w:val="44"/>
        </w:rPr>
        <w:t>月</w:t>
      </w:r>
    </w:p>
    <w:p>
      <w:pPr>
        <w:rPr>
          <w:rFonts w:ascii="楷体_GB2312" w:hAnsi="楷体_GB2312" w:eastAsia="楷体_GB2312" w:cs="楷体_GB2312"/>
          <w:color w:val="000000" w:themeColor="text1"/>
          <w:sz w:val="44"/>
          <w:szCs w:val="44"/>
        </w:rPr>
      </w:pPr>
      <w:r>
        <w:rPr>
          <w:rFonts w:ascii="楷体_GB2312" w:hAnsi="楷体_GB2312" w:eastAsia="楷体_GB2312" w:cs="楷体_GB2312"/>
          <w:color w:val="000000" w:themeColor="text1"/>
          <w:sz w:val="44"/>
          <w:szCs w:val="44"/>
        </w:rPr>
        <w:br w:type="page"/>
      </w:r>
    </w:p>
    <w:p>
      <w:pPr>
        <w:snapToGrid w:val="0"/>
        <w:jc w:val="left"/>
        <w:rPr>
          <w:rFonts w:ascii="楷体_GB2312" w:hAnsi="楷体_GB2312" w:eastAsia="楷体_GB2312" w:cs="楷体_GB2312"/>
          <w:color w:val="000000" w:themeColor="text1"/>
          <w:sz w:val="44"/>
          <w:szCs w:val="44"/>
        </w:rPr>
        <w:sectPr>
          <w:footerReference r:id="rId4" w:type="default"/>
          <w:pgSz w:w="11906" w:h="16838"/>
          <w:pgMar w:top="1531" w:right="1984" w:bottom="1531" w:left="2098" w:header="851" w:footer="992" w:gutter="0"/>
          <w:pgNumType w:start="1"/>
          <w:cols w:space="720" w:num="1"/>
          <w:docGrid w:type="lines" w:linePitch="312" w:charSpace="0"/>
        </w:sectPr>
      </w:pPr>
    </w:p>
    <w:p>
      <w:pPr>
        <w:widowControl/>
        <w:spacing w:line="360" w:lineRule="auto"/>
        <w:jc w:val="center"/>
        <w:outlineLvl w:val="0"/>
        <w:rPr>
          <w:rFonts w:ascii="Times New Roman" w:eastAsia="黑体"/>
          <w:sz w:val="44"/>
          <w:szCs w:val="44"/>
        </w:rPr>
      </w:pPr>
      <w:r>
        <w:rPr>
          <w:rFonts w:ascii="Times New Roman" w:eastAsia="黑体"/>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360" w:lineRule="auto"/>
        <w:jc w:val="left"/>
        <w:rPr>
          <w:rFonts w:ascii="Times New Roman" w:eastAsia="黑体"/>
          <w:sz w:val="32"/>
          <w:szCs w:val="32"/>
        </w:rPr>
      </w:pPr>
      <w:r>
        <w:rPr>
          <w:rFonts w:ascii="Times New Roman" w:eastAsia="黑体"/>
          <w:sz w:val="32"/>
          <w:szCs w:val="32"/>
        </w:rPr>
        <w:t>第一部分部门概况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一、部门职责</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pPr>
        <w:widowControl/>
        <w:spacing w:line="360" w:lineRule="auto"/>
        <w:jc w:val="left"/>
        <w:rPr>
          <w:rFonts w:ascii="Times New Roman" w:eastAsia="黑体"/>
          <w:sz w:val="32"/>
          <w:szCs w:val="32"/>
        </w:rPr>
      </w:pPr>
      <w:r>
        <w:rPr>
          <w:rFonts w:ascii="Times New Roman" w:eastAsia="黑体"/>
          <w:sz w:val="32"/>
          <w:szCs w:val="32"/>
        </w:rPr>
        <w:t>第四部分 名词解释</w:t>
      </w:r>
    </w:p>
    <w:p>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第一部分部门概况</w:t>
      </w: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pPr>
        <w:widowControl/>
        <w:spacing w:line="360" w:lineRule="auto"/>
        <w:jc w:val="left"/>
        <w:outlineLvl w:val="1"/>
        <w:rPr>
          <w:rFonts w:ascii="Times New Roman" w:eastAsia="黑体"/>
          <w:sz w:val="32"/>
          <w:szCs w:val="32"/>
        </w:rPr>
      </w:pPr>
      <w:r>
        <w:rPr>
          <w:rFonts w:ascii="Times New Roman" w:eastAsia="黑体"/>
          <w:sz w:val="32"/>
          <w:szCs w:val="32"/>
        </w:rPr>
        <w:t>一、部门职责</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（一）促进经济发展，增加农民收入 </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1.</w:t>
      </w:r>
      <w:r>
        <w:rPr>
          <w:rFonts w:ascii="Times New Roman" w:eastAsia="仿宋_GB2312"/>
          <w:sz w:val="32"/>
          <w:szCs w:val="32"/>
        </w:rPr>
        <w:t>助力全镇经济发展：为招商引资、项目建设、第三产业提供服务</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2.</w:t>
      </w:r>
      <w:r>
        <w:rPr>
          <w:rFonts w:ascii="Times New Roman" w:eastAsia="仿宋_GB2312"/>
          <w:sz w:val="32"/>
          <w:szCs w:val="32"/>
        </w:rPr>
        <w:t xml:space="preserve">编制、汇总、审核乡级及村级财务预算，监管资金流向：编制、汇总资金预决算，依法理财，严格监管，更新理念，做好收支计划，对专项资金跟踪核查，做好预算执行情况分析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（二）强化公共服务，着力改善民生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w:t>
      </w:r>
      <w:r>
        <w:rPr>
          <w:rFonts w:hint="eastAsia" w:ascii="Times New Roman" w:eastAsia="仿宋_GB2312"/>
          <w:sz w:val="32"/>
          <w:szCs w:val="32"/>
        </w:rPr>
        <w:t>.</w:t>
      </w:r>
      <w:r>
        <w:rPr>
          <w:rFonts w:ascii="Times New Roman" w:eastAsia="仿宋_GB2312"/>
          <w:sz w:val="32"/>
          <w:szCs w:val="32"/>
        </w:rPr>
        <w:t xml:space="preserve">强化公共服务，加强社会管理，维护农村稳定：为安全生产提供保障，贯彻惠农强农政策 </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2.</w:t>
      </w:r>
      <w:r>
        <w:rPr>
          <w:rFonts w:ascii="Times New Roman" w:eastAsia="仿宋_GB2312"/>
          <w:sz w:val="32"/>
          <w:szCs w:val="32"/>
        </w:rPr>
        <w:t>减少农村剩余劳动力：全</w:t>
      </w:r>
      <w:r>
        <w:rPr>
          <w:rFonts w:hint="eastAsia" w:ascii="Times New Roman" w:eastAsia="仿宋_GB2312"/>
          <w:sz w:val="32"/>
          <w:szCs w:val="32"/>
        </w:rPr>
        <w:t>镇</w:t>
      </w:r>
      <w:r>
        <w:rPr>
          <w:rFonts w:ascii="Times New Roman" w:eastAsia="仿宋_GB2312"/>
          <w:sz w:val="32"/>
          <w:szCs w:val="32"/>
        </w:rPr>
        <w:t xml:space="preserve">农村劳动力职业培训、劳动就业和社会保障进一步提升 </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3.</w:t>
      </w:r>
      <w:r>
        <w:rPr>
          <w:rFonts w:ascii="Times New Roman" w:eastAsia="仿宋_GB2312"/>
          <w:sz w:val="32"/>
          <w:szCs w:val="32"/>
        </w:rPr>
        <w:t xml:space="preserve">完善科技教育文化，卫生服务工作：为发展镇级科教文卫工作提供技术保障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（三）加强社会管理，维护农村稳定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全面开展综合治理工作：依法行政，依法履行职责 </w:t>
      </w:r>
    </w:p>
    <w:p>
      <w:pPr>
        <w:widowControl/>
        <w:numPr>
          <w:ilvl w:val="0"/>
          <w:numId w:val="2"/>
        </w:numPr>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推进基层民主，促进农村和谐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负责乡镇党委、政府各项工作的督导催办，协调各办公室的工作关系：保障正常业务开展和机关运转 </w:t>
      </w:r>
    </w:p>
    <w:p>
      <w:pPr>
        <w:widowControl/>
        <w:numPr>
          <w:ilvl w:val="0"/>
          <w:numId w:val="2"/>
        </w:numPr>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村镇建设 </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1.</w:t>
      </w:r>
      <w:r>
        <w:rPr>
          <w:rFonts w:ascii="Times New Roman" w:eastAsia="仿宋_GB2312"/>
          <w:sz w:val="32"/>
          <w:szCs w:val="32"/>
        </w:rPr>
        <w:t xml:space="preserve">占地、拆迁、附着物赔偿支出：相关占地补偿项目支出，包括占地、拆迁、附着物等相关赔偿支出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w:t>
      </w:r>
      <w:r>
        <w:rPr>
          <w:rFonts w:hint="eastAsia" w:ascii="Times New Roman" w:eastAsia="仿宋_GB2312"/>
          <w:sz w:val="32"/>
          <w:szCs w:val="32"/>
        </w:rPr>
        <w:t>.</w:t>
      </w:r>
      <w:r>
        <w:rPr>
          <w:rFonts w:ascii="Times New Roman" w:eastAsia="仿宋_GB2312"/>
          <w:sz w:val="32"/>
          <w:szCs w:val="32"/>
        </w:rPr>
        <w:t xml:space="preserve">防汛、抗旱、维稳支出：关乎农民种植、财产、权益等相关支出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（六）环境污染综合防治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大气污染防治：加强大气污染防治，推动城市环境空气质量改善。 </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（七）</w:t>
      </w:r>
      <w:r>
        <w:rPr>
          <w:rFonts w:ascii="Times New Roman" w:eastAsia="仿宋_GB2312"/>
          <w:sz w:val="32"/>
          <w:szCs w:val="32"/>
        </w:rPr>
        <w:t xml:space="preserve">信访问题处理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办理正常信访业务：解决群众上访问题 </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（八）</w:t>
      </w:r>
      <w:r>
        <w:rPr>
          <w:rFonts w:ascii="Times New Roman" w:eastAsia="仿宋_GB2312"/>
          <w:sz w:val="32"/>
          <w:szCs w:val="32"/>
        </w:rPr>
        <w:t xml:space="preserve">城乡建设管理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w:t>
      </w:r>
      <w:r>
        <w:rPr>
          <w:rFonts w:hint="eastAsia" w:ascii="Times New Roman" w:eastAsia="仿宋_GB2312"/>
          <w:sz w:val="32"/>
          <w:szCs w:val="32"/>
        </w:rPr>
        <w:t>.</w:t>
      </w:r>
      <w:r>
        <w:rPr>
          <w:rFonts w:ascii="Times New Roman" w:eastAsia="仿宋_GB2312"/>
          <w:sz w:val="32"/>
          <w:szCs w:val="32"/>
        </w:rPr>
        <w:t xml:space="preserve">公用设施建设与管理：加强乡镇基础设施建设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w:t>
      </w:r>
      <w:r>
        <w:rPr>
          <w:rFonts w:hint="eastAsia" w:ascii="Times New Roman" w:eastAsia="仿宋_GB2312"/>
          <w:sz w:val="32"/>
          <w:szCs w:val="32"/>
        </w:rPr>
        <w:t>.</w:t>
      </w:r>
      <w:r>
        <w:rPr>
          <w:rFonts w:ascii="Times New Roman" w:eastAsia="仿宋_GB2312"/>
          <w:sz w:val="32"/>
          <w:szCs w:val="32"/>
        </w:rPr>
        <w:t xml:space="preserve">推进城镇化建设：结合本年乡镇建设工作重点，结合上级对乡镇建设工作考核评价指标体系，对乡镇建设工作进行评价，结果纳入乡镇领导综合考核评价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（九）推进新农村建设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w:t>
      </w:r>
      <w:r>
        <w:rPr>
          <w:rFonts w:hint="eastAsia" w:ascii="Times New Roman" w:eastAsia="仿宋_GB2312"/>
          <w:sz w:val="32"/>
          <w:szCs w:val="32"/>
        </w:rPr>
        <w:t>.</w:t>
      </w:r>
      <w:r>
        <w:rPr>
          <w:rFonts w:ascii="Times New Roman" w:eastAsia="仿宋_GB2312"/>
          <w:sz w:val="32"/>
          <w:szCs w:val="32"/>
        </w:rPr>
        <w:t>农村面貌改造提升：围绕农村改造，突出重点，因地制宜，开展农村面貌改造提升。按照分期分批推进的要求，每年选定一批重点村实施改造提升</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w:t>
      </w:r>
      <w:r>
        <w:rPr>
          <w:rFonts w:hint="eastAsia" w:ascii="Times New Roman" w:eastAsia="仿宋_GB2312"/>
          <w:sz w:val="32"/>
          <w:szCs w:val="32"/>
        </w:rPr>
        <w:t>.</w:t>
      </w:r>
      <w:r>
        <w:rPr>
          <w:rFonts w:ascii="Times New Roman" w:eastAsia="仿宋_GB2312"/>
          <w:sz w:val="32"/>
          <w:szCs w:val="32"/>
        </w:rPr>
        <w:t>美丽乡村建设：突出重点，因地制宜，按照分期分批推进的要求，每年选定一批重点村实施改造提升</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（十）安全生产综合监督管理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w:t>
      </w:r>
      <w:r>
        <w:rPr>
          <w:rFonts w:hint="eastAsia" w:ascii="Times New Roman" w:eastAsia="仿宋_GB2312"/>
          <w:sz w:val="32"/>
          <w:szCs w:val="32"/>
        </w:rPr>
        <w:t>.</w:t>
      </w:r>
      <w:r>
        <w:rPr>
          <w:rFonts w:ascii="Times New Roman" w:eastAsia="仿宋_GB2312"/>
          <w:sz w:val="32"/>
          <w:szCs w:val="32"/>
        </w:rPr>
        <w:t>加强安全生产综合监督管理：通过检查安全生产，最大限度地发现、纠正、督促企业消除各类隐患，预防和减少事故的发生，确保乡镇安全生产形势持续稳定好转，加大安全生产宣传和信息公开力度，提高全社会安全生产意识</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w:t>
      </w:r>
      <w:r>
        <w:rPr>
          <w:rFonts w:hint="eastAsia" w:ascii="Times New Roman" w:eastAsia="仿宋_GB2312"/>
          <w:sz w:val="32"/>
          <w:szCs w:val="32"/>
        </w:rPr>
        <w:t>.</w:t>
      </w:r>
      <w:r>
        <w:rPr>
          <w:rFonts w:ascii="Times New Roman" w:eastAsia="仿宋_GB2312"/>
          <w:sz w:val="32"/>
          <w:szCs w:val="32"/>
        </w:rPr>
        <w:t xml:space="preserve">加强重大危险源安全管理：科学准确进行重大危险源等级界定；有效开展监测数据的综合分析、数据发布工作；督促企业切实加强危险源监控，有效治理隐患，落实监管责任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（十一）民兵训练和专武干部培训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因地制宜地抓好专业人才培训，充分发挥其战备效益和社会效益。 </w:t>
      </w:r>
    </w:p>
    <w:p>
      <w:pPr>
        <w:widowControl/>
        <w:numPr>
          <w:ilvl w:val="0"/>
          <w:numId w:val="3"/>
        </w:numPr>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防汛抗旱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发挥防汛抗旱减灾体系作用，最大限度地减少水旱灾害造成的人员伤亡和财产损失</w:t>
      </w:r>
    </w:p>
    <w:p>
      <w:pPr>
        <w:widowControl/>
        <w:numPr>
          <w:ilvl w:val="0"/>
          <w:numId w:val="3"/>
        </w:numPr>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医疗保障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有效降低城乡居民看病就医的经济负担</w:t>
      </w:r>
    </w:p>
    <w:p>
      <w:pPr>
        <w:widowControl/>
        <w:numPr>
          <w:ilvl w:val="0"/>
          <w:numId w:val="3"/>
        </w:numPr>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铁路护路联防工作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组织开展好全国两会及其他重要时期铁路护路联防工作，维护好铁路的安全运行，保障铁路运输安全 </w:t>
      </w:r>
    </w:p>
    <w:p>
      <w:pPr>
        <w:widowControl/>
        <w:numPr>
          <w:ilvl w:val="0"/>
          <w:numId w:val="3"/>
        </w:numPr>
        <w:spacing w:line="360" w:lineRule="auto"/>
        <w:ind w:firstLine="640" w:firstLineChars="200"/>
        <w:jc w:val="left"/>
        <w:rPr>
          <w:rFonts w:ascii="Times New Roman" w:eastAsia="仿宋_GB2312"/>
          <w:sz w:val="32"/>
          <w:szCs w:val="32"/>
        </w:rPr>
      </w:pPr>
      <w:r>
        <w:rPr>
          <w:rFonts w:ascii="Times New Roman" w:eastAsia="仿宋_GB2312"/>
          <w:sz w:val="32"/>
          <w:szCs w:val="32"/>
        </w:rPr>
        <w:t xml:space="preserve">项目建设 </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完成项目的进度质量及后期工作</w:t>
      </w:r>
    </w:p>
    <w:p>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w:t>
      </w:r>
      <w:r>
        <w:rPr>
          <w:rFonts w:hint="eastAsia" w:ascii="Times New Roman" w:eastAsia="仿宋_GB2312"/>
          <w:sz w:val="32"/>
          <w:szCs w:val="32"/>
        </w:rPr>
        <w:t>1</w:t>
      </w:r>
      <w:r>
        <w:rPr>
          <w:rFonts w:ascii="Times New Roman" w:eastAsia="仿宋_GB2312"/>
          <w:sz w:val="32"/>
          <w:szCs w:val="32"/>
        </w:rPr>
        <w:t>个，具体情况如下：</w:t>
      </w:r>
    </w:p>
    <w:tbl>
      <w:tblPr>
        <w:tblStyle w:val="11"/>
        <w:tblpPr w:leftFromText="180" w:rightFromText="180" w:vertAnchor="text" w:horzAnchor="page" w:tblpXSpec="center" w:tblpY="1"/>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高邑县富村镇人民政府</w:t>
            </w:r>
          </w:p>
        </w:tc>
        <w:tc>
          <w:tcPr>
            <w:tcW w:w="244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行政单位</w:t>
            </w:r>
          </w:p>
        </w:tc>
        <w:tc>
          <w:tcPr>
            <w:tcW w:w="266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财政拨款</w:t>
            </w:r>
          </w:p>
        </w:tc>
      </w:tr>
    </w:tbl>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我部门无二级预算单位，因此，</w:t>
      </w:r>
      <w:r>
        <w:rPr>
          <w:rFonts w:hint="eastAsia" w:ascii="Times New Roman" w:eastAsia="仿宋_GB2312"/>
          <w:sz w:val="32"/>
          <w:szCs w:val="32"/>
        </w:rPr>
        <w:t>高邑县富村镇人民政府</w:t>
      </w:r>
      <w:r>
        <w:rPr>
          <w:rFonts w:ascii="Times New Roman" w:eastAsia="仿宋_GB2312"/>
          <w:sz w:val="32"/>
          <w:szCs w:val="32"/>
        </w:rPr>
        <w:t>2025年度部门决算即</w:t>
      </w:r>
      <w:r>
        <w:rPr>
          <w:rFonts w:hint="eastAsia" w:ascii="Times New Roman" w:eastAsia="仿宋_GB2312"/>
          <w:sz w:val="32"/>
          <w:szCs w:val="32"/>
        </w:rPr>
        <w:t>高邑县富村镇人民政府</w:t>
      </w:r>
      <w:r>
        <w:rPr>
          <w:rFonts w:ascii="Times New Roman" w:eastAsia="仿宋_GB2312"/>
          <w:sz w:val="32"/>
          <w:szCs w:val="32"/>
        </w:rPr>
        <w:t>本级2025年度决算。</w:t>
      </w:r>
    </w:p>
    <w:p>
      <w:pPr>
        <w:rPr>
          <w:rFonts w:ascii="Times New Roman" w:eastAsia="仿宋_GB2312"/>
          <w:sz w:val="32"/>
          <w:szCs w:val="32"/>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部门（单位）：高邑县富村镇人民政府</w:t>
            </w:r>
          </w:p>
        </w:tc>
        <w:tc>
          <w:tcPr>
            <w:tcW w:w="1262" w:type="pct"/>
            <w:gridSpan w:val="2"/>
            <w:tcBorders>
              <w:top w:val="nil"/>
              <w:left w:val="nil"/>
              <w:bottom w:val="single" w:color="000000" w:themeColor="text1" w:sz="8" w:space="0"/>
              <w:right w:val="nil"/>
            </w:tcBorders>
            <w:noWrap/>
            <w:vAlign w:val="bottom"/>
          </w:tcPr>
          <w:p>
            <w:pPr>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rPr>
              <w:t>年度</w:t>
            </w:r>
          </w:p>
        </w:tc>
        <w:tc>
          <w:tcPr>
            <w:tcW w:w="1757" w:type="pct"/>
            <w:gridSpan w:val="3"/>
            <w:tcBorders>
              <w:top w:val="nil"/>
              <w:left w:val="nil"/>
              <w:bottom w:val="single" w:color="000000" w:themeColor="text1" w:sz="8" w:space="0"/>
              <w:right w:val="nil"/>
            </w:tcBorders>
            <w:noWrap/>
            <w:vAlign w:val="bottom"/>
          </w:tcPr>
          <w:p>
            <w:pPr>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支出</w:t>
            </w:r>
          </w:p>
        </w:tc>
      </w:tr>
      <w:tr>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2,265.33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735.94</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4,841.13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68.77</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33.47</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5,634.88</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434.26</w:t>
            </w:r>
          </w:p>
        </w:tc>
      </w:tr>
      <w:tr>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54.21</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61.31</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7,106.45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7,022.84</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79.63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163.24</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7,186.08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7,186.08</w:t>
            </w:r>
          </w:p>
        </w:tc>
      </w:tr>
      <w:tr>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注：1.本表反映部门本年度的总收支和年末结转结余情况。</w:t>
            </w:r>
          </w:p>
          <w:p>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2.本套报表金额转换时可能存在尾数误差。</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rPr>
              <w:t>表</w:t>
            </w:r>
          </w:p>
        </w:tc>
      </w:tr>
      <w:tr>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部门（单位）：高邑县富村镇人民政府                                                                                                         </w:t>
            </w:r>
          </w:p>
        </w:tc>
        <w:tc>
          <w:tcPr>
            <w:tcW w:w="3405" w:type="dxa"/>
            <w:gridSpan w:val="4"/>
            <w:tcBorders>
              <w:top w:val="nil"/>
              <w:left w:val="nil"/>
              <w:bottom w:val="single" w:color="000000" w:themeColor="text1" w:sz="8" w:space="0"/>
              <w:right w:val="nil"/>
            </w:tcBorders>
            <w:noWrap/>
            <w:vAlign w:val="bottom"/>
          </w:tcPr>
          <w:p>
            <w:pPr>
              <w:jc w:val="center"/>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2588" w:type="dxa"/>
            <w:gridSpan w:val="3"/>
            <w:tcBorders>
              <w:top w:val="nil"/>
              <w:left w:val="nil"/>
              <w:bottom w:val="single" w:color="000000" w:themeColor="text1" w:sz="8" w:space="0"/>
              <w:right w:val="nil"/>
            </w:tcBorders>
            <w:noWrap/>
            <w:vAlign w:val="bottom"/>
          </w:tcPr>
          <w:p>
            <w:pPr>
              <w:jc w:val="righ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其他收入</w:t>
            </w:r>
          </w:p>
        </w:tc>
      </w:tr>
      <w:tr>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7</w:t>
            </w:r>
          </w:p>
        </w:tc>
      </w:tr>
      <w:tr>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7,106.45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7,106.45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735.94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735.94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735.94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735.94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719.94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719.94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专项业务及机关事务管理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68.77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68.77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65.43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65.43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65.43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65.43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5,718.49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5,718.49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城乡社区规划与管理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901.03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901.03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城乡社区规划与管理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901.03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901.03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城乡社区公共设施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小城镇基础设施建设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3,403.95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3,403.95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2,640.09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2,640.09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农村基础设施建设支出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99.96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99.96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农业农村生态环境支出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663.90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663.90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国有土地收益基金安排的支出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1,375.87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1,375.87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2121001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1,375.87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1,375.87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434.26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434.26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巩固脱贫攻坚成果衔接乡村振兴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2130504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农村基础设施建设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149.12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149.12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149.12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149.12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54.21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54.21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54.21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54.21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54.21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54.21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9230" w:type="dxa"/>
            <w:gridSpan w:val="10"/>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注：本表反映部门本年度取得的各项收入情况。</w:t>
            </w:r>
          </w:p>
        </w:tc>
      </w:tr>
    </w:tbl>
    <w:p>
      <w:pPr>
        <w:rPr>
          <w:rFonts w:ascii="仿宋_GB2312" w:hAnsi="宋体" w:eastAsia="仿宋_GB2312"/>
          <w:b/>
          <w:sz w:val="32"/>
          <w:szCs w:val="32"/>
        </w:rPr>
      </w:pPr>
    </w:p>
    <w:p>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03</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部门（单位）：高邑县富村镇人民政府 </w:t>
            </w:r>
            <w:r>
              <w:rPr>
                <w:rFonts w:hint="eastAsia" w:asciiTheme="minorEastAsia" w:hAnsiTheme="minorEastAsia" w:cstheme="minorEastAsia"/>
                <w:color w:val="000000"/>
                <w:sz w:val="20"/>
                <w:szCs w:val="20"/>
              </w:rPr>
              <w:t xml:space="preserve">                                                                                                         </w:t>
            </w:r>
          </w:p>
        </w:tc>
        <w:tc>
          <w:tcPr>
            <w:tcW w:w="1403" w:type="pct"/>
            <w:gridSpan w:val="3"/>
            <w:tcBorders>
              <w:top w:val="nil"/>
              <w:left w:val="nil"/>
              <w:bottom w:val="single" w:color="000000" w:themeColor="text1" w:sz="8" w:space="0"/>
              <w:right w:val="nil"/>
            </w:tcBorders>
            <w:noWrap/>
            <w:vAlign w:val="bottom"/>
          </w:tcPr>
          <w:p>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734" w:type="pct"/>
            <w:gridSpan w:val="3"/>
            <w:tcBorders>
              <w:top w:val="nil"/>
              <w:left w:val="nil"/>
              <w:bottom w:val="single" w:color="000000" w:themeColor="text1" w:sz="8" w:space="0"/>
              <w:right w:val="nil"/>
            </w:tcBorders>
            <w:noWrap/>
            <w:vAlign w:val="bottom"/>
          </w:tcPr>
          <w:p>
            <w:pPr>
              <w:widowControl/>
              <w:jc w:val="right"/>
              <w:textAlignment w:val="bottom"/>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 xml:space="preserve"> 金额单位：万元</w:t>
            </w:r>
          </w:p>
        </w:tc>
      </w:tr>
      <w:tr>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对附属单位补助支出</w:t>
            </w:r>
          </w:p>
        </w:tc>
      </w:tr>
      <w:tr>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r>
      <w:tr>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7,022.84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876.39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6,146.45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735.94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719.94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735.94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719.94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719.94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719.94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专项业务及机关事务管理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5,634.88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5,634.88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城乡社区规划与管理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901.03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901.03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城乡社区规划与管理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901.03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901.03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城乡社区公共设施</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小城镇基础设施建设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3,320.33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3,320.33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2,556.47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2,556.47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农村基础设施建设支出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99.96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99.96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农业农村生态环境支出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663.90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663.90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国有土地收益基金安排的支出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1,375.87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1,375.87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2121001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1,375.87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1,375.87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434.26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434.26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巩固脱贫攻坚成果衔接乡村振兴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2130504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149.12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149.12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149.12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149.12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注：本表反映部门本年度各项支出情况。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04</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rPr>
              <w:t xml:space="preserve">部门（单位）：高邑县富村镇人民政府 </w:t>
            </w:r>
            <w:r>
              <w:rPr>
                <w:rFonts w:hint="eastAsia" w:asciiTheme="minorEastAsia" w:hAnsiTheme="minorEastAsia" w:cstheme="minorEastAsia"/>
                <w:color w:val="000000"/>
                <w:sz w:val="20"/>
                <w:szCs w:val="20"/>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919" w:type="pct"/>
            <w:gridSpan w:val="4"/>
            <w:tcBorders>
              <w:top w:val="nil"/>
              <w:left w:val="nil"/>
              <w:bottom w:val="single" w:color="000000" w:themeColor="text1" w:sz="8" w:space="0"/>
              <w:right w:val="nil"/>
            </w:tcBorders>
            <w:noWrap/>
            <w:vAlign w:val="bottom"/>
          </w:tcPr>
          <w:p>
            <w:pPr>
              <w:jc w:val="right"/>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2,265.33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735.94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735.94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4,841.13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68.77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68.77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33.47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33.47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5,634.88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938.68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4,696.20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434.26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434.26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54.21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54.21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61.31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61.31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7,106.45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7,022.84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2,265.33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4,757.51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79.63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163.24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163.24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79.63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7,186.08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7,186.08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cs="Times New Roman"/>
                <w:sz w:val="20"/>
                <w:szCs w:val="20"/>
              </w:rPr>
            </w:pPr>
          </w:p>
          <w:p>
            <w:pPr>
              <w:jc w:val="right"/>
              <w:rPr>
                <w:rFonts w:ascii="Times New Roman" w:hAnsi="Times New Roman" w:cs="Times New Roman"/>
                <w:sz w:val="20"/>
                <w:szCs w:val="20"/>
              </w:rPr>
            </w:pPr>
            <w:r>
              <w:rPr>
                <w:rFonts w:ascii="Times New Roman" w:hAnsi="Times New Roman" w:cs="Times New Roman"/>
                <w:sz w:val="20"/>
                <w:szCs w:val="20"/>
              </w:rPr>
              <w:t>2,265.33</w:t>
            </w:r>
          </w:p>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4,920.75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注：本表反映部门本年度一般公共预算财政拨款、政府性基金预算财政拨款和国有资本经营预算财政拨款的总收支和年末结转结余情况。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916"/>
        <w:gridCol w:w="3416"/>
        <w:gridCol w:w="321"/>
        <w:gridCol w:w="912"/>
        <w:gridCol w:w="1002"/>
        <w:gridCol w:w="378"/>
        <w:gridCol w:w="1655"/>
      </w:tblGrid>
      <w:tr>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05</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部门（单位）：高邑县富村镇人民政府</w:t>
            </w:r>
          </w:p>
        </w:tc>
        <w:tc>
          <w:tcPr>
            <w:tcW w:w="1541" w:type="pct"/>
            <w:gridSpan w:val="2"/>
            <w:tcBorders>
              <w:top w:val="nil"/>
              <w:left w:val="nil"/>
              <w:bottom w:val="single" w:color="000000" w:themeColor="text1" w:sz="8" w:space="0"/>
              <w:right w:val="nil"/>
            </w:tcBorders>
            <w:noWrap/>
            <w:vAlign w:val="bottom"/>
          </w:tcPr>
          <w:p>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590" w:type="pct"/>
            <w:gridSpan w:val="2"/>
            <w:tcBorders>
              <w:top w:val="nil"/>
              <w:left w:val="nil"/>
              <w:bottom w:val="single" w:color="000000" w:themeColor="text1" w:sz="8" w:space="0"/>
              <w:right w:val="nil"/>
            </w:tcBorders>
            <w:noWrap/>
            <w:vAlign w:val="bottom"/>
          </w:tcPr>
          <w:p>
            <w:pPr>
              <w:widowControl/>
              <w:jc w:val="right"/>
              <w:textAlignment w:val="bottom"/>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2,265.33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876.39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1,388.94</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735.94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719.94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735.94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719.94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719.94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719.94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专项业务及机关事务管理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16.00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65.43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938.68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938.68</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城乡社区规划与管理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901.03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901.03</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城乡社区规划与管理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901.03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901.03</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城乡社区公共设施</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37.65</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小城镇基础设施建设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37.65</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434.26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434.26</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巩固脱贫攻坚成果衔接乡村振兴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285.14</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2130504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285.14</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149.12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149.12</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149.12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149.12</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一般公共预算财政拨款基本支出决算明细表</w:t>
            </w:r>
          </w:p>
        </w:tc>
      </w:tr>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06</w:t>
            </w:r>
            <w:r>
              <w:rPr>
                <w:rStyle w:val="25"/>
                <w:rFonts w:hint="default"/>
              </w:rPr>
              <w:t>表</w:t>
            </w:r>
          </w:p>
        </w:tc>
      </w:tr>
      <w:tr>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部门（单位）：高邑县富村镇人民政府 </w:t>
            </w:r>
            <w:r>
              <w:rPr>
                <w:rFonts w:hint="eastAsia" w:ascii="宋体" w:hAnsi="宋体" w:eastAsia="宋体"/>
                <w:color w:val="000000"/>
                <w:sz w:val="18"/>
                <w:szCs w:val="18"/>
              </w:rPr>
              <w:t xml:space="preserve">                                                                   </w:t>
            </w:r>
          </w:p>
        </w:tc>
        <w:tc>
          <w:tcPr>
            <w:tcW w:w="1774" w:type="dxa"/>
            <w:tcBorders>
              <w:top w:val="nil"/>
              <w:left w:val="nil"/>
              <w:bottom w:val="single" w:color="000000" w:sz="8" w:space="0"/>
              <w:right w:val="nil"/>
            </w:tcBorders>
            <w:shd w:val="clear" w:color="auto" w:fill="auto"/>
            <w:noWrap/>
            <w:vAlign w:val="bottom"/>
          </w:tcPr>
          <w:p>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2025</w:t>
            </w:r>
            <w:r>
              <w:rPr>
                <w:rStyle w:val="25"/>
                <w:rFonts w:hint="default"/>
              </w:rPr>
              <w:t>年度</w:t>
            </w:r>
          </w:p>
        </w:tc>
        <w:tc>
          <w:tcPr>
            <w:tcW w:w="4212" w:type="dxa"/>
            <w:gridSpan w:val="3"/>
            <w:tcBorders>
              <w:top w:val="nil"/>
              <w:left w:val="nil"/>
              <w:bottom w:val="single" w:color="000000" w:sz="8" w:space="0"/>
              <w:right w:val="nil"/>
            </w:tcBorders>
            <w:shd w:val="clear" w:color="auto" w:fill="auto"/>
            <w:noWrap/>
            <w:vAlign w:val="bottom"/>
          </w:tcPr>
          <w:p>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金额单位：万元</w:t>
            </w:r>
          </w:p>
        </w:tc>
      </w:tr>
      <w:tr>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w:t>
            </w: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656.65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214.43</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250.91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15.91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98.29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印刷费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6.36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奖金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67.89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手续费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30106</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水费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0.92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30107</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83.10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电费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24.54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30108</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65.43</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邮电费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18.15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31003</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取暖费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31005</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30110</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17.69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2.15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31006</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15.78</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差旅费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3.34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31008</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54.21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13.50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30114</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租赁费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18.12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30199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会议费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5.31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培训费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离休费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31013</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退休费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30304</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抚恤金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30305</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5.31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劳务费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65.10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30306</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救济费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4.50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30307</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8.27</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30308</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助学金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福利费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39908</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奖励金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30231</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3.50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30310</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30239</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33.42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30240</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30399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30299</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661.95</w:t>
            </w:r>
          </w:p>
        </w:tc>
        <w:tc>
          <w:tcPr>
            <w:tcW w:w="5811" w:type="dxa"/>
            <w:gridSpan w:val="6"/>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214.43</w:t>
            </w:r>
          </w:p>
        </w:tc>
      </w:tr>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注：本表反映部门本年度一般公共预算财政拨款基本支出明细情况。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07</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部门（单位）：高邑县富村镇人民政府 </w:t>
            </w:r>
            <w:r>
              <w:rPr>
                <w:rFonts w:hint="eastAsia" w:ascii="宋体" w:hAnsi="宋体" w:eastAsia="宋体"/>
                <w:color w:val="000000"/>
                <w:sz w:val="20"/>
                <w:szCs w:val="20"/>
              </w:rPr>
              <w:t xml:space="preserve">                                                                                     </w:t>
            </w:r>
          </w:p>
        </w:tc>
        <w:tc>
          <w:tcPr>
            <w:tcW w:w="1217"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854" w:type="pct"/>
            <w:gridSpan w:val="3"/>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r>
      <w:tr>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结转</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w:t>
            </w:r>
          </w:p>
        </w:tc>
      </w:tr>
      <w:tr>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79.63</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4,841.13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4,757.51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4,757.51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163.24</w:t>
            </w:r>
          </w:p>
        </w:tc>
      </w:tr>
      <w:tr>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79.63</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4,779.82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4,696.20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4,696.20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163.24</w:t>
            </w:r>
          </w:p>
        </w:tc>
      </w:tr>
      <w:tr>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79.63</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3,403.95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3,320.33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3,320.33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163.24</w:t>
            </w:r>
          </w:p>
        </w:tc>
      </w:tr>
      <w:tr>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79.63</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2,640.09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2,556.47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2,556.47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163.24</w:t>
            </w:r>
          </w:p>
        </w:tc>
      </w:tr>
      <w:tr>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农村基础设施建设支出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99.96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99.96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99.96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2120816</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农业农村生态环境支出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663.90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663.90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663.90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21210</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国有土地收益基金安排的支出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1,375.87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1,375.87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1,375.87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2121001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1,375.87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1,375.87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1,375.87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61.31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注：本表反映部门本年度政府性基金预算财政拨款收入、支出及结转和结余情况。</w:t>
            </w:r>
            <w:r>
              <w:rPr>
                <w:rFonts w:hint="eastAsia" w:ascii="方正仿宋_GB2312" w:hAnsi="方正仿宋_GB2312" w:eastAsia="方正仿宋_GB2312" w:cs="方正仿宋_GB2312"/>
                <w:color w:val="000000"/>
                <w:sz w:val="20"/>
                <w:szCs w:val="20"/>
              </w:rPr>
              <w:br w:type="page"/>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08</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部门（单位）：高邑县富村镇人民政府</w:t>
            </w:r>
          </w:p>
        </w:tc>
        <w:tc>
          <w:tcPr>
            <w:tcW w:w="1421"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603" w:type="pct"/>
            <w:gridSpan w:val="3"/>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注：本部门本年度无国有资本经营预算财政拨款支出情况。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09</w:t>
            </w:r>
            <w:r>
              <w:rPr>
                <w:rFonts w:hint="eastAsia" w:ascii="方正仿宋_GB2312" w:hAnsi="方正仿宋_GB2312" w:eastAsia="方正仿宋_GB2312" w:cs="方正仿宋_GB2312"/>
                <w:color w:val="000000"/>
                <w:sz w:val="18"/>
                <w:szCs w:val="18"/>
              </w:rPr>
              <w:t>表</w:t>
            </w:r>
          </w:p>
        </w:tc>
      </w:tr>
      <w:tr>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部门（单位）：高邑县富村镇人民政府</w:t>
            </w:r>
          </w:p>
        </w:tc>
        <w:tc>
          <w:tcPr>
            <w:tcW w:w="933"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18"/>
                <w:szCs w:val="18"/>
              </w:rPr>
            </w:pPr>
            <w:r>
              <w:rPr>
                <w:rFonts w:ascii="Times New Roman" w:hAnsi="Times New Roman" w:eastAsia="宋体" w:cs="Times New Roman"/>
                <w:color w:val="000000"/>
                <w:sz w:val="18"/>
                <w:szCs w:val="18"/>
              </w:rPr>
              <w:t>202</w:t>
            </w:r>
            <w:r>
              <w:rPr>
                <w:rFonts w:hint="eastAsia" w:ascii="Times New Roman" w:hAnsi="Times New Roman" w:eastAsia="宋体" w:cs="Times New Roman"/>
                <w:color w:val="000000"/>
                <w:sz w:val="18"/>
                <w:szCs w:val="18"/>
              </w:rPr>
              <w:t>5</w:t>
            </w:r>
            <w:r>
              <w:rPr>
                <w:rFonts w:hint="eastAsia" w:ascii="方正仿宋_GB2312" w:hAnsi="方正仿宋_GB2312" w:eastAsia="方正仿宋_GB2312" w:cs="方正仿宋_GB2312"/>
                <w:color w:val="000000"/>
                <w:sz w:val="18"/>
                <w:szCs w:val="18"/>
              </w:rPr>
              <w:t>年度</w:t>
            </w:r>
          </w:p>
        </w:tc>
        <w:tc>
          <w:tcPr>
            <w:tcW w:w="2129" w:type="pct"/>
            <w:gridSpan w:val="5"/>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金额单位：万元</w:t>
            </w:r>
          </w:p>
        </w:tc>
      </w:tr>
      <w:tr>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决算数</w:t>
            </w:r>
          </w:p>
        </w:tc>
      </w:tr>
      <w:tr>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r>
      <w:tr>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r>
      <w:tr>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w:t>
            </w:r>
          </w:p>
        </w:tc>
      </w:tr>
      <w:tr>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3.50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3.50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3.50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3.50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3.50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3.50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r>
      <w:tr>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p>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本部门2025年度收、支总计（含结转和结余）均为7,186.08万元。与2024年度决算相比，收支各增加80.34万元，增长1.1%，主要原因是</w:t>
      </w:r>
      <w:bookmarkStart w:id="0" w:name="OLE_LINK1"/>
      <w:r>
        <w:rPr>
          <w:rFonts w:hint="eastAsia" w:ascii="Times New Roman" w:eastAsia="仿宋_GB2312"/>
          <w:sz w:val="32"/>
          <w:szCs w:val="32"/>
        </w:rPr>
        <w:t>重点工作任务增多，项目实施规模扩大</w:t>
      </w:r>
      <w:bookmarkEnd w:id="0"/>
      <w:r>
        <w:rPr>
          <w:rFonts w:ascii="Times New Roman" w:eastAsia="仿宋_GB2312"/>
          <w:sz w:val="32"/>
          <w:szCs w:val="32"/>
        </w:rPr>
        <w:t>。</w:t>
      </w:r>
    </w:p>
    <w:p>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本部门2025年度本年收入合计7,106.45万元，其中：财政拨款收入7,106.45万元，占100%；上级补助收入0万元，占0%；事业收入0万元，占0%；经营收入0万元，占0%；附属单位上缴收入0万元，占0%；其他收入0万元</w:t>
      </w:r>
      <w:r>
        <w:rPr>
          <w:rFonts w:hint="eastAsia" w:ascii="Times New Roman" w:eastAsia="仿宋_GB2312"/>
          <w:sz w:val="32"/>
          <w:szCs w:val="32"/>
        </w:rPr>
        <w:t>，</w:t>
      </w:r>
      <w:r>
        <w:rPr>
          <w:rFonts w:ascii="Times New Roman" w:eastAsia="仿宋_GB2312"/>
          <w:sz w:val="32"/>
          <w:szCs w:val="32"/>
        </w:rPr>
        <w:t>占0%。</w:t>
      </w:r>
    </w:p>
    <w:p>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本部门2025年度本年支出合计7,022.84万元，其中：基本支出876.39万元，占12.5%；项目支出6,146.45万元，占87.5%；经营支出0万元，占0%；上缴上级支出0万元，占0%；对附属单位补助支出0万元，占0%。</w:t>
      </w:r>
    </w:p>
    <w:p>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本部门2025年度财政拨款收、支总计（含结转和结余）均为7,186.08万元。与2024年度相比，财政拨款收支各增加80.34万元，增长1.1%，主要原因是</w:t>
      </w:r>
      <w:r>
        <w:rPr>
          <w:rFonts w:hint="eastAsia" w:ascii="Times New Roman" w:eastAsia="仿宋_GB2312"/>
          <w:sz w:val="32"/>
          <w:szCs w:val="32"/>
        </w:rPr>
        <w:t>重点工作任务增多，项目实施规模扩大</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本部门2025年度财政拨款本年收入7,106.45万元</w:t>
      </w:r>
      <w:r>
        <w:rPr>
          <w:rFonts w:hint="eastAsia" w:ascii="Times New Roman" w:eastAsia="仿宋_GB2312"/>
          <w:sz w:val="32"/>
          <w:szCs w:val="32"/>
        </w:rPr>
        <w:t>，</w:t>
      </w:r>
      <w:r>
        <w:rPr>
          <w:rFonts w:ascii="Times New Roman" w:eastAsia="仿宋_GB2312"/>
          <w:sz w:val="32"/>
          <w:szCs w:val="32"/>
        </w:rPr>
        <w:t>比上年增加1,716.84万元，增长31.9%，主要原因是</w:t>
      </w:r>
      <w:r>
        <w:rPr>
          <w:rFonts w:hint="eastAsia" w:ascii="Times New Roman" w:eastAsia="仿宋_GB2312"/>
          <w:sz w:val="32"/>
          <w:szCs w:val="32"/>
        </w:rPr>
        <w:t>一般公共预算拨款增加</w:t>
      </w:r>
      <w:r>
        <w:rPr>
          <w:rFonts w:ascii="Times New Roman" w:eastAsia="仿宋_GB2312"/>
          <w:sz w:val="32"/>
          <w:szCs w:val="32"/>
        </w:rPr>
        <w:t>；本年支出7,022.84万元，比上年减少3.28万元，降低0%，主要原因是</w:t>
      </w:r>
      <w:r>
        <w:rPr>
          <w:rFonts w:hint="eastAsia" w:ascii="Times New Roman" w:eastAsia="仿宋_GB2312"/>
          <w:sz w:val="32"/>
          <w:szCs w:val="32"/>
        </w:rPr>
        <w:t>占地补偿减少</w:t>
      </w:r>
      <w:r>
        <w:rPr>
          <w:rFonts w:ascii="Times New Roman" w:eastAsia="仿宋_GB2312"/>
          <w:sz w:val="32"/>
          <w:szCs w:val="32"/>
        </w:rPr>
        <w:t>。具体情况如下：</w:t>
      </w:r>
    </w:p>
    <w:p>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1.一般公共预算财政拨款本年收入2,265.33万元</w:t>
      </w:r>
      <w:r>
        <w:rPr>
          <w:rFonts w:hint="eastAsia" w:ascii="Times New Roman" w:eastAsia="仿宋_GB2312"/>
          <w:sz w:val="32"/>
          <w:szCs w:val="32"/>
        </w:rPr>
        <w:t>，</w:t>
      </w:r>
      <w:r>
        <w:rPr>
          <w:rFonts w:ascii="Times New Roman" w:eastAsia="仿宋_GB2312"/>
          <w:sz w:val="32"/>
          <w:szCs w:val="32"/>
        </w:rPr>
        <w:t>比上年增加1,088.90万元，增长92.6%，主要原因是</w:t>
      </w:r>
      <w:r>
        <w:rPr>
          <w:rFonts w:hint="eastAsia" w:ascii="Times New Roman" w:eastAsia="仿宋_GB2312"/>
          <w:sz w:val="32"/>
          <w:szCs w:val="32"/>
        </w:rPr>
        <w:t>增加以工代赈项目</w:t>
      </w:r>
      <w:r>
        <w:rPr>
          <w:rFonts w:ascii="Times New Roman" w:eastAsia="仿宋_GB2312"/>
          <w:sz w:val="32"/>
          <w:szCs w:val="32"/>
        </w:rPr>
        <w:t>；本年支出2,265.33万元，比上年增加1,088.90万元，增长92.6%，主要原因是</w:t>
      </w:r>
      <w:r>
        <w:rPr>
          <w:rFonts w:hint="eastAsia" w:ascii="Times New Roman" w:eastAsia="仿宋_GB2312"/>
          <w:sz w:val="32"/>
          <w:szCs w:val="32"/>
        </w:rPr>
        <w:t>增加以工代赈项目</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2.政府性基金预算财政拨款本年收入4,841.13万元，比上年增加627.94万元，增长14.9%，主要原因是</w:t>
      </w:r>
      <w:r>
        <w:rPr>
          <w:rFonts w:hint="eastAsia" w:ascii="Times New Roman" w:eastAsia="仿宋_GB2312"/>
          <w:sz w:val="32"/>
          <w:szCs w:val="32"/>
        </w:rPr>
        <w:t>占地补偿增加</w:t>
      </w:r>
      <w:r>
        <w:rPr>
          <w:rFonts w:ascii="Times New Roman" w:eastAsia="仿宋_GB2312"/>
          <w:sz w:val="32"/>
          <w:szCs w:val="32"/>
        </w:rPr>
        <w:t>；本年支出4,757.51万元，比上年减少1,092.17万元，降低18.7%，主要原因是</w:t>
      </w:r>
      <w:r>
        <w:rPr>
          <w:rFonts w:hint="eastAsia" w:ascii="Times New Roman" w:eastAsia="仿宋_GB2312"/>
          <w:sz w:val="32"/>
          <w:szCs w:val="32"/>
        </w:rPr>
        <w:t>城乡社区支出减少</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3.国有资本经营预算财政拨款本年收入0万元，</w:t>
      </w:r>
      <w:r>
        <w:rPr>
          <w:rFonts w:hint="eastAsia" w:ascii="Times New Roman" w:eastAsia="仿宋_GB2312"/>
          <w:sz w:val="32"/>
          <w:szCs w:val="32"/>
        </w:rPr>
        <w:t>与上年持平，主要原因是本年度无国有资本经营收入；</w:t>
      </w:r>
      <w:bookmarkStart w:id="6" w:name="_GoBack"/>
      <w:bookmarkEnd w:id="6"/>
      <w:r>
        <w:rPr>
          <w:rFonts w:ascii="Times New Roman" w:eastAsia="仿宋_GB2312"/>
          <w:sz w:val="32"/>
          <w:szCs w:val="32"/>
        </w:rPr>
        <w:t>本年支出0万元，</w:t>
      </w:r>
      <w:r>
        <w:rPr>
          <w:rFonts w:hint="eastAsia" w:ascii="Times New Roman" w:eastAsia="仿宋_GB2312"/>
          <w:sz w:val="32"/>
          <w:szCs w:val="32"/>
        </w:rPr>
        <w:t>与上年持平，主要原因是</w:t>
      </w:r>
      <w:bookmarkStart w:id="1" w:name="OLE_LINK2"/>
      <w:r>
        <w:rPr>
          <w:rFonts w:hint="eastAsia" w:ascii="Times New Roman" w:eastAsia="仿宋_GB2312"/>
          <w:sz w:val="32"/>
          <w:szCs w:val="32"/>
        </w:rPr>
        <w:t>本年度无国有资本经营支出</w:t>
      </w:r>
      <w:bookmarkEnd w:id="1"/>
      <w:r>
        <w:rPr>
          <w:rFonts w:hint="eastAsia" w:ascii="Times New Roman" w:eastAsia="仿宋_GB2312"/>
          <w:sz w:val="32"/>
          <w:szCs w:val="32"/>
        </w:rPr>
        <w:t>。</w:t>
      </w:r>
    </w:p>
    <w:p>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本部门2025年度财政拨款本年收入7,106.45万元，完成年初预算的158.3%，比年初预算增加2,616.63万元，决算数大于预算数主要原因是</w:t>
      </w:r>
      <w:r>
        <w:rPr>
          <w:rFonts w:hint="eastAsia" w:ascii="Times New Roman" w:eastAsia="仿宋_GB2312"/>
          <w:sz w:val="32"/>
          <w:szCs w:val="32"/>
        </w:rPr>
        <w:t>新增占地补偿</w:t>
      </w:r>
      <w:r>
        <w:rPr>
          <w:rFonts w:ascii="Times New Roman" w:eastAsia="仿宋_GB2312"/>
          <w:sz w:val="32"/>
          <w:szCs w:val="32"/>
        </w:rPr>
        <w:t>；本年支出7,022.84万元，完成年初预算的156.4%，比年初预算增加2,533.02万元，决算数大于预算数主要原因是</w:t>
      </w:r>
      <w:r>
        <w:rPr>
          <w:rFonts w:hint="eastAsia" w:ascii="Times New Roman" w:eastAsia="仿宋_GB2312"/>
          <w:sz w:val="32"/>
          <w:szCs w:val="32"/>
        </w:rPr>
        <w:t>新增占地补偿</w:t>
      </w:r>
      <w:r>
        <w:rPr>
          <w:rFonts w:ascii="Times New Roman" w:eastAsia="仿宋_GB2312"/>
          <w:sz w:val="32"/>
          <w:szCs w:val="32"/>
        </w:rPr>
        <w:t>。具体情况如下：</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1.一般公共预算财政拨款本年收入完成年初预算的165.2%，比年初预算增加893.98万元，主要原因是</w:t>
      </w:r>
      <w:r>
        <w:rPr>
          <w:rFonts w:hint="eastAsia" w:ascii="Times New Roman" w:eastAsia="仿宋_GB2312"/>
          <w:sz w:val="32"/>
          <w:szCs w:val="32"/>
        </w:rPr>
        <w:t>城乡社区支出和住房保障支出的增加</w:t>
      </w:r>
      <w:r>
        <w:rPr>
          <w:rFonts w:ascii="Times New Roman" w:eastAsia="仿宋_GB2312"/>
          <w:sz w:val="32"/>
          <w:szCs w:val="32"/>
        </w:rPr>
        <w:t>；支出完成年初预算的165.2%，比年初预算增加893.98万元，主要原因是</w:t>
      </w:r>
      <w:r>
        <w:rPr>
          <w:rFonts w:hint="eastAsia" w:ascii="Times New Roman" w:eastAsia="仿宋_GB2312"/>
          <w:sz w:val="32"/>
          <w:szCs w:val="32"/>
        </w:rPr>
        <w:t>城乡社区支出和住房保障支出的增加</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2.政府性基金预算财政拨款本年收入完成年初预算</w:t>
      </w:r>
      <w:r>
        <w:rPr>
          <w:rFonts w:hint="eastAsia" w:ascii="Times New Roman" w:eastAsia="仿宋_GB2312"/>
          <w:sz w:val="32"/>
          <w:szCs w:val="32"/>
        </w:rPr>
        <w:t>的</w:t>
      </w:r>
      <w:r>
        <w:rPr>
          <w:rFonts w:ascii="Times New Roman" w:eastAsia="仿宋_GB2312"/>
          <w:sz w:val="32"/>
          <w:szCs w:val="32"/>
        </w:rPr>
        <w:t>155.2%，比年初预算增加1,722.66万元，主要原因是</w:t>
      </w:r>
      <w:r>
        <w:rPr>
          <w:rFonts w:hint="eastAsia" w:ascii="Times New Roman" w:eastAsia="仿宋_GB2312"/>
          <w:sz w:val="32"/>
          <w:szCs w:val="32"/>
        </w:rPr>
        <w:t>占地补偿增加</w:t>
      </w:r>
      <w:r>
        <w:rPr>
          <w:rFonts w:ascii="Times New Roman" w:eastAsia="仿宋_GB2312"/>
          <w:sz w:val="32"/>
          <w:szCs w:val="32"/>
        </w:rPr>
        <w:t>；支出完成年初预算的152.6%，比年初预算增加1,639.04万元，主要原因是</w:t>
      </w:r>
      <w:r>
        <w:rPr>
          <w:rFonts w:hint="eastAsia" w:ascii="Times New Roman" w:eastAsia="仿宋_GB2312"/>
          <w:sz w:val="32"/>
          <w:szCs w:val="32"/>
        </w:rPr>
        <w:t>占地补偿增加</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3.国有资本经营预算财政拨款本年收入完成年初预算的0%，比年初预算</w:t>
      </w:r>
      <w:r>
        <w:rPr>
          <w:rFonts w:hint="eastAsia" w:ascii="Times New Roman" w:eastAsia="仿宋_GB2312"/>
          <w:sz w:val="32"/>
          <w:szCs w:val="32"/>
        </w:rPr>
        <w:t>持平</w:t>
      </w:r>
      <w:r>
        <w:rPr>
          <w:rFonts w:ascii="Times New Roman" w:eastAsia="仿宋_GB2312"/>
          <w:sz w:val="32"/>
          <w:szCs w:val="32"/>
        </w:rPr>
        <w:t>，主要原因是</w:t>
      </w:r>
      <w:r>
        <w:rPr>
          <w:rFonts w:hint="eastAsia" w:ascii="Times New Roman" w:eastAsia="仿宋_GB2312"/>
          <w:sz w:val="32"/>
          <w:szCs w:val="32"/>
        </w:rPr>
        <w:t>本年度无国有资本经营收入</w:t>
      </w:r>
      <w:r>
        <w:rPr>
          <w:rFonts w:ascii="Times New Roman" w:eastAsia="仿宋_GB2312"/>
          <w:sz w:val="32"/>
          <w:szCs w:val="32"/>
        </w:rPr>
        <w:t>；支出完成年初预算的0%，比年初预算</w:t>
      </w:r>
      <w:r>
        <w:rPr>
          <w:rFonts w:hint="eastAsia" w:ascii="Times New Roman" w:eastAsia="仿宋_GB2312"/>
          <w:sz w:val="32"/>
          <w:szCs w:val="32"/>
        </w:rPr>
        <w:t>持平</w:t>
      </w:r>
      <w:r>
        <w:rPr>
          <w:rFonts w:ascii="Times New Roman" w:eastAsia="仿宋_GB2312"/>
          <w:sz w:val="32"/>
          <w:szCs w:val="32"/>
        </w:rPr>
        <w:t>，主要原因是</w:t>
      </w:r>
      <w:r>
        <w:rPr>
          <w:rFonts w:hint="eastAsia" w:ascii="Times New Roman" w:eastAsia="仿宋_GB2312"/>
          <w:sz w:val="32"/>
          <w:szCs w:val="32"/>
        </w:rPr>
        <w:t>本年度无国有资本经营支出</w:t>
      </w:r>
      <w:r>
        <w:rPr>
          <w:rFonts w:ascii="Times New Roman" w:eastAsia="仿宋_GB2312"/>
          <w:sz w:val="32"/>
          <w:szCs w:val="32"/>
        </w:rPr>
        <w:t>。</w:t>
      </w:r>
    </w:p>
    <w:p>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2025年度财政拨款支出7,022.84万元，主要用于以下方面：</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735.94万元，占10.5%，主要用于办公费、印刷费、电费、邮电费、差旅费、维修（护）费、劳务费、公务用车运行维护费、其他交通费用、办公设备购置、其他资本性支出；外交（类）支出0万元，占0%；国防（类）支出0万元，占0 %；公共安全类（类）支出0万元，占0 %；教育（类）支出0万元，占0%；科学技术（类）支出0万元，占0%；文化旅游体育与传媒（类）支出0万元，占0%；社会保障和就业 （类）支出68.77万元，占1.0%，主要用于机关事业基本养老保险缴费、职业年金缴费；卫生健康（类）支出33.47万元，占0.5%，主要用于职工基本医疗保险缴费支出；节能环保（类）支出0万元，占0%；城乡社区（类）支出938.68万元，占13.4%，主要用于占地补</w:t>
      </w:r>
      <w:r>
        <w:rPr>
          <w:rFonts w:hint="eastAsia" w:ascii="Times New Roman" w:eastAsia="仿宋_GB2312"/>
          <w:sz w:val="32"/>
          <w:szCs w:val="32"/>
        </w:rPr>
        <w:t>偿、 农村基础设施建设</w:t>
      </w:r>
      <w:r>
        <w:rPr>
          <w:rFonts w:ascii="Times New Roman" w:eastAsia="仿宋_GB2312"/>
          <w:sz w:val="32"/>
          <w:szCs w:val="32"/>
        </w:rPr>
        <w:t>支出；农林水（类）支出434.26万元，占6.2%，主要用</w:t>
      </w:r>
      <w:r>
        <w:rPr>
          <w:rFonts w:hint="eastAsia" w:ascii="Times New Roman" w:eastAsia="仿宋_GB2312"/>
          <w:sz w:val="32"/>
          <w:szCs w:val="32"/>
        </w:rPr>
        <w:t>于办公费、生活补助</w:t>
      </w:r>
      <w:r>
        <w:rPr>
          <w:rFonts w:ascii="Times New Roman" w:eastAsia="仿宋_GB2312"/>
          <w:sz w:val="32"/>
          <w:szCs w:val="32"/>
        </w:rPr>
        <w:t>支出；交通运输（类）支出0万元，占0%；资源勘探信息等（类）支出0万元，占0 %；商业服务业等（类）支出0万元，占0%；金融（类）支出0万元，占0%；援助其他地区（类）支出0万元，占0%；自然资源海洋气象等（类）支出0万元，占0%；住房保障（类）支出54.21万元，占0.8%，主要用于住房公积金支出；粮油物资储备（类）支出0万元，占0%；国有资本经营预算支出0万元，占0%；灾害防治及应急管理（类）支出0万元，占0%；其他（类）支出0万元，占0%；债务还本（类）支出0万元，占0%；债务付息（类）支出0万元，占0%；抗疫特别国债安排的支出0万元，占0%。</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万元，占0%；外交（类）支出0万元，占0%；国防（类）支出0万元，占0%；公共安全类（类）支出0万元，占0%；教育（类）支出0万元，占0%；科学技术（类）支出0万元，占0%；文化旅游体育与传媒（类）支出0万元，占0%；社会保障和就业 （类）支出0万元，占0%；卫生健康（类）支出0万元，占0%；节能环保（类）支出0万元，占0%；城乡社区（类）支出4,696.20万元，占66.9%，主要用于</w:t>
      </w:r>
      <w:r>
        <w:rPr>
          <w:rFonts w:hint="eastAsia" w:ascii="Times New Roman" w:eastAsia="仿宋_GB2312"/>
          <w:sz w:val="32"/>
          <w:szCs w:val="32"/>
        </w:rPr>
        <w:t>占地补偿等</w:t>
      </w:r>
      <w:r>
        <w:rPr>
          <w:rFonts w:ascii="Times New Roman" w:eastAsia="仿宋_GB2312"/>
          <w:sz w:val="32"/>
          <w:szCs w:val="32"/>
        </w:rPr>
        <w:t>支出；农林水（类）支出0万元，占0%；交通运输（类）支出0万元，占0%；资源勘探信息等（类）支出0万元，占0%；商业服务业等（类）支出0万元，占0%；金融（类）支出0万元，占0%；援助其他地区（类）支出0万元，占0%；自然资源海洋气象等（类）支出0万元，占0%；住房保障（类）支出0万元，占0%；粮油物资储备（类）支出0万元，占0%；国有资本经营预算支出0万元，占0%；灾害防治及应急管理（类）支出0万元，占0%；其他（类）支出61.31万元，占0.9%，主要用于</w:t>
      </w:r>
      <w:r>
        <w:rPr>
          <w:rFonts w:hint="eastAsia" w:ascii="Times New Roman" w:eastAsia="仿宋_GB2312"/>
          <w:sz w:val="32"/>
          <w:szCs w:val="32"/>
        </w:rPr>
        <w:t>专项债券资金</w:t>
      </w:r>
      <w:r>
        <w:rPr>
          <w:rFonts w:ascii="Times New Roman" w:eastAsia="仿宋_GB2312"/>
          <w:sz w:val="32"/>
          <w:szCs w:val="32"/>
        </w:rPr>
        <w:t>支出；债务还本（类）支出0万元，占0%；债务付息（类）支出0万元，占0%；抗疫特别国债安排的支出0万元，占0%。</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万元，占0%；外交（类）支出0万元，占0%；国防（类）支出0万元，占0%；公共安全（类）支出0万元，占0%；教育（类）支出0万元，占0%；科学技术（类）支出0万元，占0%；文化旅游体育与传媒（类）支出0万元，占0%；社会保障和就业（类）支出0万元，占0%；卫生健康（类）支出0万元，占0%；节能环保（类）支出0万元，占0%；城乡社区（类）支出0万元，占0%；农林水（类）支出0万元，占0%；交通运输（类）支出0万元，占0%；资源勘探信息等（类）支出0万元，占0%；商业服务业等（类）支出0万元，占0%；金融（类）支出0万元，占0%；援助其他地区（类）支出0万元，占0%；自然资源海洋气象等（类）支出0万元，占0%；住房保障（类）支出0万元，占0%；粮油物资储备（类）支出0万元，占0%；国有资本经营预算支出0万元，占0%；灾害防治及应急管理（类）支出0万元，占0%；其他（类）支出0万元，占0%；债务还本（类）支出0万元，占0%；债务付息（类）支出0万元，占0%；抗疫特别国债安排的支出0万元，占0%。</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2025年度财政拨款基本支出876.39万元，其中：</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661.95万元，主要包括基本工资、津贴补贴、奖金、绩效工资、机关事业部门基本养老保险缴费、职业年金缴费、职工基本医疗保险缴费、公务员医疗补助缴费、住房公积金、其他社会保障缴费、生活补助、其他对个人和家庭的补助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公用经费214.43万元，主要包括办公费、印刷费、水费、电费、邮电费、物业管理费、差旅费、维修（护）费、租赁费、劳务费、委托业务费、工会经费、公务用车运行维护费、其他交通费用。</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本部门2025年度“三公”经费财政拨款支出预算为3.50万元，支出决算为3.50万元，完成预算的100%</w:t>
      </w:r>
      <w:r>
        <w:rPr>
          <w:rFonts w:hint="eastAsia" w:ascii="Times New Roman" w:eastAsia="仿宋_GB2312"/>
          <w:sz w:val="32"/>
          <w:szCs w:val="32"/>
        </w:rPr>
        <w:t>，</w:t>
      </w:r>
      <w:r>
        <w:rPr>
          <w:rFonts w:ascii="Times New Roman" w:eastAsia="仿宋_GB2312"/>
          <w:sz w:val="32"/>
          <w:szCs w:val="32"/>
        </w:rPr>
        <w:t>较预算</w:t>
      </w:r>
      <w:r>
        <w:rPr>
          <w:rFonts w:hint="eastAsia" w:ascii="Times New Roman" w:eastAsia="仿宋_GB2312"/>
          <w:sz w:val="32"/>
          <w:szCs w:val="32"/>
        </w:rPr>
        <w:t>持平</w:t>
      </w:r>
      <w:r>
        <w:rPr>
          <w:rFonts w:ascii="Times New Roman" w:eastAsia="仿宋_GB2312"/>
          <w:sz w:val="32"/>
          <w:szCs w:val="32"/>
        </w:rPr>
        <w:t>，主要原因是</w:t>
      </w:r>
      <w:bookmarkStart w:id="2" w:name="OLE_LINK3"/>
      <w:r>
        <w:rPr>
          <w:rFonts w:ascii="Times New Roman" w:eastAsia="仿宋_GB2312"/>
          <w:sz w:val="32"/>
          <w:szCs w:val="32"/>
        </w:rPr>
        <w:t>严格执行中央八项规定，严控开支</w:t>
      </w:r>
      <w:bookmarkEnd w:id="2"/>
      <w:r>
        <w:rPr>
          <w:rFonts w:ascii="Times New Roman" w:eastAsia="仿宋_GB2312"/>
          <w:sz w:val="32"/>
          <w:szCs w:val="32"/>
        </w:rPr>
        <w:t>；较2024年度决算</w:t>
      </w:r>
      <w:r>
        <w:rPr>
          <w:rFonts w:hint="eastAsia" w:ascii="Times New Roman" w:eastAsia="仿宋_GB2312"/>
          <w:sz w:val="32"/>
          <w:szCs w:val="32"/>
        </w:rPr>
        <w:t>持平</w:t>
      </w:r>
      <w:r>
        <w:rPr>
          <w:rFonts w:ascii="Times New Roman" w:eastAsia="仿宋_GB2312"/>
          <w:sz w:val="32"/>
          <w:szCs w:val="32"/>
        </w:rPr>
        <w:t>，主要原因是严格执行中央八项规定，严控开支。</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本部门2025年度因公出国（境）费支出预算为0万元</w:t>
      </w:r>
      <w:r>
        <w:rPr>
          <w:rFonts w:hint="eastAsia" w:ascii="Times New Roman" w:eastAsia="仿宋_GB2312"/>
          <w:sz w:val="32"/>
          <w:szCs w:val="32"/>
        </w:rPr>
        <w:t>，</w:t>
      </w:r>
      <w:r>
        <w:rPr>
          <w:rFonts w:ascii="Times New Roman" w:eastAsia="仿宋_GB2312"/>
          <w:sz w:val="32"/>
          <w:szCs w:val="32"/>
        </w:rPr>
        <w:t>支出决算0万元。完成预算的0%。因公出国（境）费支出较预算</w:t>
      </w:r>
      <w:r>
        <w:rPr>
          <w:rFonts w:hint="eastAsia" w:ascii="Times New Roman" w:eastAsia="仿宋_GB2312"/>
          <w:sz w:val="32"/>
          <w:szCs w:val="32"/>
        </w:rPr>
        <w:t>持平</w:t>
      </w:r>
      <w:r>
        <w:rPr>
          <w:rFonts w:ascii="Times New Roman" w:eastAsia="仿宋_GB2312"/>
          <w:sz w:val="32"/>
          <w:szCs w:val="32"/>
        </w:rPr>
        <w:t>，主要原因是</w:t>
      </w:r>
      <w:bookmarkStart w:id="3" w:name="OLE_LINK4"/>
      <w:r>
        <w:rPr>
          <w:rFonts w:ascii="Times New Roman" w:eastAsia="仿宋_GB2312"/>
          <w:sz w:val="32"/>
          <w:szCs w:val="32"/>
        </w:rPr>
        <w:t>严格执行中央八项规定，严控开支</w:t>
      </w:r>
      <w:bookmarkEnd w:id="3"/>
      <w:r>
        <w:rPr>
          <w:rFonts w:ascii="Times New Roman" w:eastAsia="仿宋_GB2312"/>
          <w:sz w:val="32"/>
          <w:szCs w:val="32"/>
        </w:rPr>
        <w:t>；较上年</w:t>
      </w:r>
      <w:r>
        <w:rPr>
          <w:rFonts w:hint="eastAsia" w:ascii="Times New Roman" w:eastAsia="仿宋_GB2312"/>
          <w:sz w:val="32"/>
          <w:szCs w:val="32"/>
        </w:rPr>
        <w:t>持平，</w:t>
      </w:r>
      <w:r>
        <w:rPr>
          <w:rFonts w:ascii="Times New Roman" w:eastAsia="仿宋_GB2312"/>
          <w:sz w:val="32"/>
          <w:szCs w:val="32"/>
        </w:rPr>
        <w:t>主要原因是严格执行中央八项规定，严控开支。因公出国（境）团组0个、共0人、参加其他单位组织的因公出国（境）团组</w:t>
      </w:r>
      <w:r>
        <w:rPr>
          <w:rFonts w:hint="eastAsia" w:ascii="Times New Roman" w:eastAsia="仿宋_GB2312"/>
          <w:sz w:val="32"/>
          <w:szCs w:val="32"/>
        </w:rPr>
        <w:t>0</w:t>
      </w:r>
      <w:r>
        <w:rPr>
          <w:rFonts w:ascii="Times New Roman" w:eastAsia="仿宋_GB2312"/>
          <w:sz w:val="32"/>
          <w:szCs w:val="32"/>
        </w:rPr>
        <w:t>个、共</w:t>
      </w:r>
      <w:r>
        <w:rPr>
          <w:rFonts w:hint="eastAsia" w:ascii="Times New Roman" w:eastAsia="仿宋_GB2312"/>
          <w:sz w:val="32"/>
          <w:szCs w:val="32"/>
        </w:rPr>
        <w:t>0</w:t>
      </w:r>
      <w:r>
        <w:rPr>
          <w:rFonts w:ascii="Times New Roman" w:eastAsia="仿宋_GB2312"/>
          <w:sz w:val="32"/>
          <w:szCs w:val="32"/>
        </w:rPr>
        <w:t>人/无本部门组织的出国（境）团组。</w:t>
      </w:r>
    </w:p>
    <w:p>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本部门2025年度公务用车购置及运行维护费预算为3.50万元，支出决算3.50万元，完成预算的100%</w:t>
      </w:r>
      <w:r>
        <w:rPr>
          <w:rFonts w:hint="eastAsia" w:ascii="Times New Roman" w:eastAsia="仿宋_GB2312"/>
          <w:sz w:val="32"/>
          <w:szCs w:val="32"/>
        </w:rPr>
        <w:t>，</w:t>
      </w:r>
      <w:r>
        <w:rPr>
          <w:rFonts w:ascii="Times New Roman" w:eastAsia="仿宋_GB2312"/>
          <w:sz w:val="32"/>
          <w:szCs w:val="32"/>
        </w:rPr>
        <w:t>较预算</w:t>
      </w:r>
      <w:r>
        <w:rPr>
          <w:rFonts w:hint="eastAsia" w:ascii="Times New Roman" w:eastAsia="仿宋_GB2312"/>
          <w:sz w:val="32"/>
          <w:szCs w:val="32"/>
        </w:rPr>
        <w:t>持平</w:t>
      </w:r>
      <w:r>
        <w:rPr>
          <w:rFonts w:ascii="Times New Roman" w:eastAsia="仿宋_GB2312"/>
          <w:sz w:val="32"/>
          <w:szCs w:val="32"/>
        </w:rPr>
        <w:t>，主要原因是严格执行中央八项规定，严控开支；较上年</w:t>
      </w:r>
      <w:r>
        <w:rPr>
          <w:rFonts w:hint="eastAsia" w:ascii="Times New Roman" w:eastAsia="仿宋_GB2312"/>
          <w:sz w:val="32"/>
          <w:szCs w:val="32"/>
        </w:rPr>
        <w:t>持平，</w:t>
      </w:r>
      <w:r>
        <w:rPr>
          <w:rFonts w:ascii="Times New Roman" w:eastAsia="仿宋_GB2312"/>
          <w:sz w:val="32"/>
          <w:szCs w:val="32"/>
        </w:rPr>
        <w:t>主要原因是严格执行中央八项规定，严控开支。其中：</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sz w:val="32"/>
          <w:szCs w:val="32"/>
        </w:rPr>
        <w:t>本部门2025年度公务用车购置量0辆，发生</w:t>
      </w:r>
      <w:r>
        <w:rPr>
          <w:rFonts w:hint="eastAsia" w:ascii="Times New Roman" w:eastAsia="仿宋_GB2312"/>
          <w:sz w:val="32"/>
          <w:szCs w:val="32"/>
        </w:rPr>
        <w:t>“</w:t>
      </w:r>
      <w:r>
        <w:rPr>
          <w:rFonts w:ascii="Times New Roman" w:eastAsia="仿宋_GB2312"/>
          <w:sz w:val="32"/>
          <w:szCs w:val="32"/>
        </w:rPr>
        <w:t>公务用车购置</w:t>
      </w:r>
      <w:r>
        <w:rPr>
          <w:rFonts w:hint="eastAsia" w:ascii="Times New Roman" w:eastAsia="仿宋_GB2312"/>
          <w:sz w:val="32"/>
          <w:szCs w:val="32"/>
        </w:rPr>
        <w:t>”</w:t>
      </w:r>
      <w:r>
        <w:rPr>
          <w:rFonts w:ascii="Times New Roman" w:eastAsia="仿宋_GB2312"/>
          <w:sz w:val="32"/>
          <w:szCs w:val="32"/>
        </w:rPr>
        <w:t>经费支出0万元。公务用车购置费支出较预算</w:t>
      </w:r>
      <w:r>
        <w:rPr>
          <w:rFonts w:hint="eastAsia" w:ascii="Times New Roman" w:eastAsia="仿宋_GB2312"/>
          <w:sz w:val="32"/>
          <w:szCs w:val="32"/>
        </w:rPr>
        <w:t>持平，</w:t>
      </w:r>
      <w:r>
        <w:rPr>
          <w:rFonts w:ascii="Times New Roman" w:eastAsia="仿宋_GB2312"/>
          <w:sz w:val="32"/>
          <w:szCs w:val="32"/>
        </w:rPr>
        <w:t>主要原因是严格执行中央八项规定，严控开支；较上年</w:t>
      </w:r>
      <w:r>
        <w:rPr>
          <w:rFonts w:hint="eastAsia" w:ascii="Times New Roman" w:eastAsia="仿宋_GB2312"/>
          <w:sz w:val="32"/>
          <w:szCs w:val="32"/>
        </w:rPr>
        <w:t>持平，</w:t>
      </w:r>
      <w:r>
        <w:rPr>
          <w:rFonts w:ascii="Times New Roman" w:eastAsia="仿宋_GB2312"/>
          <w:sz w:val="32"/>
          <w:szCs w:val="32"/>
        </w:rPr>
        <w:t>主要原因是严格执行中央八项规定，严控开支。</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公务用车运行维护费支出3.50万元：</w:t>
      </w:r>
      <w:r>
        <w:rPr>
          <w:rFonts w:ascii="Times New Roman" w:eastAsia="仿宋_GB2312"/>
          <w:sz w:val="32"/>
          <w:szCs w:val="32"/>
        </w:rPr>
        <w:t>本部门2025年度单位公务用车保有量</w:t>
      </w:r>
      <w:r>
        <w:rPr>
          <w:rFonts w:hint="eastAsia" w:ascii="Times New Roman" w:eastAsia="仿宋_GB2312"/>
          <w:sz w:val="32"/>
          <w:szCs w:val="32"/>
        </w:rPr>
        <w:t>3</w:t>
      </w:r>
      <w:r>
        <w:rPr>
          <w:rFonts w:ascii="Times New Roman" w:eastAsia="仿宋_GB2312"/>
          <w:sz w:val="32"/>
          <w:szCs w:val="32"/>
        </w:rPr>
        <w:t>辆，发生运行维护费支出3.50万元。公车运行维护费支出较预算</w:t>
      </w:r>
      <w:r>
        <w:rPr>
          <w:rFonts w:hint="eastAsia" w:ascii="Times New Roman" w:eastAsia="仿宋_GB2312"/>
          <w:sz w:val="32"/>
          <w:szCs w:val="32"/>
        </w:rPr>
        <w:t>持平</w:t>
      </w:r>
      <w:r>
        <w:rPr>
          <w:rFonts w:ascii="Times New Roman" w:eastAsia="仿宋_GB2312"/>
          <w:sz w:val="32"/>
          <w:szCs w:val="32"/>
        </w:rPr>
        <w:t>，主要原因是严格执行中央八项规定，严控开支；较上年</w:t>
      </w:r>
      <w:r>
        <w:rPr>
          <w:rFonts w:hint="eastAsia" w:ascii="Times New Roman" w:eastAsia="仿宋_GB2312"/>
          <w:sz w:val="32"/>
          <w:szCs w:val="32"/>
        </w:rPr>
        <w:t>持平，</w:t>
      </w:r>
      <w:r>
        <w:rPr>
          <w:rFonts w:ascii="Times New Roman" w:eastAsia="仿宋_GB2312"/>
          <w:sz w:val="32"/>
          <w:szCs w:val="32"/>
        </w:rPr>
        <w:t>主要原因是严格执行中央八项规定，严控开支。</w:t>
      </w:r>
    </w:p>
    <w:p>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本部门2025年度公务接待费支出预算为0万元，支出决算0万元，完成预算的0%。公务接待费支出较预算</w:t>
      </w:r>
      <w:r>
        <w:rPr>
          <w:rFonts w:hint="eastAsia" w:ascii="Times New Roman" w:eastAsia="仿宋_GB2312"/>
          <w:sz w:val="32"/>
          <w:szCs w:val="32"/>
        </w:rPr>
        <w:t>持平</w:t>
      </w:r>
      <w:r>
        <w:rPr>
          <w:rFonts w:ascii="Times New Roman" w:eastAsia="仿宋_GB2312"/>
          <w:sz w:val="32"/>
          <w:szCs w:val="32"/>
        </w:rPr>
        <w:t>，主要原因是严格执行中央八项规定，严控开支；较上年度</w:t>
      </w:r>
      <w:r>
        <w:rPr>
          <w:rFonts w:hint="eastAsia" w:ascii="Times New Roman" w:eastAsia="仿宋_GB2312"/>
          <w:sz w:val="32"/>
          <w:szCs w:val="32"/>
        </w:rPr>
        <w:t>持平，</w:t>
      </w:r>
      <w:r>
        <w:rPr>
          <w:rFonts w:ascii="Times New Roman" w:eastAsia="仿宋_GB2312"/>
          <w:sz w:val="32"/>
          <w:szCs w:val="32"/>
        </w:rPr>
        <w:t>主要原因是严格执行中央八项规定，严控开支。本年度共发生公务接待0批次、0人次。</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本部门2025年度机关运行经费支出214.43万元，较2024年度增加65.81万元，增长44.3%。主要原因是</w:t>
      </w:r>
      <w:r>
        <w:rPr>
          <w:rFonts w:hint="eastAsia" w:ascii="Times New Roman" w:eastAsia="仿宋_GB2312"/>
          <w:sz w:val="32"/>
          <w:szCs w:val="32"/>
        </w:rPr>
        <w:t>劳务费支出增加</w:t>
      </w:r>
      <w:r>
        <w:rPr>
          <w:rFonts w:ascii="Times New Roman" w:eastAsia="仿宋_GB2312"/>
          <w:sz w:val="32"/>
          <w:szCs w:val="32"/>
        </w:rPr>
        <w:t>。</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2025年度政府采购支出总额125.50万元，从采购类型来看，政府采购货物支出0万元、政府采购工程支出125.50万元、政府采购服务支出0万元。授予中小企业合同金额125.50万元，占政府采购支出总额的100%，其中授予小微企业合同金额125.50万元，占政府采购支出总额的100%。</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截至2025年12月31日，本部门共有车辆</w:t>
      </w:r>
      <w:r>
        <w:rPr>
          <w:rFonts w:hint="eastAsia" w:ascii="Times New Roman" w:eastAsia="仿宋_GB2312"/>
          <w:sz w:val="32"/>
          <w:szCs w:val="32"/>
        </w:rPr>
        <w:t>3</w:t>
      </w:r>
      <w:r>
        <w:rPr>
          <w:rFonts w:ascii="Times New Roman" w:eastAsia="仿宋_GB2312"/>
          <w:sz w:val="32"/>
          <w:szCs w:val="32"/>
        </w:rPr>
        <w:t>辆，</w:t>
      </w:r>
      <w:r>
        <w:rPr>
          <w:rFonts w:hint="eastAsia" w:ascii="Times New Roman" w:eastAsia="仿宋_GB2312"/>
          <w:sz w:val="32"/>
          <w:szCs w:val="32"/>
        </w:rPr>
        <w:t>与</w:t>
      </w:r>
      <w:r>
        <w:rPr>
          <w:rFonts w:ascii="Times New Roman" w:eastAsia="仿宋_GB2312"/>
          <w:sz w:val="32"/>
          <w:szCs w:val="32"/>
        </w:rPr>
        <w:t>上年</w:t>
      </w:r>
      <w:r>
        <w:rPr>
          <w:rFonts w:hint="eastAsia" w:ascii="Times New Roman" w:eastAsia="仿宋_GB2312"/>
          <w:sz w:val="32"/>
          <w:szCs w:val="32"/>
        </w:rPr>
        <w:t>一致</w:t>
      </w:r>
      <w:r>
        <w:rPr>
          <w:rFonts w:ascii="Times New Roman" w:eastAsia="仿宋_GB2312"/>
          <w:sz w:val="32"/>
          <w:szCs w:val="32"/>
        </w:rPr>
        <w:t>，主要是严格执行中央八项规定，严控开支。其中，副部（省）级及以上领导用车0辆，主要负责人用车0辆，机要通信用车0辆，应急保障用车1辆，执法执勤用车0辆，特种专业技术用车0辆，离退休干部用车0辆，其他用车</w:t>
      </w:r>
      <w:r>
        <w:rPr>
          <w:rFonts w:hint="eastAsia" w:ascii="Times New Roman" w:eastAsia="仿宋_GB2312"/>
          <w:sz w:val="32"/>
          <w:szCs w:val="32"/>
        </w:rPr>
        <w:t>2</w:t>
      </w:r>
      <w:r>
        <w:rPr>
          <w:rFonts w:ascii="Times New Roman" w:eastAsia="仿宋_GB2312"/>
          <w:sz w:val="32"/>
          <w:szCs w:val="32"/>
        </w:rPr>
        <w:t>辆，其他用车主要是严格执行中央八项规定，严控开支。单位价值100万元（含）以上设备（不含车辆）0台（套）。</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根据预算绩效管理要求，本部门组织对2025年度本级预算项目支出全面开展绩效自评，共涉及资金</w:t>
      </w:r>
      <w:r>
        <w:rPr>
          <w:rFonts w:hint="eastAsia" w:ascii="Times New Roman" w:eastAsia="仿宋_GB2312"/>
          <w:sz w:val="32"/>
          <w:szCs w:val="32"/>
        </w:rPr>
        <w:t>7022.84</w:t>
      </w:r>
      <w:r>
        <w:rPr>
          <w:rFonts w:ascii="Times New Roman" w:eastAsia="仿宋_GB2312"/>
          <w:sz w:val="32"/>
          <w:szCs w:val="32"/>
        </w:rPr>
        <w:t>万元（决算金额）。其中，一般公共预算项目</w:t>
      </w:r>
      <w:r>
        <w:rPr>
          <w:rFonts w:hint="eastAsia" w:ascii="Times New Roman" w:eastAsia="仿宋_GB2312"/>
          <w:sz w:val="32"/>
          <w:szCs w:val="32"/>
        </w:rPr>
        <w:t>8</w:t>
      </w:r>
      <w:r>
        <w:rPr>
          <w:rFonts w:ascii="Times New Roman" w:eastAsia="仿宋_GB2312"/>
          <w:sz w:val="32"/>
          <w:szCs w:val="32"/>
        </w:rPr>
        <w:t>个，涉及资金</w:t>
      </w:r>
      <w:r>
        <w:rPr>
          <w:rFonts w:hint="eastAsia" w:ascii="Times New Roman" w:eastAsia="仿宋_GB2312"/>
          <w:sz w:val="32"/>
          <w:szCs w:val="32"/>
        </w:rPr>
        <w:t>1364.30</w:t>
      </w:r>
      <w:r>
        <w:rPr>
          <w:rFonts w:ascii="Times New Roman" w:eastAsia="仿宋_GB2312"/>
          <w:sz w:val="32"/>
          <w:szCs w:val="32"/>
        </w:rPr>
        <w:t>万元，占一般公共预算项目支出总额的</w:t>
      </w:r>
      <w:r>
        <w:rPr>
          <w:rFonts w:hint="eastAsia" w:ascii="Times New Roman" w:eastAsia="仿宋_GB2312"/>
          <w:sz w:val="32"/>
          <w:szCs w:val="32"/>
        </w:rPr>
        <w:t>19.43</w:t>
      </w:r>
      <w:r>
        <w:rPr>
          <w:rFonts w:ascii="Times New Roman" w:eastAsia="仿宋_GB2312"/>
          <w:sz w:val="32"/>
          <w:szCs w:val="32"/>
        </w:rPr>
        <w:t>%；政府性基金预算项目</w:t>
      </w:r>
      <w:r>
        <w:rPr>
          <w:rFonts w:hint="eastAsia" w:ascii="Times New Roman" w:eastAsia="仿宋_GB2312"/>
          <w:sz w:val="32"/>
          <w:szCs w:val="32"/>
        </w:rPr>
        <w:t>3</w:t>
      </w:r>
      <w:r>
        <w:rPr>
          <w:rFonts w:ascii="Times New Roman" w:eastAsia="仿宋_GB2312"/>
          <w:sz w:val="32"/>
          <w:szCs w:val="32"/>
        </w:rPr>
        <w:t>个，涉及资金</w:t>
      </w:r>
      <w:r>
        <w:rPr>
          <w:rFonts w:hint="eastAsia" w:ascii="Times New Roman" w:eastAsia="仿宋_GB2312"/>
          <w:sz w:val="32"/>
          <w:szCs w:val="32"/>
        </w:rPr>
        <w:t>5658.54</w:t>
      </w:r>
      <w:r>
        <w:rPr>
          <w:rFonts w:ascii="Times New Roman" w:eastAsia="仿宋_GB2312"/>
          <w:sz w:val="32"/>
          <w:szCs w:val="32"/>
        </w:rPr>
        <w:t>万元，占政府性基金预算项目支出总额的</w:t>
      </w:r>
      <w:r>
        <w:rPr>
          <w:rFonts w:hint="eastAsia" w:ascii="Times New Roman" w:eastAsia="仿宋_GB2312"/>
          <w:sz w:val="32"/>
          <w:szCs w:val="32"/>
        </w:rPr>
        <w:t>80.57</w:t>
      </w:r>
      <w:r>
        <w:rPr>
          <w:rFonts w:ascii="Times New Roman" w:eastAsia="仿宋_GB2312"/>
          <w:sz w:val="32"/>
          <w:szCs w:val="32"/>
        </w:rPr>
        <w:t>%；国有资本经营预算项目</w:t>
      </w:r>
      <w:r>
        <w:rPr>
          <w:rFonts w:hint="eastAsia" w:ascii="Times New Roman" w:eastAsia="仿宋_GB2312"/>
          <w:sz w:val="32"/>
          <w:szCs w:val="32"/>
        </w:rPr>
        <w:t>0</w:t>
      </w:r>
      <w:r>
        <w:rPr>
          <w:rFonts w:ascii="Times New Roman" w:eastAsia="仿宋_GB2312"/>
          <w:sz w:val="32"/>
          <w:szCs w:val="32"/>
        </w:rPr>
        <w:t>个，涉及资金</w:t>
      </w:r>
      <w:r>
        <w:rPr>
          <w:rFonts w:hint="eastAsia" w:ascii="Times New Roman" w:eastAsia="仿宋_GB2312"/>
          <w:sz w:val="32"/>
          <w:szCs w:val="32"/>
        </w:rPr>
        <w:t>0</w:t>
      </w:r>
      <w:r>
        <w:rPr>
          <w:rFonts w:ascii="Times New Roman" w:eastAsia="仿宋_GB2312"/>
          <w:sz w:val="32"/>
          <w:szCs w:val="32"/>
        </w:rPr>
        <w:t>万元，占国有资本经营预算项目支出总额的</w:t>
      </w:r>
      <w:r>
        <w:rPr>
          <w:rFonts w:hint="eastAsia" w:ascii="Times New Roman" w:eastAsia="仿宋_GB2312"/>
          <w:sz w:val="32"/>
          <w:szCs w:val="32"/>
        </w:rPr>
        <w:t>0</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组织对</w:t>
      </w:r>
      <w:r>
        <w:rPr>
          <w:rFonts w:hint="eastAsia" w:ascii="Times New Roman" w:eastAsia="仿宋_GB2312"/>
          <w:sz w:val="32"/>
          <w:szCs w:val="32"/>
        </w:rPr>
        <w:t>“</w:t>
      </w:r>
      <w:r>
        <w:rPr>
          <w:rFonts w:ascii="Times New Roman" w:eastAsia="仿宋_GB2312"/>
          <w:sz w:val="32"/>
          <w:szCs w:val="32"/>
        </w:rPr>
        <w:t>离任农</w:t>
      </w:r>
      <w:r>
        <w:rPr>
          <w:rFonts w:hint="eastAsia" w:ascii="Times New Roman" w:eastAsia="仿宋_GB2312"/>
          <w:sz w:val="32"/>
          <w:szCs w:val="32"/>
        </w:rPr>
        <w:t>村党组织书记生活补贴”</w:t>
      </w:r>
      <w:r>
        <w:rPr>
          <w:rFonts w:ascii="Times New Roman" w:eastAsia="仿宋_GB2312"/>
          <w:sz w:val="32"/>
          <w:szCs w:val="32"/>
        </w:rPr>
        <w:t>等</w:t>
      </w:r>
      <w:r>
        <w:rPr>
          <w:rFonts w:hint="eastAsia" w:ascii="Times New Roman" w:eastAsia="仿宋_GB2312"/>
          <w:sz w:val="32"/>
          <w:szCs w:val="32"/>
        </w:rPr>
        <w:t>1</w:t>
      </w:r>
      <w:r>
        <w:rPr>
          <w:rFonts w:ascii="Times New Roman" w:eastAsia="仿宋_GB2312"/>
          <w:sz w:val="32"/>
          <w:szCs w:val="32"/>
        </w:rPr>
        <w:t>个项目开展了部门重点评价，涉及一般公共预算支出</w:t>
      </w:r>
      <w:r>
        <w:rPr>
          <w:rFonts w:hint="eastAsia" w:ascii="Times New Roman" w:eastAsia="仿宋_GB2312"/>
          <w:sz w:val="32"/>
          <w:szCs w:val="32"/>
        </w:rPr>
        <w:t>22.74</w:t>
      </w:r>
      <w:r>
        <w:rPr>
          <w:rFonts w:ascii="Times New Roman" w:eastAsia="仿宋_GB2312"/>
          <w:sz w:val="32"/>
          <w:szCs w:val="32"/>
        </w:rPr>
        <w:t>万元，政府性基金预算支出</w:t>
      </w:r>
      <w:r>
        <w:rPr>
          <w:rFonts w:hint="eastAsia" w:ascii="Times New Roman" w:eastAsia="仿宋_GB2312"/>
          <w:sz w:val="32"/>
          <w:szCs w:val="32"/>
        </w:rPr>
        <w:t>0</w:t>
      </w:r>
      <w:r>
        <w:rPr>
          <w:rFonts w:ascii="Times New Roman" w:eastAsia="仿宋_GB2312"/>
          <w:sz w:val="32"/>
          <w:szCs w:val="32"/>
        </w:rPr>
        <w:t>万元，国有资本经营预算支出</w:t>
      </w:r>
      <w:r>
        <w:rPr>
          <w:rFonts w:hint="eastAsia" w:ascii="Times New Roman" w:eastAsia="仿宋_GB2312"/>
          <w:sz w:val="32"/>
          <w:szCs w:val="32"/>
        </w:rPr>
        <w:t>0</w:t>
      </w:r>
      <w:r>
        <w:rPr>
          <w:rFonts w:ascii="Times New Roman" w:eastAsia="仿宋_GB2312"/>
          <w:sz w:val="32"/>
          <w:szCs w:val="32"/>
        </w:rPr>
        <w:t>万元，从评价情况来看，按照省委</w:t>
      </w:r>
      <w:r>
        <w:rPr>
          <w:rFonts w:hint="eastAsia" w:ascii="Times New Roman" w:eastAsia="仿宋_GB2312"/>
          <w:sz w:val="32"/>
          <w:szCs w:val="32"/>
        </w:rPr>
        <w:t>《关于进一步加强基层党的建设的意见》（冀发〔2018〕13号）要求，根据省委组织部、省财政厅《关于提高村级组织运转保障水平的意见》（冀组发〔2018〕14 号）规定，“一般对连 续任职满2届或6年、累计任职满3届或9年，男年满60周岁、女年满55周岁的正常离任村党组织书记和村委会主任，根据任职年限等给予的相应生活补贴。符合正常离任条件的其他村‘两委’干部，由（市、区）结合实际予以适当安排。”“原则上正常离任的村党组织书记和村委会主任任职每满一年每月补助不低于20 元。已经建立正常离任村干部生活补贴制度的县（市、区），补助对象范围和标准宽于高于以上规定的，可继续按照当地已有规定执行”，我镇按照有关程序对符合条件的正常离任村“两委”正职情况进行了摸底核算，核实目前我镇共有符合条件正常离任村“两委”正职82名，按照“每任职满一年每月补贴20元”的标准测算，2025年本项目所需财政资金为22.74万元，均为县财 政资金。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本部门在今年部门决算公开中反映人员经费、公用经费、离任农村党组织书记生活补贴、服务群众专项经费、</w:t>
      </w:r>
      <w:r>
        <w:rPr>
          <w:rFonts w:hint="eastAsia" w:ascii="Times New Roman" w:eastAsia="仿宋_GB2312"/>
          <w:sz w:val="32"/>
          <w:szCs w:val="32"/>
        </w:rPr>
        <w:t>村</w:t>
      </w:r>
      <w:r>
        <w:rPr>
          <w:rFonts w:ascii="Times New Roman" w:eastAsia="仿宋_GB2312"/>
          <w:sz w:val="32"/>
          <w:szCs w:val="32"/>
        </w:rPr>
        <w:t>党组织活动经费、占地补偿、农村基础设施建设项目</w:t>
      </w:r>
      <w:r>
        <w:rPr>
          <w:rFonts w:hint="eastAsia" w:ascii="Times New Roman" w:eastAsia="仿宋_GB2312"/>
          <w:sz w:val="32"/>
          <w:szCs w:val="32"/>
        </w:rPr>
        <w:t>、</w:t>
      </w:r>
      <w:r>
        <w:rPr>
          <w:rFonts w:ascii="Times New Roman" w:eastAsia="仿宋_GB2312"/>
          <w:sz w:val="32"/>
          <w:szCs w:val="32"/>
        </w:rPr>
        <w:t>革命老区</w:t>
      </w:r>
      <w:r>
        <w:rPr>
          <w:rFonts w:hint="eastAsia" w:ascii="Times New Roman" w:eastAsia="仿宋_GB2312"/>
          <w:sz w:val="32"/>
          <w:szCs w:val="32"/>
        </w:rPr>
        <w:t>省级专项资金</w:t>
      </w:r>
      <w:r>
        <w:rPr>
          <w:rFonts w:ascii="Times New Roman" w:eastAsia="仿宋_GB2312"/>
          <w:sz w:val="32"/>
          <w:szCs w:val="32"/>
        </w:rPr>
        <w:t>项目</w:t>
      </w:r>
      <w:r>
        <w:rPr>
          <w:rFonts w:hint="eastAsia" w:ascii="Times New Roman" w:eastAsia="仿宋_GB2312"/>
          <w:sz w:val="32"/>
          <w:szCs w:val="32"/>
        </w:rPr>
        <w:t>、以工代赈项目、专项债券资金项目</w:t>
      </w:r>
      <w:r>
        <w:rPr>
          <w:rFonts w:ascii="Times New Roman" w:eastAsia="仿宋_GB2312"/>
          <w:sz w:val="32"/>
          <w:szCs w:val="32"/>
        </w:rPr>
        <w:t>及</w:t>
      </w:r>
      <w:r>
        <w:rPr>
          <w:rFonts w:hint="eastAsia" w:ascii="Times New Roman" w:eastAsia="仿宋_GB2312"/>
          <w:sz w:val="32"/>
          <w:szCs w:val="32"/>
        </w:rPr>
        <w:t>大气污染治理资金项目</w:t>
      </w:r>
      <w:r>
        <w:rPr>
          <w:rFonts w:ascii="Times New Roman" w:eastAsia="仿宋_GB2312"/>
          <w:sz w:val="32"/>
          <w:szCs w:val="32"/>
        </w:rPr>
        <w:t>等</w:t>
      </w:r>
      <w:r>
        <w:rPr>
          <w:rFonts w:hint="eastAsia" w:ascii="Times New Roman" w:eastAsia="仿宋_GB2312"/>
          <w:sz w:val="32"/>
          <w:szCs w:val="32"/>
        </w:rPr>
        <w:t>11</w:t>
      </w:r>
      <w:r>
        <w:rPr>
          <w:rFonts w:ascii="Times New Roman" w:eastAsia="仿宋_GB2312"/>
          <w:sz w:val="32"/>
          <w:szCs w:val="32"/>
        </w:rPr>
        <w:t>个项目绩效自评结果。</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1）人员经费项目绩效自评情况：根据年初设定的绩效目标，人员经费项目绩效自评得分为96分（绩效自评表附后）。全年预算数为661.95万元，执行数为661.95万元，完成预算的100%。项目绩效目标完成情况：确保职工工资正常发放到位。</w:t>
      </w:r>
      <w:bookmarkStart w:id="4" w:name="OLE_LINK5"/>
      <w:r>
        <w:rPr>
          <w:rFonts w:hint="eastAsia" w:ascii="Times New Roman" w:eastAsia="仿宋_GB2312"/>
          <w:sz w:val="32"/>
          <w:szCs w:val="32"/>
        </w:rPr>
        <w:t>发现的主要问题及原因：无。下一步改进措施：</w:t>
      </w:r>
      <w:bookmarkEnd w:id="4"/>
      <w:r>
        <w:rPr>
          <w:rFonts w:hint="eastAsia" w:ascii="Times New Roman" w:eastAsia="仿宋_GB2312"/>
          <w:sz w:val="32"/>
          <w:szCs w:val="32"/>
        </w:rPr>
        <w:t>保证财政人员经费拨款质量，确保工资正常发放，保证各项工作正常开展。</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2）公用经费项目自评情况：根据年初设定的绩效目标，公用经费项目绩效自评得分为96分（绩效自评表附后）。全年预算数为214.43万元，执行数为214.43万元，完成预算的100%。项目绩效目标完成情况：保障我镇工作正常运转。发现的主要问题及原因：公用经费不足。下一步改进措施：进一步增加经费。</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（3）离任农村党组织书记生活补贴项目自评情况：根据年初设定的绩效目标，离任农村党组织书记生活补贴项目绩效自评得分为97分（绩效自评表附后）。全年预算数为22.74万元，执行数为 22.74万元，完成预算的100%。项目绩效目标完成情况：改善补助人们的生活水平，提高生活质量，使个人得到应有的补贴。发现的主要问题及原因：补贴标准偏低，受益人群生活改善情况不明显。下一步改进措施：提高补贴标准，健全保障机制。</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4）服务群众专项经费项目自评情况：根据年初设定的绩效目标，服务群众专项经费项目绩效自评得分为98分（绩效自评表附后）。全年预算数为100万元，执行数为100万元，完成预算的100%。项目绩效目标完成情况：使农户充分享受政策补贴，改善村集体经济。</w:t>
      </w:r>
      <w:bookmarkStart w:id="5" w:name="OLE_LINK6"/>
      <w:r>
        <w:rPr>
          <w:rFonts w:hint="eastAsia" w:ascii="Times New Roman" w:eastAsia="仿宋_GB2312"/>
          <w:sz w:val="32"/>
          <w:szCs w:val="32"/>
        </w:rPr>
        <w:t>发现的主要问题及原因：无。下一步改进措施：严格把关，确保资金专款专用。</w:t>
      </w:r>
    </w:p>
    <w:bookmarkEnd w:id="5"/>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5）村党组织活动经费项目自评情况：根据年初设定的绩效目标，村党组织活动经费项目绩效自评得分为97分（绩效自评表附后）。全年预算数为26.38万元，执行数为26.38万元，完成预算的100%。项目绩效目标完成情况：县财政根据乡镇上报发放名册，将资金下拨至乡镇，由乡镇协调银行将补贴发放到村委会。发现的主要问题及原因：无。下一步改进措施：严格把关，确保资金专款专用。</w:t>
      </w:r>
    </w:p>
    <w:p>
      <w:pPr>
        <w:widowControl/>
        <w:spacing w:line="360" w:lineRule="auto"/>
        <w:ind w:firstLine="640" w:firstLineChars="200"/>
        <w:jc w:val="left"/>
        <w:rPr>
          <w:rFonts w:ascii="仿宋" w:hAnsi="仿宋" w:eastAsia="仿宋" w:cs="仿宋"/>
          <w:color w:val="0000FF"/>
          <w:sz w:val="31"/>
          <w:szCs w:val="31"/>
        </w:rPr>
      </w:pPr>
      <w:r>
        <w:rPr>
          <w:rFonts w:hint="eastAsia" w:ascii="Times New Roman" w:eastAsia="仿宋_GB2312"/>
          <w:sz w:val="32"/>
          <w:szCs w:val="32"/>
        </w:rPr>
        <w:t>（6）占地补偿项目自评情况：根据年初设定的绩效目标，占地补偿项目绩效自评得分为94分（绩效自评表附后）。全年预算数为5497.27万元，执行数为5497.27万元，完成预算的100%。项目绩效目标完成情况：资金发放到位，使农户得到应有的补偿款，促进我镇经济的发展。发现的主要问题及原因：发放占地补偿款不及时。下一步改进措施：建议及时发放到位。</w:t>
      </w:r>
    </w:p>
    <w:p>
      <w:pPr>
        <w:widowControl/>
        <w:spacing w:line="360" w:lineRule="auto"/>
        <w:ind w:firstLine="640" w:firstLineChars="200"/>
        <w:jc w:val="left"/>
        <w:rPr>
          <w:rFonts w:ascii="Times New Roman" w:eastAsia="仿宋_GB2312"/>
          <w:color w:val="0000FF"/>
          <w:sz w:val="32"/>
          <w:szCs w:val="32"/>
        </w:rPr>
      </w:pPr>
      <w:r>
        <w:rPr>
          <w:rFonts w:hint="eastAsia" w:ascii="Times New Roman" w:eastAsia="仿宋_GB2312"/>
          <w:sz w:val="32"/>
          <w:szCs w:val="32"/>
        </w:rPr>
        <w:t xml:space="preserve">（7）农村基础设施建设项目自评情况：根据年初设定的绩效目标，农村基础设施建设项目绩效自评得分为97分（绩效自评表附后）。全年预算数为100万元，执行数为99.96万元，完成预算的100%。项目绩效目标完成情况：提升周边绿化环境，改善周边交通状况，增加种植面积，方便村民出行。发现的主要问题及原因：无。下一步改进措施：加强后期项目的维护管理及监督工作。 </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8）革命老区省级专项资金项目自评情况：根据年初设定的绩效目标，革命老区省级专项资金项目绩效自评得分为97分（绩效自评表附后）。全年预算数为37.65万元，执行数为37.65万元，完成预算的100%。项目绩效目标完成情况：优化环境，解决村庄街道脏乱差的问题，有利于交通条件的改善，方便村民出行。发现的主要问题及原因：无。下一步改进措施：加强后期项目的维护管理及监督工作。</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9）以工代赈项目自评情况：根据年初设定的绩效目标，以工代赈项目绩效自评得分为97分（绩效自评表附后）。全年预算数为294万元，执行数为285.14万元，完成预算的100%。项目绩效目标完成情况：优化环境，解决村庄街道脏乱差的问题，有利于交通条件的改善，方便村民出行。发现的主要问题及原因：无。下一步改进措施：加强后期项目的维护管理及监督工作。</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10）专项债券资金项目自评情况：根据年初设定的绩效目标，专项债券资金项目绩效自评得分为97分（绩效自评表附后）。全年预算数为61.31万元，执行数为61.31万元，完成预算的100%。项目绩效目标完成情况：优化环境，解决村庄街道脏乱差的问题，有利于交通条件的改善，方便村民出行。发现的主要问题及原因：无。下一步改进措施：加强后期项目的维护管理及监督工作。</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11）大气污染治理资金项目自评情况：根据年初设定的绩效目标，大气污染治理资金项目绩效自评得分为95分（绩效自评表附后）。全年预算数为16万元，执行数为16万元，完成预算的100%。项目绩效目标完成情况：确保土地复垦工作顺利完成。发现的主要问题及原因：无。下一步改进措施：加大大气污染防治和环境整治力度，改善我镇生态环境。</w:t>
      </w:r>
    </w:p>
    <w:p>
      <w:pPr>
        <w:widowControl/>
        <w:spacing w:line="360" w:lineRule="auto"/>
        <w:ind w:firstLine="640" w:firstLineChars="200"/>
        <w:jc w:val="left"/>
        <w:rPr>
          <w:rFonts w:ascii="Times New Roman" w:eastAsia="仿宋_GB2312"/>
          <w:sz w:val="32"/>
          <w:szCs w:val="32"/>
        </w:rPr>
      </w:pPr>
    </w:p>
    <w:tbl>
      <w:tblPr>
        <w:tblStyle w:val="11"/>
        <w:tblpPr w:leftFromText="180" w:rightFromText="180" w:vertAnchor="text" w:tblpXSpec="center" w:tblpY="1"/>
        <w:tblOverlap w:val="never"/>
        <w:tblW w:w="9141" w:type="dxa"/>
        <w:jc w:val="center"/>
        <w:tblLayout w:type="autofit"/>
        <w:tblCellMar>
          <w:top w:w="0" w:type="dxa"/>
          <w:left w:w="108" w:type="dxa"/>
          <w:bottom w:w="0" w:type="dxa"/>
          <w:right w:w="108" w:type="dxa"/>
        </w:tblCellMar>
      </w:tblPr>
      <w:tblGrid>
        <w:gridCol w:w="856"/>
        <w:gridCol w:w="696"/>
        <w:gridCol w:w="1834"/>
        <w:gridCol w:w="1028"/>
        <w:gridCol w:w="542"/>
        <w:gridCol w:w="1025"/>
        <w:gridCol w:w="1025"/>
        <w:gridCol w:w="1107"/>
        <w:gridCol w:w="1028"/>
      </w:tblGrid>
      <w:tr>
        <w:tblPrEx>
          <w:tblCellMar>
            <w:top w:w="0" w:type="dxa"/>
            <w:left w:w="108" w:type="dxa"/>
            <w:bottom w:w="0" w:type="dxa"/>
            <w:right w:w="108" w:type="dxa"/>
          </w:tblCellMar>
        </w:tblPrEx>
        <w:trPr>
          <w:trHeight w:val="652" w:hRule="atLeast"/>
          <w:jc w:val="center"/>
        </w:trPr>
        <w:tc>
          <w:tcPr>
            <w:tcW w:w="9141"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44"/>
                <w:szCs w:val="44"/>
              </w:rPr>
            </w:pPr>
            <w:r>
              <w:rPr>
                <w:rFonts w:hint="eastAsia" w:ascii="宋体" w:hAnsi="宋体" w:eastAsia="宋体"/>
                <w:color w:val="000000"/>
                <w:sz w:val="44"/>
                <w:szCs w:val="44"/>
              </w:rPr>
              <w:t>县级部门预算项目绩效自评表</w:t>
            </w:r>
          </w:p>
        </w:tc>
      </w:tr>
      <w:tr>
        <w:tblPrEx>
          <w:tblCellMar>
            <w:top w:w="0" w:type="dxa"/>
            <w:left w:w="108" w:type="dxa"/>
            <w:bottom w:w="0" w:type="dxa"/>
            <w:right w:w="108" w:type="dxa"/>
          </w:tblCellMar>
        </w:tblPrEx>
        <w:trPr>
          <w:trHeight w:val="326" w:hRule="atLeast"/>
          <w:jc w:val="center"/>
        </w:trPr>
        <w:tc>
          <w:tcPr>
            <w:tcW w:w="9141" w:type="dxa"/>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2025年度）</w:t>
            </w:r>
          </w:p>
        </w:tc>
      </w:tr>
      <w:tr>
        <w:tblPrEx>
          <w:tblCellMar>
            <w:top w:w="0" w:type="dxa"/>
            <w:left w:w="108" w:type="dxa"/>
            <w:bottom w:w="0" w:type="dxa"/>
            <w:right w:w="108" w:type="dxa"/>
          </w:tblCellMar>
        </w:tblPrEx>
        <w:trPr>
          <w:trHeight w:val="326" w:hRule="atLeast"/>
          <w:jc w:val="center"/>
        </w:trPr>
        <w:tc>
          <w:tcPr>
            <w:tcW w:w="1552" w:type="dxa"/>
            <w:gridSpan w:val="2"/>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填报单位：</w:t>
            </w:r>
          </w:p>
        </w:tc>
        <w:tc>
          <w:tcPr>
            <w:tcW w:w="1834" w:type="dxa"/>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c>
          <w:tcPr>
            <w:tcW w:w="1028" w:type="dxa"/>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542" w:type="dxa"/>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1025" w:type="dxa"/>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1025" w:type="dxa"/>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1107" w:type="dxa"/>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1028" w:type="dxa"/>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单位：万元</w:t>
            </w:r>
          </w:p>
        </w:tc>
      </w:tr>
      <w:tr>
        <w:tblPrEx>
          <w:tblCellMar>
            <w:top w:w="0" w:type="dxa"/>
            <w:left w:w="108" w:type="dxa"/>
            <w:bottom w:w="0" w:type="dxa"/>
            <w:right w:w="108" w:type="dxa"/>
          </w:tblCellMar>
        </w:tblPrEx>
        <w:trPr>
          <w:trHeight w:val="662" w:hRule="atLeast"/>
          <w:jc w:val="center"/>
        </w:trPr>
        <w:tc>
          <w:tcPr>
            <w:tcW w:w="15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一、基本情况</w:t>
            </w: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1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人员经费（县本级项目）</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r>
      <w:tr>
        <w:tblPrEx>
          <w:tblCellMar>
            <w:top w:w="0" w:type="dxa"/>
            <w:left w:w="108" w:type="dxa"/>
            <w:bottom w:w="0" w:type="dxa"/>
            <w:right w:w="108" w:type="dxa"/>
          </w:tblCellMar>
        </w:tblPrEx>
        <w:trPr>
          <w:trHeight w:val="336" w:hRule="atLeast"/>
          <w:jc w:val="center"/>
        </w:trPr>
        <w:tc>
          <w:tcPr>
            <w:tcW w:w="15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2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tblPrEx>
          <w:tblCellMar>
            <w:top w:w="0" w:type="dxa"/>
            <w:left w:w="108" w:type="dxa"/>
            <w:bottom w:w="0" w:type="dxa"/>
            <w:right w:w="108" w:type="dxa"/>
          </w:tblCellMar>
        </w:tblPrEx>
        <w:trPr>
          <w:trHeight w:val="662"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661.954693</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661.954693</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661.954693</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1313"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661.954693</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661.954693</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661.954693</w:t>
            </w: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6"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21"/>
                <w:szCs w:val="21"/>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6" w:hRule="atLeast"/>
          <w:jc w:val="center"/>
        </w:trPr>
        <w:tc>
          <w:tcPr>
            <w:tcW w:w="15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tblPrEx>
          <w:tblCellMar>
            <w:top w:w="0" w:type="dxa"/>
            <w:left w:w="108" w:type="dxa"/>
            <w:bottom w:w="0" w:type="dxa"/>
            <w:right w:w="108" w:type="dxa"/>
          </w:tblCellMar>
        </w:tblPrEx>
        <w:trPr>
          <w:trHeight w:val="329"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0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确保职工工资正常发放到位</w:t>
            </w:r>
          </w:p>
        </w:tc>
        <w:tc>
          <w:tcPr>
            <w:tcW w:w="315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完成</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329"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1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29"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1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6" w:hRule="atLeast"/>
          <w:jc w:val="center"/>
        </w:trPr>
        <w:tc>
          <w:tcPr>
            <w:tcW w:w="15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四、年度绩效指标完成情况</w:t>
            </w: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tblPrEx>
          <w:tblCellMar>
            <w:top w:w="0" w:type="dxa"/>
            <w:left w:w="108" w:type="dxa"/>
            <w:bottom w:w="0" w:type="dxa"/>
            <w:right w:w="108" w:type="dxa"/>
          </w:tblCellMar>
        </w:tblPrEx>
        <w:trPr>
          <w:trHeight w:val="336"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产出指标（40）</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在职人数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56人</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56人</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36"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工作完成率</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34"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工资发放及时率</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662"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所需预算内内资金</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661.954693</w:t>
            </w:r>
            <w:r>
              <w:rPr>
                <w:rFonts w:hint="eastAsia" w:ascii="宋体" w:hAnsi="宋体" w:eastAsia="宋体"/>
                <w:color w:val="000000"/>
                <w:sz w:val="16"/>
                <w:szCs w:val="16"/>
              </w:rPr>
              <w:t>万元</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661.954693</w:t>
            </w:r>
            <w:r>
              <w:rPr>
                <w:rFonts w:hint="eastAsia" w:ascii="宋体" w:hAnsi="宋体" w:eastAsia="宋体"/>
                <w:color w:val="000000"/>
                <w:sz w:val="16"/>
                <w:szCs w:val="16"/>
              </w:rPr>
              <w:t>万元</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36"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预算执行率指标</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5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99%</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w:t>
            </w:r>
          </w:p>
        </w:tc>
      </w:tr>
      <w:tr>
        <w:tblPrEx>
          <w:tblCellMar>
            <w:top w:w="0" w:type="dxa"/>
            <w:left w:w="108" w:type="dxa"/>
            <w:bottom w:w="0" w:type="dxa"/>
            <w:right w:w="108" w:type="dxa"/>
          </w:tblCellMar>
        </w:tblPrEx>
        <w:trPr>
          <w:trHeight w:val="336"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（10分）</w:t>
            </w: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662"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效益指标（40）</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经济效益指标</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提高工作效率情况</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有所提高</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有所提高</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19</w:t>
            </w:r>
          </w:p>
        </w:tc>
      </w:tr>
      <w:tr>
        <w:tblPrEx>
          <w:tblCellMar>
            <w:top w:w="0" w:type="dxa"/>
            <w:left w:w="108" w:type="dxa"/>
            <w:bottom w:w="0" w:type="dxa"/>
            <w:right w:w="108" w:type="dxa"/>
          </w:tblCellMar>
        </w:tblPrEx>
        <w:trPr>
          <w:trHeight w:val="662"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社会效益指标</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职工生活改善情况</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良</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19</w:t>
            </w:r>
          </w:p>
        </w:tc>
      </w:tr>
      <w:tr>
        <w:tblPrEx>
          <w:tblCellMar>
            <w:top w:w="0" w:type="dxa"/>
            <w:left w:w="108" w:type="dxa"/>
            <w:bottom w:w="0" w:type="dxa"/>
            <w:right w:w="108" w:type="dxa"/>
          </w:tblCellMar>
        </w:tblPrEx>
        <w:trPr>
          <w:trHeight w:val="987"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满意度大于等于95%，得满分；每下降1%，扣1分。</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94%</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w:t>
            </w:r>
          </w:p>
        </w:tc>
      </w:tr>
      <w:tr>
        <w:tblPrEx>
          <w:tblCellMar>
            <w:top w:w="0" w:type="dxa"/>
            <w:left w:w="108" w:type="dxa"/>
            <w:bottom w:w="0" w:type="dxa"/>
            <w:right w:w="108" w:type="dxa"/>
          </w:tblCellMar>
        </w:tblPrEx>
        <w:trPr>
          <w:trHeight w:val="336" w:hRule="atLeast"/>
          <w:jc w:val="center"/>
        </w:trPr>
        <w:tc>
          <w:tcPr>
            <w:tcW w:w="15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6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10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96</w:t>
            </w:r>
          </w:p>
        </w:tc>
      </w:tr>
      <w:tr>
        <w:tblPrEx>
          <w:tblCellMar>
            <w:top w:w="0" w:type="dxa"/>
            <w:left w:w="108" w:type="dxa"/>
            <w:bottom w:w="0" w:type="dxa"/>
            <w:right w:w="108" w:type="dxa"/>
          </w:tblCellMar>
        </w:tblPrEx>
        <w:trPr>
          <w:trHeight w:val="662" w:hRule="atLeast"/>
          <w:jc w:val="center"/>
        </w:trPr>
        <w:tc>
          <w:tcPr>
            <w:tcW w:w="15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五、存在问题、原因及下一步整改措施</w:t>
            </w:r>
          </w:p>
        </w:tc>
        <w:tc>
          <w:tcPr>
            <w:tcW w:w="758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保证财政人员经费拨款质量，确保工资正常发放，保证各项工作正常开展。</w:t>
            </w:r>
          </w:p>
        </w:tc>
      </w:tr>
      <w:tr>
        <w:tblPrEx>
          <w:tblCellMar>
            <w:top w:w="0" w:type="dxa"/>
            <w:left w:w="108" w:type="dxa"/>
            <w:bottom w:w="0" w:type="dxa"/>
            <w:right w:w="108" w:type="dxa"/>
          </w:tblCellMar>
        </w:tblPrEx>
        <w:trPr>
          <w:trHeight w:val="336" w:hRule="atLeast"/>
          <w:jc w:val="center"/>
        </w:trPr>
        <w:tc>
          <w:tcPr>
            <w:tcW w:w="856" w:type="dxa"/>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填报人：</w:t>
            </w:r>
          </w:p>
        </w:tc>
        <w:tc>
          <w:tcPr>
            <w:tcW w:w="696" w:type="dxa"/>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王晓帆</w:t>
            </w:r>
          </w:p>
        </w:tc>
        <w:tc>
          <w:tcPr>
            <w:tcW w:w="1834" w:type="dxa"/>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1028" w:type="dxa"/>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542" w:type="dxa"/>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1025" w:type="dxa"/>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1025" w:type="dxa"/>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联系电话：</w:t>
            </w:r>
          </w:p>
        </w:tc>
        <w:tc>
          <w:tcPr>
            <w:tcW w:w="1107" w:type="dxa"/>
            <w:tcBorders>
              <w:top w:val="nil"/>
              <w:left w:val="nil"/>
              <w:bottom w:val="nil"/>
              <w:right w:val="nil"/>
            </w:tcBorders>
            <w:shd w:val="clear" w:color="auto" w:fill="auto"/>
            <w:noWrap/>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15716818863</w:t>
            </w:r>
          </w:p>
        </w:tc>
        <w:tc>
          <w:tcPr>
            <w:tcW w:w="1028" w:type="dxa"/>
            <w:tcBorders>
              <w:top w:val="nil"/>
              <w:left w:val="nil"/>
              <w:bottom w:val="nil"/>
              <w:right w:val="nil"/>
            </w:tcBorders>
            <w:shd w:val="clear" w:color="auto" w:fill="auto"/>
            <w:noWrap/>
            <w:vAlign w:val="center"/>
          </w:tcPr>
          <w:p>
            <w:pPr>
              <w:rPr>
                <w:rFonts w:ascii="宋体" w:hAnsi="宋体" w:eastAsia="宋体"/>
                <w:color w:val="000000"/>
              </w:rPr>
            </w:pPr>
          </w:p>
          <w:p>
            <w:pPr>
              <w:rPr>
                <w:rFonts w:ascii="宋体" w:hAnsi="宋体" w:eastAsia="宋体"/>
                <w:color w:val="000000"/>
              </w:rPr>
            </w:pPr>
          </w:p>
        </w:tc>
      </w:tr>
    </w:tbl>
    <w:tbl>
      <w:tblPr>
        <w:tblStyle w:val="11"/>
        <w:tblW w:w="8920" w:type="dxa"/>
        <w:tblInd w:w="93" w:type="dxa"/>
        <w:tblLayout w:type="autofit"/>
        <w:tblCellMar>
          <w:top w:w="0" w:type="dxa"/>
          <w:left w:w="108" w:type="dxa"/>
          <w:bottom w:w="0" w:type="dxa"/>
          <w:right w:w="108" w:type="dxa"/>
        </w:tblCellMar>
      </w:tblPr>
      <w:tblGrid>
        <w:gridCol w:w="856"/>
        <w:gridCol w:w="696"/>
        <w:gridCol w:w="1816"/>
        <w:gridCol w:w="913"/>
        <w:gridCol w:w="581"/>
        <w:gridCol w:w="918"/>
        <w:gridCol w:w="1016"/>
        <w:gridCol w:w="1110"/>
        <w:gridCol w:w="1016"/>
      </w:tblGrid>
      <w:tr>
        <w:tblPrEx>
          <w:tblCellMar>
            <w:top w:w="0" w:type="dxa"/>
            <w:left w:w="108" w:type="dxa"/>
            <w:bottom w:w="0" w:type="dxa"/>
            <w:right w:w="108" w:type="dxa"/>
          </w:tblCellMar>
        </w:tblPrEx>
        <w:trPr>
          <w:trHeight w:val="442" w:hRule="atLeast"/>
        </w:trPr>
        <w:tc>
          <w:tcPr>
            <w:tcW w:w="8920"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44"/>
                <w:szCs w:val="44"/>
              </w:rPr>
            </w:pPr>
            <w:r>
              <w:rPr>
                <w:rFonts w:hint="eastAsia" w:ascii="宋体" w:hAnsi="宋体" w:eastAsia="宋体"/>
                <w:color w:val="000000"/>
                <w:sz w:val="44"/>
                <w:szCs w:val="44"/>
              </w:rPr>
              <w:t>县级部门预算项目绩效自评表</w:t>
            </w:r>
          </w:p>
        </w:tc>
      </w:tr>
      <w:tr>
        <w:tblPrEx>
          <w:tblCellMar>
            <w:top w:w="0" w:type="dxa"/>
            <w:left w:w="108" w:type="dxa"/>
            <w:bottom w:w="0" w:type="dxa"/>
            <w:right w:w="108" w:type="dxa"/>
          </w:tblCellMar>
        </w:tblPrEx>
        <w:trPr>
          <w:trHeight w:val="221" w:hRule="atLeast"/>
        </w:trPr>
        <w:tc>
          <w:tcPr>
            <w:tcW w:w="0" w:type="auto"/>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2025 年度）</w:t>
            </w:r>
          </w:p>
        </w:tc>
      </w:tr>
      <w:tr>
        <w:tblPrEx>
          <w:tblCellMar>
            <w:top w:w="0" w:type="dxa"/>
            <w:left w:w="108" w:type="dxa"/>
            <w:bottom w:w="0" w:type="dxa"/>
            <w:right w:w="108" w:type="dxa"/>
          </w:tblCellMar>
        </w:tblPrEx>
        <w:trPr>
          <w:trHeight w:val="221" w:hRule="atLeast"/>
        </w:trPr>
        <w:tc>
          <w:tcPr>
            <w:tcW w:w="0" w:type="auto"/>
            <w:gridSpan w:val="2"/>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填报单位：</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单位：万元</w:t>
            </w:r>
          </w:p>
        </w:tc>
      </w:tr>
      <w:tr>
        <w:tblPrEx>
          <w:tblCellMar>
            <w:top w:w="0" w:type="dxa"/>
            <w:left w:w="108" w:type="dxa"/>
            <w:bottom w:w="0" w:type="dxa"/>
            <w:right w:w="108" w:type="dxa"/>
          </w:tblCellMar>
        </w:tblPrEx>
        <w:trPr>
          <w:trHeight w:val="228"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一、基本情况</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1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公用经费（县本级项目）</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0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r>
      <w:tr>
        <w:tblPrEx>
          <w:tblCellMar>
            <w:top w:w="0" w:type="dxa"/>
            <w:left w:w="108" w:type="dxa"/>
            <w:bottom w:w="0" w:type="dxa"/>
            <w:right w:w="108" w:type="dxa"/>
          </w:tblCellMar>
        </w:tblPrEx>
        <w:trPr>
          <w:trHeight w:val="228" w:hRule="atLeast"/>
        </w:trPr>
        <w:tc>
          <w:tcPr>
            <w:tcW w:w="12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25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2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214.4348</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214.4348</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214.4348</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214.4348</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214.4348</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214.4348</w:t>
            </w: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28" w:hRule="atLeast"/>
        </w:trPr>
        <w:tc>
          <w:tcPr>
            <w:tcW w:w="12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2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tblPrEx>
          <w:tblCellMar>
            <w:top w:w="0" w:type="dxa"/>
            <w:left w:w="108" w:type="dxa"/>
            <w:bottom w:w="0" w:type="dxa"/>
            <w:right w:w="108" w:type="dxa"/>
          </w:tblCellMar>
        </w:tblPrEx>
        <w:trPr>
          <w:trHeight w:val="329"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2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保障我镇工作正常运转。</w:t>
            </w:r>
          </w:p>
        </w:tc>
        <w:tc>
          <w:tcPr>
            <w:tcW w:w="325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完成</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329"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2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29"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2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28" w:hRule="atLeast"/>
        </w:trPr>
        <w:tc>
          <w:tcPr>
            <w:tcW w:w="12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四、年度绩效指标完成情况</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2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产出指标（40）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2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在职人员人数</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56人</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56人</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2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各项工作支付完成率（%)</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29"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2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各项工作完时间</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年底完成</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年底完成</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2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完成工作所需经费</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214.4348</w:t>
            </w:r>
            <w:r>
              <w:rPr>
                <w:rFonts w:hint="eastAsia" w:ascii="宋体" w:hAnsi="宋体" w:eastAsia="宋体"/>
                <w:color w:val="000000"/>
                <w:sz w:val="16"/>
                <w:szCs w:val="16"/>
              </w:rPr>
              <w:t>万元</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214.4348</w:t>
            </w:r>
            <w:r>
              <w:rPr>
                <w:rFonts w:hint="eastAsia" w:ascii="宋体" w:hAnsi="宋体" w:eastAsia="宋体"/>
                <w:color w:val="000000"/>
                <w:sz w:val="16"/>
                <w:szCs w:val="16"/>
              </w:rPr>
              <w:t>万元</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预算执行率指标</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20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（10分）</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20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效益指标（40）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经济效益指标</w:t>
            </w:r>
          </w:p>
        </w:tc>
        <w:tc>
          <w:tcPr>
            <w:tcW w:w="2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提高工作效益情况</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有所提高</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有所提高</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社会效益指标</w:t>
            </w:r>
          </w:p>
        </w:tc>
        <w:tc>
          <w:tcPr>
            <w:tcW w:w="2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公共服务水平情况</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良</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可持续影响指标</w:t>
            </w:r>
          </w:p>
        </w:tc>
        <w:tc>
          <w:tcPr>
            <w:tcW w:w="2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维持和确保全镇工作的正常运转和开展</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良</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19</w:t>
            </w:r>
          </w:p>
        </w:tc>
      </w:tr>
      <w:tr>
        <w:tblPrEx>
          <w:tblCellMar>
            <w:top w:w="0" w:type="dxa"/>
            <w:left w:w="108" w:type="dxa"/>
            <w:bottom w:w="0" w:type="dxa"/>
            <w:right w:w="108" w:type="dxa"/>
          </w:tblCellMar>
        </w:tblPrEx>
        <w:trPr>
          <w:trHeight w:val="449"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2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满意度大于等于95%，得满分；每下降1%，扣1分。</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94%</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228"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66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96</w:t>
            </w:r>
          </w:p>
        </w:tc>
      </w:tr>
      <w:tr>
        <w:tblPrEx>
          <w:tblCellMar>
            <w:top w:w="0" w:type="dxa"/>
            <w:left w:w="108" w:type="dxa"/>
            <w:bottom w:w="0" w:type="dxa"/>
            <w:right w:w="108" w:type="dxa"/>
          </w:tblCellMar>
        </w:tblPrEx>
        <w:trPr>
          <w:trHeight w:val="449"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五、存在问题、原因及下一步整改措施</w:t>
            </w:r>
          </w:p>
        </w:tc>
        <w:tc>
          <w:tcPr>
            <w:tcW w:w="763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公用经费不足，进一步增加经费。</w:t>
            </w:r>
          </w:p>
        </w:tc>
      </w:tr>
      <w:tr>
        <w:tblPrEx>
          <w:tblCellMar>
            <w:top w:w="0" w:type="dxa"/>
            <w:left w:w="108" w:type="dxa"/>
            <w:bottom w:w="0" w:type="dxa"/>
            <w:right w:w="108" w:type="dxa"/>
          </w:tblCellMar>
        </w:tblPrEx>
        <w:trPr>
          <w:trHeight w:val="228" w:hRule="atLeast"/>
        </w:trPr>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填报人：</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王晓帆</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联系电话：</w:t>
            </w:r>
          </w:p>
        </w:tc>
        <w:tc>
          <w:tcPr>
            <w:tcW w:w="0" w:type="auto"/>
            <w:tcBorders>
              <w:top w:val="nil"/>
              <w:left w:val="nil"/>
              <w:bottom w:val="nil"/>
              <w:right w:val="nil"/>
            </w:tcBorders>
            <w:shd w:val="clear" w:color="auto" w:fill="auto"/>
            <w:noWrap/>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15716818863</w:t>
            </w:r>
          </w:p>
        </w:tc>
        <w:tc>
          <w:tcPr>
            <w:tcW w:w="0" w:type="auto"/>
            <w:tcBorders>
              <w:top w:val="nil"/>
              <w:left w:val="nil"/>
              <w:bottom w:val="nil"/>
              <w:right w:val="nil"/>
            </w:tcBorders>
            <w:shd w:val="clear" w:color="auto" w:fill="auto"/>
            <w:noWrap/>
            <w:vAlign w:val="center"/>
          </w:tcPr>
          <w:p>
            <w:pPr>
              <w:rPr>
                <w:rFonts w:ascii="宋体" w:hAnsi="宋体" w:eastAsia="宋体"/>
                <w:color w:val="000000"/>
              </w:rPr>
            </w:pPr>
          </w:p>
        </w:tc>
      </w:tr>
    </w:tbl>
    <w:p>
      <w:pPr>
        <w:widowControl/>
        <w:spacing w:line="360" w:lineRule="auto"/>
        <w:jc w:val="left"/>
        <w:rPr>
          <w:rFonts w:ascii="Times New Roman" w:eastAsia="仿宋_GB2312"/>
          <w:b/>
          <w:sz w:val="32"/>
          <w:szCs w:val="32"/>
          <w:highlight w:val="yellow"/>
        </w:rPr>
      </w:pPr>
    </w:p>
    <w:tbl>
      <w:tblPr>
        <w:tblStyle w:val="11"/>
        <w:tblW w:w="9120" w:type="dxa"/>
        <w:tblInd w:w="93" w:type="dxa"/>
        <w:tblLayout w:type="autofit"/>
        <w:tblCellMar>
          <w:top w:w="0" w:type="dxa"/>
          <w:left w:w="108" w:type="dxa"/>
          <w:bottom w:w="0" w:type="dxa"/>
          <w:right w:w="108" w:type="dxa"/>
        </w:tblCellMar>
      </w:tblPr>
      <w:tblGrid>
        <w:gridCol w:w="1231"/>
        <w:gridCol w:w="1042"/>
        <w:gridCol w:w="1029"/>
        <w:gridCol w:w="1064"/>
        <w:gridCol w:w="1081"/>
        <w:gridCol w:w="1141"/>
        <w:gridCol w:w="1216"/>
        <w:gridCol w:w="1316"/>
      </w:tblGrid>
      <w:tr>
        <w:tblPrEx>
          <w:tblCellMar>
            <w:top w:w="0" w:type="dxa"/>
            <w:left w:w="108" w:type="dxa"/>
            <w:bottom w:w="0" w:type="dxa"/>
            <w:right w:w="108" w:type="dxa"/>
          </w:tblCellMar>
        </w:tblPrEx>
        <w:trPr>
          <w:trHeight w:val="745" w:hRule="atLeast"/>
        </w:trPr>
        <w:tc>
          <w:tcPr>
            <w:tcW w:w="9120" w:type="dxa"/>
            <w:gridSpan w:val="8"/>
            <w:tcBorders>
              <w:top w:val="nil"/>
              <w:left w:val="nil"/>
              <w:bottom w:val="nil"/>
              <w:right w:val="nil"/>
            </w:tcBorders>
            <w:shd w:val="clear" w:color="auto" w:fill="auto"/>
            <w:noWrap/>
            <w:vAlign w:val="center"/>
          </w:tcPr>
          <w:p>
            <w:pPr>
              <w:widowControl/>
              <w:jc w:val="center"/>
              <w:textAlignment w:val="center"/>
              <w:rPr>
                <w:rFonts w:ascii="方正小标宋_GBK" w:hAnsi="方正小标宋_GBK" w:eastAsia="方正小标宋_GBK" w:cs="方正小标宋_GBK"/>
                <w:color w:val="000000"/>
                <w:sz w:val="44"/>
                <w:szCs w:val="44"/>
              </w:rPr>
            </w:pPr>
            <w:r>
              <w:rPr>
                <w:rFonts w:ascii="方正小标宋_GBK" w:hAnsi="方正小标宋_GBK" w:eastAsia="方正小标宋_GBK" w:cs="方正小标宋_GBK"/>
                <w:color w:val="000000"/>
                <w:sz w:val="44"/>
                <w:szCs w:val="44"/>
              </w:rPr>
              <w:t>县级部门预算项目绩效自评表</w:t>
            </w:r>
          </w:p>
        </w:tc>
      </w:tr>
      <w:tr>
        <w:tblPrEx>
          <w:tblCellMar>
            <w:top w:w="0" w:type="dxa"/>
            <w:left w:w="108" w:type="dxa"/>
            <w:bottom w:w="0" w:type="dxa"/>
            <w:right w:w="108" w:type="dxa"/>
          </w:tblCellMar>
        </w:tblPrEx>
        <w:trPr>
          <w:trHeight w:val="249" w:hRule="atLeast"/>
        </w:trPr>
        <w:tc>
          <w:tcPr>
            <w:tcW w:w="0" w:type="auto"/>
            <w:gridSpan w:val="8"/>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2025年度）</w:t>
            </w:r>
          </w:p>
        </w:tc>
      </w:tr>
      <w:tr>
        <w:tblPrEx>
          <w:tblCellMar>
            <w:top w:w="0" w:type="dxa"/>
            <w:left w:w="108" w:type="dxa"/>
            <w:bottom w:w="0" w:type="dxa"/>
            <w:right w:w="108" w:type="dxa"/>
          </w:tblCellMar>
        </w:tblPrEx>
        <w:trPr>
          <w:trHeight w:val="249" w:hRule="atLeast"/>
        </w:trPr>
        <w:tc>
          <w:tcPr>
            <w:tcW w:w="0" w:type="auto"/>
            <w:gridSpan w:val="3"/>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填报单位：高邑县富村镇人民政府</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20"/>
                <w:szCs w:val="20"/>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20"/>
                <w:szCs w:val="20"/>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20"/>
                <w:szCs w:val="20"/>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20"/>
                <w:szCs w:val="20"/>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单位：万元</w:t>
            </w:r>
          </w:p>
        </w:tc>
      </w:tr>
      <w:tr>
        <w:tblPrEx>
          <w:tblCellMar>
            <w:top w:w="0" w:type="dxa"/>
            <w:left w:w="108" w:type="dxa"/>
            <w:bottom w:w="0" w:type="dxa"/>
            <w:right w:w="108" w:type="dxa"/>
          </w:tblCellMar>
        </w:tblPrEx>
        <w:trPr>
          <w:trHeight w:val="504" w:hRule="atLeast"/>
        </w:trPr>
        <w:tc>
          <w:tcPr>
            <w:tcW w:w="1231" w:type="dxa"/>
            <w:tcBorders>
              <w:top w:val="single" w:color="000000" w:sz="4" w:space="0"/>
              <w:left w:val="single" w:color="000000" w:sz="4" w:space="0"/>
              <w:bottom w:val="nil"/>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一、</w:t>
            </w:r>
            <w:r>
              <w:rPr>
                <w:rFonts w:ascii="Calibri" w:hAnsi="Calibri" w:eastAsia="宋体" w:cs="Calibri"/>
                <w:color w:val="000000"/>
                <w:sz w:val="20"/>
                <w:szCs w:val="20"/>
              </w:rPr>
              <w:t xml:space="preserve"> </w:t>
            </w:r>
            <w:r>
              <w:rPr>
                <w:rFonts w:hint="eastAsia" w:ascii="宋体" w:hAnsi="宋体" w:eastAsia="宋体"/>
                <w:color w:val="000000"/>
                <w:sz w:val="20"/>
                <w:szCs w:val="20"/>
              </w:rPr>
              <w:t>基本情况</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项目名称</w:t>
            </w:r>
          </w:p>
        </w:tc>
        <w:tc>
          <w:tcPr>
            <w:tcW w:w="2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离任农村党组织书记生活补贴（县本级项目）</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实施(主管）单位</w:t>
            </w:r>
          </w:p>
        </w:tc>
        <w:tc>
          <w:tcPr>
            <w:tcW w:w="3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高邑县富村镇人民政府</w:t>
            </w:r>
          </w:p>
        </w:tc>
      </w:tr>
      <w:tr>
        <w:tblPrEx>
          <w:tblCellMar>
            <w:top w:w="0" w:type="dxa"/>
            <w:left w:w="108" w:type="dxa"/>
            <w:bottom w:w="0" w:type="dxa"/>
            <w:right w:w="108" w:type="dxa"/>
          </w:tblCellMar>
        </w:tblPrEx>
        <w:trPr>
          <w:trHeight w:val="504" w:hRule="atLeast"/>
        </w:trPr>
        <w:tc>
          <w:tcPr>
            <w:tcW w:w="12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二、预算执行情况</w:t>
            </w:r>
          </w:p>
        </w:tc>
        <w:tc>
          <w:tcPr>
            <w:tcW w:w="2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预算安排情况（调整后）</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资金到位情况</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资金执行情况</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预算执行进度</w:t>
            </w:r>
          </w:p>
        </w:tc>
      </w:tr>
      <w:tr>
        <w:tblPrEx>
          <w:tblCellMar>
            <w:top w:w="0" w:type="dxa"/>
            <w:left w:w="108" w:type="dxa"/>
            <w:bottom w:w="0" w:type="dxa"/>
            <w:right w:w="108" w:type="dxa"/>
          </w:tblCellMar>
        </w:tblPrEx>
        <w:trPr>
          <w:trHeight w:val="325" w:hRule="atLeast"/>
        </w:trPr>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预算数：</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20"/>
                <w:szCs w:val="20"/>
              </w:rPr>
            </w:pPr>
            <w:r>
              <w:rPr>
                <w:rFonts w:hint="eastAsia" w:ascii="宋体" w:hAnsi="宋体" w:eastAsia="宋体"/>
                <w:color w:val="000000"/>
                <w:sz w:val="20"/>
                <w:szCs w:val="20"/>
              </w:rPr>
              <w:t>22.738</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到位数：</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20"/>
                <w:szCs w:val="20"/>
              </w:rPr>
            </w:pPr>
            <w:r>
              <w:rPr>
                <w:rFonts w:hint="eastAsia" w:ascii="宋体" w:hAnsi="宋体" w:eastAsia="宋体"/>
                <w:color w:val="000000"/>
                <w:sz w:val="20"/>
                <w:szCs w:val="20"/>
              </w:rPr>
              <w:t>22.738</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执行数：</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20"/>
                <w:szCs w:val="20"/>
              </w:rPr>
            </w:pPr>
            <w:r>
              <w:rPr>
                <w:rFonts w:hint="eastAsia" w:ascii="宋体" w:hAnsi="宋体" w:eastAsia="宋体"/>
                <w:color w:val="000000"/>
                <w:sz w:val="20"/>
                <w:szCs w:val="20"/>
              </w:rPr>
              <w:t>22.738</w:t>
            </w:r>
          </w:p>
        </w:tc>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100%</w:t>
            </w:r>
          </w:p>
        </w:tc>
      </w:tr>
      <w:tr>
        <w:tblPrEx>
          <w:tblCellMar>
            <w:top w:w="0" w:type="dxa"/>
            <w:left w:w="108" w:type="dxa"/>
            <w:bottom w:w="0" w:type="dxa"/>
            <w:right w:w="108" w:type="dxa"/>
          </w:tblCellMar>
        </w:tblPrEx>
        <w:trPr>
          <w:trHeight w:val="504" w:hRule="atLeast"/>
        </w:trPr>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其中：                 财政资金</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20"/>
                <w:szCs w:val="20"/>
              </w:rPr>
            </w:pPr>
            <w:r>
              <w:rPr>
                <w:rFonts w:hint="eastAsia" w:ascii="宋体" w:hAnsi="宋体" w:eastAsia="宋体"/>
                <w:color w:val="000000"/>
                <w:sz w:val="20"/>
                <w:szCs w:val="20"/>
              </w:rPr>
              <w:t>22.738</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其中：                      财政资金</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20"/>
                <w:szCs w:val="20"/>
              </w:rPr>
            </w:pPr>
            <w:r>
              <w:rPr>
                <w:rFonts w:hint="eastAsia" w:ascii="宋体" w:hAnsi="宋体" w:eastAsia="宋体"/>
                <w:color w:val="000000"/>
                <w:sz w:val="20"/>
                <w:szCs w:val="20"/>
              </w:rPr>
              <w:t>22.738</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其中：                     财政资金</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20"/>
                <w:szCs w:val="20"/>
              </w:rPr>
            </w:pPr>
            <w:r>
              <w:rPr>
                <w:rFonts w:hint="eastAsia" w:ascii="宋体" w:hAnsi="宋体" w:eastAsia="宋体"/>
                <w:color w:val="000000"/>
                <w:sz w:val="20"/>
                <w:szCs w:val="20"/>
              </w:rPr>
              <w:t>22.738</w:t>
            </w:r>
          </w:p>
        </w:tc>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4" w:hRule="atLeast"/>
        </w:trPr>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其他</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Calibri" w:hAnsi="Calibri" w:eastAsia="宋体" w:cs="Calibri"/>
                <w:color w:val="000000"/>
                <w:sz w:val="20"/>
                <w:szCs w:val="20"/>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其他</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olor w:val="000000"/>
                <w:sz w:val="20"/>
                <w:szCs w:val="20"/>
              </w:rPr>
            </w:pP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其他</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olor w:val="000000"/>
                <w:sz w:val="20"/>
                <w:szCs w:val="20"/>
              </w:rPr>
            </w:pPr>
          </w:p>
        </w:tc>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59" w:hRule="atLeast"/>
        </w:trPr>
        <w:tc>
          <w:tcPr>
            <w:tcW w:w="12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三、目标完成情况</w:t>
            </w:r>
          </w:p>
        </w:tc>
        <w:tc>
          <w:tcPr>
            <w:tcW w:w="3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年度预期目标</w:t>
            </w:r>
          </w:p>
        </w:tc>
        <w:tc>
          <w:tcPr>
            <w:tcW w:w="34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具体完成情况</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总体完成率</w:t>
            </w:r>
          </w:p>
        </w:tc>
      </w:tr>
      <w:tr>
        <w:tblPrEx>
          <w:tblCellMar>
            <w:top w:w="0" w:type="dxa"/>
            <w:left w:w="108" w:type="dxa"/>
            <w:bottom w:w="0" w:type="dxa"/>
            <w:right w:w="108" w:type="dxa"/>
          </w:tblCellMar>
        </w:tblPrEx>
        <w:trPr>
          <w:trHeight w:val="329" w:hRule="atLeast"/>
        </w:trPr>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32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改善补助人们的生活水平，提高生活质量，使个人得到应有的补贴。</w:t>
            </w:r>
          </w:p>
        </w:tc>
        <w:tc>
          <w:tcPr>
            <w:tcW w:w="342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完成</w:t>
            </w:r>
          </w:p>
        </w:tc>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100%</w:t>
            </w:r>
          </w:p>
        </w:tc>
      </w:tr>
      <w:tr>
        <w:tblPrEx>
          <w:tblCellMar>
            <w:top w:w="0" w:type="dxa"/>
            <w:left w:w="108" w:type="dxa"/>
            <w:bottom w:w="0" w:type="dxa"/>
            <w:right w:w="108" w:type="dxa"/>
          </w:tblCellMar>
        </w:tblPrEx>
        <w:trPr>
          <w:trHeight w:val="329" w:hRule="atLeast"/>
        </w:trPr>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3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342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55" w:hRule="atLeast"/>
        </w:trPr>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3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342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25" w:hRule="atLeast"/>
        </w:trPr>
        <w:tc>
          <w:tcPr>
            <w:tcW w:w="1231" w:type="dxa"/>
            <w:vMerge w:val="restart"/>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四、</w:t>
            </w:r>
            <w:r>
              <w:rPr>
                <w:rFonts w:ascii="Calibri" w:hAnsi="Calibri" w:eastAsia="宋体" w:cs="Calibri"/>
                <w:color w:val="000000"/>
                <w:sz w:val="20"/>
                <w:szCs w:val="20"/>
              </w:rPr>
              <w:t xml:space="preserve"> </w:t>
            </w:r>
            <w:r>
              <w:rPr>
                <w:rFonts w:hint="eastAsia" w:ascii="宋体" w:hAnsi="宋体" w:eastAsia="宋体"/>
                <w:color w:val="000000"/>
                <w:sz w:val="20"/>
                <w:szCs w:val="20"/>
              </w:rPr>
              <w:t>年度绩效指标完成情况</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一级指标</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二级指标</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三级指标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预期指标值</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实际完成值</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自评得分</w:t>
            </w:r>
          </w:p>
        </w:tc>
      </w:tr>
      <w:tr>
        <w:tblPrEx>
          <w:tblCellMar>
            <w:top w:w="0" w:type="dxa"/>
            <w:left w:w="108" w:type="dxa"/>
            <w:bottom w:w="0" w:type="dxa"/>
            <w:right w:w="108" w:type="dxa"/>
          </w:tblCellMar>
        </w:tblPrEx>
        <w:trPr>
          <w:trHeight w:val="256" w:hRule="atLeast"/>
        </w:trPr>
        <w:tc>
          <w:tcPr>
            <w:tcW w:w="123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ascii="宋体" w:hAnsi="宋体" w:eastAsia="宋体"/>
                <w:color w:val="000000"/>
                <w:sz w:val="20"/>
                <w:szCs w:val="20"/>
              </w:rPr>
            </w:pPr>
          </w:p>
        </w:tc>
        <w:tc>
          <w:tcPr>
            <w:tcW w:w="1042"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产出指标（40）</w:t>
            </w:r>
          </w:p>
        </w:tc>
        <w:tc>
          <w:tcPr>
            <w:tcW w:w="1029"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数量指标</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补贴人数</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82人</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82人</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tblPrEx>
          <w:tblCellMar>
            <w:top w:w="0" w:type="dxa"/>
            <w:left w:w="108" w:type="dxa"/>
            <w:bottom w:w="0" w:type="dxa"/>
            <w:right w:w="108" w:type="dxa"/>
          </w:tblCellMar>
        </w:tblPrEx>
        <w:trPr>
          <w:trHeight w:val="256" w:hRule="atLeast"/>
        </w:trPr>
        <w:tc>
          <w:tcPr>
            <w:tcW w:w="123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ascii="宋体" w:hAnsi="宋体" w:eastAsia="宋体"/>
                <w:color w:val="000000"/>
                <w:sz w:val="20"/>
                <w:szCs w:val="20"/>
              </w:rPr>
            </w:pPr>
          </w:p>
        </w:tc>
        <w:tc>
          <w:tcPr>
            <w:tcW w:w="1042"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ascii="宋体" w:hAnsi="宋体" w:eastAsia="宋体"/>
                <w:color w:val="000000"/>
                <w:sz w:val="20"/>
                <w:szCs w:val="20"/>
              </w:rPr>
            </w:pPr>
          </w:p>
        </w:tc>
        <w:tc>
          <w:tcPr>
            <w:tcW w:w="1029"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ascii="宋体" w:hAnsi="宋体" w:eastAsia="宋体"/>
                <w:color w:val="000000"/>
                <w:sz w:val="20"/>
                <w:szCs w:val="20"/>
              </w:rPr>
            </w:pP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行政村个数</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20</w:t>
            </w:r>
            <w:r>
              <w:rPr>
                <w:rFonts w:hint="eastAsia" w:ascii="宋体" w:hAnsi="宋体" w:eastAsia="宋体"/>
                <w:color w:val="000000"/>
                <w:sz w:val="20"/>
                <w:szCs w:val="20"/>
              </w:rPr>
              <w:t>个</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20</w:t>
            </w:r>
            <w:r>
              <w:rPr>
                <w:rFonts w:hint="eastAsia" w:ascii="宋体" w:hAnsi="宋体" w:eastAsia="宋体"/>
                <w:color w:val="000000"/>
                <w:sz w:val="20"/>
                <w:szCs w:val="20"/>
              </w:rPr>
              <w:t>个</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5</w:t>
            </w:r>
          </w:p>
        </w:tc>
      </w:tr>
      <w:tr>
        <w:tblPrEx>
          <w:tblCellMar>
            <w:top w:w="0" w:type="dxa"/>
            <w:left w:w="108" w:type="dxa"/>
            <w:bottom w:w="0" w:type="dxa"/>
            <w:right w:w="108" w:type="dxa"/>
          </w:tblCellMar>
        </w:tblPrEx>
        <w:trPr>
          <w:trHeight w:val="256" w:hRule="atLeast"/>
        </w:trPr>
        <w:tc>
          <w:tcPr>
            <w:tcW w:w="123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ascii="宋体" w:hAnsi="宋体" w:eastAsia="宋体"/>
                <w:color w:val="000000"/>
                <w:sz w:val="20"/>
                <w:szCs w:val="20"/>
              </w:rPr>
            </w:pPr>
          </w:p>
        </w:tc>
        <w:tc>
          <w:tcPr>
            <w:tcW w:w="1042"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ascii="宋体" w:hAnsi="宋体" w:eastAsia="宋体"/>
                <w:color w:val="000000"/>
                <w:sz w:val="20"/>
                <w:szCs w:val="20"/>
              </w:rPr>
            </w:pPr>
          </w:p>
        </w:tc>
        <w:tc>
          <w:tcPr>
            <w:tcW w:w="10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质量指标</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支付工作完率（%）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100%</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100%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5</w:t>
            </w:r>
          </w:p>
        </w:tc>
      </w:tr>
      <w:tr>
        <w:tblPrEx>
          <w:tblCellMar>
            <w:top w:w="0" w:type="dxa"/>
            <w:left w:w="108" w:type="dxa"/>
            <w:bottom w:w="0" w:type="dxa"/>
            <w:right w:w="108" w:type="dxa"/>
          </w:tblCellMar>
        </w:tblPrEx>
        <w:trPr>
          <w:trHeight w:val="256" w:hRule="atLeast"/>
        </w:trPr>
        <w:tc>
          <w:tcPr>
            <w:tcW w:w="123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ascii="宋体" w:hAnsi="宋体" w:eastAsia="宋体"/>
                <w:color w:val="000000"/>
                <w:sz w:val="20"/>
                <w:szCs w:val="20"/>
              </w:rPr>
            </w:pPr>
          </w:p>
        </w:tc>
        <w:tc>
          <w:tcPr>
            <w:tcW w:w="1042"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ascii="宋体" w:hAnsi="宋体" w:eastAsia="宋体"/>
                <w:color w:val="000000"/>
                <w:sz w:val="20"/>
                <w:szCs w:val="20"/>
              </w:rPr>
            </w:pPr>
          </w:p>
        </w:tc>
        <w:tc>
          <w:tcPr>
            <w:tcW w:w="10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20"/>
                <w:szCs w:val="20"/>
              </w:rPr>
            </w:pP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补贴合规率（%）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100%</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100%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5</w:t>
            </w:r>
          </w:p>
        </w:tc>
      </w:tr>
      <w:tr>
        <w:tblPrEx>
          <w:tblCellMar>
            <w:top w:w="0" w:type="dxa"/>
            <w:left w:w="108" w:type="dxa"/>
            <w:bottom w:w="0" w:type="dxa"/>
            <w:right w:w="108" w:type="dxa"/>
          </w:tblCellMar>
        </w:tblPrEx>
        <w:trPr>
          <w:trHeight w:val="753" w:hRule="atLeast"/>
        </w:trPr>
        <w:tc>
          <w:tcPr>
            <w:tcW w:w="123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ascii="宋体" w:hAnsi="宋体" w:eastAsia="宋体"/>
                <w:color w:val="000000"/>
                <w:sz w:val="20"/>
                <w:szCs w:val="20"/>
              </w:rPr>
            </w:pPr>
          </w:p>
        </w:tc>
        <w:tc>
          <w:tcPr>
            <w:tcW w:w="1042"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ascii="宋体" w:hAnsi="宋体" w:eastAsia="宋体"/>
                <w:color w:val="000000"/>
                <w:sz w:val="20"/>
                <w:szCs w:val="20"/>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时效指标</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补贴发放的时间</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按季度发放，年底发放完成</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按季度发放，年底发放完成</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10</w:t>
            </w:r>
          </w:p>
        </w:tc>
      </w:tr>
      <w:tr>
        <w:tblPrEx>
          <w:tblCellMar>
            <w:top w:w="0" w:type="dxa"/>
            <w:left w:w="108" w:type="dxa"/>
            <w:bottom w:w="0" w:type="dxa"/>
            <w:right w:w="108" w:type="dxa"/>
          </w:tblCellMar>
        </w:tblPrEx>
        <w:trPr>
          <w:trHeight w:val="256" w:hRule="atLeast"/>
        </w:trPr>
        <w:tc>
          <w:tcPr>
            <w:tcW w:w="123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ascii="宋体" w:hAnsi="宋体" w:eastAsia="宋体"/>
                <w:color w:val="000000"/>
                <w:sz w:val="20"/>
                <w:szCs w:val="20"/>
              </w:rPr>
            </w:pPr>
          </w:p>
        </w:tc>
        <w:tc>
          <w:tcPr>
            <w:tcW w:w="1042"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ascii="宋体" w:hAnsi="宋体" w:eastAsia="宋体"/>
                <w:color w:val="000000"/>
                <w:sz w:val="20"/>
                <w:szCs w:val="20"/>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成本指标</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所需的资金</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22.738</w:t>
            </w:r>
            <w:r>
              <w:rPr>
                <w:rFonts w:hint="eastAsia" w:ascii="宋体" w:hAnsi="宋体" w:eastAsia="宋体"/>
                <w:color w:val="000000"/>
                <w:sz w:val="20"/>
                <w:szCs w:val="20"/>
              </w:rPr>
              <w:t>万元</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22.738万元</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10</w:t>
            </w:r>
          </w:p>
        </w:tc>
      </w:tr>
      <w:tr>
        <w:tblPrEx>
          <w:tblCellMar>
            <w:top w:w="0" w:type="dxa"/>
            <w:left w:w="108" w:type="dxa"/>
            <w:bottom w:w="0" w:type="dxa"/>
            <w:right w:w="108" w:type="dxa"/>
          </w:tblCellMar>
        </w:tblPrEx>
        <w:trPr>
          <w:trHeight w:val="753" w:hRule="atLeast"/>
        </w:trPr>
        <w:tc>
          <w:tcPr>
            <w:tcW w:w="123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ascii="宋体" w:hAnsi="宋体" w:eastAsia="宋体"/>
                <w:color w:val="000000"/>
                <w:sz w:val="20"/>
                <w:szCs w:val="20"/>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预算执行率指标</w:t>
            </w:r>
            <w:r>
              <w:rPr>
                <w:rFonts w:hint="eastAsia" w:ascii="宋体" w:hAnsi="宋体" w:eastAsia="宋体"/>
                <w:color w:val="000000"/>
                <w:sz w:val="20"/>
                <w:szCs w:val="20"/>
              </w:rPr>
              <w:br w:type="textWrapping"/>
            </w:r>
            <w:r>
              <w:rPr>
                <w:rFonts w:hint="eastAsia" w:ascii="宋体" w:hAnsi="宋体" w:eastAsia="宋体"/>
                <w:color w:val="000000"/>
                <w:sz w:val="20"/>
                <w:szCs w:val="20"/>
              </w:rPr>
              <w:t>（10分）</w:t>
            </w:r>
          </w:p>
        </w:tc>
        <w:tc>
          <w:tcPr>
            <w:tcW w:w="1029" w:type="dxa"/>
            <w:tcBorders>
              <w:top w:val="nil"/>
              <w:left w:val="nil"/>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预算执行率</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预算执行率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100%</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100%</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10</w:t>
            </w:r>
          </w:p>
        </w:tc>
      </w:tr>
      <w:tr>
        <w:tblPrEx>
          <w:tblCellMar>
            <w:top w:w="0" w:type="dxa"/>
            <w:left w:w="108" w:type="dxa"/>
            <w:bottom w:w="0" w:type="dxa"/>
            <w:right w:w="108" w:type="dxa"/>
          </w:tblCellMar>
        </w:tblPrEx>
        <w:trPr>
          <w:trHeight w:val="370" w:hRule="atLeast"/>
        </w:trPr>
        <w:tc>
          <w:tcPr>
            <w:tcW w:w="123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ascii="宋体" w:hAnsi="宋体" w:eastAsia="宋体"/>
                <w:color w:val="000000"/>
                <w:sz w:val="20"/>
                <w:szCs w:val="20"/>
              </w:rPr>
            </w:pPr>
          </w:p>
        </w:tc>
        <w:tc>
          <w:tcPr>
            <w:tcW w:w="1042" w:type="dxa"/>
            <w:tcBorders>
              <w:top w:val="nil"/>
              <w:left w:val="single" w:color="000000" w:sz="4" w:space="0"/>
              <w:bottom w:val="nil"/>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效益指标（40分）</w:t>
            </w:r>
          </w:p>
        </w:tc>
        <w:tc>
          <w:tcPr>
            <w:tcW w:w="1029" w:type="dxa"/>
            <w:tcBorders>
              <w:top w:val="single" w:color="000000" w:sz="4" w:space="0"/>
              <w:left w:val="nil"/>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社会效益指标</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补贴人群生活改善情况</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优</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良</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38</w:t>
            </w:r>
          </w:p>
        </w:tc>
      </w:tr>
      <w:tr>
        <w:tblPrEx>
          <w:tblCellMar>
            <w:top w:w="0" w:type="dxa"/>
            <w:left w:w="108" w:type="dxa"/>
            <w:bottom w:w="0" w:type="dxa"/>
            <w:right w:w="108" w:type="dxa"/>
          </w:tblCellMar>
        </w:tblPrEx>
        <w:trPr>
          <w:trHeight w:val="753" w:hRule="atLeast"/>
        </w:trPr>
        <w:tc>
          <w:tcPr>
            <w:tcW w:w="123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ascii="宋体" w:hAnsi="宋体" w:eastAsia="宋体"/>
                <w:color w:val="000000"/>
                <w:sz w:val="20"/>
                <w:szCs w:val="20"/>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满意度指标</w:t>
            </w:r>
            <w:r>
              <w:rPr>
                <w:rFonts w:hint="eastAsia" w:ascii="宋体" w:hAnsi="宋体" w:eastAsia="宋体"/>
                <w:color w:val="000000"/>
                <w:sz w:val="20"/>
                <w:szCs w:val="20"/>
              </w:rPr>
              <w:br w:type="textWrapping"/>
            </w:r>
            <w:r>
              <w:rPr>
                <w:rFonts w:hint="eastAsia" w:ascii="宋体" w:hAnsi="宋体" w:eastAsia="宋体"/>
                <w:color w:val="000000"/>
                <w:sz w:val="20"/>
                <w:szCs w:val="20"/>
              </w:rPr>
              <w:t>（10分）</w:t>
            </w:r>
          </w:p>
        </w:tc>
        <w:tc>
          <w:tcPr>
            <w:tcW w:w="1029" w:type="dxa"/>
            <w:tcBorders>
              <w:top w:val="single" w:color="000000" w:sz="4" w:space="0"/>
              <w:left w:val="nil"/>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满意度指标</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满意度大于等于95%，得满分；每下降1%，扣1分。</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95%</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94%</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9</w:t>
            </w:r>
          </w:p>
        </w:tc>
      </w:tr>
      <w:tr>
        <w:tblPrEx>
          <w:tblCellMar>
            <w:top w:w="0" w:type="dxa"/>
            <w:left w:w="108" w:type="dxa"/>
            <w:bottom w:w="0" w:type="dxa"/>
            <w:right w:w="108" w:type="dxa"/>
          </w:tblCellMar>
        </w:tblPrEx>
        <w:trPr>
          <w:trHeight w:val="256" w:hRule="atLeast"/>
        </w:trPr>
        <w:tc>
          <w:tcPr>
            <w:tcW w:w="123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ascii="宋体" w:hAnsi="宋体" w:eastAsia="宋体"/>
                <w:color w:val="000000"/>
                <w:sz w:val="20"/>
                <w:szCs w:val="20"/>
              </w:rPr>
            </w:pPr>
          </w:p>
        </w:tc>
        <w:tc>
          <w:tcPr>
            <w:tcW w:w="669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总分</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20"/>
                <w:szCs w:val="20"/>
              </w:rPr>
            </w:pPr>
            <w:r>
              <w:rPr>
                <w:rFonts w:ascii="Calibri" w:hAnsi="Calibri" w:eastAsia="宋体" w:cs="Calibri"/>
                <w:color w:val="000000"/>
                <w:sz w:val="20"/>
                <w:szCs w:val="20"/>
              </w:rPr>
              <w:t>97</w:t>
            </w:r>
          </w:p>
        </w:tc>
      </w:tr>
      <w:tr>
        <w:tblPrEx>
          <w:tblCellMar>
            <w:top w:w="0" w:type="dxa"/>
            <w:left w:w="108" w:type="dxa"/>
            <w:bottom w:w="0" w:type="dxa"/>
            <w:right w:w="108" w:type="dxa"/>
          </w:tblCellMar>
        </w:tblPrEx>
        <w:trPr>
          <w:trHeight w:val="753" w:hRule="atLeast"/>
        </w:trPr>
        <w:tc>
          <w:tcPr>
            <w:tcW w:w="1231" w:type="dxa"/>
            <w:tcBorders>
              <w:top w:val="nil"/>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w:t>
            </w:r>
            <w:r>
              <w:rPr>
                <w:rFonts w:ascii="Calibri" w:hAnsi="Calibri" w:eastAsia="宋体" w:cs="Calibri"/>
                <w:color w:val="000000"/>
                <w:sz w:val="16"/>
                <w:szCs w:val="16"/>
              </w:rPr>
              <w:t xml:space="preserve"> </w:t>
            </w:r>
            <w:r>
              <w:rPr>
                <w:rFonts w:hint="eastAsia" w:ascii="宋体" w:hAnsi="宋体" w:eastAsia="宋体"/>
                <w:color w:val="000000"/>
                <w:sz w:val="16"/>
                <w:szCs w:val="16"/>
              </w:rPr>
              <w:t>存在问题、原因及下一步整改措施</w:t>
            </w:r>
          </w:p>
        </w:tc>
        <w:tc>
          <w:tcPr>
            <w:tcW w:w="788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存在问题：补贴标准偏低，受益人群生活改善情况不明显</w:t>
            </w:r>
            <w:r>
              <w:rPr>
                <w:rFonts w:hint="eastAsia" w:ascii="宋体" w:hAnsi="宋体" w:eastAsia="宋体"/>
                <w:color w:val="000000"/>
                <w:sz w:val="20"/>
                <w:szCs w:val="20"/>
              </w:rPr>
              <w:br w:type="textWrapping"/>
            </w:r>
            <w:r>
              <w:rPr>
                <w:rFonts w:hint="eastAsia" w:ascii="宋体" w:hAnsi="宋体" w:eastAsia="宋体"/>
                <w:color w:val="000000"/>
                <w:sz w:val="20"/>
                <w:szCs w:val="20"/>
              </w:rPr>
              <w:t>建议：提高补贴标准，健全保障机制</w:t>
            </w:r>
          </w:p>
        </w:tc>
      </w:tr>
      <w:tr>
        <w:tblPrEx>
          <w:tblCellMar>
            <w:top w:w="0" w:type="dxa"/>
            <w:left w:w="108" w:type="dxa"/>
            <w:bottom w:w="0" w:type="dxa"/>
            <w:right w:w="108" w:type="dxa"/>
          </w:tblCellMar>
        </w:tblPrEx>
        <w:trPr>
          <w:trHeight w:val="314" w:hRule="atLeast"/>
        </w:trPr>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填报人：</w:t>
            </w: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王晓帆</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20"/>
                <w:szCs w:val="20"/>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20"/>
                <w:szCs w:val="20"/>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20"/>
                <w:szCs w:val="20"/>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20"/>
                <w:szCs w:val="20"/>
              </w:rPr>
            </w:pP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联系电话：</w:t>
            </w: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20"/>
                <w:szCs w:val="20"/>
              </w:rPr>
            </w:pPr>
            <w:r>
              <w:rPr>
                <w:rFonts w:hint="eastAsia" w:ascii="宋体" w:hAnsi="宋体" w:eastAsia="宋体"/>
                <w:color w:val="000000"/>
                <w:sz w:val="20"/>
                <w:szCs w:val="20"/>
              </w:rPr>
              <w:t>15716818863</w:t>
            </w:r>
          </w:p>
        </w:tc>
      </w:tr>
    </w:tbl>
    <w:p>
      <w:pPr>
        <w:widowControl/>
        <w:spacing w:line="360" w:lineRule="auto"/>
        <w:jc w:val="left"/>
        <w:rPr>
          <w:rFonts w:ascii="Times New Roman" w:eastAsia="仿宋_GB2312"/>
          <w:b/>
          <w:sz w:val="32"/>
          <w:szCs w:val="32"/>
          <w:highlight w:val="yellow"/>
        </w:rPr>
      </w:pPr>
    </w:p>
    <w:tbl>
      <w:tblPr>
        <w:tblStyle w:val="11"/>
        <w:tblW w:w="9100" w:type="dxa"/>
        <w:tblInd w:w="93" w:type="dxa"/>
        <w:tblLayout w:type="autofit"/>
        <w:tblCellMar>
          <w:top w:w="0" w:type="dxa"/>
          <w:left w:w="108" w:type="dxa"/>
          <w:bottom w:w="0" w:type="dxa"/>
          <w:right w:w="108" w:type="dxa"/>
        </w:tblCellMar>
      </w:tblPr>
      <w:tblGrid>
        <w:gridCol w:w="856"/>
        <w:gridCol w:w="696"/>
        <w:gridCol w:w="1816"/>
        <w:gridCol w:w="772"/>
        <w:gridCol w:w="823"/>
        <w:gridCol w:w="663"/>
        <w:gridCol w:w="1357"/>
        <w:gridCol w:w="1101"/>
        <w:gridCol w:w="1016"/>
      </w:tblGrid>
      <w:tr>
        <w:tblPrEx>
          <w:tblCellMar>
            <w:top w:w="0" w:type="dxa"/>
            <w:left w:w="108" w:type="dxa"/>
            <w:bottom w:w="0" w:type="dxa"/>
            <w:right w:w="108" w:type="dxa"/>
          </w:tblCellMar>
        </w:tblPrEx>
        <w:trPr>
          <w:trHeight w:val="657" w:hRule="atLeast"/>
        </w:trPr>
        <w:tc>
          <w:tcPr>
            <w:tcW w:w="9100"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44"/>
                <w:szCs w:val="44"/>
              </w:rPr>
            </w:pPr>
            <w:r>
              <w:rPr>
                <w:rFonts w:hint="eastAsia" w:ascii="宋体" w:hAnsi="宋体" w:eastAsia="宋体"/>
                <w:color w:val="000000"/>
                <w:sz w:val="44"/>
                <w:szCs w:val="44"/>
              </w:rPr>
              <w:t>县级部门预算项目绩效自评表</w:t>
            </w:r>
          </w:p>
        </w:tc>
      </w:tr>
      <w:tr>
        <w:tblPrEx>
          <w:tblCellMar>
            <w:top w:w="0" w:type="dxa"/>
            <w:left w:w="108" w:type="dxa"/>
            <w:bottom w:w="0" w:type="dxa"/>
            <w:right w:w="108" w:type="dxa"/>
          </w:tblCellMar>
        </w:tblPrEx>
        <w:trPr>
          <w:trHeight w:val="329" w:hRule="atLeast"/>
        </w:trPr>
        <w:tc>
          <w:tcPr>
            <w:tcW w:w="0" w:type="auto"/>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2025  年度）</w:t>
            </w:r>
          </w:p>
        </w:tc>
      </w:tr>
      <w:tr>
        <w:tblPrEx>
          <w:tblCellMar>
            <w:top w:w="0" w:type="dxa"/>
            <w:left w:w="108" w:type="dxa"/>
            <w:bottom w:w="0" w:type="dxa"/>
            <w:right w:w="108" w:type="dxa"/>
          </w:tblCellMar>
        </w:tblPrEx>
        <w:trPr>
          <w:trHeight w:val="329" w:hRule="atLeast"/>
        </w:trPr>
        <w:tc>
          <w:tcPr>
            <w:tcW w:w="0" w:type="auto"/>
            <w:gridSpan w:val="2"/>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填报单位：</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单位：万元</w:t>
            </w:r>
          </w:p>
        </w:tc>
      </w:tr>
      <w:tr>
        <w:tblPrEx>
          <w:tblCellMar>
            <w:top w:w="0" w:type="dxa"/>
            <w:left w:w="108" w:type="dxa"/>
            <w:bottom w:w="0" w:type="dxa"/>
            <w:right w:w="108" w:type="dxa"/>
          </w:tblCellMar>
        </w:tblPrEx>
        <w:trPr>
          <w:trHeight w:val="667" w:hRule="atLeast"/>
        </w:trPr>
        <w:tc>
          <w:tcPr>
            <w:tcW w:w="11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一、基本情况</w:t>
            </w: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25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服务群众专项经费（县本级项目）</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r>
      <w:tr>
        <w:tblPrEx>
          <w:tblCellMar>
            <w:top w:w="0" w:type="dxa"/>
            <w:left w:w="108" w:type="dxa"/>
            <w:bottom w:w="0" w:type="dxa"/>
            <w:right w:w="108" w:type="dxa"/>
          </w:tblCellMar>
        </w:tblPrEx>
        <w:trPr>
          <w:trHeight w:val="667" w:hRule="atLeast"/>
        </w:trPr>
        <w:tc>
          <w:tcPr>
            <w:tcW w:w="11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1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21"/>
                <w:szCs w:val="21"/>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9" w:hRule="atLeast"/>
        </w:trPr>
        <w:tc>
          <w:tcPr>
            <w:tcW w:w="11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8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1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tblPrEx>
          <w:tblCellMar>
            <w:top w:w="0" w:type="dxa"/>
            <w:left w:w="108" w:type="dxa"/>
            <w:bottom w:w="0" w:type="dxa"/>
            <w:right w:w="108" w:type="dxa"/>
          </w:tblCellMar>
        </w:tblPrEx>
        <w:trPr>
          <w:trHeight w:val="32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89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使农户充分享受政策补贴，改善村集体经济。</w:t>
            </w:r>
          </w:p>
        </w:tc>
        <w:tc>
          <w:tcPr>
            <w:tcW w:w="312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完成</w:t>
            </w: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32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89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2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89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9" w:hRule="atLeast"/>
        </w:trPr>
        <w:tc>
          <w:tcPr>
            <w:tcW w:w="11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四、年度绩效指标完成情况</w:t>
            </w: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1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产出指标（40）</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1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补贴村数</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20个</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20个</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1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支付工作完成率</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48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1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补贴发放时间</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年底发放完成</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年底发放完成</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1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发放金额</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每村每年</w:t>
            </w:r>
            <w:r>
              <w:rPr>
                <w:rFonts w:ascii="Calibri" w:hAnsi="Calibri" w:eastAsia="宋体" w:cs="Calibri"/>
                <w:color w:val="000000"/>
                <w:sz w:val="16"/>
                <w:szCs w:val="16"/>
              </w:rPr>
              <w:t>5</w:t>
            </w:r>
            <w:r>
              <w:rPr>
                <w:rFonts w:hint="eastAsia" w:ascii="宋体" w:hAnsi="宋体" w:eastAsia="宋体"/>
                <w:color w:val="000000"/>
                <w:sz w:val="16"/>
                <w:szCs w:val="16"/>
              </w:rPr>
              <w:t>万元</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每村每年</w:t>
            </w:r>
            <w:r>
              <w:rPr>
                <w:rFonts w:ascii="Calibri" w:hAnsi="Calibri" w:eastAsia="宋体" w:cs="Calibri"/>
                <w:color w:val="000000"/>
                <w:sz w:val="16"/>
                <w:szCs w:val="16"/>
              </w:rPr>
              <w:t>5</w:t>
            </w:r>
            <w:r>
              <w:rPr>
                <w:rFonts w:hint="eastAsia" w:ascii="宋体" w:hAnsi="宋体" w:eastAsia="宋体"/>
                <w:color w:val="000000"/>
                <w:sz w:val="16"/>
                <w:szCs w:val="16"/>
              </w:rPr>
              <w:t>万元</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预算执行率指标</w:t>
            </w:r>
          </w:p>
        </w:tc>
        <w:tc>
          <w:tcPr>
            <w:tcW w:w="13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8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3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（10分）</w:t>
            </w: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11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效益指标（40分）</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社会效益指标</w:t>
            </w:r>
          </w:p>
        </w:tc>
        <w:tc>
          <w:tcPr>
            <w:tcW w:w="1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满足两委正常工作</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有所改善</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有所改善</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20</w:t>
            </w: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生态效益指标</w:t>
            </w:r>
          </w:p>
        </w:tc>
        <w:tc>
          <w:tcPr>
            <w:tcW w:w="1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各村改善生态环境情况</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有所改善</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有所改善</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可持续影响指标</w:t>
            </w:r>
          </w:p>
        </w:tc>
        <w:tc>
          <w:tcPr>
            <w:tcW w:w="1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工作的正常运转</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有所提升</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44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满意度大于等于95%，得满分；每下降1%，扣1分。</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93%</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8</w:t>
            </w:r>
          </w:p>
        </w:tc>
      </w:tr>
      <w:tr>
        <w:tblPrEx>
          <w:tblCellMar>
            <w:top w:w="0" w:type="dxa"/>
            <w:left w:w="108" w:type="dxa"/>
            <w:bottom w:w="0" w:type="dxa"/>
            <w:right w:w="108" w:type="dxa"/>
          </w:tblCellMar>
        </w:tblPrEx>
        <w:trPr>
          <w:trHeight w:val="339" w:hRule="atLeast"/>
        </w:trPr>
        <w:tc>
          <w:tcPr>
            <w:tcW w:w="11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70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98</w:t>
            </w:r>
          </w:p>
        </w:tc>
      </w:tr>
      <w:tr>
        <w:tblPrEx>
          <w:tblCellMar>
            <w:top w:w="0" w:type="dxa"/>
            <w:left w:w="108" w:type="dxa"/>
            <w:bottom w:w="0" w:type="dxa"/>
            <w:right w:w="108" w:type="dxa"/>
          </w:tblCellMar>
        </w:tblPrEx>
        <w:trPr>
          <w:trHeight w:val="995" w:hRule="atLeast"/>
        </w:trPr>
        <w:tc>
          <w:tcPr>
            <w:tcW w:w="11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五、存在问题、原因及下一步整改措施</w:t>
            </w:r>
          </w:p>
        </w:tc>
        <w:tc>
          <w:tcPr>
            <w:tcW w:w="791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严格把关，确保资金专款专用。</w:t>
            </w:r>
          </w:p>
        </w:tc>
      </w:tr>
      <w:tr>
        <w:tblPrEx>
          <w:tblCellMar>
            <w:top w:w="0" w:type="dxa"/>
            <w:left w:w="108" w:type="dxa"/>
            <w:bottom w:w="0" w:type="dxa"/>
            <w:right w:w="108" w:type="dxa"/>
          </w:tblCellMar>
        </w:tblPrEx>
        <w:trPr>
          <w:trHeight w:val="339" w:hRule="atLeast"/>
        </w:trPr>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填报人：</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王晓帆</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联系电话：</w:t>
            </w:r>
          </w:p>
        </w:tc>
        <w:tc>
          <w:tcPr>
            <w:tcW w:w="0" w:type="auto"/>
            <w:tcBorders>
              <w:top w:val="nil"/>
              <w:left w:val="nil"/>
              <w:bottom w:val="nil"/>
              <w:right w:val="nil"/>
            </w:tcBorders>
            <w:shd w:val="clear" w:color="auto" w:fill="auto"/>
            <w:noWrap/>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15716818863</w:t>
            </w:r>
          </w:p>
        </w:tc>
        <w:tc>
          <w:tcPr>
            <w:tcW w:w="0" w:type="auto"/>
            <w:tcBorders>
              <w:top w:val="nil"/>
              <w:left w:val="nil"/>
              <w:bottom w:val="nil"/>
              <w:right w:val="nil"/>
            </w:tcBorders>
            <w:shd w:val="clear" w:color="auto" w:fill="auto"/>
            <w:noWrap/>
            <w:vAlign w:val="center"/>
          </w:tcPr>
          <w:p>
            <w:pPr>
              <w:rPr>
                <w:rFonts w:ascii="宋体" w:hAnsi="宋体" w:eastAsia="宋体"/>
                <w:color w:val="000000"/>
              </w:rPr>
            </w:pPr>
          </w:p>
        </w:tc>
      </w:tr>
    </w:tbl>
    <w:p>
      <w:pPr>
        <w:widowControl/>
        <w:spacing w:line="360" w:lineRule="auto"/>
        <w:jc w:val="left"/>
        <w:rPr>
          <w:rFonts w:ascii="Times New Roman" w:eastAsia="仿宋_GB2312"/>
          <w:b/>
          <w:sz w:val="32"/>
          <w:szCs w:val="32"/>
          <w:highlight w:val="yellow"/>
        </w:rPr>
      </w:pPr>
    </w:p>
    <w:tbl>
      <w:tblPr>
        <w:tblStyle w:val="11"/>
        <w:tblW w:w="9080" w:type="dxa"/>
        <w:tblInd w:w="93" w:type="dxa"/>
        <w:tblLayout w:type="autofit"/>
        <w:tblCellMar>
          <w:top w:w="0" w:type="dxa"/>
          <w:left w:w="108" w:type="dxa"/>
          <w:bottom w:w="0" w:type="dxa"/>
          <w:right w:w="108" w:type="dxa"/>
        </w:tblCellMar>
      </w:tblPr>
      <w:tblGrid>
        <w:gridCol w:w="856"/>
        <w:gridCol w:w="696"/>
        <w:gridCol w:w="1816"/>
        <w:gridCol w:w="853"/>
        <w:gridCol w:w="777"/>
        <w:gridCol w:w="814"/>
        <w:gridCol w:w="1156"/>
        <w:gridCol w:w="1096"/>
        <w:gridCol w:w="1016"/>
      </w:tblGrid>
      <w:tr>
        <w:tblPrEx>
          <w:tblCellMar>
            <w:top w:w="0" w:type="dxa"/>
            <w:left w:w="108" w:type="dxa"/>
            <w:bottom w:w="0" w:type="dxa"/>
            <w:right w:w="108" w:type="dxa"/>
          </w:tblCellMar>
        </w:tblPrEx>
        <w:trPr>
          <w:trHeight w:val="525" w:hRule="atLeast"/>
        </w:trPr>
        <w:tc>
          <w:tcPr>
            <w:tcW w:w="9080"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44"/>
                <w:szCs w:val="44"/>
              </w:rPr>
            </w:pPr>
            <w:r>
              <w:rPr>
                <w:rFonts w:hint="eastAsia" w:ascii="宋体" w:hAnsi="宋体" w:eastAsia="宋体"/>
                <w:color w:val="000000"/>
                <w:sz w:val="44"/>
                <w:szCs w:val="44"/>
              </w:rPr>
              <w:t>县级部门预算项目绩效自评表</w:t>
            </w:r>
          </w:p>
        </w:tc>
      </w:tr>
      <w:tr>
        <w:tblPrEx>
          <w:tblCellMar>
            <w:top w:w="0" w:type="dxa"/>
            <w:left w:w="108" w:type="dxa"/>
            <w:bottom w:w="0" w:type="dxa"/>
            <w:right w:w="108" w:type="dxa"/>
          </w:tblCellMar>
        </w:tblPrEx>
        <w:trPr>
          <w:trHeight w:val="263" w:hRule="atLeast"/>
        </w:trPr>
        <w:tc>
          <w:tcPr>
            <w:tcW w:w="0" w:type="auto"/>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2025 年度）</w:t>
            </w:r>
          </w:p>
        </w:tc>
      </w:tr>
      <w:tr>
        <w:tblPrEx>
          <w:tblCellMar>
            <w:top w:w="0" w:type="dxa"/>
            <w:left w:w="108" w:type="dxa"/>
            <w:bottom w:w="0" w:type="dxa"/>
            <w:right w:w="108" w:type="dxa"/>
          </w:tblCellMar>
        </w:tblPrEx>
        <w:trPr>
          <w:trHeight w:val="263" w:hRule="atLeast"/>
        </w:trPr>
        <w:tc>
          <w:tcPr>
            <w:tcW w:w="0" w:type="auto"/>
            <w:gridSpan w:val="2"/>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填报单位：</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单位：万元</w:t>
            </w:r>
          </w:p>
        </w:tc>
      </w:tr>
      <w:tr>
        <w:tblPrEx>
          <w:tblCellMar>
            <w:top w:w="0" w:type="dxa"/>
            <w:left w:w="108" w:type="dxa"/>
            <w:bottom w:w="0" w:type="dxa"/>
            <w:right w:w="108" w:type="dxa"/>
          </w:tblCellMar>
        </w:tblPrEx>
        <w:trPr>
          <w:trHeight w:val="533" w:hRule="atLeast"/>
        </w:trPr>
        <w:tc>
          <w:tcPr>
            <w:tcW w:w="12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一、基本情况</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24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村党组织活动经费（县本级项目）</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r>
      <w:tr>
        <w:tblPrEx>
          <w:tblCellMar>
            <w:top w:w="0" w:type="dxa"/>
            <w:left w:w="108" w:type="dxa"/>
            <w:bottom w:w="0" w:type="dxa"/>
            <w:right w:w="108" w:type="dxa"/>
          </w:tblCellMar>
        </w:tblPrEx>
        <w:trPr>
          <w:trHeight w:val="271" w:hRule="atLeast"/>
        </w:trPr>
        <w:tc>
          <w:tcPr>
            <w:tcW w:w="12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2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21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1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26.38</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26.38</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26.38</w:t>
            </w:r>
          </w:p>
        </w:tc>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26.38</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26.38</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26.38</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21"/>
                <w:szCs w:val="21"/>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71" w:hRule="atLeast"/>
        </w:trPr>
        <w:tc>
          <w:tcPr>
            <w:tcW w:w="12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0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tblPrEx>
          <w:tblCellMar>
            <w:top w:w="0" w:type="dxa"/>
            <w:left w:w="108" w:type="dxa"/>
            <w:bottom w:w="0" w:type="dxa"/>
            <w:right w:w="108" w:type="dxa"/>
          </w:tblCellMar>
        </w:tblPrEx>
        <w:trPr>
          <w:trHeight w:val="329"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84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县财政根据乡镇上报发放名册，将资金下拨至乡镇，由乡镇协调银行将补贴发放到村委会。</w:t>
            </w:r>
          </w:p>
        </w:tc>
        <w:tc>
          <w:tcPr>
            <w:tcW w:w="30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完成</w:t>
            </w:r>
          </w:p>
        </w:tc>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329"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84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0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29"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84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0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71" w:hRule="atLeast"/>
        </w:trPr>
        <w:tc>
          <w:tcPr>
            <w:tcW w:w="12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四、年度绩效指标完成情况</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21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产出指标（40）</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21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党员人数</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1319人</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1319人</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21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支付完成率</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355"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21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补助时间</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年度支付完成</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年度支付完成</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21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补贴标准</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200</w:t>
            </w:r>
            <w:r>
              <w:rPr>
                <w:rFonts w:hint="eastAsia" w:ascii="宋体" w:hAnsi="宋体" w:eastAsia="宋体"/>
                <w:color w:val="000000"/>
                <w:sz w:val="16"/>
                <w:szCs w:val="16"/>
              </w:rPr>
              <w:t>元/人/年</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200</w:t>
            </w:r>
            <w:r>
              <w:rPr>
                <w:rFonts w:hint="eastAsia" w:ascii="宋体" w:hAnsi="宋体" w:eastAsia="宋体"/>
                <w:color w:val="000000"/>
                <w:sz w:val="16"/>
                <w:szCs w:val="16"/>
              </w:rPr>
              <w:t>元/人/年</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预算执行率指标</w:t>
            </w: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21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1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0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（10分）</w:t>
            </w: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21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1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效益指标（40分）</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社会效益指标</w:t>
            </w:r>
          </w:p>
        </w:tc>
        <w:tc>
          <w:tcPr>
            <w:tcW w:w="21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凝聚党员群众情况</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良</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19</w:t>
            </w: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可持续影响指标</w:t>
            </w:r>
          </w:p>
        </w:tc>
        <w:tc>
          <w:tcPr>
            <w:tcW w:w="21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保证村委党建工作</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有所保障</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有所保障</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18</w:t>
            </w:r>
          </w:p>
        </w:tc>
      </w:tr>
      <w:tr>
        <w:tblPrEx>
          <w:tblCellMar>
            <w:top w:w="0" w:type="dxa"/>
            <w:left w:w="108" w:type="dxa"/>
            <w:bottom w:w="0" w:type="dxa"/>
            <w:right w:w="108" w:type="dxa"/>
          </w:tblCellMar>
        </w:tblPrEx>
        <w:trPr>
          <w:trHeight w:val="533"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21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满意度大于等于95%，得满分；每下降1%，扣1分。</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95%</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95%</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7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69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97</w:t>
            </w:r>
          </w:p>
        </w:tc>
      </w:tr>
      <w:tr>
        <w:tblPrEx>
          <w:tblCellMar>
            <w:top w:w="0" w:type="dxa"/>
            <w:left w:w="108" w:type="dxa"/>
            <w:bottom w:w="0" w:type="dxa"/>
            <w:right w:w="108" w:type="dxa"/>
          </w:tblCellMar>
        </w:tblPrEx>
        <w:trPr>
          <w:trHeight w:val="795" w:hRule="atLeast"/>
        </w:trPr>
        <w:tc>
          <w:tcPr>
            <w:tcW w:w="12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五、存在问题、原因及下一步整改措施</w:t>
            </w:r>
          </w:p>
        </w:tc>
        <w:tc>
          <w:tcPr>
            <w:tcW w:w="786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严格把关，确保资金专款专用。</w:t>
            </w:r>
          </w:p>
        </w:tc>
      </w:tr>
      <w:tr>
        <w:tblPrEx>
          <w:tblCellMar>
            <w:top w:w="0" w:type="dxa"/>
            <w:left w:w="108" w:type="dxa"/>
            <w:bottom w:w="0" w:type="dxa"/>
            <w:right w:w="108" w:type="dxa"/>
          </w:tblCellMar>
        </w:tblPrEx>
        <w:trPr>
          <w:trHeight w:val="271" w:hRule="atLeast"/>
        </w:trPr>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填报人：</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王晓帆</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联系电话：</w:t>
            </w:r>
          </w:p>
        </w:tc>
        <w:tc>
          <w:tcPr>
            <w:tcW w:w="0" w:type="auto"/>
            <w:tcBorders>
              <w:top w:val="nil"/>
              <w:left w:val="nil"/>
              <w:bottom w:val="nil"/>
              <w:right w:val="nil"/>
            </w:tcBorders>
            <w:shd w:val="clear" w:color="auto" w:fill="auto"/>
            <w:noWrap/>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15716818863</w:t>
            </w:r>
          </w:p>
        </w:tc>
        <w:tc>
          <w:tcPr>
            <w:tcW w:w="0" w:type="auto"/>
            <w:tcBorders>
              <w:top w:val="nil"/>
              <w:left w:val="nil"/>
              <w:bottom w:val="nil"/>
              <w:right w:val="nil"/>
            </w:tcBorders>
            <w:shd w:val="clear" w:color="auto" w:fill="auto"/>
            <w:noWrap/>
            <w:vAlign w:val="center"/>
          </w:tcPr>
          <w:p>
            <w:pPr>
              <w:rPr>
                <w:rFonts w:ascii="宋体" w:hAnsi="宋体" w:eastAsia="宋体"/>
                <w:color w:val="000000"/>
              </w:rPr>
            </w:pPr>
          </w:p>
        </w:tc>
      </w:tr>
    </w:tbl>
    <w:p>
      <w:pPr>
        <w:widowControl/>
        <w:spacing w:line="360" w:lineRule="auto"/>
        <w:jc w:val="left"/>
        <w:rPr>
          <w:rFonts w:ascii="Times New Roman" w:eastAsia="仿宋_GB2312"/>
          <w:b/>
          <w:sz w:val="32"/>
          <w:szCs w:val="32"/>
          <w:highlight w:val="yellow"/>
        </w:rPr>
      </w:pPr>
    </w:p>
    <w:tbl>
      <w:tblPr>
        <w:tblStyle w:val="11"/>
        <w:tblW w:w="9280" w:type="dxa"/>
        <w:tblInd w:w="93" w:type="dxa"/>
        <w:tblLayout w:type="autofit"/>
        <w:tblCellMar>
          <w:top w:w="0" w:type="dxa"/>
          <w:left w:w="108" w:type="dxa"/>
          <w:bottom w:w="0" w:type="dxa"/>
          <w:right w:w="108" w:type="dxa"/>
        </w:tblCellMar>
      </w:tblPr>
      <w:tblGrid>
        <w:gridCol w:w="856"/>
        <w:gridCol w:w="696"/>
        <w:gridCol w:w="1830"/>
        <w:gridCol w:w="1104"/>
        <w:gridCol w:w="540"/>
        <w:gridCol w:w="1104"/>
        <w:gridCol w:w="1024"/>
        <w:gridCol w:w="1104"/>
        <w:gridCol w:w="1024"/>
      </w:tblGrid>
      <w:tr>
        <w:tblPrEx>
          <w:tblCellMar>
            <w:top w:w="0" w:type="dxa"/>
            <w:left w:w="108" w:type="dxa"/>
            <w:bottom w:w="0" w:type="dxa"/>
            <w:right w:w="108" w:type="dxa"/>
          </w:tblCellMar>
        </w:tblPrEx>
        <w:trPr>
          <w:trHeight w:val="671" w:hRule="atLeast"/>
        </w:trPr>
        <w:tc>
          <w:tcPr>
            <w:tcW w:w="9280"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44"/>
                <w:szCs w:val="44"/>
              </w:rPr>
            </w:pPr>
            <w:r>
              <w:rPr>
                <w:rFonts w:hint="eastAsia" w:ascii="宋体" w:hAnsi="宋体" w:eastAsia="宋体"/>
                <w:color w:val="000000"/>
                <w:sz w:val="44"/>
                <w:szCs w:val="44"/>
              </w:rPr>
              <w:t>县级部门预算项目绩效自评表</w:t>
            </w:r>
          </w:p>
        </w:tc>
      </w:tr>
      <w:tr>
        <w:tblPrEx>
          <w:tblCellMar>
            <w:top w:w="0" w:type="dxa"/>
            <w:left w:w="108" w:type="dxa"/>
            <w:bottom w:w="0" w:type="dxa"/>
            <w:right w:w="108" w:type="dxa"/>
          </w:tblCellMar>
        </w:tblPrEx>
        <w:trPr>
          <w:trHeight w:val="335" w:hRule="atLeast"/>
        </w:trPr>
        <w:tc>
          <w:tcPr>
            <w:tcW w:w="0" w:type="auto"/>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2025 年度）</w:t>
            </w:r>
          </w:p>
        </w:tc>
      </w:tr>
      <w:tr>
        <w:tblPrEx>
          <w:tblCellMar>
            <w:top w:w="0" w:type="dxa"/>
            <w:left w:w="108" w:type="dxa"/>
            <w:bottom w:w="0" w:type="dxa"/>
            <w:right w:w="108" w:type="dxa"/>
          </w:tblCellMar>
        </w:tblPrEx>
        <w:trPr>
          <w:trHeight w:val="671" w:hRule="atLeast"/>
        </w:trPr>
        <w:tc>
          <w:tcPr>
            <w:tcW w:w="0" w:type="auto"/>
            <w:gridSpan w:val="2"/>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填报单位：</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单位：万元</w:t>
            </w:r>
          </w:p>
        </w:tc>
      </w:tr>
      <w:tr>
        <w:tblPrEx>
          <w:tblCellMar>
            <w:top w:w="0" w:type="dxa"/>
            <w:left w:w="108" w:type="dxa"/>
            <w:bottom w:w="0" w:type="dxa"/>
            <w:right w:w="108" w:type="dxa"/>
          </w:tblCellMar>
        </w:tblPrEx>
        <w:trPr>
          <w:trHeight w:val="690" w:hRule="atLeast"/>
        </w:trPr>
        <w:tc>
          <w:tcPr>
            <w:tcW w:w="1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一、基本情况</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占地补偿（县本级项目）</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1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r>
      <w:tr>
        <w:tblPrEx>
          <w:tblCellMar>
            <w:top w:w="0" w:type="dxa"/>
            <w:left w:w="108" w:type="dxa"/>
            <w:bottom w:w="0" w:type="dxa"/>
            <w:right w:w="108" w:type="dxa"/>
          </w:tblCellMar>
        </w:tblPrEx>
        <w:trPr>
          <w:trHeight w:val="690" w:hRule="atLeast"/>
        </w:trPr>
        <w:tc>
          <w:tcPr>
            <w:tcW w:w="15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2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1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tblPrEx>
          <w:tblCellMar>
            <w:top w:w="0" w:type="dxa"/>
            <w:left w:w="108" w:type="dxa"/>
            <w:bottom w:w="0" w:type="dxa"/>
            <w:right w:w="108" w:type="dxa"/>
          </w:tblCellMar>
        </w:tblPrEx>
        <w:trPr>
          <w:trHeight w:val="625"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5497.269702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5497.269702</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5497.269702</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100.00%</w:t>
            </w:r>
          </w:p>
        </w:tc>
      </w:tr>
      <w:tr>
        <w:tblPrEx>
          <w:tblCellMar>
            <w:top w:w="0" w:type="dxa"/>
            <w:left w:w="108" w:type="dxa"/>
            <w:bottom w:w="0" w:type="dxa"/>
            <w:right w:w="108" w:type="dxa"/>
          </w:tblCellMar>
        </w:tblPrEx>
        <w:trPr>
          <w:trHeight w:val="2030"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5497.269702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5497.269702</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5497.269702</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690"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21"/>
                <w:szCs w:val="21"/>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690" w:hRule="atLeast"/>
        </w:trPr>
        <w:tc>
          <w:tcPr>
            <w:tcW w:w="15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4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2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tblPrEx>
          <w:tblCellMar>
            <w:top w:w="0" w:type="dxa"/>
            <w:left w:w="108" w:type="dxa"/>
            <w:bottom w:w="0" w:type="dxa"/>
            <w:right w:w="108" w:type="dxa"/>
          </w:tblCellMar>
        </w:tblPrEx>
        <w:trPr>
          <w:trHeight w:val="337"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资金发放到位，使农户得到应有的补偿款，促进我镇经济的发展。</w:t>
            </w:r>
          </w:p>
        </w:tc>
        <w:tc>
          <w:tcPr>
            <w:tcW w:w="323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完成</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100.00%</w:t>
            </w:r>
          </w:p>
        </w:tc>
      </w:tr>
      <w:tr>
        <w:tblPrEx>
          <w:tblCellMar>
            <w:top w:w="0" w:type="dxa"/>
            <w:left w:w="108" w:type="dxa"/>
            <w:bottom w:w="0" w:type="dxa"/>
            <w:right w:w="108" w:type="dxa"/>
          </w:tblCellMar>
        </w:tblPrEx>
        <w:trPr>
          <w:trHeight w:val="337"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23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7"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23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690" w:hRule="atLeast"/>
        </w:trPr>
        <w:tc>
          <w:tcPr>
            <w:tcW w:w="15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四、年度绩效指标完成情况</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tblPrEx>
          <w:tblCellMar>
            <w:top w:w="0" w:type="dxa"/>
            <w:left w:w="108" w:type="dxa"/>
            <w:bottom w:w="0" w:type="dxa"/>
            <w:right w:w="108" w:type="dxa"/>
          </w:tblCellMar>
        </w:tblPrEx>
        <w:trPr>
          <w:trHeight w:val="690"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产出指标（40）</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占地亩数</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16905.23亩</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16905.23亩</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55"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补偿款发放率</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≥90%</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90%</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690"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补偿款发放时间</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年底发放完成</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年底未发放完</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55"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补偿金额</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1920元/亩</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1920元/亩</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55"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预算执行率指标</w:t>
            </w:r>
          </w:p>
        </w:tc>
        <w:tc>
          <w:tcPr>
            <w:tcW w:w="11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64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0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11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55"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（10分）</w:t>
            </w: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4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690"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社会效益指标</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补助人群生活改善情况</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有所改善</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有所改善</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w:t>
            </w:r>
          </w:p>
        </w:tc>
      </w:tr>
      <w:tr>
        <w:tblPrEx>
          <w:tblCellMar>
            <w:top w:w="0" w:type="dxa"/>
            <w:left w:w="108" w:type="dxa"/>
            <w:bottom w:w="0" w:type="dxa"/>
            <w:right w:w="108" w:type="dxa"/>
          </w:tblCellMar>
        </w:tblPrEx>
        <w:trPr>
          <w:trHeight w:val="690"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生态效益指标</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提升我镇绿化水平</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有所提升</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有所提升</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w:t>
            </w:r>
          </w:p>
        </w:tc>
      </w:tr>
      <w:tr>
        <w:tblPrEx>
          <w:tblCellMar>
            <w:top w:w="0" w:type="dxa"/>
            <w:left w:w="108" w:type="dxa"/>
            <w:bottom w:w="0" w:type="dxa"/>
            <w:right w:w="108" w:type="dxa"/>
          </w:tblCellMar>
        </w:tblPrEx>
        <w:trPr>
          <w:trHeight w:val="690"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可持续影响指标</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生活质量提高水平</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有所提高</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有所提高</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19</w:t>
            </w:r>
          </w:p>
        </w:tc>
      </w:tr>
      <w:tr>
        <w:tblPrEx>
          <w:tblCellMar>
            <w:top w:w="0" w:type="dxa"/>
            <w:left w:w="108" w:type="dxa"/>
            <w:bottom w:w="0" w:type="dxa"/>
            <w:right w:w="108" w:type="dxa"/>
          </w:tblCellMar>
        </w:tblPrEx>
        <w:trPr>
          <w:trHeight w:val="1025"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满意度大于等于95%，得满分；每下降1%，扣1分。</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92%</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7</w:t>
            </w:r>
          </w:p>
        </w:tc>
      </w:tr>
      <w:tr>
        <w:tblPrEx>
          <w:tblCellMar>
            <w:top w:w="0" w:type="dxa"/>
            <w:left w:w="108" w:type="dxa"/>
            <w:bottom w:w="0" w:type="dxa"/>
            <w:right w:w="108" w:type="dxa"/>
          </w:tblCellMar>
        </w:tblPrEx>
        <w:trPr>
          <w:trHeight w:val="355" w:hRule="atLeast"/>
        </w:trPr>
        <w:tc>
          <w:tcPr>
            <w:tcW w:w="1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67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94</w:t>
            </w:r>
          </w:p>
        </w:tc>
      </w:tr>
      <w:tr>
        <w:tblPrEx>
          <w:tblCellMar>
            <w:top w:w="0" w:type="dxa"/>
            <w:left w:w="108" w:type="dxa"/>
            <w:bottom w:w="0" w:type="dxa"/>
            <w:right w:w="108" w:type="dxa"/>
          </w:tblCellMar>
        </w:tblPrEx>
        <w:trPr>
          <w:trHeight w:val="1025" w:hRule="atLeast"/>
        </w:trPr>
        <w:tc>
          <w:tcPr>
            <w:tcW w:w="1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五、存在问题、原因及下一步整改措施</w:t>
            </w:r>
          </w:p>
        </w:tc>
        <w:tc>
          <w:tcPr>
            <w:tcW w:w="773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发放占地补偿款不及时，建议及时发放到位。</w:t>
            </w:r>
          </w:p>
        </w:tc>
      </w:tr>
      <w:tr>
        <w:tblPrEx>
          <w:tblCellMar>
            <w:top w:w="0" w:type="dxa"/>
            <w:left w:w="108" w:type="dxa"/>
            <w:bottom w:w="0" w:type="dxa"/>
            <w:right w:w="108" w:type="dxa"/>
          </w:tblCellMar>
        </w:tblPrEx>
        <w:trPr>
          <w:trHeight w:val="690" w:hRule="atLeast"/>
        </w:trPr>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填报人：</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王晓帆</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联系电话：</w:t>
            </w:r>
          </w:p>
        </w:tc>
        <w:tc>
          <w:tcPr>
            <w:tcW w:w="0" w:type="auto"/>
            <w:tcBorders>
              <w:top w:val="nil"/>
              <w:left w:val="nil"/>
              <w:bottom w:val="nil"/>
              <w:right w:val="nil"/>
            </w:tcBorders>
            <w:shd w:val="clear" w:color="auto" w:fill="auto"/>
            <w:noWrap/>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15716818863</w:t>
            </w:r>
          </w:p>
        </w:tc>
        <w:tc>
          <w:tcPr>
            <w:tcW w:w="0" w:type="auto"/>
            <w:tcBorders>
              <w:top w:val="nil"/>
              <w:left w:val="nil"/>
              <w:bottom w:val="nil"/>
              <w:right w:val="nil"/>
            </w:tcBorders>
            <w:shd w:val="clear" w:color="auto" w:fill="auto"/>
            <w:noWrap/>
            <w:vAlign w:val="center"/>
          </w:tcPr>
          <w:p>
            <w:pPr>
              <w:rPr>
                <w:rFonts w:ascii="宋体" w:hAnsi="宋体" w:eastAsia="宋体"/>
                <w:color w:val="000000"/>
              </w:rPr>
            </w:pPr>
          </w:p>
        </w:tc>
      </w:tr>
    </w:tbl>
    <w:p>
      <w:pPr>
        <w:widowControl/>
        <w:spacing w:line="360" w:lineRule="auto"/>
        <w:jc w:val="left"/>
        <w:rPr>
          <w:rFonts w:ascii="Times New Roman" w:eastAsia="仿宋_GB2312"/>
          <w:b/>
          <w:sz w:val="32"/>
          <w:szCs w:val="32"/>
          <w:highlight w:val="yellow"/>
        </w:rPr>
      </w:pPr>
    </w:p>
    <w:tbl>
      <w:tblPr>
        <w:tblStyle w:val="11"/>
        <w:tblW w:w="9160" w:type="dxa"/>
        <w:tblInd w:w="93" w:type="dxa"/>
        <w:tblLayout w:type="autofit"/>
        <w:tblCellMar>
          <w:top w:w="0" w:type="dxa"/>
          <w:left w:w="108" w:type="dxa"/>
          <w:bottom w:w="0" w:type="dxa"/>
          <w:right w:w="108" w:type="dxa"/>
        </w:tblCellMar>
      </w:tblPr>
      <w:tblGrid>
        <w:gridCol w:w="856"/>
        <w:gridCol w:w="696"/>
        <w:gridCol w:w="1816"/>
        <w:gridCol w:w="752"/>
        <w:gridCol w:w="783"/>
        <w:gridCol w:w="936"/>
        <w:gridCol w:w="1167"/>
        <w:gridCol w:w="1138"/>
        <w:gridCol w:w="1016"/>
      </w:tblGrid>
      <w:tr>
        <w:tblPrEx>
          <w:tblCellMar>
            <w:top w:w="0" w:type="dxa"/>
            <w:left w:w="108" w:type="dxa"/>
            <w:bottom w:w="0" w:type="dxa"/>
            <w:right w:w="108" w:type="dxa"/>
          </w:tblCellMar>
        </w:tblPrEx>
        <w:trPr>
          <w:trHeight w:val="656" w:hRule="atLeast"/>
        </w:trPr>
        <w:tc>
          <w:tcPr>
            <w:tcW w:w="9160"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44"/>
                <w:szCs w:val="44"/>
              </w:rPr>
            </w:pPr>
            <w:r>
              <w:rPr>
                <w:rFonts w:hint="eastAsia" w:ascii="宋体" w:hAnsi="宋体" w:eastAsia="宋体"/>
                <w:color w:val="000000"/>
                <w:sz w:val="44"/>
                <w:szCs w:val="44"/>
              </w:rPr>
              <w:t>县级部门预算项目绩效自评表</w:t>
            </w:r>
          </w:p>
        </w:tc>
      </w:tr>
      <w:tr>
        <w:tblPrEx>
          <w:tblCellMar>
            <w:top w:w="0" w:type="dxa"/>
            <w:left w:w="108" w:type="dxa"/>
            <w:bottom w:w="0" w:type="dxa"/>
            <w:right w:w="108" w:type="dxa"/>
          </w:tblCellMar>
        </w:tblPrEx>
        <w:trPr>
          <w:trHeight w:val="328" w:hRule="atLeast"/>
        </w:trPr>
        <w:tc>
          <w:tcPr>
            <w:tcW w:w="0" w:type="auto"/>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2025 年度）</w:t>
            </w:r>
          </w:p>
        </w:tc>
      </w:tr>
      <w:tr>
        <w:tblPrEx>
          <w:tblCellMar>
            <w:top w:w="0" w:type="dxa"/>
            <w:left w:w="108" w:type="dxa"/>
            <w:bottom w:w="0" w:type="dxa"/>
            <w:right w:w="108" w:type="dxa"/>
          </w:tblCellMar>
        </w:tblPrEx>
        <w:trPr>
          <w:trHeight w:val="328" w:hRule="atLeast"/>
        </w:trPr>
        <w:tc>
          <w:tcPr>
            <w:tcW w:w="0" w:type="auto"/>
            <w:gridSpan w:val="2"/>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填报单位：</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单位：万元</w:t>
            </w:r>
          </w:p>
        </w:tc>
      </w:tr>
      <w:tr>
        <w:tblPrEx>
          <w:tblCellMar>
            <w:top w:w="0" w:type="dxa"/>
            <w:left w:w="108" w:type="dxa"/>
            <w:bottom w:w="0" w:type="dxa"/>
            <w:right w:w="108" w:type="dxa"/>
          </w:tblCellMar>
        </w:tblPrEx>
        <w:trPr>
          <w:trHeight w:val="665" w:hRule="atLeast"/>
        </w:trPr>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一、基本情况</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15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农村基础设施建设（县本级项目）</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3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r>
      <w:tr>
        <w:tblPrEx>
          <w:tblCellMar>
            <w:top w:w="0" w:type="dxa"/>
            <w:left w:w="108" w:type="dxa"/>
            <w:bottom w:w="0" w:type="dxa"/>
            <w:right w:w="108" w:type="dxa"/>
          </w:tblCellMar>
        </w:tblPrEx>
        <w:trPr>
          <w:trHeight w:val="665" w:hRule="atLeast"/>
        </w:trPr>
        <w:tc>
          <w:tcPr>
            <w:tcW w:w="15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25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3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tblPrEx>
          <w:tblCellMar>
            <w:top w:w="0" w:type="dxa"/>
            <w:left w:w="108" w:type="dxa"/>
            <w:bottom w:w="0" w:type="dxa"/>
            <w:right w:w="108" w:type="dxa"/>
          </w:tblCellMar>
        </w:tblPrEx>
        <w:trPr>
          <w:trHeight w:val="338"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99.958888</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99.958888</w:t>
            </w: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665"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99.958888</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99.958888</w:t>
            </w: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8"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21"/>
                <w:szCs w:val="21"/>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8" w:hRule="atLeast"/>
        </w:trPr>
        <w:tc>
          <w:tcPr>
            <w:tcW w:w="15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3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2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tblPrEx>
          <w:tblCellMar>
            <w:top w:w="0" w:type="dxa"/>
            <w:left w:w="108" w:type="dxa"/>
            <w:bottom w:w="0" w:type="dxa"/>
            <w:right w:w="108" w:type="dxa"/>
          </w:tblCellMar>
        </w:tblPrEx>
        <w:trPr>
          <w:trHeight w:val="329"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3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提升周边绿化环境，改善周边交通状况，增加种植面积，方便村民出行。</w:t>
            </w:r>
          </w:p>
        </w:tc>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完成</w:t>
            </w: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329"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3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29"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3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665" w:hRule="atLeast"/>
        </w:trPr>
        <w:tc>
          <w:tcPr>
            <w:tcW w:w="15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四、年度绩效指标完成情况</w:t>
            </w: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tblPrEx>
          <w:tblCellMar>
            <w:top w:w="0" w:type="dxa"/>
            <w:left w:w="108" w:type="dxa"/>
            <w:bottom w:w="0" w:type="dxa"/>
            <w:right w:w="108" w:type="dxa"/>
          </w:tblCellMar>
        </w:tblPrEx>
        <w:trPr>
          <w:trHeight w:val="665"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产出指标（40）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建设项目</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2个</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2个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665"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支付工作完成率</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665"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项目完工时间</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年底完成</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2025年12月31日</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665"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资金成本</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99.958888</w:t>
            </w:r>
            <w:r>
              <w:rPr>
                <w:rFonts w:hint="eastAsia" w:ascii="宋体" w:hAnsi="宋体" w:eastAsia="宋体"/>
                <w:color w:val="000000"/>
                <w:sz w:val="16"/>
                <w:szCs w:val="16"/>
              </w:rPr>
              <w:t>万元</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99.958888</w:t>
            </w:r>
            <w:r>
              <w:rPr>
                <w:rFonts w:hint="eastAsia" w:ascii="宋体" w:hAnsi="宋体" w:eastAsia="宋体"/>
                <w:color w:val="000000"/>
                <w:sz w:val="16"/>
                <w:szCs w:val="16"/>
              </w:rPr>
              <w:t>万元</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38"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预算执行率指标</w:t>
            </w:r>
          </w:p>
        </w:tc>
        <w:tc>
          <w:tcPr>
            <w:tcW w:w="7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72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38"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（10分）</w:t>
            </w:r>
          </w:p>
        </w:tc>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2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665"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效益指标（40）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经济效益指标</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为增加集体收入发展规模化种植</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有所增收</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有所增收</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19</w:t>
            </w:r>
          </w:p>
        </w:tc>
      </w:tr>
      <w:tr>
        <w:tblPrEx>
          <w:tblCellMar>
            <w:top w:w="0" w:type="dxa"/>
            <w:left w:w="108" w:type="dxa"/>
            <w:bottom w:w="0" w:type="dxa"/>
            <w:right w:w="108" w:type="dxa"/>
          </w:tblCellMar>
        </w:tblPrEx>
        <w:trPr>
          <w:trHeight w:val="665"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生态效益指标</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提升我镇周边绿化水平</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有所提升</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有所提升</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19</w:t>
            </w:r>
          </w:p>
        </w:tc>
      </w:tr>
      <w:tr>
        <w:tblPrEx>
          <w:tblCellMar>
            <w:top w:w="0" w:type="dxa"/>
            <w:left w:w="108" w:type="dxa"/>
            <w:bottom w:w="0" w:type="dxa"/>
            <w:right w:w="108" w:type="dxa"/>
          </w:tblCellMar>
        </w:tblPrEx>
        <w:trPr>
          <w:trHeight w:val="993"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7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满意度大于等于95%，得满分；每下降1%，扣1分。</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94%</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w:t>
            </w:r>
          </w:p>
        </w:tc>
      </w:tr>
      <w:tr>
        <w:tblPrEx>
          <w:tblCellMar>
            <w:top w:w="0" w:type="dxa"/>
            <w:left w:w="108" w:type="dxa"/>
            <w:bottom w:w="0" w:type="dxa"/>
            <w:right w:w="108" w:type="dxa"/>
          </w:tblCellMar>
        </w:tblPrEx>
        <w:trPr>
          <w:trHeight w:val="338" w:hRule="atLeast"/>
        </w:trPr>
        <w:tc>
          <w:tcPr>
            <w:tcW w:w="15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66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97</w:t>
            </w:r>
          </w:p>
        </w:tc>
      </w:tr>
      <w:tr>
        <w:tblPrEx>
          <w:tblCellMar>
            <w:top w:w="0" w:type="dxa"/>
            <w:left w:w="108" w:type="dxa"/>
            <w:bottom w:w="0" w:type="dxa"/>
            <w:right w:w="108" w:type="dxa"/>
          </w:tblCellMar>
        </w:tblPrEx>
        <w:trPr>
          <w:trHeight w:val="993" w:hRule="atLeast"/>
        </w:trPr>
        <w:tc>
          <w:tcPr>
            <w:tcW w:w="15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五、存在问题、原因及下一步整改措施</w:t>
            </w:r>
          </w:p>
        </w:tc>
        <w:tc>
          <w:tcPr>
            <w:tcW w:w="762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加强后期项目的维护管理及监督工作。</w:t>
            </w:r>
          </w:p>
        </w:tc>
      </w:tr>
      <w:tr>
        <w:tblPrEx>
          <w:tblCellMar>
            <w:top w:w="0" w:type="dxa"/>
            <w:left w:w="108" w:type="dxa"/>
            <w:bottom w:w="0" w:type="dxa"/>
            <w:right w:w="108" w:type="dxa"/>
          </w:tblCellMar>
        </w:tblPrEx>
        <w:trPr>
          <w:trHeight w:val="338" w:hRule="atLeast"/>
        </w:trPr>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填报人：</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王晓帆</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联系电话：</w:t>
            </w:r>
          </w:p>
        </w:tc>
        <w:tc>
          <w:tcPr>
            <w:tcW w:w="0" w:type="auto"/>
            <w:tcBorders>
              <w:top w:val="nil"/>
              <w:left w:val="nil"/>
              <w:bottom w:val="nil"/>
              <w:right w:val="nil"/>
            </w:tcBorders>
            <w:shd w:val="clear" w:color="auto" w:fill="auto"/>
            <w:noWrap/>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15716818863</w:t>
            </w:r>
          </w:p>
        </w:tc>
        <w:tc>
          <w:tcPr>
            <w:tcW w:w="0" w:type="auto"/>
            <w:tcBorders>
              <w:top w:val="nil"/>
              <w:left w:val="nil"/>
              <w:bottom w:val="nil"/>
              <w:right w:val="nil"/>
            </w:tcBorders>
            <w:shd w:val="clear" w:color="auto" w:fill="auto"/>
            <w:noWrap/>
            <w:vAlign w:val="center"/>
          </w:tcPr>
          <w:p>
            <w:pPr>
              <w:rPr>
                <w:rFonts w:ascii="宋体" w:hAnsi="宋体" w:eastAsia="宋体"/>
                <w:color w:val="000000"/>
              </w:rPr>
            </w:pPr>
          </w:p>
        </w:tc>
      </w:tr>
    </w:tbl>
    <w:p>
      <w:pPr>
        <w:widowControl/>
        <w:spacing w:line="360" w:lineRule="auto"/>
        <w:jc w:val="left"/>
        <w:rPr>
          <w:rFonts w:ascii="Times New Roman" w:eastAsia="仿宋_GB2312"/>
          <w:b/>
          <w:sz w:val="32"/>
          <w:szCs w:val="32"/>
          <w:highlight w:val="yellow"/>
        </w:rPr>
      </w:pPr>
    </w:p>
    <w:tbl>
      <w:tblPr>
        <w:tblStyle w:val="11"/>
        <w:tblW w:w="9100" w:type="dxa"/>
        <w:tblInd w:w="93" w:type="dxa"/>
        <w:tblLayout w:type="autofit"/>
        <w:tblCellMar>
          <w:top w:w="0" w:type="dxa"/>
          <w:left w:w="108" w:type="dxa"/>
          <w:bottom w:w="0" w:type="dxa"/>
          <w:right w:w="108" w:type="dxa"/>
        </w:tblCellMar>
      </w:tblPr>
      <w:tblGrid>
        <w:gridCol w:w="856"/>
        <w:gridCol w:w="696"/>
        <w:gridCol w:w="1816"/>
        <w:gridCol w:w="860"/>
        <w:gridCol w:w="771"/>
        <w:gridCol w:w="814"/>
        <w:gridCol w:w="1175"/>
        <w:gridCol w:w="1096"/>
        <w:gridCol w:w="1016"/>
      </w:tblGrid>
      <w:tr>
        <w:tblPrEx>
          <w:tblCellMar>
            <w:top w:w="0" w:type="dxa"/>
            <w:left w:w="108" w:type="dxa"/>
            <w:bottom w:w="0" w:type="dxa"/>
            <w:right w:w="108" w:type="dxa"/>
          </w:tblCellMar>
        </w:tblPrEx>
        <w:trPr>
          <w:trHeight w:val="406" w:hRule="atLeast"/>
        </w:trPr>
        <w:tc>
          <w:tcPr>
            <w:tcW w:w="9100"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44"/>
                <w:szCs w:val="44"/>
              </w:rPr>
            </w:pPr>
            <w:r>
              <w:rPr>
                <w:rFonts w:hint="eastAsia" w:ascii="宋体" w:hAnsi="宋体" w:eastAsia="宋体"/>
                <w:color w:val="000000"/>
                <w:sz w:val="44"/>
                <w:szCs w:val="44"/>
              </w:rPr>
              <w:t>县级部门预算项目绩效自评表</w:t>
            </w:r>
          </w:p>
        </w:tc>
      </w:tr>
      <w:tr>
        <w:tblPrEx>
          <w:tblCellMar>
            <w:top w:w="0" w:type="dxa"/>
            <w:left w:w="108" w:type="dxa"/>
            <w:bottom w:w="0" w:type="dxa"/>
            <w:right w:w="108" w:type="dxa"/>
          </w:tblCellMar>
        </w:tblPrEx>
        <w:trPr>
          <w:trHeight w:val="203" w:hRule="atLeast"/>
        </w:trPr>
        <w:tc>
          <w:tcPr>
            <w:tcW w:w="0" w:type="auto"/>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2025  年度）</w:t>
            </w:r>
          </w:p>
        </w:tc>
      </w:tr>
      <w:tr>
        <w:tblPrEx>
          <w:tblCellMar>
            <w:top w:w="0" w:type="dxa"/>
            <w:left w:w="108" w:type="dxa"/>
            <w:bottom w:w="0" w:type="dxa"/>
            <w:right w:w="108" w:type="dxa"/>
          </w:tblCellMar>
        </w:tblPrEx>
        <w:trPr>
          <w:trHeight w:val="203" w:hRule="atLeast"/>
        </w:trPr>
        <w:tc>
          <w:tcPr>
            <w:tcW w:w="0" w:type="auto"/>
            <w:gridSpan w:val="2"/>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填报单位：</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单位：万元</w:t>
            </w:r>
          </w:p>
        </w:tc>
      </w:tr>
      <w:tr>
        <w:tblPrEx>
          <w:tblCellMar>
            <w:top w:w="0" w:type="dxa"/>
            <w:left w:w="108" w:type="dxa"/>
            <w:bottom w:w="0" w:type="dxa"/>
            <w:right w:w="108" w:type="dxa"/>
          </w:tblCellMar>
        </w:tblPrEx>
        <w:trPr>
          <w:trHeight w:val="412" w:hRule="atLeast"/>
        </w:trPr>
        <w:tc>
          <w:tcPr>
            <w:tcW w:w="1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一、基本情况</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24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革命老区省级专项资金</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r>
      <w:tr>
        <w:tblPrEx>
          <w:tblCellMar>
            <w:top w:w="0" w:type="dxa"/>
            <w:left w:w="108" w:type="dxa"/>
            <w:bottom w:w="0" w:type="dxa"/>
            <w:right w:w="108" w:type="dxa"/>
          </w:tblCellMar>
        </w:tblPrEx>
        <w:trPr>
          <w:trHeight w:val="412" w:hRule="atLeast"/>
        </w:trPr>
        <w:tc>
          <w:tcPr>
            <w:tcW w:w="12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37.65</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37.65</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37.65</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37.65</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37.65</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37.65</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21"/>
                <w:szCs w:val="21"/>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09" w:hRule="atLeast"/>
        </w:trPr>
        <w:tc>
          <w:tcPr>
            <w:tcW w:w="12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0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tblPrEx>
          <w:tblCellMar>
            <w:top w:w="0" w:type="dxa"/>
            <w:left w:w="108" w:type="dxa"/>
            <w:bottom w:w="0" w:type="dxa"/>
            <w:right w:w="108" w:type="dxa"/>
          </w:tblCellMar>
        </w:tblPrEx>
        <w:trPr>
          <w:trHeight w:val="32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优化环境,解决村庄街道脏乱差的问题,有利于交通条件的改善.方便村民出行.</w:t>
            </w:r>
          </w:p>
        </w:tc>
        <w:tc>
          <w:tcPr>
            <w:tcW w:w="30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完成</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32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0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2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0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09" w:hRule="atLeast"/>
        </w:trPr>
        <w:tc>
          <w:tcPr>
            <w:tcW w:w="12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四、年度绩效指标完成情况</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产出指标（40）</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修建道路的村数</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1个</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1个</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工程合格率</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全部通过验收</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全部通过验收</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412"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工程竣工及时率</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按合同要求如期完成</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按合同要求如期完成</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资金成本</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37.65</w:t>
            </w:r>
            <w:r>
              <w:rPr>
                <w:rFonts w:hint="eastAsia" w:ascii="宋体" w:hAnsi="宋体" w:eastAsia="宋体"/>
                <w:color w:val="000000"/>
                <w:sz w:val="16"/>
                <w:szCs w:val="16"/>
              </w:rPr>
              <w:t>万元</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37.65</w:t>
            </w:r>
            <w:r>
              <w:rPr>
                <w:rFonts w:hint="eastAsia" w:ascii="宋体" w:hAnsi="宋体" w:eastAsia="宋体"/>
                <w:color w:val="000000"/>
                <w:sz w:val="16"/>
                <w:szCs w:val="16"/>
              </w:rPr>
              <w:t>万元</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预算执行率指标</w:t>
            </w:r>
          </w:p>
        </w:tc>
        <w:tc>
          <w:tcPr>
            <w:tcW w:w="12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20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9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（10分）</w:t>
            </w:r>
          </w:p>
        </w:tc>
        <w:tc>
          <w:tcPr>
            <w:tcW w:w="12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20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9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效益指标（40）</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经济效益指标</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有效促进农村经济的发展</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有所促进</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有所促进</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社会效益指标</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改善农村面貌</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可持续影响指标</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村民出行情况</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20</w:t>
            </w:r>
          </w:p>
        </w:tc>
      </w:tr>
      <w:tr>
        <w:tblPrEx>
          <w:tblCellMar>
            <w:top w:w="0" w:type="dxa"/>
            <w:left w:w="108" w:type="dxa"/>
            <w:bottom w:w="0" w:type="dxa"/>
            <w:right w:w="108" w:type="dxa"/>
          </w:tblCellMar>
        </w:tblPrEx>
        <w:trPr>
          <w:trHeight w:val="412"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2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满意度大于等于95%，得满分；每下降1%，扣1分。</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94%</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209" w:hRule="atLeast"/>
        </w:trPr>
        <w:tc>
          <w:tcPr>
            <w:tcW w:w="12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69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97</w:t>
            </w:r>
          </w:p>
        </w:tc>
      </w:tr>
      <w:tr>
        <w:tblPrEx>
          <w:tblCellMar>
            <w:top w:w="0" w:type="dxa"/>
            <w:left w:w="108" w:type="dxa"/>
            <w:bottom w:w="0" w:type="dxa"/>
            <w:right w:w="108" w:type="dxa"/>
          </w:tblCellMar>
        </w:tblPrEx>
        <w:trPr>
          <w:trHeight w:val="615" w:hRule="atLeast"/>
        </w:trPr>
        <w:tc>
          <w:tcPr>
            <w:tcW w:w="1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五、存在问题、原因及下一步整改措施</w:t>
            </w:r>
          </w:p>
        </w:tc>
        <w:tc>
          <w:tcPr>
            <w:tcW w:w="78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加强后期项目的维护管理及监督工作。</w:t>
            </w:r>
          </w:p>
        </w:tc>
      </w:tr>
      <w:tr>
        <w:tblPrEx>
          <w:tblCellMar>
            <w:top w:w="0" w:type="dxa"/>
            <w:left w:w="108" w:type="dxa"/>
            <w:bottom w:w="0" w:type="dxa"/>
            <w:right w:w="108" w:type="dxa"/>
          </w:tblCellMar>
        </w:tblPrEx>
        <w:trPr>
          <w:trHeight w:val="209" w:hRule="atLeast"/>
        </w:trPr>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填报人：</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王晓帆</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联系电话：</w:t>
            </w:r>
          </w:p>
        </w:tc>
        <w:tc>
          <w:tcPr>
            <w:tcW w:w="0" w:type="auto"/>
            <w:tcBorders>
              <w:top w:val="nil"/>
              <w:left w:val="nil"/>
              <w:bottom w:val="nil"/>
              <w:right w:val="nil"/>
            </w:tcBorders>
            <w:shd w:val="clear" w:color="auto" w:fill="auto"/>
            <w:noWrap/>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15716818863</w:t>
            </w:r>
          </w:p>
        </w:tc>
        <w:tc>
          <w:tcPr>
            <w:tcW w:w="0" w:type="auto"/>
            <w:tcBorders>
              <w:top w:val="nil"/>
              <w:left w:val="nil"/>
              <w:bottom w:val="nil"/>
              <w:right w:val="nil"/>
            </w:tcBorders>
            <w:shd w:val="clear" w:color="auto" w:fill="auto"/>
            <w:noWrap/>
            <w:vAlign w:val="center"/>
          </w:tcPr>
          <w:p>
            <w:pPr>
              <w:rPr>
                <w:rFonts w:ascii="宋体" w:hAnsi="宋体" w:eastAsia="宋体"/>
                <w:color w:val="000000"/>
              </w:rPr>
            </w:pPr>
          </w:p>
        </w:tc>
      </w:tr>
    </w:tbl>
    <w:p>
      <w:pPr>
        <w:widowControl/>
        <w:spacing w:line="360" w:lineRule="auto"/>
        <w:jc w:val="left"/>
        <w:rPr>
          <w:rFonts w:ascii="Times New Roman" w:eastAsia="仿宋_GB2312"/>
          <w:b/>
          <w:sz w:val="32"/>
          <w:szCs w:val="32"/>
          <w:highlight w:val="yellow"/>
        </w:rPr>
      </w:pPr>
    </w:p>
    <w:tbl>
      <w:tblPr>
        <w:tblStyle w:val="11"/>
        <w:tblW w:w="9100" w:type="dxa"/>
        <w:tblInd w:w="93" w:type="dxa"/>
        <w:tblLayout w:type="autofit"/>
        <w:tblCellMar>
          <w:top w:w="0" w:type="dxa"/>
          <w:left w:w="108" w:type="dxa"/>
          <w:bottom w:w="0" w:type="dxa"/>
          <w:right w:w="108" w:type="dxa"/>
        </w:tblCellMar>
      </w:tblPr>
      <w:tblGrid>
        <w:gridCol w:w="856"/>
        <w:gridCol w:w="696"/>
        <w:gridCol w:w="1816"/>
        <w:gridCol w:w="640"/>
        <w:gridCol w:w="738"/>
        <w:gridCol w:w="1016"/>
        <w:gridCol w:w="1184"/>
        <w:gridCol w:w="1117"/>
        <w:gridCol w:w="1037"/>
      </w:tblGrid>
      <w:tr>
        <w:tblPrEx>
          <w:tblCellMar>
            <w:top w:w="0" w:type="dxa"/>
            <w:left w:w="108" w:type="dxa"/>
            <w:bottom w:w="0" w:type="dxa"/>
            <w:right w:w="108" w:type="dxa"/>
          </w:tblCellMar>
        </w:tblPrEx>
        <w:trPr>
          <w:trHeight w:val="421" w:hRule="atLeast"/>
        </w:trPr>
        <w:tc>
          <w:tcPr>
            <w:tcW w:w="9100"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44"/>
                <w:szCs w:val="44"/>
              </w:rPr>
            </w:pPr>
            <w:r>
              <w:rPr>
                <w:rFonts w:hint="eastAsia" w:ascii="宋体" w:hAnsi="宋体" w:eastAsia="宋体"/>
                <w:color w:val="000000"/>
                <w:sz w:val="44"/>
                <w:szCs w:val="44"/>
              </w:rPr>
              <w:t>县级部门预算项目绩效自评表</w:t>
            </w:r>
          </w:p>
        </w:tc>
      </w:tr>
      <w:tr>
        <w:tblPrEx>
          <w:tblCellMar>
            <w:top w:w="0" w:type="dxa"/>
            <w:left w:w="108" w:type="dxa"/>
            <w:bottom w:w="0" w:type="dxa"/>
            <w:right w:w="108" w:type="dxa"/>
          </w:tblCellMar>
        </w:tblPrEx>
        <w:trPr>
          <w:trHeight w:val="211" w:hRule="atLeast"/>
        </w:trPr>
        <w:tc>
          <w:tcPr>
            <w:tcW w:w="0" w:type="auto"/>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2025  年度）</w:t>
            </w:r>
          </w:p>
        </w:tc>
      </w:tr>
      <w:tr>
        <w:tblPrEx>
          <w:tblCellMar>
            <w:top w:w="0" w:type="dxa"/>
            <w:left w:w="108" w:type="dxa"/>
            <w:bottom w:w="0" w:type="dxa"/>
            <w:right w:w="108" w:type="dxa"/>
          </w:tblCellMar>
        </w:tblPrEx>
        <w:trPr>
          <w:trHeight w:val="211" w:hRule="atLeast"/>
        </w:trPr>
        <w:tc>
          <w:tcPr>
            <w:tcW w:w="0" w:type="auto"/>
            <w:gridSpan w:val="2"/>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填报单位：</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单位：万元</w:t>
            </w:r>
          </w:p>
        </w:tc>
      </w:tr>
      <w:tr>
        <w:tblPrEx>
          <w:tblCellMar>
            <w:top w:w="0" w:type="dxa"/>
            <w:left w:w="108" w:type="dxa"/>
            <w:bottom w:w="0" w:type="dxa"/>
            <w:right w:w="108" w:type="dxa"/>
          </w:tblCellMar>
        </w:tblPrEx>
        <w:trPr>
          <w:trHeight w:val="427" w:hRule="atLeast"/>
        </w:trPr>
        <w:tc>
          <w:tcPr>
            <w:tcW w:w="13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一、基本情况</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18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以工代赈项目</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3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r>
      <w:tr>
        <w:tblPrEx>
          <w:tblCellMar>
            <w:top w:w="0" w:type="dxa"/>
            <w:left w:w="108" w:type="dxa"/>
            <w:bottom w:w="0" w:type="dxa"/>
            <w:right w:w="108" w:type="dxa"/>
          </w:tblCellMar>
        </w:tblPrEx>
        <w:trPr>
          <w:trHeight w:val="217" w:hRule="atLeast"/>
        </w:trPr>
        <w:tc>
          <w:tcPr>
            <w:tcW w:w="13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24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1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3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tblPrEx>
          <w:tblCellMar>
            <w:top w:w="0" w:type="dxa"/>
            <w:left w:w="108" w:type="dxa"/>
            <w:bottom w:w="0" w:type="dxa"/>
            <w:right w:w="108" w:type="dxa"/>
          </w:tblCellMar>
        </w:tblPrEx>
        <w:trPr>
          <w:trHeight w:val="21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294</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285.143337</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285.143337</w:t>
            </w:r>
          </w:p>
        </w:tc>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21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294</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285.143337</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285.143337</w:t>
            </w: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1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21"/>
                <w:szCs w:val="21"/>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17" w:hRule="atLeast"/>
        </w:trPr>
        <w:tc>
          <w:tcPr>
            <w:tcW w:w="13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tblPrEx>
          <w:tblCellMar>
            <w:top w:w="0" w:type="dxa"/>
            <w:left w:w="108" w:type="dxa"/>
            <w:bottom w:w="0" w:type="dxa"/>
            <w:right w:w="108" w:type="dxa"/>
          </w:tblCellMar>
        </w:tblPrEx>
        <w:trPr>
          <w:trHeight w:val="329"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6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优化环境,解决村庄街道脏乱差的问题,有利于交通条件的改善.方便村民出行.</w:t>
            </w:r>
          </w:p>
        </w:tc>
        <w:tc>
          <w:tcPr>
            <w:tcW w:w="32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完成</w:t>
            </w:r>
          </w:p>
        </w:tc>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329"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6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2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29"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46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2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217" w:hRule="atLeast"/>
        </w:trPr>
        <w:tc>
          <w:tcPr>
            <w:tcW w:w="13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四、年度绩效指标完成情况</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1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tblPrEx>
          <w:tblCellMar>
            <w:top w:w="0" w:type="dxa"/>
            <w:left w:w="108" w:type="dxa"/>
            <w:bottom w:w="0" w:type="dxa"/>
            <w:right w:w="108" w:type="dxa"/>
          </w:tblCellMar>
        </w:tblPrEx>
        <w:trPr>
          <w:trHeight w:val="21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产出指标（40）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1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修建道路的村数</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1个</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1个</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21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1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工程合格率</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全部通过验收</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全部通过验收</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42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1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工程竣工及时率</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按合同要求如期完成</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按合同要求如期完成</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1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1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资金成本</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285.143337</w:t>
            </w:r>
            <w:r>
              <w:rPr>
                <w:rFonts w:hint="eastAsia" w:ascii="宋体" w:hAnsi="宋体" w:eastAsia="宋体"/>
                <w:color w:val="000000"/>
                <w:sz w:val="16"/>
                <w:szCs w:val="16"/>
              </w:rPr>
              <w:t>万元</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285.143337</w:t>
            </w:r>
            <w:r>
              <w:rPr>
                <w:rFonts w:hint="eastAsia" w:ascii="宋体" w:hAnsi="宋体" w:eastAsia="宋体"/>
                <w:color w:val="000000"/>
                <w:sz w:val="16"/>
                <w:szCs w:val="16"/>
              </w:rPr>
              <w:t>万元</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1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预算执行率指标</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95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21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（10分）</w:t>
            </w: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95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r>
      <w:tr>
        <w:tblPrEx>
          <w:tblCellMar>
            <w:top w:w="0" w:type="dxa"/>
            <w:left w:w="108" w:type="dxa"/>
            <w:bottom w:w="0" w:type="dxa"/>
            <w:right w:w="108" w:type="dxa"/>
          </w:tblCellMar>
        </w:tblPrEx>
        <w:trPr>
          <w:trHeight w:val="42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效益指标（40）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经济效益指标</w:t>
            </w:r>
          </w:p>
        </w:tc>
        <w:tc>
          <w:tcPr>
            <w:tcW w:w="1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有效促进农村经济的发展</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有所促进</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有所促进</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42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社会效益指标</w:t>
            </w:r>
          </w:p>
        </w:tc>
        <w:tc>
          <w:tcPr>
            <w:tcW w:w="1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改善农村面貌</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42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可持续影响指标</w:t>
            </w:r>
          </w:p>
        </w:tc>
        <w:tc>
          <w:tcPr>
            <w:tcW w:w="1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村民出行情况</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20</w:t>
            </w:r>
          </w:p>
        </w:tc>
      </w:tr>
      <w:tr>
        <w:tblPrEx>
          <w:tblCellMar>
            <w:top w:w="0" w:type="dxa"/>
            <w:left w:w="108" w:type="dxa"/>
            <w:bottom w:w="0" w:type="dxa"/>
            <w:right w:w="108" w:type="dxa"/>
          </w:tblCellMar>
        </w:tblPrEx>
        <w:trPr>
          <w:trHeight w:val="42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满意度大于等于95%，得满分；每下降1%，扣1分。</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94%</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217" w:hRule="atLeast"/>
        </w:trPr>
        <w:tc>
          <w:tcPr>
            <w:tcW w:w="13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66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97</w:t>
            </w:r>
          </w:p>
        </w:tc>
      </w:tr>
      <w:tr>
        <w:tblPrEx>
          <w:tblCellMar>
            <w:top w:w="0" w:type="dxa"/>
            <w:left w:w="108" w:type="dxa"/>
            <w:bottom w:w="0" w:type="dxa"/>
            <w:right w:w="108" w:type="dxa"/>
          </w:tblCellMar>
        </w:tblPrEx>
        <w:trPr>
          <w:trHeight w:val="427" w:hRule="atLeast"/>
        </w:trPr>
        <w:tc>
          <w:tcPr>
            <w:tcW w:w="13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五、存在问题、原因及下一步整改措施</w:t>
            </w:r>
          </w:p>
        </w:tc>
        <w:tc>
          <w:tcPr>
            <w:tcW w:w="77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加强后期项目的维护管理及监督工作。</w:t>
            </w:r>
          </w:p>
        </w:tc>
      </w:tr>
      <w:tr>
        <w:tblPrEx>
          <w:tblCellMar>
            <w:top w:w="0" w:type="dxa"/>
            <w:left w:w="108" w:type="dxa"/>
            <w:bottom w:w="0" w:type="dxa"/>
            <w:right w:w="108" w:type="dxa"/>
          </w:tblCellMar>
        </w:tblPrEx>
        <w:trPr>
          <w:trHeight w:val="217" w:hRule="atLeast"/>
        </w:trPr>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填报人：</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王晓帆</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联系电话：</w:t>
            </w:r>
          </w:p>
        </w:tc>
        <w:tc>
          <w:tcPr>
            <w:tcW w:w="0" w:type="auto"/>
            <w:tcBorders>
              <w:top w:val="nil"/>
              <w:left w:val="nil"/>
              <w:bottom w:val="nil"/>
              <w:right w:val="nil"/>
            </w:tcBorders>
            <w:shd w:val="clear" w:color="auto" w:fill="auto"/>
            <w:noWrap/>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15716818863</w:t>
            </w:r>
          </w:p>
        </w:tc>
        <w:tc>
          <w:tcPr>
            <w:tcW w:w="0" w:type="auto"/>
            <w:tcBorders>
              <w:top w:val="nil"/>
              <w:left w:val="nil"/>
              <w:bottom w:val="nil"/>
              <w:right w:val="nil"/>
            </w:tcBorders>
            <w:shd w:val="clear" w:color="auto" w:fill="auto"/>
            <w:noWrap/>
            <w:vAlign w:val="center"/>
          </w:tcPr>
          <w:p>
            <w:pPr>
              <w:rPr>
                <w:rFonts w:ascii="宋体" w:hAnsi="宋体" w:eastAsia="宋体"/>
                <w:color w:val="000000"/>
              </w:rPr>
            </w:pPr>
          </w:p>
        </w:tc>
      </w:tr>
    </w:tbl>
    <w:p>
      <w:pPr>
        <w:widowControl/>
        <w:spacing w:line="360" w:lineRule="auto"/>
        <w:jc w:val="left"/>
        <w:rPr>
          <w:rFonts w:ascii="Times New Roman" w:eastAsia="仿宋_GB2312"/>
          <w:b/>
          <w:sz w:val="32"/>
          <w:szCs w:val="32"/>
          <w:highlight w:val="yellow"/>
        </w:rPr>
      </w:pPr>
    </w:p>
    <w:tbl>
      <w:tblPr>
        <w:tblStyle w:val="11"/>
        <w:tblW w:w="8960" w:type="dxa"/>
        <w:tblInd w:w="93" w:type="dxa"/>
        <w:tblLayout w:type="autofit"/>
        <w:tblCellMar>
          <w:top w:w="0" w:type="dxa"/>
          <w:left w:w="108" w:type="dxa"/>
          <w:bottom w:w="0" w:type="dxa"/>
          <w:right w:w="108" w:type="dxa"/>
        </w:tblCellMar>
      </w:tblPr>
      <w:tblGrid>
        <w:gridCol w:w="856"/>
        <w:gridCol w:w="696"/>
        <w:gridCol w:w="1816"/>
        <w:gridCol w:w="787"/>
        <w:gridCol w:w="673"/>
        <w:gridCol w:w="718"/>
        <w:gridCol w:w="1199"/>
        <w:gridCol w:w="1199"/>
        <w:gridCol w:w="1016"/>
      </w:tblGrid>
      <w:tr>
        <w:tblPrEx>
          <w:tblCellMar>
            <w:top w:w="0" w:type="dxa"/>
            <w:left w:w="108" w:type="dxa"/>
            <w:bottom w:w="0" w:type="dxa"/>
            <w:right w:w="108" w:type="dxa"/>
          </w:tblCellMar>
        </w:tblPrEx>
        <w:trPr>
          <w:trHeight w:val="654" w:hRule="atLeast"/>
        </w:trPr>
        <w:tc>
          <w:tcPr>
            <w:tcW w:w="8960" w:type="dxa"/>
            <w:gridSpan w:val="9"/>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44"/>
                <w:szCs w:val="44"/>
              </w:rPr>
            </w:pPr>
            <w:r>
              <w:rPr>
                <w:rFonts w:hint="eastAsia" w:ascii="宋体" w:hAnsi="宋体" w:eastAsia="宋体"/>
                <w:color w:val="000000"/>
                <w:sz w:val="44"/>
                <w:szCs w:val="44"/>
              </w:rPr>
              <w:t>县级部门预算项目绩效自评表</w:t>
            </w:r>
          </w:p>
        </w:tc>
      </w:tr>
      <w:tr>
        <w:tblPrEx>
          <w:tblCellMar>
            <w:top w:w="0" w:type="dxa"/>
            <w:left w:w="108" w:type="dxa"/>
            <w:bottom w:w="0" w:type="dxa"/>
            <w:right w:w="108" w:type="dxa"/>
          </w:tblCellMar>
        </w:tblPrEx>
        <w:trPr>
          <w:trHeight w:val="327" w:hRule="atLeast"/>
        </w:trPr>
        <w:tc>
          <w:tcPr>
            <w:tcW w:w="0" w:type="auto"/>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2025  年度）</w:t>
            </w:r>
          </w:p>
        </w:tc>
      </w:tr>
      <w:tr>
        <w:tblPrEx>
          <w:tblCellMar>
            <w:top w:w="0" w:type="dxa"/>
            <w:left w:w="108" w:type="dxa"/>
            <w:bottom w:w="0" w:type="dxa"/>
            <w:right w:w="108" w:type="dxa"/>
          </w:tblCellMar>
        </w:tblPrEx>
        <w:trPr>
          <w:trHeight w:val="327" w:hRule="atLeast"/>
        </w:trPr>
        <w:tc>
          <w:tcPr>
            <w:tcW w:w="0" w:type="auto"/>
            <w:gridSpan w:val="2"/>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填报单位：</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单位：万元</w:t>
            </w:r>
          </w:p>
        </w:tc>
      </w:tr>
      <w:tr>
        <w:tblPrEx>
          <w:tblCellMar>
            <w:top w:w="0" w:type="dxa"/>
            <w:left w:w="108" w:type="dxa"/>
            <w:bottom w:w="0" w:type="dxa"/>
            <w:right w:w="108" w:type="dxa"/>
          </w:tblCellMar>
        </w:tblPrEx>
        <w:trPr>
          <w:trHeight w:val="991" w:hRule="atLeast"/>
        </w:trPr>
        <w:tc>
          <w:tcPr>
            <w:tcW w:w="1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一、基本情况</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专项债券资金</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高邑县富村镇人民政府</w:t>
            </w:r>
          </w:p>
        </w:tc>
      </w:tr>
      <w:tr>
        <w:tblPrEx>
          <w:tblCellMar>
            <w:top w:w="0" w:type="dxa"/>
            <w:left w:w="108" w:type="dxa"/>
            <w:bottom w:w="0" w:type="dxa"/>
            <w:right w:w="108" w:type="dxa"/>
          </w:tblCellMar>
        </w:tblPrEx>
        <w:trPr>
          <w:trHeight w:val="337" w:hRule="atLeast"/>
        </w:trPr>
        <w:tc>
          <w:tcPr>
            <w:tcW w:w="15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3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tblPrEx>
          <w:tblCellMar>
            <w:top w:w="0" w:type="dxa"/>
            <w:left w:w="108" w:type="dxa"/>
            <w:bottom w:w="0" w:type="dxa"/>
            <w:right w:w="108" w:type="dxa"/>
          </w:tblCellMar>
        </w:tblPrEx>
        <w:trPr>
          <w:trHeight w:val="664"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61.31</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61.31</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61.31</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blPrEx>
          <w:tblCellMar>
            <w:top w:w="0" w:type="dxa"/>
            <w:left w:w="108" w:type="dxa"/>
            <w:bottom w:w="0" w:type="dxa"/>
            <w:right w:w="108" w:type="dxa"/>
          </w:tblCellMar>
        </w:tblPrEx>
        <w:trPr>
          <w:trHeight w:val="991"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61.31</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61.31</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Calibri" w:hAnsi="Calibri" w:eastAsia="宋体" w:cs="Calibri"/>
                <w:color w:val="000000"/>
                <w:sz w:val="16"/>
                <w:szCs w:val="16"/>
              </w:rPr>
            </w:pPr>
            <w:r>
              <w:rPr>
                <w:rFonts w:ascii="Calibri" w:hAnsi="Calibri" w:eastAsia="宋体" w:cs="Calibri"/>
                <w:color w:val="000000"/>
                <w:sz w:val="16"/>
                <w:szCs w:val="16"/>
              </w:rPr>
              <w:t>61.31</w:t>
            </w: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7"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21"/>
                <w:szCs w:val="21"/>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6"/>
                <w:szCs w:val="16"/>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7" w:hRule="atLeast"/>
        </w:trPr>
        <w:tc>
          <w:tcPr>
            <w:tcW w:w="15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3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1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tblPrEx>
          <w:tblCellMar>
            <w:top w:w="0" w:type="dxa"/>
            <w:left w:w="108" w:type="dxa"/>
            <w:bottom w:w="0" w:type="dxa"/>
            <w:right w:w="108" w:type="dxa"/>
          </w:tblCellMar>
        </w:tblPrEx>
        <w:trPr>
          <w:trHeight w:val="329"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34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优化环境,解决村庄街道脏乱差的问题,有利于交通条件的改善.方便村民出行.</w:t>
            </w:r>
          </w:p>
        </w:tc>
        <w:tc>
          <w:tcPr>
            <w:tcW w:w="311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完成</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trPr>
          <w:trHeight w:val="329"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3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1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29"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3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311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r>
      <w:tr>
        <w:tblPrEx>
          <w:tblCellMar>
            <w:top w:w="0" w:type="dxa"/>
            <w:left w:w="108" w:type="dxa"/>
            <w:bottom w:w="0" w:type="dxa"/>
            <w:right w:w="108" w:type="dxa"/>
          </w:tblCellMar>
        </w:tblPrEx>
        <w:trPr>
          <w:trHeight w:val="337" w:hRule="atLeast"/>
        </w:trPr>
        <w:tc>
          <w:tcPr>
            <w:tcW w:w="15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四、年度绩效指标完成情况</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tblPrEx>
          <w:tblCellMar>
            <w:top w:w="0" w:type="dxa"/>
            <w:left w:w="108" w:type="dxa"/>
            <w:bottom w:w="0" w:type="dxa"/>
            <w:right w:w="108" w:type="dxa"/>
          </w:tblCellMar>
        </w:tblPrEx>
        <w:trPr>
          <w:trHeight w:val="337"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产出指标（40）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项目个数</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6个</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6个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tblPrEx>
          <w:tblCellMar>
            <w:top w:w="0" w:type="dxa"/>
            <w:left w:w="108" w:type="dxa"/>
            <w:bottom w:w="0" w:type="dxa"/>
            <w:right w:w="108" w:type="dxa"/>
          </w:tblCellMar>
        </w:tblPrEx>
        <w:trPr>
          <w:trHeight w:val="337"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工程合格率</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全部通过验收</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全部通过验收</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664"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工程竣工及时率</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按合同要求如期完成</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按合同要求如期完成</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337"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资金成本</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61.31</w:t>
            </w:r>
            <w:r>
              <w:rPr>
                <w:rFonts w:hint="eastAsia" w:ascii="宋体" w:hAnsi="宋体" w:eastAsia="宋体"/>
                <w:color w:val="000000"/>
                <w:sz w:val="16"/>
                <w:szCs w:val="16"/>
              </w:rPr>
              <w:t>万元</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61.31</w:t>
            </w:r>
            <w:r>
              <w:rPr>
                <w:rFonts w:hint="eastAsia" w:ascii="宋体" w:hAnsi="宋体" w:eastAsia="宋体"/>
                <w:color w:val="000000"/>
                <w:sz w:val="16"/>
                <w:szCs w:val="16"/>
              </w:rPr>
              <w:t>万元</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337"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预算执行率指标</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4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1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1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100%</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10</w:t>
            </w:r>
          </w:p>
        </w:tc>
      </w:tr>
      <w:tr>
        <w:tblPrEx>
          <w:tblCellMar>
            <w:top w:w="0" w:type="dxa"/>
            <w:left w:w="108" w:type="dxa"/>
            <w:bottom w:w="0" w:type="dxa"/>
            <w:right w:w="108" w:type="dxa"/>
          </w:tblCellMar>
        </w:tblPrEx>
        <w:trPr>
          <w:trHeight w:val="337"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（10分）</w:t>
            </w: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4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1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6"/>
                <w:szCs w:val="16"/>
              </w:rPr>
            </w:pPr>
          </w:p>
        </w:tc>
      </w:tr>
      <w:tr>
        <w:tblPrEx>
          <w:tblCellMar>
            <w:top w:w="0" w:type="dxa"/>
            <w:left w:w="108" w:type="dxa"/>
            <w:bottom w:w="0" w:type="dxa"/>
            <w:right w:w="108" w:type="dxa"/>
          </w:tblCellMar>
        </w:tblPrEx>
        <w:trPr>
          <w:trHeight w:val="664"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效益指标（40）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经济效益指标</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有效促进农村经济的发展</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有所促进</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有所促进</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664"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社会效益指标</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改善农村面貌</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664"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可持续影响指标</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村民出行情况</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优</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20</w:t>
            </w:r>
          </w:p>
        </w:tc>
      </w:tr>
      <w:tr>
        <w:tblPrEx>
          <w:tblCellMar>
            <w:top w:w="0" w:type="dxa"/>
            <w:left w:w="108" w:type="dxa"/>
            <w:bottom w:w="0" w:type="dxa"/>
            <w:right w:w="108" w:type="dxa"/>
          </w:tblCellMar>
        </w:tblPrEx>
        <w:trPr>
          <w:trHeight w:val="991"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1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满意度大于等于95%，得满分；每下降1%，扣1分。</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1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94%</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w:t>
            </w:r>
          </w:p>
        </w:tc>
      </w:tr>
      <w:tr>
        <w:tblPrEx>
          <w:tblCellMar>
            <w:top w:w="0" w:type="dxa"/>
            <w:left w:w="108" w:type="dxa"/>
            <w:bottom w:w="0" w:type="dxa"/>
            <w:right w:w="108" w:type="dxa"/>
          </w:tblCellMar>
        </w:tblPrEx>
        <w:trPr>
          <w:trHeight w:val="337" w:hRule="atLeast"/>
        </w:trPr>
        <w:tc>
          <w:tcPr>
            <w:tcW w:w="15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6"/>
                <w:szCs w:val="16"/>
              </w:rPr>
            </w:pPr>
          </w:p>
        </w:tc>
        <w:tc>
          <w:tcPr>
            <w:tcW w:w="64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6"/>
                <w:szCs w:val="16"/>
              </w:rPr>
            </w:pPr>
            <w:r>
              <w:rPr>
                <w:rFonts w:ascii="Calibri" w:hAnsi="Calibri" w:eastAsia="宋体" w:cs="Calibri"/>
                <w:color w:val="000000"/>
                <w:sz w:val="16"/>
                <w:szCs w:val="16"/>
              </w:rPr>
              <w:t>97</w:t>
            </w:r>
          </w:p>
        </w:tc>
      </w:tr>
      <w:tr>
        <w:tblPrEx>
          <w:tblCellMar>
            <w:top w:w="0" w:type="dxa"/>
            <w:left w:w="108" w:type="dxa"/>
            <w:bottom w:w="0" w:type="dxa"/>
            <w:right w:w="108" w:type="dxa"/>
          </w:tblCellMar>
        </w:tblPrEx>
        <w:trPr>
          <w:trHeight w:val="991" w:hRule="atLeast"/>
        </w:trPr>
        <w:tc>
          <w:tcPr>
            <w:tcW w:w="15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五、存在问题、原因及下一步整改措施</w:t>
            </w:r>
          </w:p>
        </w:tc>
        <w:tc>
          <w:tcPr>
            <w:tcW w:w="745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加强后期项目的维护管理及监督工作。</w:t>
            </w:r>
          </w:p>
        </w:tc>
      </w:tr>
      <w:tr>
        <w:tblPrEx>
          <w:tblCellMar>
            <w:top w:w="0" w:type="dxa"/>
            <w:left w:w="108" w:type="dxa"/>
            <w:bottom w:w="0" w:type="dxa"/>
            <w:right w:w="108" w:type="dxa"/>
          </w:tblCellMar>
        </w:tblPrEx>
        <w:trPr>
          <w:trHeight w:val="337" w:hRule="atLeast"/>
        </w:trPr>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填报人：</w:t>
            </w: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王晓帆</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联系电话：</w:t>
            </w:r>
          </w:p>
        </w:tc>
        <w:tc>
          <w:tcPr>
            <w:tcW w:w="0" w:type="auto"/>
            <w:tcBorders>
              <w:top w:val="nil"/>
              <w:left w:val="nil"/>
              <w:bottom w:val="nil"/>
              <w:right w:val="nil"/>
            </w:tcBorders>
            <w:shd w:val="clear" w:color="auto" w:fill="auto"/>
            <w:noWrap/>
            <w:vAlign w:val="center"/>
          </w:tcPr>
          <w:p>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15716818863</w:t>
            </w:r>
          </w:p>
        </w:tc>
        <w:tc>
          <w:tcPr>
            <w:tcW w:w="0" w:type="auto"/>
            <w:tcBorders>
              <w:top w:val="nil"/>
              <w:left w:val="nil"/>
              <w:bottom w:val="nil"/>
              <w:right w:val="nil"/>
            </w:tcBorders>
            <w:shd w:val="clear" w:color="auto" w:fill="auto"/>
            <w:noWrap/>
            <w:vAlign w:val="center"/>
          </w:tcPr>
          <w:p>
            <w:pPr>
              <w:rPr>
                <w:rFonts w:ascii="宋体" w:hAnsi="宋体" w:eastAsia="宋体"/>
                <w:color w:val="000000"/>
              </w:rPr>
            </w:pPr>
          </w:p>
        </w:tc>
      </w:tr>
    </w:tbl>
    <w:p>
      <w:pPr>
        <w:widowControl/>
        <w:spacing w:line="360" w:lineRule="auto"/>
        <w:jc w:val="left"/>
        <w:rPr>
          <w:rFonts w:ascii="Times New Roman" w:eastAsia="仿宋_GB2312"/>
          <w:b/>
          <w:sz w:val="32"/>
          <w:szCs w:val="32"/>
          <w:highlight w:val="yellow"/>
        </w:rPr>
      </w:pPr>
    </w:p>
    <w:tbl>
      <w:tblPr>
        <w:tblStyle w:val="11"/>
        <w:tblW w:w="9100" w:type="dxa"/>
        <w:tblInd w:w="93" w:type="dxa"/>
        <w:tblLayout w:type="autofit"/>
        <w:tblCellMar>
          <w:top w:w="0" w:type="dxa"/>
          <w:left w:w="108" w:type="dxa"/>
          <w:bottom w:w="0" w:type="dxa"/>
          <w:right w:w="108" w:type="dxa"/>
        </w:tblCellMar>
      </w:tblPr>
      <w:tblGrid>
        <w:gridCol w:w="1116"/>
        <w:gridCol w:w="1476"/>
        <w:gridCol w:w="753"/>
        <w:gridCol w:w="1053"/>
        <w:gridCol w:w="1020"/>
        <w:gridCol w:w="1388"/>
        <w:gridCol w:w="1039"/>
        <w:gridCol w:w="1255"/>
      </w:tblGrid>
      <w:tr>
        <w:tblPrEx>
          <w:tblCellMar>
            <w:top w:w="0" w:type="dxa"/>
            <w:left w:w="108" w:type="dxa"/>
            <w:bottom w:w="0" w:type="dxa"/>
            <w:right w:w="108" w:type="dxa"/>
          </w:tblCellMar>
        </w:tblPrEx>
        <w:trPr>
          <w:trHeight w:val="528" w:hRule="atLeast"/>
        </w:trPr>
        <w:tc>
          <w:tcPr>
            <w:tcW w:w="9100" w:type="dxa"/>
            <w:gridSpan w:val="8"/>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44"/>
                <w:szCs w:val="44"/>
              </w:rPr>
            </w:pPr>
            <w:r>
              <w:rPr>
                <w:rFonts w:hint="eastAsia" w:ascii="宋体" w:hAnsi="宋体" w:eastAsia="宋体"/>
                <w:color w:val="000000"/>
                <w:sz w:val="44"/>
                <w:szCs w:val="44"/>
              </w:rPr>
              <w:t>县级部门预算项目绩效自评表</w:t>
            </w:r>
          </w:p>
        </w:tc>
      </w:tr>
      <w:tr>
        <w:tblPrEx>
          <w:tblCellMar>
            <w:top w:w="0" w:type="dxa"/>
            <w:left w:w="108" w:type="dxa"/>
            <w:bottom w:w="0" w:type="dxa"/>
            <w:right w:w="108" w:type="dxa"/>
          </w:tblCellMar>
        </w:tblPrEx>
        <w:trPr>
          <w:trHeight w:val="264" w:hRule="atLeast"/>
        </w:trPr>
        <w:tc>
          <w:tcPr>
            <w:tcW w:w="0" w:type="auto"/>
            <w:gridSpan w:val="8"/>
            <w:tcBorders>
              <w:top w:val="nil"/>
              <w:left w:val="nil"/>
              <w:bottom w:val="nil"/>
              <w:right w:val="nil"/>
            </w:tcBorders>
            <w:shd w:val="clear" w:color="auto" w:fill="auto"/>
            <w:noWrap/>
            <w:vAlign w:val="bottom"/>
          </w:tcPr>
          <w:p>
            <w:pPr>
              <w:widowControl/>
              <w:jc w:val="center"/>
              <w:textAlignment w:val="bottom"/>
              <w:rPr>
                <w:rFonts w:ascii="宋体" w:hAnsi="宋体" w:eastAsia="宋体"/>
                <w:color w:val="000000"/>
                <w:sz w:val="18"/>
                <w:szCs w:val="18"/>
              </w:rPr>
            </w:pPr>
            <w:r>
              <w:rPr>
                <w:rFonts w:hint="eastAsia" w:ascii="宋体" w:hAnsi="宋体" w:eastAsia="宋体"/>
                <w:color w:val="000000"/>
                <w:sz w:val="18"/>
                <w:szCs w:val="18"/>
              </w:rPr>
              <w:t>（  2025 年度）</w:t>
            </w:r>
          </w:p>
        </w:tc>
      </w:tr>
      <w:tr>
        <w:tblPrEx>
          <w:tblCellMar>
            <w:top w:w="0" w:type="dxa"/>
            <w:left w:w="108" w:type="dxa"/>
            <w:bottom w:w="0" w:type="dxa"/>
            <w:right w:w="108" w:type="dxa"/>
          </w:tblCellMar>
        </w:tblPrEx>
        <w:trPr>
          <w:trHeight w:val="264" w:hRule="atLeast"/>
        </w:trPr>
        <w:tc>
          <w:tcPr>
            <w:tcW w:w="0" w:type="auto"/>
            <w:tcBorders>
              <w:top w:val="nil"/>
              <w:left w:val="nil"/>
              <w:bottom w:val="nil"/>
              <w:right w:val="nil"/>
            </w:tcBorders>
            <w:shd w:val="clear" w:color="auto" w:fill="auto"/>
            <w:noWrap/>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填报单位：</w:t>
            </w:r>
          </w:p>
        </w:tc>
        <w:tc>
          <w:tcPr>
            <w:tcW w:w="0" w:type="auto"/>
            <w:gridSpan w:val="2"/>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高邑县富村镇人民政府</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8"/>
                <w:szCs w:val="18"/>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8"/>
                <w:szCs w:val="18"/>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8"/>
                <w:szCs w:val="18"/>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8"/>
                <w:szCs w:val="18"/>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单位：万元</w:t>
            </w:r>
          </w:p>
        </w:tc>
      </w:tr>
      <w:tr>
        <w:tblPrEx>
          <w:tblCellMar>
            <w:top w:w="0" w:type="dxa"/>
            <w:left w:w="108" w:type="dxa"/>
            <w:bottom w:w="0" w:type="dxa"/>
            <w:right w:w="108" w:type="dxa"/>
          </w:tblCellMar>
        </w:tblPrEx>
        <w:trPr>
          <w:trHeight w:val="536" w:hRule="atLeast"/>
        </w:trPr>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一、基本情况</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项目名称</w:t>
            </w:r>
          </w:p>
        </w:tc>
        <w:tc>
          <w:tcPr>
            <w:tcW w:w="18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大气污染治理资金（县本级项目）</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实施(主管）单位</w:t>
            </w:r>
          </w:p>
        </w:tc>
        <w:tc>
          <w:tcPr>
            <w:tcW w:w="36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高邑县富村镇人民政府</w:t>
            </w:r>
          </w:p>
        </w:tc>
      </w:tr>
      <w:tr>
        <w:tblPrEx>
          <w:tblCellMar>
            <w:top w:w="0" w:type="dxa"/>
            <w:left w:w="108" w:type="dxa"/>
            <w:bottom w:w="0" w:type="dxa"/>
            <w:right w:w="108" w:type="dxa"/>
          </w:tblCellMar>
        </w:tblPrEx>
        <w:trPr>
          <w:trHeight w:val="536" w:hRule="atLeast"/>
        </w:trPr>
        <w:tc>
          <w:tcPr>
            <w:tcW w:w="10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二、预算执行情况</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预算安排情况（调整后）</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资金到位情况</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资金执行情况</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预算执行进度</w:t>
            </w:r>
          </w:p>
        </w:tc>
      </w:tr>
      <w:tr>
        <w:tblPrEx>
          <w:tblCellMar>
            <w:top w:w="0" w:type="dxa"/>
            <w:left w:w="108" w:type="dxa"/>
            <w:bottom w:w="0" w:type="dxa"/>
            <w:right w:w="108" w:type="dxa"/>
          </w:tblCellMar>
        </w:tblPrEx>
        <w:trPr>
          <w:trHeight w:val="272"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预算数：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16</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到位数：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16</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执行数：</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8"/>
                <w:szCs w:val="18"/>
              </w:rPr>
            </w:pPr>
            <w:r>
              <w:rPr>
                <w:rFonts w:ascii="Calibri" w:hAnsi="Calibri" w:eastAsia="宋体" w:cs="Calibri"/>
                <w:color w:val="000000"/>
                <w:sz w:val="18"/>
                <w:szCs w:val="18"/>
              </w:rPr>
              <w:t>16</w:t>
            </w:r>
          </w:p>
        </w:tc>
        <w:tc>
          <w:tcPr>
            <w:tcW w:w="1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100%</w:t>
            </w:r>
          </w:p>
        </w:tc>
      </w:tr>
      <w:tr>
        <w:tblPrEx>
          <w:tblCellMar>
            <w:top w:w="0" w:type="dxa"/>
            <w:left w:w="108" w:type="dxa"/>
            <w:bottom w:w="0" w:type="dxa"/>
            <w:right w:w="108" w:type="dxa"/>
          </w:tblCellMar>
        </w:tblPrEx>
        <w:trPr>
          <w:trHeight w:val="536"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8"/>
                <w:szCs w:val="18"/>
              </w:rPr>
            </w:pPr>
            <w:r>
              <w:rPr>
                <w:rFonts w:hint="eastAsia" w:ascii="宋体" w:hAnsi="宋体" w:eastAsia="宋体"/>
                <w:color w:val="000000"/>
                <w:sz w:val="18"/>
                <w:szCs w:val="18"/>
              </w:rPr>
              <w:t>其中：财政资金</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16</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8"/>
                <w:szCs w:val="18"/>
              </w:rPr>
            </w:pPr>
            <w:r>
              <w:rPr>
                <w:rFonts w:hint="eastAsia" w:ascii="宋体" w:hAnsi="宋体" w:eastAsia="宋体"/>
                <w:color w:val="000000"/>
                <w:sz w:val="18"/>
                <w:szCs w:val="18"/>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16</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8"/>
                <w:szCs w:val="18"/>
              </w:rPr>
            </w:pPr>
            <w:r>
              <w:rPr>
                <w:rFonts w:hint="eastAsia" w:ascii="宋体" w:hAnsi="宋体" w:eastAsia="宋体"/>
                <w:color w:val="000000"/>
                <w:sz w:val="18"/>
                <w:szCs w:val="18"/>
              </w:rPr>
              <w:t>其中：财政资金</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16</w:t>
            </w: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r>
      <w:tr>
        <w:tblPrEx>
          <w:tblCellMar>
            <w:top w:w="0" w:type="dxa"/>
            <w:left w:w="108" w:type="dxa"/>
            <w:bottom w:w="0" w:type="dxa"/>
            <w:right w:w="108" w:type="dxa"/>
          </w:tblCellMar>
        </w:tblPrEx>
        <w:trPr>
          <w:trHeight w:val="272"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8"/>
                <w:szCs w:val="18"/>
              </w:rPr>
            </w:pPr>
            <w:r>
              <w:rPr>
                <w:rFonts w:hint="eastAsia" w:ascii="宋体" w:hAnsi="宋体" w:eastAsia="宋体"/>
                <w:color w:val="000000"/>
                <w:sz w:val="18"/>
                <w:szCs w:val="18"/>
              </w:rPr>
              <w:t>其他</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18"/>
                <w:szCs w:val="18"/>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8"/>
                <w:szCs w:val="18"/>
              </w:rPr>
            </w:pPr>
            <w:r>
              <w:rPr>
                <w:rFonts w:hint="eastAsia" w:ascii="宋体" w:hAnsi="宋体" w:eastAsia="宋体"/>
                <w:color w:val="000000"/>
                <w:sz w:val="18"/>
                <w:szCs w:val="18"/>
              </w:rPr>
              <w:t>其他</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8"/>
                <w:szCs w:val="18"/>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rFonts w:ascii="宋体" w:hAnsi="宋体" w:eastAsia="宋体"/>
                <w:color w:val="000000"/>
                <w:sz w:val="18"/>
                <w:szCs w:val="18"/>
              </w:rPr>
            </w:pPr>
            <w:r>
              <w:rPr>
                <w:rFonts w:hint="eastAsia" w:ascii="宋体" w:hAnsi="宋体" w:eastAsia="宋体"/>
                <w:color w:val="000000"/>
                <w:sz w:val="18"/>
                <w:szCs w:val="18"/>
              </w:rPr>
              <w:t>其他</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olor w:val="000000"/>
                <w:sz w:val="18"/>
                <w:szCs w:val="18"/>
              </w:rPr>
            </w:pP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r>
      <w:tr>
        <w:tblPrEx>
          <w:tblCellMar>
            <w:top w:w="0" w:type="dxa"/>
            <w:left w:w="108" w:type="dxa"/>
            <w:bottom w:w="0" w:type="dxa"/>
            <w:right w:w="108" w:type="dxa"/>
          </w:tblCellMar>
        </w:tblPrEx>
        <w:trPr>
          <w:trHeight w:val="272" w:hRule="atLeast"/>
        </w:trPr>
        <w:tc>
          <w:tcPr>
            <w:tcW w:w="10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三、目标完成情况</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年度预期目标</w:t>
            </w:r>
          </w:p>
        </w:tc>
        <w:tc>
          <w:tcPr>
            <w:tcW w:w="3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具体完成情况</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总体完成率</w:t>
            </w:r>
          </w:p>
        </w:tc>
      </w:tr>
      <w:tr>
        <w:tblPrEx>
          <w:tblCellMar>
            <w:top w:w="0" w:type="dxa"/>
            <w:left w:w="108" w:type="dxa"/>
            <w:bottom w:w="0" w:type="dxa"/>
            <w:right w:w="108" w:type="dxa"/>
          </w:tblCellMar>
        </w:tblPrEx>
        <w:trPr>
          <w:trHeight w:val="329"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331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确保土地复垦工作顺利完成</w:t>
            </w:r>
          </w:p>
        </w:tc>
        <w:tc>
          <w:tcPr>
            <w:tcW w:w="344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完成良好</w:t>
            </w:r>
          </w:p>
        </w:tc>
        <w:tc>
          <w:tcPr>
            <w:tcW w:w="1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100%</w:t>
            </w:r>
          </w:p>
        </w:tc>
      </w:tr>
      <w:tr>
        <w:tblPrEx>
          <w:tblCellMar>
            <w:top w:w="0" w:type="dxa"/>
            <w:left w:w="108" w:type="dxa"/>
            <w:bottom w:w="0" w:type="dxa"/>
            <w:right w:w="108" w:type="dxa"/>
          </w:tblCellMar>
        </w:tblPrEx>
        <w:trPr>
          <w:trHeight w:val="329"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33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34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r>
      <w:tr>
        <w:tblPrEx>
          <w:tblCellMar>
            <w:top w:w="0" w:type="dxa"/>
            <w:left w:w="108" w:type="dxa"/>
            <w:bottom w:w="0" w:type="dxa"/>
            <w:right w:w="108" w:type="dxa"/>
          </w:tblCellMar>
        </w:tblPrEx>
        <w:trPr>
          <w:trHeight w:val="329"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33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34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r>
      <w:tr>
        <w:tblPrEx>
          <w:tblCellMar>
            <w:top w:w="0" w:type="dxa"/>
            <w:left w:w="108" w:type="dxa"/>
            <w:bottom w:w="0" w:type="dxa"/>
            <w:right w:w="108" w:type="dxa"/>
          </w:tblCellMar>
        </w:tblPrEx>
        <w:trPr>
          <w:trHeight w:val="536" w:hRule="atLeast"/>
        </w:trPr>
        <w:tc>
          <w:tcPr>
            <w:tcW w:w="10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四、年度绩效指标完成情况</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一级指标</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二级指标</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三级指标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预期指标值</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实际完成值</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自评得分</w:t>
            </w:r>
          </w:p>
        </w:tc>
      </w:tr>
      <w:tr>
        <w:tblPrEx>
          <w:tblCellMar>
            <w:top w:w="0" w:type="dxa"/>
            <w:left w:w="108" w:type="dxa"/>
            <w:bottom w:w="0" w:type="dxa"/>
            <w:right w:w="108" w:type="dxa"/>
          </w:tblCellMar>
        </w:tblPrEx>
        <w:trPr>
          <w:trHeight w:val="536"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产出指标（40）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数量指标</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涉及村数</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20个</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20个</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10</w:t>
            </w:r>
          </w:p>
        </w:tc>
      </w:tr>
      <w:tr>
        <w:tblPrEx>
          <w:tblCellMar>
            <w:top w:w="0" w:type="dxa"/>
            <w:left w:w="108" w:type="dxa"/>
            <w:bottom w:w="0" w:type="dxa"/>
            <w:right w:w="108" w:type="dxa"/>
          </w:tblCellMar>
        </w:tblPrEx>
        <w:trPr>
          <w:trHeight w:val="536"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质量指标</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各项工作完成情况</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100%</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100%</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8"/>
                <w:szCs w:val="18"/>
              </w:rPr>
            </w:pPr>
            <w:r>
              <w:rPr>
                <w:rFonts w:ascii="Calibri" w:hAnsi="Calibri" w:eastAsia="宋体" w:cs="Calibri"/>
                <w:color w:val="000000"/>
                <w:sz w:val="18"/>
                <w:szCs w:val="18"/>
              </w:rPr>
              <w:t>10</w:t>
            </w:r>
          </w:p>
        </w:tc>
      </w:tr>
      <w:tr>
        <w:tblPrEx>
          <w:tblCellMar>
            <w:top w:w="0" w:type="dxa"/>
            <w:left w:w="108" w:type="dxa"/>
            <w:bottom w:w="0" w:type="dxa"/>
            <w:right w:w="108" w:type="dxa"/>
          </w:tblCellMar>
        </w:tblPrEx>
        <w:trPr>
          <w:trHeight w:val="536"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时效指标</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完成及时率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按协议时间完成</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按时间完成</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8"/>
                <w:szCs w:val="18"/>
              </w:rPr>
            </w:pPr>
            <w:r>
              <w:rPr>
                <w:rFonts w:ascii="Calibri" w:hAnsi="Calibri" w:eastAsia="宋体" w:cs="Calibri"/>
                <w:color w:val="000000"/>
                <w:sz w:val="18"/>
                <w:szCs w:val="18"/>
              </w:rPr>
              <w:t>10</w:t>
            </w:r>
          </w:p>
        </w:tc>
      </w:tr>
      <w:tr>
        <w:tblPrEx>
          <w:tblCellMar>
            <w:top w:w="0" w:type="dxa"/>
            <w:left w:w="108" w:type="dxa"/>
            <w:bottom w:w="0" w:type="dxa"/>
            <w:right w:w="108" w:type="dxa"/>
          </w:tblCellMar>
        </w:tblPrEx>
        <w:trPr>
          <w:trHeight w:val="536"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成本指标</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资金成本</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16万元</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16万元</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8"/>
                <w:szCs w:val="18"/>
              </w:rPr>
            </w:pPr>
            <w:r>
              <w:rPr>
                <w:rFonts w:ascii="Calibri" w:hAnsi="Calibri" w:eastAsia="宋体" w:cs="Calibri"/>
                <w:color w:val="000000"/>
                <w:sz w:val="18"/>
                <w:szCs w:val="18"/>
              </w:rPr>
              <w:t>10</w:t>
            </w:r>
          </w:p>
        </w:tc>
      </w:tr>
      <w:tr>
        <w:tblPrEx>
          <w:tblCellMar>
            <w:top w:w="0" w:type="dxa"/>
            <w:left w:w="108" w:type="dxa"/>
            <w:bottom w:w="0" w:type="dxa"/>
            <w:right w:w="108" w:type="dxa"/>
          </w:tblCellMar>
        </w:tblPrEx>
        <w:trPr>
          <w:trHeight w:val="329"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预算执行率指标（10）</w:t>
            </w:r>
          </w:p>
        </w:tc>
        <w:tc>
          <w:tcPr>
            <w:tcW w:w="8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预算执行率</w:t>
            </w:r>
          </w:p>
        </w:tc>
        <w:tc>
          <w:tcPr>
            <w:tcW w:w="2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预算执行率（%)</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100%</w:t>
            </w:r>
          </w:p>
        </w:tc>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100%</w:t>
            </w:r>
          </w:p>
        </w:tc>
        <w:tc>
          <w:tcPr>
            <w:tcW w:w="1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8"/>
                <w:szCs w:val="18"/>
              </w:rPr>
            </w:pPr>
            <w:r>
              <w:rPr>
                <w:rFonts w:ascii="Calibri" w:hAnsi="Calibri" w:eastAsia="宋体" w:cs="Calibri"/>
                <w:color w:val="000000"/>
                <w:sz w:val="18"/>
                <w:szCs w:val="18"/>
              </w:rPr>
              <w:t>10</w:t>
            </w:r>
          </w:p>
        </w:tc>
      </w:tr>
      <w:tr>
        <w:tblPrEx>
          <w:tblCellMar>
            <w:top w:w="0" w:type="dxa"/>
            <w:left w:w="108" w:type="dxa"/>
            <w:bottom w:w="0" w:type="dxa"/>
            <w:right w:w="108" w:type="dxa"/>
          </w:tblCellMar>
        </w:tblPrEx>
        <w:trPr>
          <w:trHeight w:val="329"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2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eastAsia="宋体" w:cs="Calibri"/>
                <w:color w:val="000000"/>
                <w:sz w:val="18"/>
                <w:szCs w:val="18"/>
              </w:rPr>
            </w:pPr>
          </w:p>
        </w:tc>
      </w:tr>
      <w:tr>
        <w:tblPrEx>
          <w:tblCellMar>
            <w:top w:w="0" w:type="dxa"/>
            <w:left w:w="108" w:type="dxa"/>
            <w:bottom w:w="0" w:type="dxa"/>
            <w:right w:w="108" w:type="dxa"/>
          </w:tblCellMar>
        </w:tblPrEx>
        <w:trPr>
          <w:trHeight w:val="536"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效益指标（40）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生态效益指标</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改善生态环境情况</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有所改善</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有所改善</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8"/>
                <w:szCs w:val="18"/>
              </w:rPr>
            </w:pPr>
            <w:r>
              <w:rPr>
                <w:rFonts w:ascii="Calibri" w:hAnsi="Calibri" w:eastAsia="宋体" w:cs="Calibri"/>
                <w:color w:val="000000"/>
                <w:sz w:val="18"/>
                <w:szCs w:val="18"/>
              </w:rPr>
              <w:t>18</w:t>
            </w:r>
          </w:p>
        </w:tc>
      </w:tr>
      <w:tr>
        <w:tblPrEx>
          <w:tblCellMar>
            <w:top w:w="0" w:type="dxa"/>
            <w:left w:w="108" w:type="dxa"/>
            <w:bottom w:w="0" w:type="dxa"/>
            <w:right w:w="108" w:type="dxa"/>
          </w:tblCellMar>
        </w:tblPrEx>
        <w:trPr>
          <w:trHeight w:val="800"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可持续影响指标</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生活质量提高情况</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有所提高</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有所提高</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8"/>
                <w:szCs w:val="18"/>
              </w:rPr>
            </w:pPr>
            <w:r>
              <w:rPr>
                <w:rFonts w:ascii="Calibri" w:hAnsi="Calibri" w:eastAsia="宋体" w:cs="Calibri"/>
                <w:color w:val="000000"/>
                <w:sz w:val="18"/>
                <w:szCs w:val="18"/>
              </w:rPr>
              <w:t>18</w:t>
            </w:r>
          </w:p>
        </w:tc>
      </w:tr>
      <w:tr>
        <w:tblPrEx>
          <w:tblCellMar>
            <w:top w:w="0" w:type="dxa"/>
            <w:left w:w="108" w:type="dxa"/>
            <w:bottom w:w="0" w:type="dxa"/>
            <w:right w:w="108" w:type="dxa"/>
          </w:tblCellMar>
        </w:tblPrEx>
        <w:trPr>
          <w:trHeight w:val="536"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满意度指标（10）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满意度指标</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≥95%得10分，每降一个百分点扣一分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w:t>
            </w:r>
            <w:r>
              <w:rPr>
                <w:rFonts w:ascii="Calibri" w:hAnsi="Calibri" w:eastAsia="宋体" w:cs="Calibri"/>
                <w:color w:val="000000"/>
                <w:sz w:val="18"/>
                <w:szCs w:val="18"/>
              </w:rPr>
              <w:t>95%</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8"/>
                <w:szCs w:val="18"/>
              </w:rPr>
            </w:pPr>
            <w:r>
              <w:rPr>
                <w:rFonts w:ascii="Calibri" w:hAnsi="Calibri" w:eastAsia="宋体" w:cs="Calibri"/>
                <w:color w:val="000000"/>
                <w:sz w:val="18"/>
                <w:szCs w:val="18"/>
              </w:rPr>
              <w:t>95%</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8"/>
                <w:szCs w:val="18"/>
              </w:rPr>
            </w:pPr>
            <w:r>
              <w:rPr>
                <w:rFonts w:ascii="Calibri" w:hAnsi="Calibri" w:eastAsia="宋体" w:cs="Calibri"/>
                <w:color w:val="000000"/>
                <w:sz w:val="18"/>
                <w:szCs w:val="18"/>
              </w:rPr>
              <w:t>9</w:t>
            </w:r>
          </w:p>
        </w:tc>
      </w:tr>
      <w:tr>
        <w:tblPrEx>
          <w:tblCellMar>
            <w:top w:w="0" w:type="dxa"/>
            <w:left w:w="108" w:type="dxa"/>
            <w:bottom w:w="0" w:type="dxa"/>
            <w:right w:w="108" w:type="dxa"/>
          </w:tblCellMar>
        </w:tblPrEx>
        <w:trPr>
          <w:trHeight w:val="272" w:hRule="atLeast"/>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olor w:val="000000"/>
                <w:sz w:val="18"/>
                <w:szCs w:val="18"/>
              </w:rPr>
            </w:pPr>
          </w:p>
        </w:tc>
        <w:tc>
          <w:tcPr>
            <w:tcW w:w="67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总分</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Calibri" w:hAnsi="Calibri" w:eastAsia="宋体" w:cs="Calibri"/>
                <w:color w:val="000000"/>
                <w:sz w:val="18"/>
                <w:szCs w:val="18"/>
              </w:rPr>
            </w:pPr>
            <w:r>
              <w:rPr>
                <w:rFonts w:ascii="Calibri" w:hAnsi="Calibri" w:eastAsia="宋体" w:cs="Calibri"/>
                <w:color w:val="000000"/>
                <w:sz w:val="18"/>
                <w:szCs w:val="18"/>
              </w:rPr>
              <w:t>95</w:t>
            </w:r>
          </w:p>
        </w:tc>
      </w:tr>
      <w:tr>
        <w:tblPrEx>
          <w:tblCellMar>
            <w:top w:w="0" w:type="dxa"/>
            <w:left w:w="108" w:type="dxa"/>
            <w:bottom w:w="0" w:type="dxa"/>
            <w:right w:w="108" w:type="dxa"/>
          </w:tblCellMar>
        </w:tblPrEx>
        <w:trPr>
          <w:trHeight w:val="1064" w:hRule="atLeast"/>
        </w:trPr>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五、存在问题、原因及下一步整改措施</w:t>
            </w:r>
          </w:p>
        </w:tc>
        <w:tc>
          <w:tcPr>
            <w:tcW w:w="801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加大大气污染防治和环境整治力度，改善我镇生态环境。</w:t>
            </w:r>
          </w:p>
        </w:tc>
      </w:tr>
      <w:tr>
        <w:tblPrEx>
          <w:tblCellMar>
            <w:top w:w="0" w:type="dxa"/>
            <w:left w:w="108" w:type="dxa"/>
            <w:bottom w:w="0" w:type="dxa"/>
            <w:right w:w="108" w:type="dxa"/>
          </w:tblCellMar>
        </w:tblPrEx>
        <w:trPr>
          <w:trHeight w:val="272" w:hRule="atLeast"/>
        </w:trPr>
        <w:tc>
          <w:tcPr>
            <w:tcW w:w="0" w:type="auto"/>
            <w:tcBorders>
              <w:top w:val="nil"/>
              <w:left w:val="nil"/>
              <w:bottom w:val="nil"/>
              <w:right w:val="nil"/>
            </w:tcBorders>
            <w:shd w:val="clear" w:color="auto" w:fill="auto"/>
            <w:noWrap/>
            <w:vAlign w:val="center"/>
          </w:tcPr>
          <w:p>
            <w:pPr>
              <w:rPr>
                <w:rFonts w:ascii="宋体" w:hAnsi="宋体" w:eastAsia="宋体"/>
                <w:color w:val="000000"/>
                <w:sz w:val="18"/>
                <w:szCs w:val="18"/>
              </w:rPr>
            </w:pPr>
          </w:p>
        </w:tc>
        <w:tc>
          <w:tcPr>
            <w:tcW w:w="0" w:type="auto"/>
            <w:tcBorders>
              <w:top w:val="single" w:color="000000" w:sz="4" w:space="0"/>
              <w:left w:val="nil"/>
              <w:bottom w:val="nil"/>
              <w:right w:val="nil"/>
            </w:tcBorders>
            <w:shd w:val="clear" w:color="auto" w:fill="auto"/>
            <w:noWrap/>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填报人：王晓帆</w:t>
            </w: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8"/>
                <w:szCs w:val="18"/>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8"/>
                <w:szCs w:val="18"/>
              </w:rPr>
            </w:pPr>
          </w:p>
        </w:tc>
        <w:tc>
          <w:tcPr>
            <w:tcW w:w="0" w:type="auto"/>
            <w:tcBorders>
              <w:top w:val="nil"/>
              <w:left w:val="nil"/>
              <w:bottom w:val="nil"/>
              <w:right w:val="nil"/>
            </w:tcBorders>
            <w:shd w:val="clear" w:color="auto" w:fill="auto"/>
            <w:noWrap/>
            <w:vAlign w:val="center"/>
          </w:tcPr>
          <w:p>
            <w:pPr>
              <w:jc w:val="center"/>
              <w:rPr>
                <w:rFonts w:ascii="宋体" w:hAnsi="宋体" w:eastAsia="宋体"/>
                <w:color w:val="000000"/>
                <w:sz w:val="18"/>
                <w:szCs w:val="18"/>
              </w:rPr>
            </w:pPr>
          </w:p>
        </w:tc>
        <w:tc>
          <w:tcPr>
            <w:tcW w:w="0" w:type="auto"/>
            <w:tcBorders>
              <w:top w:val="single" w:color="000000" w:sz="4" w:space="0"/>
              <w:left w:val="nil"/>
              <w:bottom w:val="nil"/>
              <w:right w:val="nil"/>
            </w:tcBorders>
            <w:shd w:val="clear" w:color="auto" w:fill="auto"/>
            <w:noWrap/>
            <w:vAlign w:val="center"/>
          </w:tcPr>
          <w:p>
            <w:pPr>
              <w:widowControl/>
              <w:jc w:val="center"/>
              <w:textAlignment w:val="center"/>
              <w:rPr>
                <w:rFonts w:ascii="宋体" w:hAnsi="宋体" w:eastAsia="宋体"/>
                <w:color w:val="000000"/>
                <w:sz w:val="18"/>
                <w:szCs w:val="18"/>
              </w:rPr>
            </w:pPr>
            <w:r>
              <w:rPr>
                <w:rFonts w:hint="eastAsia" w:ascii="宋体" w:hAnsi="宋体" w:eastAsia="宋体"/>
                <w:color w:val="000000"/>
                <w:sz w:val="18"/>
                <w:szCs w:val="18"/>
              </w:rPr>
              <w:t>联系电话：</w:t>
            </w:r>
          </w:p>
        </w:tc>
        <w:tc>
          <w:tcPr>
            <w:tcW w:w="0" w:type="auto"/>
            <w:gridSpan w:val="2"/>
            <w:tcBorders>
              <w:top w:val="single" w:color="000000" w:sz="4" w:space="0"/>
              <w:left w:val="nil"/>
              <w:bottom w:val="nil"/>
              <w:right w:val="nil"/>
            </w:tcBorders>
            <w:shd w:val="clear" w:color="auto" w:fill="auto"/>
            <w:noWrap/>
            <w:vAlign w:val="center"/>
          </w:tcPr>
          <w:p>
            <w:pPr>
              <w:widowControl/>
              <w:jc w:val="left"/>
              <w:textAlignment w:val="center"/>
              <w:rPr>
                <w:rFonts w:ascii="宋体" w:hAnsi="宋体" w:eastAsia="宋体"/>
                <w:color w:val="000000"/>
                <w:sz w:val="18"/>
                <w:szCs w:val="18"/>
              </w:rPr>
            </w:pPr>
            <w:r>
              <w:rPr>
                <w:rFonts w:hint="eastAsia" w:ascii="宋体" w:hAnsi="宋体" w:eastAsia="宋体"/>
                <w:color w:val="000000"/>
                <w:sz w:val="18"/>
                <w:szCs w:val="18"/>
              </w:rPr>
              <w:t>15716818863</w:t>
            </w:r>
          </w:p>
        </w:tc>
      </w:tr>
    </w:tbl>
    <w:p>
      <w:pPr>
        <w:widowControl/>
        <w:spacing w:line="360" w:lineRule="auto"/>
        <w:jc w:val="left"/>
        <w:rPr>
          <w:rFonts w:ascii="Times New Roman" w:eastAsia="仿宋_GB2312"/>
          <w:b/>
          <w:sz w:val="32"/>
          <w:szCs w:val="32"/>
          <w:highlight w:val="yellow"/>
        </w:rPr>
      </w:pPr>
    </w:p>
    <w:p>
      <w:pPr>
        <w:widowControl/>
        <w:spacing w:line="360" w:lineRule="auto"/>
        <w:ind w:firstLine="643" w:firstLineChars="200"/>
        <w:jc w:val="left"/>
        <w:rPr>
          <w:rFonts w:ascii="Times New Roman" w:eastAsia="仿宋_GB2312"/>
          <w:b/>
          <w:sz w:val="32"/>
          <w:szCs w:val="32"/>
        </w:rPr>
      </w:pPr>
      <w:r>
        <w:rPr>
          <w:rFonts w:ascii="Times New Roman" w:eastAsia="仿宋_GB2312"/>
          <w:b/>
          <w:sz w:val="32"/>
          <w:szCs w:val="32"/>
        </w:rPr>
        <w:t>（三）部门评价项目绩效评价结果</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富村镇总体工作思路是以习近平新时代中国特色社会主义思想为指导，全面贯彻落实党的二十大和二十届历次全会精神，增强“四个意识”、坚定“四个自信”、做到“两个维护”，统筹高质量发展和安全稳定，坚持稳中求进工作总基调，按照省、市、县委全会各项重点工作新要求、新部署，立足本地总体工作思路，重点聚焦项目建设、产业发展、乡村振兴、生态保护、民生保障、基层治理、党建引领等方面持续发力，扎实推动“十四五”规划目标落地见效。</w:t>
      </w:r>
    </w:p>
    <w:p>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1.本部门2025年度</w:t>
      </w:r>
      <w:r>
        <w:rPr>
          <w:rFonts w:hint="eastAsia" w:ascii="Times New Roman" w:eastAsia="仿宋_GB2312"/>
          <w:sz w:val="32"/>
          <w:szCs w:val="32"/>
        </w:rPr>
        <w:t>未发生</w:t>
      </w:r>
      <w:r>
        <w:rPr>
          <w:rFonts w:ascii="Times New Roman" w:eastAsia="仿宋_GB2312"/>
          <w:sz w:val="32"/>
          <w:szCs w:val="32"/>
        </w:rPr>
        <w:t>国有资本经营预算财政拨款收支及结转结余情况，故国有资本经营预算财政拨款支出决算表以空表列示。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rPr>
          <w:rFonts w:ascii="Times New Roman" w:hAnsi="Times New Roman" w:eastAsia="黑体" w:cs="Times New Roman"/>
          <w:color w:val="000000" w:themeColor="text1"/>
          <w:sz w:val="44"/>
          <w:szCs w:val="44"/>
        </w:rPr>
      </w:pP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0000000000000000000"/>
    <w:charset w:val="86"/>
    <w:family w:val="auto"/>
    <w:pitch w:val="default"/>
    <w:sig w:usb0="00000000" w:usb1="00000000" w:usb2="00000012"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82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0B8A34"/>
    <w:multiLevelType w:val="singleLevel"/>
    <w:tmpl w:val="CD0B8A34"/>
    <w:lvl w:ilvl="0" w:tentative="0">
      <w:start w:val="12"/>
      <w:numFmt w:val="chineseCounting"/>
      <w:suff w:val="nothing"/>
      <w:lvlText w:val="（%1）"/>
      <w:lvlJc w:val="left"/>
      <w:rPr>
        <w:rFonts w:hint="eastAsia"/>
      </w:rPr>
    </w:lvl>
  </w:abstractNum>
  <w:abstractNum w:abstractNumId="1">
    <w:nsid w:val="2F2A04BB"/>
    <w:multiLevelType w:val="singleLevel"/>
    <w:tmpl w:val="2F2A04BB"/>
    <w:lvl w:ilvl="0" w:tentative="0">
      <w:start w:val="4"/>
      <w:numFmt w:val="chineseCounting"/>
      <w:suff w:val="nothing"/>
      <w:lvlText w:val="（%1）"/>
      <w:lvlJc w:val="left"/>
      <w:rPr>
        <w:rFonts w:hint="eastAsia"/>
      </w:rPr>
    </w:lvl>
  </w:abstractNum>
  <w:abstractNum w:abstractNumId="2">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6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jb3VudCI6NjksImhkaWQiOiJiMzk2N2EzZjUyYWViODRjZjJhMDZjM2YyYjk4MTExMiIsInVzZXJDb3VudCI6MX0="/>
  </w:docVars>
  <w:rsids>
    <w:rsidRoot w:val="00172A27"/>
    <w:rsid w:val="0007451A"/>
    <w:rsid w:val="00086151"/>
    <w:rsid w:val="00172A27"/>
    <w:rsid w:val="00236F8C"/>
    <w:rsid w:val="0028291A"/>
    <w:rsid w:val="002E02C1"/>
    <w:rsid w:val="002E069E"/>
    <w:rsid w:val="00304207"/>
    <w:rsid w:val="00326DFE"/>
    <w:rsid w:val="0040449D"/>
    <w:rsid w:val="005E1DDB"/>
    <w:rsid w:val="007169A1"/>
    <w:rsid w:val="007703E5"/>
    <w:rsid w:val="007B5E47"/>
    <w:rsid w:val="00815CFC"/>
    <w:rsid w:val="00822154"/>
    <w:rsid w:val="00823E64"/>
    <w:rsid w:val="008E3107"/>
    <w:rsid w:val="009233E6"/>
    <w:rsid w:val="009309E3"/>
    <w:rsid w:val="00967B48"/>
    <w:rsid w:val="00985254"/>
    <w:rsid w:val="009C181F"/>
    <w:rsid w:val="009F100D"/>
    <w:rsid w:val="00A0267D"/>
    <w:rsid w:val="00A63A25"/>
    <w:rsid w:val="00AA39BE"/>
    <w:rsid w:val="00AC1FE6"/>
    <w:rsid w:val="00B47C6F"/>
    <w:rsid w:val="00C2317F"/>
    <w:rsid w:val="00C65689"/>
    <w:rsid w:val="00CC2C8E"/>
    <w:rsid w:val="00D5325E"/>
    <w:rsid w:val="00DF3343"/>
    <w:rsid w:val="00F6330F"/>
    <w:rsid w:val="010B2AC3"/>
    <w:rsid w:val="01511039"/>
    <w:rsid w:val="01713AEC"/>
    <w:rsid w:val="0179546C"/>
    <w:rsid w:val="01A03C5A"/>
    <w:rsid w:val="01A5267D"/>
    <w:rsid w:val="01AE3368"/>
    <w:rsid w:val="01AF6A8D"/>
    <w:rsid w:val="01B24556"/>
    <w:rsid w:val="02262316"/>
    <w:rsid w:val="024808A2"/>
    <w:rsid w:val="025C3821"/>
    <w:rsid w:val="02C22194"/>
    <w:rsid w:val="02CF14AA"/>
    <w:rsid w:val="02DA3B1B"/>
    <w:rsid w:val="02E57B4D"/>
    <w:rsid w:val="02F27574"/>
    <w:rsid w:val="03450B90"/>
    <w:rsid w:val="036D00AF"/>
    <w:rsid w:val="037B12D4"/>
    <w:rsid w:val="03804D63"/>
    <w:rsid w:val="03F5128D"/>
    <w:rsid w:val="03F97C93"/>
    <w:rsid w:val="03FB73B0"/>
    <w:rsid w:val="04556D28"/>
    <w:rsid w:val="04642795"/>
    <w:rsid w:val="046837CA"/>
    <w:rsid w:val="04806B11"/>
    <w:rsid w:val="048530FA"/>
    <w:rsid w:val="04965593"/>
    <w:rsid w:val="049C1B9D"/>
    <w:rsid w:val="04A226AA"/>
    <w:rsid w:val="04A4232A"/>
    <w:rsid w:val="04BD008C"/>
    <w:rsid w:val="04C55939"/>
    <w:rsid w:val="04DA28BB"/>
    <w:rsid w:val="04F528BE"/>
    <w:rsid w:val="050E10CE"/>
    <w:rsid w:val="054F2DFB"/>
    <w:rsid w:val="05526FCB"/>
    <w:rsid w:val="05991C82"/>
    <w:rsid w:val="05B66CEF"/>
    <w:rsid w:val="05B97C74"/>
    <w:rsid w:val="05CD1EC8"/>
    <w:rsid w:val="05E57574"/>
    <w:rsid w:val="06025AE9"/>
    <w:rsid w:val="061416A9"/>
    <w:rsid w:val="061D60A6"/>
    <w:rsid w:val="06236884"/>
    <w:rsid w:val="067A44AE"/>
    <w:rsid w:val="069F6C6D"/>
    <w:rsid w:val="06B07006"/>
    <w:rsid w:val="06B6300F"/>
    <w:rsid w:val="06E615DF"/>
    <w:rsid w:val="06FC7C2A"/>
    <w:rsid w:val="070B57B7"/>
    <w:rsid w:val="07533AFE"/>
    <w:rsid w:val="0756099A"/>
    <w:rsid w:val="07AC18F2"/>
    <w:rsid w:val="07B3657A"/>
    <w:rsid w:val="07BE3841"/>
    <w:rsid w:val="07C857D0"/>
    <w:rsid w:val="081163FE"/>
    <w:rsid w:val="08161CD1"/>
    <w:rsid w:val="081C165C"/>
    <w:rsid w:val="083F3A0A"/>
    <w:rsid w:val="08487F22"/>
    <w:rsid w:val="08AB5AAF"/>
    <w:rsid w:val="08AF3CF9"/>
    <w:rsid w:val="08C65EBD"/>
    <w:rsid w:val="08D24C32"/>
    <w:rsid w:val="08EE77B6"/>
    <w:rsid w:val="09012C64"/>
    <w:rsid w:val="093B2E99"/>
    <w:rsid w:val="095D7943"/>
    <w:rsid w:val="09957BC4"/>
    <w:rsid w:val="0997694A"/>
    <w:rsid w:val="09BD0D88"/>
    <w:rsid w:val="09C006C6"/>
    <w:rsid w:val="09CB3921"/>
    <w:rsid w:val="09F6312F"/>
    <w:rsid w:val="0A10621F"/>
    <w:rsid w:val="0A464C4F"/>
    <w:rsid w:val="0A65029C"/>
    <w:rsid w:val="0A6729A3"/>
    <w:rsid w:val="0A694877"/>
    <w:rsid w:val="0A821DCB"/>
    <w:rsid w:val="0A8D1F77"/>
    <w:rsid w:val="0AA954BE"/>
    <w:rsid w:val="0AE70639"/>
    <w:rsid w:val="0AEC32FF"/>
    <w:rsid w:val="0AF90B10"/>
    <w:rsid w:val="0B4F5E6D"/>
    <w:rsid w:val="0B52270F"/>
    <w:rsid w:val="0B5843AD"/>
    <w:rsid w:val="0B753AE2"/>
    <w:rsid w:val="0BB67D0A"/>
    <w:rsid w:val="0BC56230"/>
    <w:rsid w:val="0BCF21BD"/>
    <w:rsid w:val="0BED101D"/>
    <w:rsid w:val="0BF254A5"/>
    <w:rsid w:val="0C240304"/>
    <w:rsid w:val="0C481041"/>
    <w:rsid w:val="0C4E53E8"/>
    <w:rsid w:val="0C6712D6"/>
    <w:rsid w:val="0C7F7845"/>
    <w:rsid w:val="0C9F7900"/>
    <w:rsid w:val="0CA11DC5"/>
    <w:rsid w:val="0CB20B1A"/>
    <w:rsid w:val="0CB23317"/>
    <w:rsid w:val="0CC0267A"/>
    <w:rsid w:val="0D101068"/>
    <w:rsid w:val="0D483858"/>
    <w:rsid w:val="0D4E13BE"/>
    <w:rsid w:val="0D7557DF"/>
    <w:rsid w:val="0D853E34"/>
    <w:rsid w:val="0D9C2A57"/>
    <w:rsid w:val="0DA925F8"/>
    <w:rsid w:val="0DC23522"/>
    <w:rsid w:val="0DC3019B"/>
    <w:rsid w:val="0DE47D04"/>
    <w:rsid w:val="0DFA5D82"/>
    <w:rsid w:val="0E1E52CE"/>
    <w:rsid w:val="0E2C514F"/>
    <w:rsid w:val="0E814859"/>
    <w:rsid w:val="0E866524"/>
    <w:rsid w:val="0E9268D3"/>
    <w:rsid w:val="0E957F1F"/>
    <w:rsid w:val="0F0E7284"/>
    <w:rsid w:val="0F28110F"/>
    <w:rsid w:val="0F37083F"/>
    <w:rsid w:val="0F370B05"/>
    <w:rsid w:val="0F4351D1"/>
    <w:rsid w:val="0F7470AF"/>
    <w:rsid w:val="0F8751F8"/>
    <w:rsid w:val="0F891DB8"/>
    <w:rsid w:val="0F8D3287"/>
    <w:rsid w:val="0FAA3B86"/>
    <w:rsid w:val="0FB70AE0"/>
    <w:rsid w:val="10191346"/>
    <w:rsid w:val="101F0E02"/>
    <w:rsid w:val="102A01A6"/>
    <w:rsid w:val="105A290D"/>
    <w:rsid w:val="10754A6C"/>
    <w:rsid w:val="108B537D"/>
    <w:rsid w:val="10B11DB1"/>
    <w:rsid w:val="11177F57"/>
    <w:rsid w:val="11217C97"/>
    <w:rsid w:val="113076C2"/>
    <w:rsid w:val="11365128"/>
    <w:rsid w:val="11464C20"/>
    <w:rsid w:val="115E4926"/>
    <w:rsid w:val="118A1FFA"/>
    <w:rsid w:val="11D626D2"/>
    <w:rsid w:val="11E35B5A"/>
    <w:rsid w:val="11E42DD6"/>
    <w:rsid w:val="12000182"/>
    <w:rsid w:val="121F0548"/>
    <w:rsid w:val="12355F6F"/>
    <w:rsid w:val="12394975"/>
    <w:rsid w:val="125F5A1B"/>
    <w:rsid w:val="126979D6"/>
    <w:rsid w:val="12912E05"/>
    <w:rsid w:val="129E45A7"/>
    <w:rsid w:val="13074404"/>
    <w:rsid w:val="131D4641"/>
    <w:rsid w:val="136A5C00"/>
    <w:rsid w:val="136B2768"/>
    <w:rsid w:val="139E1CBE"/>
    <w:rsid w:val="13B97B08"/>
    <w:rsid w:val="13C527AC"/>
    <w:rsid w:val="13E3112D"/>
    <w:rsid w:val="13ED36CE"/>
    <w:rsid w:val="14345A34"/>
    <w:rsid w:val="144072C9"/>
    <w:rsid w:val="145438F8"/>
    <w:rsid w:val="14711797"/>
    <w:rsid w:val="147B6F17"/>
    <w:rsid w:val="1492384F"/>
    <w:rsid w:val="14D42061"/>
    <w:rsid w:val="14E55858"/>
    <w:rsid w:val="15081C8B"/>
    <w:rsid w:val="15090D5C"/>
    <w:rsid w:val="15456B76"/>
    <w:rsid w:val="15CC19E2"/>
    <w:rsid w:val="15CF053D"/>
    <w:rsid w:val="15E0131A"/>
    <w:rsid w:val="15E11DC0"/>
    <w:rsid w:val="162A486A"/>
    <w:rsid w:val="16457D9F"/>
    <w:rsid w:val="166D65D9"/>
    <w:rsid w:val="16B02545"/>
    <w:rsid w:val="17223EFF"/>
    <w:rsid w:val="179802C4"/>
    <w:rsid w:val="17AA5F28"/>
    <w:rsid w:val="17B713F6"/>
    <w:rsid w:val="180169EF"/>
    <w:rsid w:val="180608F8"/>
    <w:rsid w:val="181E5F9F"/>
    <w:rsid w:val="184350A0"/>
    <w:rsid w:val="184738E0"/>
    <w:rsid w:val="187B413A"/>
    <w:rsid w:val="18935485"/>
    <w:rsid w:val="18A34206"/>
    <w:rsid w:val="18DE3B2C"/>
    <w:rsid w:val="18EF453A"/>
    <w:rsid w:val="1906685D"/>
    <w:rsid w:val="19111683"/>
    <w:rsid w:val="19353916"/>
    <w:rsid w:val="193E101D"/>
    <w:rsid w:val="194E6691"/>
    <w:rsid w:val="19B06391"/>
    <w:rsid w:val="19C10AF1"/>
    <w:rsid w:val="19C340D1"/>
    <w:rsid w:val="1A017CDA"/>
    <w:rsid w:val="1A264176"/>
    <w:rsid w:val="1A2672DE"/>
    <w:rsid w:val="1AA81D42"/>
    <w:rsid w:val="1AB433D9"/>
    <w:rsid w:val="1AD70716"/>
    <w:rsid w:val="1AEE2FA0"/>
    <w:rsid w:val="1AFB6D70"/>
    <w:rsid w:val="1B1B11EE"/>
    <w:rsid w:val="1B3719E0"/>
    <w:rsid w:val="1B3A29B9"/>
    <w:rsid w:val="1B6261C3"/>
    <w:rsid w:val="1B731730"/>
    <w:rsid w:val="1B882BB5"/>
    <w:rsid w:val="1B895FBB"/>
    <w:rsid w:val="1B9A3CD7"/>
    <w:rsid w:val="1B9B1759"/>
    <w:rsid w:val="1B9B33C7"/>
    <w:rsid w:val="1B9D7FEC"/>
    <w:rsid w:val="1BA55461"/>
    <w:rsid w:val="1BA7556B"/>
    <w:rsid w:val="1BC93522"/>
    <w:rsid w:val="1BE74496"/>
    <w:rsid w:val="1BFB1448"/>
    <w:rsid w:val="1C3D67D1"/>
    <w:rsid w:val="1C40731A"/>
    <w:rsid w:val="1C506572"/>
    <w:rsid w:val="1C560392"/>
    <w:rsid w:val="1C581532"/>
    <w:rsid w:val="1C9F2E05"/>
    <w:rsid w:val="1CA15E03"/>
    <w:rsid w:val="1CA24F0C"/>
    <w:rsid w:val="1CB966AD"/>
    <w:rsid w:val="1CF8716C"/>
    <w:rsid w:val="1D1247BD"/>
    <w:rsid w:val="1D1638FE"/>
    <w:rsid w:val="1D1E545A"/>
    <w:rsid w:val="1D4B1F5B"/>
    <w:rsid w:val="1D6C5CA0"/>
    <w:rsid w:val="1D725586"/>
    <w:rsid w:val="1D745B4F"/>
    <w:rsid w:val="1D867987"/>
    <w:rsid w:val="1D944010"/>
    <w:rsid w:val="1DD70E85"/>
    <w:rsid w:val="1DE74AD7"/>
    <w:rsid w:val="1DF60A19"/>
    <w:rsid w:val="1DFA6713"/>
    <w:rsid w:val="1E050843"/>
    <w:rsid w:val="1E073DD1"/>
    <w:rsid w:val="1E1024E2"/>
    <w:rsid w:val="1E2D3FB0"/>
    <w:rsid w:val="1E2E50F1"/>
    <w:rsid w:val="1E3B4E26"/>
    <w:rsid w:val="1E7D7293"/>
    <w:rsid w:val="1E98319D"/>
    <w:rsid w:val="1ED22D79"/>
    <w:rsid w:val="1EDF707D"/>
    <w:rsid w:val="1EE1330D"/>
    <w:rsid w:val="1F0A48F8"/>
    <w:rsid w:val="1F1C3919"/>
    <w:rsid w:val="1F2332A4"/>
    <w:rsid w:val="1F340FC0"/>
    <w:rsid w:val="1F394761"/>
    <w:rsid w:val="1F5008F0"/>
    <w:rsid w:val="1F65664C"/>
    <w:rsid w:val="1F7C149A"/>
    <w:rsid w:val="1F84140D"/>
    <w:rsid w:val="1F9B7FFD"/>
    <w:rsid w:val="1F9C7614"/>
    <w:rsid w:val="1FBE1971"/>
    <w:rsid w:val="1FFE648A"/>
    <w:rsid w:val="2008768D"/>
    <w:rsid w:val="202231C7"/>
    <w:rsid w:val="204B327F"/>
    <w:rsid w:val="204C2B10"/>
    <w:rsid w:val="207D30AD"/>
    <w:rsid w:val="209064B9"/>
    <w:rsid w:val="20970D81"/>
    <w:rsid w:val="20AA1E26"/>
    <w:rsid w:val="20CB235B"/>
    <w:rsid w:val="20D165D5"/>
    <w:rsid w:val="210878E6"/>
    <w:rsid w:val="210E1408"/>
    <w:rsid w:val="211069AD"/>
    <w:rsid w:val="21573FAB"/>
    <w:rsid w:val="2172069C"/>
    <w:rsid w:val="21733A6D"/>
    <w:rsid w:val="21831B09"/>
    <w:rsid w:val="21834E87"/>
    <w:rsid w:val="21893A13"/>
    <w:rsid w:val="21987BC4"/>
    <w:rsid w:val="21BE314A"/>
    <w:rsid w:val="21E17924"/>
    <w:rsid w:val="220451AB"/>
    <w:rsid w:val="2237486E"/>
    <w:rsid w:val="223D1378"/>
    <w:rsid w:val="22451BC7"/>
    <w:rsid w:val="224805CD"/>
    <w:rsid w:val="225E5972"/>
    <w:rsid w:val="22940650"/>
    <w:rsid w:val="22A918EC"/>
    <w:rsid w:val="22AD4B1E"/>
    <w:rsid w:val="22B53180"/>
    <w:rsid w:val="22C43743"/>
    <w:rsid w:val="22D31DF3"/>
    <w:rsid w:val="22DC55BE"/>
    <w:rsid w:val="22E90157"/>
    <w:rsid w:val="22F506E6"/>
    <w:rsid w:val="22FD3CF7"/>
    <w:rsid w:val="232B0BC0"/>
    <w:rsid w:val="232C221B"/>
    <w:rsid w:val="2356249E"/>
    <w:rsid w:val="23651AF0"/>
    <w:rsid w:val="236E713A"/>
    <w:rsid w:val="23700968"/>
    <w:rsid w:val="238761A6"/>
    <w:rsid w:val="23920578"/>
    <w:rsid w:val="239A46F7"/>
    <w:rsid w:val="23BB6F9A"/>
    <w:rsid w:val="23FC3864"/>
    <w:rsid w:val="24190849"/>
    <w:rsid w:val="244E72FB"/>
    <w:rsid w:val="2472475B"/>
    <w:rsid w:val="24857B00"/>
    <w:rsid w:val="24A86E33"/>
    <w:rsid w:val="24B473C2"/>
    <w:rsid w:val="24F25212"/>
    <w:rsid w:val="250848CE"/>
    <w:rsid w:val="25087C0C"/>
    <w:rsid w:val="251B0465"/>
    <w:rsid w:val="25230CFB"/>
    <w:rsid w:val="254B0AC6"/>
    <w:rsid w:val="25571AB6"/>
    <w:rsid w:val="2561056D"/>
    <w:rsid w:val="257264FC"/>
    <w:rsid w:val="2577160A"/>
    <w:rsid w:val="259C5A45"/>
    <w:rsid w:val="25A634D3"/>
    <w:rsid w:val="25AC31DE"/>
    <w:rsid w:val="25B40AD6"/>
    <w:rsid w:val="25BE7872"/>
    <w:rsid w:val="25BF702A"/>
    <w:rsid w:val="26390459"/>
    <w:rsid w:val="264D2D17"/>
    <w:rsid w:val="26661BB3"/>
    <w:rsid w:val="26773DC1"/>
    <w:rsid w:val="26D50E55"/>
    <w:rsid w:val="27015D0E"/>
    <w:rsid w:val="271A539C"/>
    <w:rsid w:val="273823FA"/>
    <w:rsid w:val="273F2E00"/>
    <w:rsid w:val="274972D4"/>
    <w:rsid w:val="27683133"/>
    <w:rsid w:val="276C1B3A"/>
    <w:rsid w:val="276F2ABE"/>
    <w:rsid w:val="2792001F"/>
    <w:rsid w:val="27AA3D97"/>
    <w:rsid w:val="28046835"/>
    <w:rsid w:val="280A3758"/>
    <w:rsid w:val="28292E99"/>
    <w:rsid w:val="284E28FF"/>
    <w:rsid w:val="289057C5"/>
    <w:rsid w:val="28A67C7A"/>
    <w:rsid w:val="28BD3A65"/>
    <w:rsid w:val="28EA3248"/>
    <w:rsid w:val="28EB582E"/>
    <w:rsid w:val="28F72F97"/>
    <w:rsid w:val="28F879DA"/>
    <w:rsid w:val="29053E59"/>
    <w:rsid w:val="29105A6E"/>
    <w:rsid w:val="291F2805"/>
    <w:rsid w:val="294B7731"/>
    <w:rsid w:val="29514455"/>
    <w:rsid w:val="29560760"/>
    <w:rsid w:val="29585E62"/>
    <w:rsid w:val="29BF6B0B"/>
    <w:rsid w:val="29C72A75"/>
    <w:rsid w:val="29D21FF2"/>
    <w:rsid w:val="2A611B0F"/>
    <w:rsid w:val="2A8843A3"/>
    <w:rsid w:val="2A9D2C76"/>
    <w:rsid w:val="2AC1762B"/>
    <w:rsid w:val="2AE546EF"/>
    <w:rsid w:val="2AE845D0"/>
    <w:rsid w:val="2B1264B8"/>
    <w:rsid w:val="2B3134E9"/>
    <w:rsid w:val="2B4975FB"/>
    <w:rsid w:val="2B695031"/>
    <w:rsid w:val="2B735A8F"/>
    <w:rsid w:val="2B9A7696"/>
    <w:rsid w:val="2BA7478D"/>
    <w:rsid w:val="2BB038DB"/>
    <w:rsid w:val="2BB761E0"/>
    <w:rsid w:val="2BB812F9"/>
    <w:rsid w:val="2BE35C27"/>
    <w:rsid w:val="2BFA504B"/>
    <w:rsid w:val="2C12605B"/>
    <w:rsid w:val="2C133ADC"/>
    <w:rsid w:val="2C493FB6"/>
    <w:rsid w:val="2C681F1F"/>
    <w:rsid w:val="2C7C756D"/>
    <w:rsid w:val="2C8608DC"/>
    <w:rsid w:val="2CA4764A"/>
    <w:rsid w:val="2CC42ECA"/>
    <w:rsid w:val="2CCC7A22"/>
    <w:rsid w:val="2CDA4349"/>
    <w:rsid w:val="2D225539"/>
    <w:rsid w:val="2D4618D2"/>
    <w:rsid w:val="2D5F021B"/>
    <w:rsid w:val="2D6E1286"/>
    <w:rsid w:val="2D6E6317"/>
    <w:rsid w:val="2D70583E"/>
    <w:rsid w:val="2D8639BE"/>
    <w:rsid w:val="2DA07759"/>
    <w:rsid w:val="2E0671FC"/>
    <w:rsid w:val="2E0725DC"/>
    <w:rsid w:val="2E1B4BB8"/>
    <w:rsid w:val="2E256CB6"/>
    <w:rsid w:val="2E5F27E4"/>
    <w:rsid w:val="2EBD223E"/>
    <w:rsid w:val="2EC10AD1"/>
    <w:rsid w:val="2ECB6A5A"/>
    <w:rsid w:val="2EE65418"/>
    <w:rsid w:val="2EFC0112"/>
    <w:rsid w:val="2F0F45A5"/>
    <w:rsid w:val="2F0F6197"/>
    <w:rsid w:val="2F2B730D"/>
    <w:rsid w:val="2F6241C8"/>
    <w:rsid w:val="2F6A001E"/>
    <w:rsid w:val="2F9F3DC1"/>
    <w:rsid w:val="2FB177CB"/>
    <w:rsid w:val="2FDF2898"/>
    <w:rsid w:val="2FEC1BAE"/>
    <w:rsid w:val="2FFC7AC2"/>
    <w:rsid w:val="301430AF"/>
    <w:rsid w:val="30594760"/>
    <w:rsid w:val="30630612"/>
    <w:rsid w:val="308E59B0"/>
    <w:rsid w:val="309532C1"/>
    <w:rsid w:val="30B10568"/>
    <w:rsid w:val="30E070F0"/>
    <w:rsid w:val="30E55DD3"/>
    <w:rsid w:val="30E57BC8"/>
    <w:rsid w:val="30E60399"/>
    <w:rsid w:val="310E2F8A"/>
    <w:rsid w:val="31356AA5"/>
    <w:rsid w:val="313E22F0"/>
    <w:rsid w:val="31A359FC"/>
    <w:rsid w:val="31B0194C"/>
    <w:rsid w:val="31CE17D1"/>
    <w:rsid w:val="31FD161E"/>
    <w:rsid w:val="32203ECE"/>
    <w:rsid w:val="32270449"/>
    <w:rsid w:val="323E4515"/>
    <w:rsid w:val="326A4E14"/>
    <w:rsid w:val="3286389B"/>
    <w:rsid w:val="32994FDB"/>
    <w:rsid w:val="32CF5C94"/>
    <w:rsid w:val="32D337C7"/>
    <w:rsid w:val="32E200EC"/>
    <w:rsid w:val="32E5408B"/>
    <w:rsid w:val="32E97F2B"/>
    <w:rsid w:val="32EB0D70"/>
    <w:rsid w:val="330E785B"/>
    <w:rsid w:val="332824BC"/>
    <w:rsid w:val="332868BB"/>
    <w:rsid w:val="333211F3"/>
    <w:rsid w:val="33504B41"/>
    <w:rsid w:val="33747E76"/>
    <w:rsid w:val="338B4A07"/>
    <w:rsid w:val="33944811"/>
    <w:rsid w:val="339A1665"/>
    <w:rsid w:val="33BE79A7"/>
    <w:rsid w:val="33CE0488"/>
    <w:rsid w:val="33F971D5"/>
    <w:rsid w:val="33FE7DDA"/>
    <w:rsid w:val="341D31EE"/>
    <w:rsid w:val="34262463"/>
    <w:rsid w:val="34296F31"/>
    <w:rsid w:val="34340A27"/>
    <w:rsid w:val="345871EF"/>
    <w:rsid w:val="345A26F2"/>
    <w:rsid w:val="346A2989"/>
    <w:rsid w:val="34725B9A"/>
    <w:rsid w:val="34762022"/>
    <w:rsid w:val="348865E9"/>
    <w:rsid w:val="348979BE"/>
    <w:rsid w:val="348F70D5"/>
    <w:rsid w:val="349D2BAD"/>
    <w:rsid w:val="34B25886"/>
    <w:rsid w:val="34E538E1"/>
    <w:rsid w:val="35277FF8"/>
    <w:rsid w:val="35763460"/>
    <w:rsid w:val="35776F72"/>
    <w:rsid w:val="3596247A"/>
    <w:rsid w:val="35997371"/>
    <w:rsid w:val="35BC359E"/>
    <w:rsid w:val="35CD6D50"/>
    <w:rsid w:val="35CF5AD7"/>
    <w:rsid w:val="35DA3A24"/>
    <w:rsid w:val="35DD4D47"/>
    <w:rsid w:val="35EF058A"/>
    <w:rsid w:val="360134DF"/>
    <w:rsid w:val="360B1E2F"/>
    <w:rsid w:val="360D500F"/>
    <w:rsid w:val="36104342"/>
    <w:rsid w:val="36330424"/>
    <w:rsid w:val="36766478"/>
    <w:rsid w:val="36A54835"/>
    <w:rsid w:val="36B4704E"/>
    <w:rsid w:val="36C066E4"/>
    <w:rsid w:val="36FE3ABA"/>
    <w:rsid w:val="37072BDE"/>
    <w:rsid w:val="3717386F"/>
    <w:rsid w:val="3727738D"/>
    <w:rsid w:val="37455334"/>
    <w:rsid w:val="37527C32"/>
    <w:rsid w:val="37731921"/>
    <w:rsid w:val="379C154A"/>
    <w:rsid w:val="379C3AC9"/>
    <w:rsid w:val="37E509C0"/>
    <w:rsid w:val="37E96FB8"/>
    <w:rsid w:val="37EB70CB"/>
    <w:rsid w:val="38222D85"/>
    <w:rsid w:val="385B6485"/>
    <w:rsid w:val="38767A34"/>
    <w:rsid w:val="38803721"/>
    <w:rsid w:val="388572C9"/>
    <w:rsid w:val="38925A62"/>
    <w:rsid w:val="389F5F4F"/>
    <w:rsid w:val="38C36BA2"/>
    <w:rsid w:val="38D34E55"/>
    <w:rsid w:val="38DC7CD8"/>
    <w:rsid w:val="38E11CEF"/>
    <w:rsid w:val="38F6595C"/>
    <w:rsid w:val="391702A7"/>
    <w:rsid w:val="39286EB6"/>
    <w:rsid w:val="39601DF4"/>
    <w:rsid w:val="396960F3"/>
    <w:rsid w:val="39840D35"/>
    <w:rsid w:val="398F107C"/>
    <w:rsid w:val="39A97DAF"/>
    <w:rsid w:val="39BF365D"/>
    <w:rsid w:val="39CD1330"/>
    <w:rsid w:val="39DD1AFF"/>
    <w:rsid w:val="39FE32B3"/>
    <w:rsid w:val="3A2510B9"/>
    <w:rsid w:val="3A2B0CF2"/>
    <w:rsid w:val="3A2B1DFC"/>
    <w:rsid w:val="3AA6422C"/>
    <w:rsid w:val="3AAF46D5"/>
    <w:rsid w:val="3AE17129"/>
    <w:rsid w:val="3AF562AE"/>
    <w:rsid w:val="3B083765"/>
    <w:rsid w:val="3B135A0E"/>
    <w:rsid w:val="3B183213"/>
    <w:rsid w:val="3B272BBC"/>
    <w:rsid w:val="3B374FEE"/>
    <w:rsid w:val="3B4410EE"/>
    <w:rsid w:val="3B46744C"/>
    <w:rsid w:val="3B56159C"/>
    <w:rsid w:val="3B596DF7"/>
    <w:rsid w:val="3B6C128B"/>
    <w:rsid w:val="3B7C1525"/>
    <w:rsid w:val="3B7D732B"/>
    <w:rsid w:val="3BD30423"/>
    <w:rsid w:val="3BD5567A"/>
    <w:rsid w:val="3BDB4DC2"/>
    <w:rsid w:val="3BF3026A"/>
    <w:rsid w:val="3C14299D"/>
    <w:rsid w:val="3C39515C"/>
    <w:rsid w:val="3C62051E"/>
    <w:rsid w:val="3C6C0B58"/>
    <w:rsid w:val="3C945583"/>
    <w:rsid w:val="3CBE41D5"/>
    <w:rsid w:val="3D446B0E"/>
    <w:rsid w:val="3D6C4254"/>
    <w:rsid w:val="3D745844"/>
    <w:rsid w:val="3D8626D0"/>
    <w:rsid w:val="3D8C1AA8"/>
    <w:rsid w:val="3D953A6B"/>
    <w:rsid w:val="3DBB5979"/>
    <w:rsid w:val="3DCA206F"/>
    <w:rsid w:val="3DD2747B"/>
    <w:rsid w:val="3DD56F21"/>
    <w:rsid w:val="3DEF6699"/>
    <w:rsid w:val="3E025A4C"/>
    <w:rsid w:val="3E1057AF"/>
    <w:rsid w:val="3E6C0DFA"/>
    <w:rsid w:val="3E6C767A"/>
    <w:rsid w:val="3E740322"/>
    <w:rsid w:val="3E7F4380"/>
    <w:rsid w:val="3E881999"/>
    <w:rsid w:val="3E8D171B"/>
    <w:rsid w:val="3E9052B0"/>
    <w:rsid w:val="3EA5630D"/>
    <w:rsid w:val="3EB035E6"/>
    <w:rsid w:val="3EBA731B"/>
    <w:rsid w:val="3EC07104"/>
    <w:rsid w:val="3EE33949"/>
    <w:rsid w:val="3EFB5800"/>
    <w:rsid w:val="3F1A5214"/>
    <w:rsid w:val="3F3B4E59"/>
    <w:rsid w:val="3F3E79D2"/>
    <w:rsid w:val="3F6E677C"/>
    <w:rsid w:val="3F712F46"/>
    <w:rsid w:val="3FBC0EF7"/>
    <w:rsid w:val="3FCD2AB9"/>
    <w:rsid w:val="3FCD4B44"/>
    <w:rsid w:val="3FD17600"/>
    <w:rsid w:val="3FFF0C57"/>
    <w:rsid w:val="402C3DD7"/>
    <w:rsid w:val="402E7C36"/>
    <w:rsid w:val="4050218A"/>
    <w:rsid w:val="40505291"/>
    <w:rsid w:val="4054751A"/>
    <w:rsid w:val="405C7868"/>
    <w:rsid w:val="406B3BF6"/>
    <w:rsid w:val="408B24EB"/>
    <w:rsid w:val="408D1DBF"/>
    <w:rsid w:val="40900279"/>
    <w:rsid w:val="40954700"/>
    <w:rsid w:val="40C652D1"/>
    <w:rsid w:val="40DE5DF9"/>
    <w:rsid w:val="40F40090"/>
    <w:rsid w:val="41130852"/>
    <w:rsid w:val="415006B7"/>
    <w:rsid w:val="417044B8"/>
    <w:rsid w:val="41780576"/>
    <w:rsid w:val="41A203A0"/>
    <w:rsid w:val="41A25D3E"/>
    <w:rsid w:val="41C77987"/>
    <w:rsid w:val="41D45B33"/>
    <w:rsid w:val="41E83F8C"/>
    <w:rsid w:val="421C17EA"/>
    <w:rsid w:val="422D1842"/>
    <w:rsid w:val="4247794A"/>
    <w:rsid w:val="424A08CF"/>
    <w:rsid w:val="425B7C31"/>
    <w:rsid w:val="42654219"/>
    <w:rsid w:val="427D66D0"/>
    <w:rsid w:val="42B559FF"/>
    <w:rsid w:val="42BC7E02"/>
    <w:rsid w:val="42C82575"/>
    <w:rsid w:val="42C96C1E"/>
    <w:rsid w:val="43022EE1"/>
    <w:rsid w:val="431A5F8F"/>
    <w:rsid w:val="431F247A"/>
    <w:rsid w:val="43335E8F"/>
    <w:rsid w:val="433F2968"/>
    <w:rsid w:val="435F0417"/>
    <w:rsid w:val="43655F7F"/>
    <w:rsid w:val="43676E20"/>
    <w:rsid w:val="436F06B1"/>
    <w:rsid w:val="43A31040"/>
    <w:rsid w:val="43BB74AB"/>
    <w:rsid w:val="43BF774E"/>
    <w:rsid w:val="43CD062F"/>
    <w:rsid w:val="43E13FB1"/>
    <w:rsid w:val="43E214F9"/>
    <w:rsid w:val="43F06264"/>
    <w:rsid w:val="440F27B9"/>
    <w:rsid w:val="44223AB6"/>
    <w:rsid w:val="44235BD6"/>
    <w:rsid w:val="44404C8E"/>
    <w:rsid w:val="447537F1"/>
    <w:rsid w:val="44827275"/>
    <w:rsid w:val="44870D07"/>
    <w:rsid w:val="44D33826"/>
    <w:rsid w:val="451E70F3"/>
    <w:rsid w:val="45344EFF"/>
    <w:rsid w:val="453950E7"/>
    <w:rsid w:val="45512DC5"/>
    <w:rsid w:val="45513D03"/>
    <w:rsid w:val="45541E1C"/>
    <w:rsid w:val="4583011C"/>
    <w:rsid w:val="45A063C7"/>
    <w:rsid w:val="45E35BB7"/>
    <w:rsid w:val="45FE7734"/>
    <w:rsid w:val="461F0A8B"/>
    <w:rsid w:val="4648721E"/>
    <w:rsid w:val="46663E71"/>
    <w:rsid w:val="466A37AC"/>
    <w:rsid w:val="468A1A00"/>
    <w:rsid w:val="4698695F"/>
    <w:rsid w:val="46AD366A"/>
    <w:rsid w:val="46CB071B"/>
    <w:rsid w:val="46DE140B"/>
    <w:rsid w:val="46E77334"/>
    <w:rsid w:val="46F22E29"/>
    <w:rsid w:val="46F7142F"/>
    <w:rsid w:val="4703600F"/>
    <w:rsid w:val="47107AE3"/>
    <w:rsid w:val="473C62ED"/>
    <w:rsid w:val="473D70ED"/>
    <w:rsid w:val="47565A99"/>
    <w:rsid w:val="47617242"/>
    <w:rsid w:val="476F0BC1"/>
    <w:rsid w:val="478C16C9"/>
    <w:rsid w:val="47986502"/>
    <w:rsid w:val="47BD246B"/>
    <w:rsid w:val="47CB2B0C"/>
    <w:rsid w:val="47E773CE"/>
    <w:rsid w:val="47EE2C9A"/>
    <w:rsid w:val="47F00499"/>
    <w:rsid w:val="48015FF5"/>
    <w:rsid w:val="482A4397"/>
    <w:rsid w:val="48310C7F"/>
    <w:rsid w:val="483820D2"/>
    <w:rsid w:val="48692CD0"/>
    <w:rsid w:val="488A6D8F"/>
    <w:rsid w:val="48AE3D01"/>
    <w:rsid w:val="48B25D55"/>
    <w:rsid w:val="48B96318"/>
    <w:rsid w:val="49067B2F"/>
    <w:rsid w:val="49100B80"/>
    <w:rsid w:val="49131272"/>
    <w:rsid w:val="495367D8"/>
    <w:rsid w:val="49677E31"/>
    <w:rsid w:val="496C2225"/>
    <w:rsid w:val="49A35E02"/>
    <w:rsid w:val="49AE2880"/>
    <w:rsid w:val="49BD3C89"/>
    <w:rsid w:val="49F42EAF"/>
    <w:rsid w:val="4A337323"/>
    <w:rsid w:val="4A5B28DC"/>
    <w:rsid w:val="4AA06B93"/>
    <w:rsid w:val="4ADB18EB"/>
    <w:rsid w:val="4B3A6FE7"/>
    <w:rsid w:val="4B610AB6"/>
    <w:rsid w:val="4B96118E"/>
    <w:rsid w:val="4BAE1B66"/>
    <w:rsid w:val="4BBF6159"/>
    <w:rsid w:val="4BC806E6"/>
    <w:rsid w:val="4BC92A64"/>
    <w:rsid w:val="4BE1398E"/>
    <w:rsid w:val="4BE75898"/>
    <w:rsid w:val="4BED4708"/>
    <w:rsid w:val="4BF133DC"/>
    <w:rsid w:val="4BFA3233"/>
    <w:rsid w:val="4C1A4AD9"/>
    <w:rsid w:val="4C2430DE"/>
    <w:rsid w:val="4C2E4987"/>
    <w:rsid w:val="4C4117A4"/>
    <w:rsid w:val="4C501A44"/>
    <w:rsid w:val="4C507D4A"/>
    <w:rsid w:val="4C552648"/>
    <w:rsid w:val="4CCB00BB"/>
    <w:rsid w:val="4CD60F91"/>
    <w:rsid w:val="4CDF5563"/>
    <w:rsid w:val="4CE566B4"/>
    <w:rsid w:val="4CFB2214"/>
    <w:rsid w:val="4D2C4D26"/>
    <w:rsid w:val="4D335E0E"/>
    <w:rsid w:val="4D4759EB"/>
    <w:rsid w:val="4D4E4EA3"/>
    <w:rsid w:val="4D9A5B1B"/>
    <w:rsid w:val="4DA41071"/>
    <w:rsid w:val="4DA55D85"/>
    <w:rsid w:val="4DBB20DB"/>
    <w:rsid w:val="4DC515A5"/>
    <w:rsid w:val="4DDC3F22"/>
    <w:rsid w:val="4DE66FB2"/>
    <w:rsid w:val="4DEC6CB8"/>
    <w:rsid w:val="4E0B7AAF"/>
    <w:rsid w:val="4E1040C7"/>
    <w:rsid w:val="4E1760BF"/>
    <w:rsid w:val="4E30647F"/>
    <w:rsid w:val="4E353A96"/>
    <w:rsid w:val="4E3E59EC"/>
    <w:rsid w:val="4E5D2C75"/>
    <w:rsid w:val="4EBA03C3"/>
    <w:rsid w:val="4EBC5459"/>
    <w:rsid w:val="4ED94CB0"/>
    <w:rsid w:val="4EEC2ED3"/>
    <w:rsid w:val="4F0E56EA"/>
    <w:rsid w:val="4F194455"/>
    <w:rsid w:val="4F27299F"/>
    <w:rsid w:val="4F2E11BC"/>
    <w:rsid w:val="4F3C4343"/>
    <w:rsid w:val="4F416688"/>
    <w:rsid w:val="4F531CB1"/>
    <w:rsid w:val="4F5620B0"/>
    <w:rsid w:val="4F616EB4"/>
    <w:rsid w:val="4F660CD1"/>
    <w:rsid w:val="4F6654EE"/>
    <w:rsid w:val="4F7379C6"/>
    <w:rsid w:val="4F872BDB"/>
    <w:rsid w:val="4F9B7EA7"/>
    <w:rsid w:val="4FA033E9"/>
    <w:rsid w:val="4FA743DA"/>
    <w:rsid w:val="4FB3565A"/>
    <w:rsid w:val="4FC4714D"/>
    <w:rsid w:val="4FD571A2"/>
    <w:rsid w:val="502C5217"/>
    <w:rsid w:val="503D1C79"/>
    <w:rsid w:val="504925C9"/>
    <w:rsid w:val="507A6406"/>
    <w:rsid w:val="507F399C"/>
    <w:rsid w:val="50853863"/>
    <w:rsid w:val="508A4590"/>
    <w:rsid w:val="50F1461D"/>
    <w:rsid w:val="50FE5411"/>
    <w:rsid w:val="510B072E"/>
    <w:rsid w:val="511B0BF4"/>
    <w:rsid w:val="51264306"/>
    <w:rsid w:val="5126542F"/>
    <w:rsid w:val="513015C2"/>
    <w:rsid w:val="514E62C9"/>
    <w:rsid w:val="516123CE"/>
    <w:rsid w:val="51932FAD"/>
    <w:rsid w:val="51934B20"/>
    <w:rsid w:val="51B177A9"/>
    <w:rsid w:val="51E066EB"/>
    <w:rsid w:val="52210B4A"/>
    <w:rsid w:val="52640E8B"/>
    <w:rsid w:val="5267570A"/>
    <w:rsid w:val="52707792"/>
    <w:rsid w:val="52734B8D"/>
    <w:rsid w:val="528278EA"/>
    <w:rsid w:val="528D02F2"/>
    <w:rsid w:val="52A12CDC"/>
    <w:rsid w:val="52DF0C92"/>
    <w:rsid w:val="52E1159C"/>
    <w:rsid w:val="52E34D6A"/>
    <w:rsid w:val="52FB07DC"/>
    <w:rsid w:val="530C1269"/>
    <w:rsid w:val="530C784E"/>
    <w:rsid w:val="53112F32"/>
    <w:rsid w:val="531E524E"/>
    <w:rsid w:val="53300D07"/>
    <w:rsid w:val="534072EB"/>
    <w:rsid w:val="53522541"/>
    <w:rsid w:val="53560F47"/>
    <w:rsid w:val="53581ECC"/>
    <w:rsid w:val="537648BE"/>
    <w:rsid w:val="53856213"/>
    <w:rsid w:val="538E2D0B"/>
    <w:rsid w:val="53922782"/>
    <w:rsid w:val="539C1424"/>
    <w:rsid w:val="53A639C0"/>
    <w:rsid w:val="53F00A24"/>
    <w:rsid w:val="53F63DBA"/>
    <w:rsid w:val="53FF492A"/>
    <w:rsid w:val="54261D4F"/>
    <w:rsid w:val="5448624E"/>
    <w:rsid w:val="54492049"/>
    <w:rsid w:val="546C5CFA"/>
    <w:rsid w:val="546E2B1A"/>
    <w:rsid w:val="5482555F"/>
    <w:rsid w:val="54987BA5"/>
    <w:rsid w:val="54A31DD8"/>
    <w:rsid w:val="54AA6F8B"/>
    <w:rsid w:val="54B23402"/>
    <w:rsid w:val="54C10199"/>
    <w:rsid w:val="54D26583"/>
    <w:rsid w:val="54FA7092"/>
    <w:rsid w:val="55350158"/>
    <w:rsid w:val="55363E67"/>
    <w:rsid w:val="55506783"/>
    <w:rsid w:val="556E6DF7"/>
    <w:rsid w:val="55965CE3"/>
    <w:rsid w:val="559D47CE"/>
    <w:rsid w:val="55BE1959"/>
    <w:rsid w:val="55E759FD"/>
    <w:rsid w:val="56232437"/>
    <w:rsid w:val="563F7711"/>
    <w:rsid w:val="56541A75"/>
    <w:rsid w:val="56755377"/>
    <w:rsid w:val="56856B80"/>
    <w:rsid w:val="568832FC"/>
    <w:rsid w:val="568B650B"/>
    <w:rsid w:val="568C4181"/>
    <w:rsid w:val="56995821"/>
    <w:rsid w:val="56E46B9A"/>
    <w:rsid w:val="570725A9"/>
    <w:rsid w:val="5714693E"/>
    <w:rsid w:val="571D0C9C"/>
    <w:rsid w:val="573A16CE"/>
    <w:rsid w:val="57482A8C"/>
    <w:rsid w:val="577C78E0"/>
    <w:rsid w:val="578D049F"/>
    <w:rsid w:val="579C7F80"/>
    <w:rsid w:val="57B30D7C"/>
    <w:rsid w:val="58166B03"/>
    <w:rsid w:val="583E3C94"/>
    <w:rsid w:val="584E7471"/>
    <w:rsid w:val="585D6406"/>
    <w:rsid w:val="58721734"/>
    <w:rsid w:val="58900246"/>
    <w:rsid w:val="58977358"/>
    <w:rsid w:val="58A96885"/>
    <w:rsid w:val="58CB5DC0"/>
    <w:rsid w:val="58D53944"/>
    <w:rsid w:val="58D65478"/>
    <w:rsid w:val="58E0315C"/>
    <w:rsid w:val="58F52487"/>
    <w:rsid w:val="58F9403E"/>
    <w:rsid w:val="590422E6"/>
    <w:rsid w:val="592257E5"/>
    <w:rsid w:val="59635CB4"/>
    <w:rsid w:val="59655E33"/>
    <w:rsid w:val="596E1AC6"/>
    <w:rsid w:val="5970233D"/>
    <w:rsid w:val="59843C6A"/>
    <w:rsid w:val="59BD1846"/>
    <w:rsid w:val="59CF5BD9"/>
    <w:rsid w:val="59E20C3C"/>
    <w:rsid w:val="59E3512D"/>
    <w:rsid w:val="5A001BC6"/>
    <w:rsid w:val="5A1D5B0A"/>
    <w:rsid w:val="5A20736C"/>
    <w:rsid w:val="5A2447F3"/>
    <w:rsid w:val="5A3B4B4E"/>
    <w:rsid w:val="5A4804CA"/>
    <w:rsid w:val="5A5233BE"/>
    <w:rsid w:val="5A594C85"/>
    <w:rsid w:val="5A8842AA"/>
    <w:rsid w:val="5AEB1E3C"/>
    <w:rsid w:val="5B0B05EE"/>
    <w:rsid w:val="5B2507CA"/>
    <w:rsid w:val="5B2A474A"/>
    <w:rsid w:val="5B2D237E"/>
    <w:rsid w:val="5B375244"/>
    <w:rsid w:val="5B4D6AD9"/>
    <w:rsid w:val="5B5D2E9C"/>
    <w:rsid w:val="5B5E47F5"/>
    <w:rsid w:val="5B612747"/>
    <w:rsid w:val="5B830730"/>
    <w:rsid w:val="5BBB2DD6"/>
    <w:rsid w:val="5BD6009C"/>
    <w:rsid w:val="5BD91F40"/>
    <w:rsid w:val="5BE263B6"/>
    <w:rsid w:val="5BF96BF2"/>
    <w:rsid w:val="5C527FC6"/>
    <w:rsid w:val="5C6340A3"/>
    <w:rsid w:val="5C8E5C5A"/>
    <w:rsid w:val="5C965E61"/>
    <w:rsid w:val="5CD839BA"/>
    <w:rsid w:val="5CDE0169"/>
    <w:rsid w:val="5CF0089C"/>
    <w:rsid w:val="5CF5796F"/>
    <w:rsid w:val="5D242A11"/>
    <w:rsid w:val="5D6621C0"/>
    <w:rsid w:val="5D9217C2"/>
    <w:rsid w:val="5DAD06BF"/>
    <w:rsid w:val="5DC92CE9"/>
    <w:rsid w:val="5DD21CFB"/>
    <w:rsid w:val="5DE23CB3"/>
    <w:rsid w:val="5DE97EEC"/>
    <w:rsid w:val="5DFA5EB0"/>
    <w:rsid w:val="5E000E4D"/>
    <w:rsid w:val="5E0B583E"/>
    <w:rsid w:val="5E0E085B"/>
    <w:rsid w:val="5E201A7B"/>
    <w:rsid w:val="5E302094"/>
    <w:rsid w:val="5E6C6ACB"/>
    <w:rsid w:val="5EA45884"/>
    <w:rsid w:val="5EBD0484"/>
    <w:rsid w:val="5EC75A8B"/>
    <w:rsid w:val="5EFE39E7"/>
    <w:rsid w:val="5F202D31"/>
    <w:rsid w:val="5F2C5C7C"/>
    <w:rsid w:val="5F36141C"/>
    <w:rsid w:val="5FC5273F"/>
    <w:rsid w:val="5FCA1E36"/>
    <w:rsid w:val="5FD501C7"/>
    <w:rsid w:val="5FD64459"/>
    <w:rsid w:val="5FDA03DC"/>
    <w:rsid w:val="5FE33352"/>
    <w:rsid w:val="60312ADF"/>
    <w:rsid w:val="604F6C39"/>
    <w:rsid w:val="605E26A9"/>
    <w:rsid w:val="606851B7"/>
    <w:rsid w:val="60806DF2"/>
    <w:rsid w:val="60E346F1"/>
    <w:rsid w:val="61072DA5"/>
    <w:rsid w:val="611C0817"/>
    <w:rsid w:val="61224A52"/>
    <w:rsid w:val="612F4F80"/>
    <w:rsid w:val="61300818"/>
    <w:rsid w:val="61520CCB"/>
    <w:rsid w:val="616D02E8"/>
    <w:rsid w:val="61851A29"/>
    <w:rsid w:val="61B52C5B"/>
    <w:rsid w:val="61D21CA3"/>
    <w:rsid w:val="61DF7484"/>
    <w:rsid w:val="621F230A"/>
    <w:rsid w:val="622D1522"/>
    <w:rsid w:val="622E0574"/>
    <w:rsid w:val="62683B6B"/>
    <w:rsid w:val="6275761C"/>
    <w:rsid w:val="62816E52"/>
    <w:rsid w:val="62A24E62"/>
    <w:rsid w:val="62AB7BE6"/>
    <w:rsid w:val="62AC5944"/>
    <w:rsid w:val="62AE2E73"/>
    <w:rsid w:val="63122B97"/>
    <w:rsid w:val="632F3F8A"/>
    <w:rsid w:val="63332842"/>
    <w:rsid w:val="63716241"/>
    <w:rsid w:val="637279B4"/>
    <w:rsid w:val="63817D2B"/>
    <w:rsid w:val="638E7F62"/>
    <w:rsid w:val="63BD1FA9"/>
    <w:rsid w:val="63D175D1"/>
    <w:rsid w:val="63D27965"/>
    <w:rsid w:val="63F4667E"/>
    <w:rsid w:val="64095516"/>
    <w:rsid w:val="641A2468"/>
    <w:rsid w:val="64372F20"/>
    <w:rsid w:val="6476245E"/>
    <w:rsid w:val="648944D0"/>
    <w:rsid w:val="649D011F"/>
    <w:rsid w:val="64B322C3"/>
    <w:rsid w:val="64B47D45"/>
    <w:rsid w:val="64D7377C"/>
    <w:rsid w:val="64DC72D7"/>
    <w:rsid w:val="64F565B0"/>
    <w:rsid w:val="64FA42B4"/>
    <w:rsid w:val="65123962"/>
    <w:rsid w:val="653619A6"/>
    <w:rsid w:val="653F572A"/>
    <w:rsid w:val="65610A02"/>
    <w:rsid w:val="658C0E37"/>
    <w:rsid w:val="65A11EA3"/>
    <w:rsid w:val="65AA4DDA"/>
    <w:rsid w:val="65AC3D66"/>
    <w:rsid w:val="65BB5334"/>
    <w:rsid w:val="65CD2685"/>
    <w:rsid w:val="65E671BD"/>
    <w:rsid w:val="65F52BF0"/>
    <w:rsid w:val="663E1DBA"/>
    <w:rsid w:val="665D0213"/>
    <w:rsid w:val="668506C7"/>
    <w:rsid w:val="669E59F1"/>
    <w:rsid w:val="66A2024B"/>
    <w:rsid w:val="66CB5E2D"/>
    <w:rsid w:val="66E35DDB"/>
    <w:rsid w:val="6704732B"/>
    <w:rsid w:val="670A5C9B"/>
    <w:rsid w:val="670F6731"/>
    <w:rsid w:val="674C1F87"/>
    <w:rsid w:val="67585CB0"/>
    <w:rsid w:val="67770F0C"/>
    <w:rsid w:val="678E0472"/>
    <w:rsid w:val="679E649A"/>
    <w:rsid w:val="67B03535"/>
    <w:rsid w:val="67CF2561"/>
    <w:rsid w:val="67EA0B8C"/>
    <w:rsid w:val="68174F69"/>
    <w:rsid w:val="682C436A"/>
    <w:rsid w:val="68382778"/>
    <w:rsid w:val="68391F41"/>
    <w:rsid w:val="683F6098"/>
    <w:rsid w:val="68436B8C"/>
    <w:rsid w:val="685549B8"/>
    <w:rsid w:val="68637551"/>
    <w:rsid w:val="68797358"/>
    <w:rsid w:val="6884624F"/>
    <w:rsid w:val="689B512C"/>
    <w:rsid w:val="68A519DF"/>
    <w:rsid w:val="68BF2482"/>
    <w:rsid w:val="68C4160B"/>
    <w:rsid w:val="68C41C30"/>
    <w:rsid w:val="68CF3BA4"/>
    <w:rsid w:val="69212E07"/>
    <w:rsid w:val="69257FA7"/>
    <w:rsid w:val="693F26C7"/>
    <w:rsid w:val="697E12B2"/>
    <w:rsid w:val="69912FDF"/>
    <w:rsid w:val="69A50E62"/>
    <w:rsid w:val="69C8706D"/>
    <w:rsid w:val="69F256DE"/>
    <w:rsid w:val="69F95069"/>
    <w:rsid w:val="6A0B4089"/>
    <w:rsid w:val="6A0E3FB4"/>
    <w:rsid w:val="6A292754"/>
    <w:rsid w:val="6A306848"/>
    <w:rsid w:val="6A360751"/>
    <w:rsid w:val="6A406AE2"/>
    <w:rsid w:val="6A591C0A"/>
    <w:rsid w:val="6A5E3B28"/>
    <w:rsid w:val="6A6B1EBE"/>
    <w:rsid w:val="6A7946BD"/>
    <w:rsid w:val="6A8F43F7"/>
    <w:rsid w:val="6AB1009A"/>
    <w:rsid w:val="6ABB2BA8"/>
    <w:rsid w:val="6AD625F3"/>
    <w:rsid w:val="6B452B0C"/>
    <w:rsid w:val="6B5B46E4"/>
    <w:rsid w:val="6B6433C1"/>
    <w:rsid w:val="6B7218BE"/>
    <w:rsid w:val="6B750BA9"/>
    <w:rsid w:val="6BB33140"/>
    <w:rsid w:val="6BB93285"/>
    <w:rsid w:val="6BCB65E9"/>
    <w:rsid w:val="6BEA5819"/>
    <w:rsid w:val="6BF45D4B"/>
    <w:rsid w:val="6C053E44"/>
    <w:rsid w:val="6C0C698C"/>
    <w:rsid w:val="6C222401"/>
    <w:rsid w:val="6C56267F"/>
    <w:rsid w:val="6C826EF9"/>
    <w:rsid w:val="6CAE4C93"/>
    <w:rsid w:val="6CB14F16"/>
    <w:rsid w:val="6CB23063"/>
    <w:rsid w:val="6CBC5B71"/>
    <w:rsid w:val="6CE1032F"/>
    <w:rsid w:val="6CEC2069"/>
    <w:rsid w:val="6CF4154E"/>
    <w:rsid w:val="6D0B1869"/>
    <w:rsid w:val="6D195F0B"/>
    <w:rsid w:val="6D2450FA"/>
    <w:rsid w:val="6D427B01"/>
    <w:rsid w:val="6D65402D"/>
    <w:rsid w:val="6D683822"/>
    <w:rsid w:val="6D6C7F13"/>
    <w:rsid w:val="6D8D136C"/>
    <w:rsid w:val="6DBB3515"/>
    <w:rsid w:val="6DBF2759"/>
    <w:rsid w:val="6DC96F36"/>
    <w:rsid w:val="6DCF6237"/>
    <w:rsid w:val="6DEB6263"/>
    <w:rsid w:val="6DED00D0"/>
    <w:rsid w:val="6DEF2A6B"/>
    <w:rsid w:val="6DFA3EBF"/>
    <w:rsid w:val="6E3E63D2"/>
    <w:rsid w:val="6E5F7BE6"/>
    <w:rsid w:val="6E6918C6"/>
    <w:rsid w:val="6E7177C1"/>
    <w:rsid w:val="6E7B00D0"/>
    <w:rsid w:val="6ED36561"/>
    <w:rsid w:val="6EEB4AC4"/>
    <w:rsid w:val="6F181253"/>
    <w:rsid w:val="6F212DD6"/>
    <w:rsid w:val="6F3B5912"/>
    <w:rsid w:val="6FA14A81"/>
    <w:rsid w:val="6FA3261F"/>
    <w:rsid w:val="6FB44BAA"/>
    <w:rsid w:val="700468D2"/>
    <w:rsid w:val="700D6539"/>
    <w:rsid w:val="70352925"/>
    <w:rsid w:val="704203E3"/>
    <w:rsid w:val="705414F6"/>
    <w:rsid w:val="7058046B"/>
    <w:rsid w:val="7075370E"/>
    <w:rsid w:val="707F2079"/>
    <w:rsid w:val="708923AF"/>
    <w:rsid w:val="70922734"/>
    <w:rsid w:val="70CD16CB"/>
    <w:rsid w:val="70CE6DC7"/>
    <w:rsid w:val="710B3646"/>
    <w:rsid w:val="711759F2"/>
    <w:rsid w:val="713C4ED8"/>
    <w:rsid w:val="71407642"/>
    <w:rsid w:val="714275DF"/>
    <w:rsid w:val="7156627F"/>
    <w:rsid w:val="71641210"/>
    <w:rsid w:val="71AA5D09"/>
    <w:rsid w:val="71D95B7C"/>
    <w:rsid w:val="71EA6A50"/>
    <w:rsid w:val="71FE31A8"/>
    <w:rsid w:val="720C30AE"/>
    <w:rsid w:val="721A7983"/>
    <w:rsid w:val="721F6113"/>
    <w:rsid w:val="7233782C"/>
    <w:rsid w:val="725400DF"/>
    <w:rsid w:val="726A729D"/>
    <w:rsid w:val="72DC3AFD"/>
    <w:rsid w:val="72F21524"/>
    <w:rsid w:val="730A1149"/>
    <w:rsid w:val="73177841"/>
    <w:rsid w:val="733774FE"/>
    <w:rsid w:val="73424B26"/>
    <w:rsid w:val="735231C7"/>
    <w:rsid w:val="73617E1B"/>
    <w:rsid w:val="736D7653"/>
    <w:rsid w:val="738035CB"/>
    <w:rsid w:val="73852C46"/>
    <w:rsid w:val="73877819"/>
    <w:rsid w:val="7396335C"/>
    <w:rsid w:val="73B64BF6"/>
    <w:rsid w:val="73EA6238"/>
    <w:rsid w:val="73F46595"/>
    <w:rsid w:val="73F47FAE"/>
    <w:rsid w:val="74283FA2"/>
    <w:rsid w:val="742C135B"/>
    <w:rsid w:val="74463733"/>
    <w:rsid w:val="74884E3D"/>
    <w:rsid w:val="748A2F40"/>
    <w:rsid w:val="748E6D46"/>
    <w:rsid w:val="74BF14E3"/>
    <w:rsid w:val="74D84FF7"/>
    <w:rsid w:val="74ED25E3"/>
    <w:rsid w:val="74F85778"/>
    <w:rsid w:val="74FB18F9"/>
    <w:rsid w:val="75193CB4"/>
    <w:rsid w:val="75272439"/>
    <w:rsid w:val="75321A53"/>
    <w:rsid w:val="75645AA5"/>
    <w:rsid w:val="758F1E9B"/>
    <w:rsid w:val="75B6202C"/>
    <w:rsid w:val="75B779F2"/>
    <w:rsid w:val="75BD7438"/>
    <w:rsid w:val="75CE266B"/>
    <w:rsid w:val="75DE7468"/>
    <w:rsid w:val="75E538F2"/>
    <w:rsid w:val="76120141"/>
    <w:rsid w:val="762F1CF6"/>
    <w:rsid w:val="76510960"/>
    <w:rsid w:val="76725C62"/>
    <w:rsid w:val="768216BE"/>
    <w:rsid w:val="769E4528"/>
    <w:rsid w:val="76C23B43"/>
    <w:rsid w:val="76C543E8"/>
    <w:rsid w:val="76CB23D1"/>
    <w:rsid w:val="76CD17F4"/>
    <w:rsid w:val="76DB438D"/>
    <w:rsid w:val="76FD6F97"/>
    <w:rsid w:val="770218E8"/>
    <w:rsid w:val="776719F2"/>
    <w:rsid w:val="779469CE"/>
    <w:rsid w:val="77997C43"/>
    <w:rsid w:val="779E6DE6"/>
    <w:rsid w:val="77C875A5"/>
    <w:rsid w:val="77D777E8"/>
    <w:rsid w:val="783842C9"/>
    <w:rsid w:val="788C75D7"/>
    <w:rsid w:val="78A27DF6"/>
    <w:rsid w:val="78B23F93"/>
    <w:rsid w:val="78E656E7"/>
    <w:rsid w:val="79285B3A"/>
    <w:rsid w:val="793741EC"/>
    <w:rsid w:val="79490B03"/>
    <w:rsid w:val="79625CA9"/>
    <w:rsid w:val="79757554"/>
    <w:rsid w:val="79A91196"/>
    <w:rsid w:val="79E14685"/>
    <w:rsid w:val="7A0B32D3"/>
    <w:rsid w:val="7A1328D6"/>
    <w:rsid w:val="7A7C43F8"/>
    <w:rsid w:val="7AA75347"/>
    <w:rsid w:val="7AC13CD3"/>
    <w:rsid w:val="7ADB231E"/>
    <w:rsid w:val="7AE10264"/>
    <w:rsid w:val="7AE4248E"/>
    <w:rsid w:val="7AF6674C"/>
    <w:rsid w:val="7B132478"/>
    <w:rsid w:val="7B3C363D"/>
    <w:rsid w:val="7B4A207F"/>
    <w:rsid w:val="7B7122A7"/>
    <w:rsid w:val="7B936F45"/>
    <w:rsid w:val="7BA47419"/>
    <w:rsid w:val="7BB10D45"/>
    <w:rsid w:val="7BB44151"/>
    <w:rsid w:val="7BE06349"/>
    <w:rsid w:val="7C067CC4"/>
    <w:rsid w:val="7C555C4C"/>
    <w:rsid w:val="7C656A39"/>
    <w:rsid w:val="7CA80310"/>
    <w:rsid w:val="7CA83B93"/>
    <w:rsid w:val="7CAE7D7C"/>
    <w:rsid w:val="7CB93996"/>
    <w:rsid w:val="7CBE0F99"/>
    <w:rsid w:val="7D0067A0"/>
    <w:rsid w:val="7D145441"/>
    <w:rsid w:val="7D4E45F1"/>
    <w:rsid w:val="7D6226A3"/>
    <w:rsid w:val="7DBC23D7"/>
    <w:rsid w:val="7DFB6D82"/>
    <w:rsid w:val="7E1D71D1"/>
    <w:rsid w:val="7E246254"/>
    <w:rsid w:val="7E553215"/>
    <w:rsid w:val="7E6D090F"/>
    <w:rsid w:val="7E7E2263"/>
    <w:rsid w:val="7E9E4F48"/>
    <w:rsid w:val="7ECC66B2"/>
    <w:rsid w:val="7F2914C3"/>
    <w:rsid w:val="7F5F2ED6"/>
    <w:rsid w:val="7FA837EF"/>
    <w:rsid w:val="7FBD0C23"/>
    <w:rsid w:val="7FC0320D"/>
    <w:rsid w:val="7FC15CB1"/>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Lines="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qFormat/>
    <w:uiPriority w:val="0"/>
    <w:rPr>
      <w:rFonts w:hint="default" w:ascii="Calibri" w:hAnsi="Calibri" w:cs="Calibri"/>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7186.08</c:v>
                </c:pt>
                <c:pt idx="1">
                  <c:v>7105.75</c:v>
                </c:pt>
              </c:numCache>
            </c:numRef>
          </c:val>
        </c:ser>
        <c:dLbls>
          <c:showLegendKey val="0"/>
          <c:showVal val="1"/>
          <c:showCatName val="0"/>
          <c:showSerName val="0"/>
          <c:showPercent val="0"/>
          <c:showBubbleSize val="0"/>
        </c:dLbls>
        <c:gapWidth val="246"/>
        <c:overlap val="-28"/>
        <c:axId val="81152256"/>
        <c:axId val="81235968"/>
      </c:barChart>
      <c:catAx>
        <c:axId val="811522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235968"/>
        <c:crosses val="autoZero"/>
        <c:auto val="1"/>
        <c:lblAlgn val="ctr"/>
        <c:lblOffset val="100"/>
        <c:noMultiLvlLbl val="0"/>
      </c:catAx>
      <c:valAx>
        <c:axId val="8123596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152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71064532.32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8763894.93</c:v>
                </c:pt>
                <c:pt idx="1">
                  <c:v>61464499.27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5389.62</c:v>
                </c:pt>
                <c:pt idx="1">
                  <c:v>7026.12</c:v>
                </c:pt>
                <c:pt idx="2">
                  <c:v>1176.43</c:v>
                </c:pt>
                <c:pt idx="3">
                  <c:v>1176.43</c:v>
                </c:pt>
                <c:pt idx="4">
                  <c:v>4213.19</c:v>
                </c:pt>
                <c:pt idx="5">
                  <c:v>5849.69</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7106.45</c:v>
                </c:pt>
                <c:pt idx="1">
                  <c:v>7022.84</c:v>
                </c:pt>
                <c:pt idx="2">
                  <c:v>2265.33</c:v>
                </c:pt>
                <c:pt idx="3">
                  <c:v>2265.33</c:v>
                </c:pt>
                <c:pt idx="4">
                  <c:v>4841.13</c:v>
                </c:pt>
                <c:pt idx="5">
                  <c:v>4757.51</c:v>
                </c:pt>
                <c:pt idx="6">
                  <c:v>0</c:v>
                </c:pt>
                <c:pt idx="7">
                  <c:v>0</c:v>
                </c:pt>
              </c:numCache>
            </c:numRef>
          </c:val>
        </c:ser>
        <c:dLbls>
          <c:showLegendKey val="0"/>
          <c:showVal val="1"/>
          <c:showCatName val="0"/>
          <c:showSerName val="0"/>
          <c:showPercent val="0"/>
          <c:showBubbleSize val="0"/>
        </c:dLbls>
        <c:gapWidth val="246"/>
        <c:overlap val="-28"/>
        <c:axId val="81953536"/>
        <c:axId val="81955072"/>
      </c:barChart>
      <c:catAx>
        <c:axId val="81953536"/>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955072"/>
        <c:crosses val="autoZero"/>
        <c:auto val="1"/>
        <c:lblAlgn val="ctr"/>
        <c:lblOffset val="100"/>
        <c:noMultiLvlLbl val="0"/>
      </c:catAx>
      <c:valAx>
        <c:axId val="819550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9535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4489.82</c:v>
                </c:pt>
                <c:pt idx="1">
                  <c:v>4489.82</c:v>
                </c:pt>
                <c:pt idx="2">
                  <c:v>1371.35</c:v>
                </c:pt>
                <c:pt idx="3">
                  <c:v>1371.35</c:v>
                </c:pt>
                <c:pt idx="4">
                  <c:v>3118.47</c:v>
                </c:pt>
                <c:pt idx="5">
                  <c:v>3118.47</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7106.45</c:v>
                </c:pt>
                <c:pt idx="1">
                  <c:v>7022.84</c:v>
                </c:pt>
                <c:pt idx="2">
                  <c:v>2265.33</c:v>
                </c:pt>
                <c:pt idx="3">
                  <c:v>2265.33</c:v>
                </c:pt>
                <c:pt idx="4">
                  <c:v>4841.13</c:v>
                </c:pt>
                <c:pt idx="5">
                  <c:v>4757.51</c:v>
                </c:pt>
                <c:pt idx="6">
                  <c:v>0</c:v>
                </c:pt>
                <c:pt idx="7">
                  <c:v>0</c:v>
                </c:pt>
              </c:numCache>
            </c:numRef>
          </c:val>
        </c:ser>
        <c:dLbls>
          <c:showLegendKey val="0"/>
          <c:showVal val="1"/>
          <c:showCatName val="0"/>
          <c:showSerName val="0"/>
          <c:showPercent val="0"/>
          <c:showBubbleSize val="0"/>
        </c:dLbls>
        <c:gapWidth val="150"/>
        <c:axId val="84581760"/>
        <c:axId val="84583552"/>
      </c:barChart>
      <c:catAx>
        <c:axId val="845817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4583552"/>
        <c:crosses val="autoZero"/>
        <c:auto val="1"/>
        <c:lblAlgn val="ctr"/>
        <c:lblOffset val="100"/>
        <c:noMultiLvlLbl val="0"/>
      </c:catAx>
      <c:valAx>
        <c:axId val="8458355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4581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64</Pages>
  <Words>19610</Words>
  <Characters>9297</Characters>
  <Lines>77</Lines>
  <Paragraphs>57</Paragraphs>
  <TotalTime>141</TotalTime>
  <ScaleCrop>false</ScaleCrop>
  <LinksUpToDate>false</LinksUpToDate>
  <CharactersWithSpaces>28850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小小</cp:lastModifiedBy>
  <cp:lastPrinted>2023-08-04T01:00:00Z</cp:lastPrinted>
  <dcterms:modified xsi:type="dcterms:W3CDTF">2026-10-10T02:45:01Z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90D6737C2C1745FDA65B8E910FB63FA5</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