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中共高邑县委社会工作部</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223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1182FAF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中共高邑县委社会工作部</w:t>
      </w:r>
    </w:p>
    <w:p w14:paraId="42C2415C">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F29606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中共高邑县委社会工作部</w:t>
      </w:r>
    </w:p>
    <w:p w14:paraId="4448887E">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A6EE0F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8CA5E9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目录</w:t>
      </w:r>
    </w:p>
    <w:p w14:paraId="0463692A">
      <w:pPr>
        <w:widowControl/>
        <w:spacing w:after="160" w:line="580" w:lineRule="exact"/>
        <w:ind w:firstLine="640" w:firstLineChars="200"/>
        <w:rPr>
          <w:rFonts w:ascii="Times New Roman" w:hAnsi="Times New Roman" w:eastAsia="黑体" w:cs="Times New Roman"/>
          <w:sz w:val="32"/>
          <w:szCs w:val="32"/>
        </w:rPr>
      </w:pPr>
    </w:p>
    <w:p w14:paraId="46926AA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09493C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64732E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82EFC15">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第二部分2025年度部门决算报表</w:t>
      </w:r>
    </w:p>
    <w:p w14:paraId="06F399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33743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7E0DD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B7E38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F7B87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0FB493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5E267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97D9B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C40C7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E2B737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第三部分2025年度部门决算情况说明</w:t>
      </w:r>
    </w:p>
    <w:p w14:paraId="0860E9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EFC4D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B65D2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657DC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7D0F5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72E62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CCA62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48A0C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D2237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C1C7CD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453810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A20F5C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B95675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153DEA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县委社会工作部在履行职责过程中坚持和加强党中央的集中统一领导，负责贯彻落实党中央有关方针政策、决策部署和市委、县委工作要求。主要职责是：</w:t>
      </w:r>
    </w:p>
    <w:p w14:paraId="7B80FB93">
      <w:pPr>
        <w:widowControl/>
        <w:numPr>
          <w:ilvl w:val="0"/>
          <w:numId w:val="2"/>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研究相关理论、政策和规划，拟订社会工作方面相关规范性文件草案并组织实施。负责县委非公有制经济组织和社会组织工作委员会日常工作。深入调查研究，及时向县委报告工作情况并提出建议。</w:t>
      </w:r>
    </w:p>
    <w:p w14:paraId="3DA384F5">
      <w:pPr>
        <w:widowControl/>
        <w:numPr>
          <w:ilvl w:val="0"/>
          <w:numId w:val="2"/>
        </w:numPr>
        <w:spacing w:before="0" w:beforeLines="0" w:beforeAutospacing="0" w:after="0" w:afterLines="0" w:afterAutospacing="0" w:line="360" w:lineRule="auto"/>
        <w:ind w:left="0" w:leftChars="0" w:firstLine="640" w:firstLineChars="200"/>
        <w:jc w:val="left"/>
        <w:rPr>
          <w:rFonts w:ascii="Times New Roman" w:eastAsia="仿宋_GB2312"/>
          <w:b w:val="0"/>
          <w:sz w:val="32"/>
          <w:szCs w:val="32"/>
        </w:rPr>
      </w:pPr>
      <w:r>
        <w:rPr>
          <w:rFonts w:ascii="Times New Roman" w:eastAsia="仿宋_GB2312"/>
          <w:b w:val="0"/>
          <w:sz w:val="32"/>
          <w:szCs w:val="32"/>
        </w:rPr>
        <w:t>统筹指导群众利益协调、诉求表达、矛盾调处、权益保障等人民信访工作，协调解决人民群众急难愁盼的重大问题。指导人民建议征集工作，负责征集、办理公民、法人和其他组织提出的意见建议，向县委、县政府及时反映公民、法人和其他组织对党和国家事业发展提出的重要意见建议。指导各乡（镇）党委及相关部门开展工作。</w:t>
      </w:r>
    </w:p>
    <w:p w14:paraId="741268B5">
      <w:pPr>
        <w:widowControl/>
        <w:numPr>
          <w:ilvl w:val="0"/>
          <w:numId w:val="2"/>
        </w:numPr>
        <w:spacing w:before="0" w:beforeLines="0" w:beforeAutospacing="0" w:after="0" w:afterLines="0" w:afterAutospacing="0" w:line="360" w:lineRule="auto"/>
        <w:ind w:left="0" w:leftChars="0" w:firstLine="640" w:firstLineChars="200"/>
        <w:jc w:val="left"/>
        <w:rPr>
          <w:rFonts w:ascii="Times New Roman" w:eastAsia="仿宋_GB2312"/>
          <w:b w:val="0"/>
          <w:sz w:val="32"/>
          <w:szCs w:val="32"/>
        </w:rPr>
      </w:pPr>
      <w:r>
        <w:rPr>
          <w:rFonts w:ascii="Times New Roman" w:eastAsia="仿宋_GB2312"/>
          <w:b w:val="0"/>
          <w:sz w:val="32"/>
          <w:szCs w:val="32"/>
        </w:rPr>
        <w:t>健全和落实党建引领基层治理工作机制，推动城乡社区治理体系和治理能力建设，提出加强和改进基层政权建设的建议，推动基层民主政治建设。指导监督基层群众自治制度的有效实施，健全基层群众自制机制。</w:t>
      </w:r>
    </w:p>
    <w:p w14:paraId="57AC4ABA">
      <w:pPr>
        <w:widowControl/>
        <w:numPr>
          <w:ilvl w:val="0"/>
          <w:numId w:val="2"/>
        </w:numPr>
        <w:spacing w:before="0" w:beforeLines="0" w:beforeAutospacing="0" w:after="0" w:afterLines="0" w:afterAutospacing="0" w:line="360" w:lineRule="auto"/>
        <w:ind w:left="0" w:leftChars="0" w:firstLine="640" w:firstLineChars="200"/>
        <w:jc w:val="left"/>
        <w:rPr>
          <w:rFonts w:ascii="Times New Roman" w:eastAsia="仿宋_GB2312"/>
          <w:sz w:val="32"/>
          <w:szCs w:val="32"/>
        </w:rPr>
      </w:pPr>
      <w:r>
        <w:rPr>
          <w:rFonts w:ascii="Times New Roman" w:eastAsia="仿宋_GB2312"/>
          <w:b w:val="0"/>
          <w:sz w:val="32"/>
          <w:szCs w:val="32"/>
        </w:rPr>
        <w:t>统筹指导社会组织、行业协会商会党建工作，协调推动行业协会商会深化改革和转型发展。</w:t>
      </w:r>
    </w:p>
    <w:p w14:paraId="3727AC70">
      <w:pPr>
        <w:widowControl/>
        <w:numPr>
          <w:ilvl w:val="0"/>
          <w:numId w:val="2"/>
        </w:numPr>
        <w:spacing w:before="0" w:beforeLines="0" w:beforeAutospacing="0" w:after="0" w:afterLines="0" w:afterAutospacing="0" w:line="360" w:lineRule="auto"/>
        <w:ind w:left="0" w:leftChars="0" w:firstLine="640" w:firstLineChars="200"/>
        <w:jc w:val="left"/>
        <w:rPr>
          <w:rFonts w:ascii="Times New Roman" w:eastAsia="仿宋_GB2312"/>
          <w:sz w:val="32"/>
          <w:szCs w:val="32"/>
        </w:rPr>
      </w:pPr>
      <w:r>
        <w:rPr>
          <w:rFonts w:ascii="Times New Roman" w:eastAsia="仿宋_GB2312"/>
          <w:b w:val="0"/>
          <w:sz w:val="32"/>
          <w:szCs w:val="32"/>
        </w:rPr>
        <w:t>指导混合所有制企业、非公有制企业和新经济组织、新社会组织、新就业群体党建工作，指导协调相关企业单位、社会组织、就业群体中党员的教育、管理、监督和服务工作，研究完善相关领域群众利益协调机制。</w:t>
      </w:r>
    </w:p>
    <w:p w14:paraId="50F35EDF">
      <w:pPr>
        <w:widowControl/>
        <w:numPr>
          <w:ilvl w:val="0"/>
          <w:numId w:val="2"/>
        </w:numPr>
        <w:spacing w:before="0" w:beforeLines="0" w:beforeAutospacing="0" w:after="0" w:afterLines="0" w:afterAutospacing="0" w:line="360" w:lineRule="auto"/>
        <w:ind w:left="0" w:leftChars="0" w:firstLine="640" w:firstLineChars="200"/>
        <w:jc w:val="left"/>
        <w:rPr>
          <w:rFonts w:ascii="Times New Roman" w:eastAsia="仿宋_GB2312"/>
          <w:sz w:val="32"/>
          <w:szCs w:val="32"/>
        </w:rPr>
      </w:pPr>
      <w:r>
        <w:rPr>
          <w:rFonts w:ascii="Times New Roman" w:eastAsia="仿宋_GB2312"/>
          <w:b w:val="0"/>
          <w:sz w:val="32"/>
          <w:szCs w:val="32"/>
        </w:rPr>
        <w:t>拟订全县社会工作发展规划、志愿服务规范和标准并组织实施，负责全县志愿服务工作的统筹规划、协调指导、督促检查。会同有关部门推进社会工作人才队伍建设和志愿者队伍建设。</w:t>
      </w:r>
    </w:p>
    <w:p w14:paraId="563A0F6E">
      <w:pPr>
        <w:widowControl/>
        <w:numPr>
          <w:ilvl w:val="0"/>
          <w:numId w:val="2"/>
        </w:numPr>
        <w:spacing w:before="0" w:beforeLines="0" w:beforeAutospacing="0" w:after="0" w:afterLines="0" w:afterAutospacing="0" w:line="360" w:lineRule="auto"/>
        <w:ind w:left="0" w:leftChars="0" w:firstLine="640" w:firstLineChars="200"/>
        <w:jc w:val="left"/>
        <w:rPr>
          <w:rFonts w:ascii="Times New Roman" w:eastAsia="仿宋_GB2312"/>
          <w:sz w:val="32"/>
          <w:szCs w:val="32"/>
        </w:rPr>
      </w:pPr>
      <w:r>
        <w:rPr>
          <w:rFonts w:ascii="Times New Roman" w:eastAsia="仿宋_GB2312"/>
          <w:b w:val="0"/>
          <w:sz w:val="32"/>
          <w:szCs w:val="32"/>
        </w:rPr>
        <w:t>完成县委交办的其他任务。</w:t>
      </w:r>
    </w:p>
    <w:p w14:paraId="7AC78A4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426BE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中共高邑县委社会工作部</w:t>
            </w:r>
          </w:p>
        </w:tc>
        <w:tc>
          <w:tcPr>
            <w:tcW w:w="2445" w:type="dxa"/>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14:paraId="3FEF84E0">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bl>
    <w:p w14:paraId="3E433084">
      <w:pPr>
        <w:widowControl/>
        <w:spacing w:before="0" w:beforeLines="0" w:beforeAutospacing="0" w:after="0" w:afterLines="0" w:afterAutospacing="0" w:line="360" w:lineRule="auto"/>
        <w:ind w:firstLine="640" w:firstLineChars="200"/>
        <w:jc w:val="left"/>
        <w:rPr>
          <w:rFonts w:hint="default" w:ascii="Times New Roman" w:eastAsia="仿宋_GB2312" w:cs="宋体"/>
          <w:b w:val="0"/>
          <w:sz w:val="32"/>
          <w:szCs w:val="32"/>
          <w:lang w:val="en-US" w:eastAsia="zh-CN"/>
        </w:rPr>
      </w:pPr>
      <w:bookmarkStart w:id="0" w:name="_GoBack"/>
      <w:r>
        <w:rPr>
          <w:rFonts w:hint="eastAsia" w:ascii="Times New Roman" w:eastAsia="仿宋_GB2312" w:cs="宋体"/>
          <w:b w:val="0"/>
          <w:sz w:val="32"/>
          <w:szCs w:val="32"/>
          <w:lang w:val="en-US" w:eastAsia="zh-CN"/>
        </w:rPr>
        <w:t>我部门无二级预算单位，因此中共高邑县委社会工作部2025年度部门决算即中共高邑县委社会工作部本级2025年度决算。</w:t>
      </w:r>
    </w:p>
    <w:bookmarkEnd w:id="0"/>
    <w:p w14:paraId="1B7FA1E5">
      <w:pPr>
        <w:rPr>
          <w:rFonts w:hint="eastAsia" w:ascii="Times New Roman" w:hAnsi="Times New Roman" w:eastAsia="黑体" w:cs="Times New Roman"/>
          <w:sz w:val="32"/>
          <w:szCs w:val="32"/>
          <w:highlight w:val="yellow"/>
        </w:rPr>
      </w:pPr>
    </w:p>
    <w:p w14:paraId="0732580B">
      <w:pPr>
        <w:rPr>
          <w:rFonts w:hint="eastAsia" w:ascii="Times New Roman" w:hAnsi="Times New Roman" w:eastAsia="黑体" w:cs="Times New Roman"/>
          <w:sz w:val="32"/>
          <w:szCs w:val="32"/>
          <w:highlight w:val="yellow"/>
        </w:rPr>
      </w:pPr>
    </w:p>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1DFD6F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4.17</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93.36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93.36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034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F88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524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B0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57C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D5B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CA6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9F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D7F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C87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8AD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6E6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081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BC1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926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DBA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1A1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EE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F82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82D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11B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D9A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15B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社会工作事务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9F5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025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6E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C81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F48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6F9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884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3F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AD5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8DE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99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35D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13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774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60D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209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60D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501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ABC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EB3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037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43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254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7F9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880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97D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DC5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E49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033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435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EF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756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FD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767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E54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70E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345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B63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F0E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18F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EA5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351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1FB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4F3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EE3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6F8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AB9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815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BBF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DED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5A7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AE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281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461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7F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7F9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09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627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4C0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8BB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6DF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135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BD1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EC4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F7E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13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7D9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558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60D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3D1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A90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6AB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5DF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BC3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490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559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68A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ADC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90A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CE5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2C0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525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556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1F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751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2DA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5A0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7D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F8F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EF8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3D7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9C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306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0D6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77C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237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11D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AD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51A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AAA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9E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5DC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144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CF7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AE3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499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E9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E64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009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3C3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AA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B3F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AD9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7C4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ABF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170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F9E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E87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C21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D2A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804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687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2F1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B0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D18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5CB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9D4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9CA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585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1EF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A53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FD8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53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150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5F1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2E7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48A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6D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5CF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D81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2A1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08E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6BE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A0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00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93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1DB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A7F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330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486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DD0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5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618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B68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D70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969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98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752D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4D2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C5C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DE8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26C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5843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E92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C74C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5EAF8">
            <w:pPr>
              <w:jc w:val="right"/>
              <w:rPr>
                <w:rFonts w:hint="default" w:ascii="Times New Roman" w:hAnsi="Times New Roman" w:eastAsia="宋体" w:cs="Times New Roman"/>
                <w:i w:val="0"/>
                <w:iCs w:val="0"/>
                <w:color w:val="000000"/>
                <w:sz w:val="20"/>
                <w:szCs w:val="20"/>
                <w:highlight w:val="none"/>
                <w:u w:val="none"/>
              </w:rPr>
            </w:pPr>
          </w:p>
        </w:tc>
      </w:tr>
      <w:tr w14:paraId="5BE5C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808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16E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BDE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77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FA59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408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B2F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5381B">
            <w:pPr>
              <w:jc w:val="right"/>
              <w:rPr>
                <w:rFonts w:hint="default" w:ascii="Times New Roman" w:hAnsi="Times New Roman" w:eastAsia="宋体" w:cs="Times New Roman"/>
                <w:i w:val="0"/>
                <w:iCs w:val="0"/>
                <w:color w:val="000000"/>
                <w:sz w:val="20"/>
                <w:szCs w:val="20"/>
                <w:highlight w:val="none"/>
                <w:u w:val="none"/>
              </w:rPr>
            </w:pPr>
          </w:p>
        </w:tc>
      </w:tr>
      <w:tr w14:paraId="4CF51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91C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AE6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2CD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7AE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26F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DF93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368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2EBF1">
            <w:pPr>
              <w:jc w:val="right"/>
              <w:rPr>
                <w:rFonts w:hint="default" w:ascii="Times New Roman" w:hAnsi="Times New Roman" w:eastAsia="宋体" w:cs="Times New Roman"/>
                <w:i w:val="0"/>
                <w:iCs w:val="0"/>
                <w:color w:val="000000"/>
                <w:sz w:val="20"/>
                <w:szCs w:val="20"/>
                <w:highlight w:val="none"/>
                <w:u w:val="none"/>
              </w:rPr>
            </w:pPr>
          </w:p>
        </w:tc>
      </w:tr>
      <w:tr w14:paraId="0655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8B9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027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591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B3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DD5C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CFD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952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D8CA8">
            <w:pPr>
              <w:jc w:val="right"/>
              <w:rPr>
                <w:rFonts w:hint="default" w:ascii="Times New Roman" w:hAnsi="Times New Roman" w:eastAsia="宋体" w:cs="Times New Roman"/>
                <w:i w:val="0"/>
                <w:iCs w:val="0"/>
                <w:color w:val="000000"/>
                <w:sz w:val="20"/>
                <w:szCs w:val="20"/>
                <w:highlight w:val="none"/>
                <w:u w:val="none"/>
              </w:rPr>
            </w:pPr>
          </w:p>
        </w:tc>
      </w:tr>
      <w:tr w14:paraId="388EE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BD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AFB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A57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FA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254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9F5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7D8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49F2B">
            <w:pPr>
              <w:jc w:val="right"/>
              <w:rPr>
                <w:rFonts w:hint="default" w:ascii="Times New Roman" w:hAnsi="Times New Roman" w:eastAsia="宋体" w:cs="Times New Roman"/>
                <w:i w:val="0"/>
                <w:iCs w:val="0"/>
                <w:color w:val="000000"/>
                <w:sz w:val="20"/>
                <w:szCs w:val="20"/>
                <w:highlight w:val="none"/>
                <w:u w:val="none"/>
              </w:rPr>
            </w:pPr>
          </w:p>
        </w:tc>
      </w:tr>
      <w:tr w14:paraId="4015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F2A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914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3EC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AE5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082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599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8994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C4C0F">
            <w:pPr>
              <w:jc w:val="right"/>
              <w:rPr>
                <w:rFonts w:hint="default" w:ascii="Times New Roman" w:hAnsi="Times New Roman" w:eastAsia="宋体" w:cs="Times New Roman"/>
                <w:i w:val="0"/>
                <w:iCs w:val="0"/>
                <w:color w:val="000000"/>
                <w:sz w:val="20"/>
                <w:szCs w:val="20"/>
                <w:highlight w:val="none"/>
                <w:u w:val="none"/>
              </w:rPr>
            </w:pPr>
          </w:p>
        </w:tc>
      </w:tr>
      <w:tr w14:paraId="6E89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5F7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C46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7D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EE2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7CD1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0E4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DECB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B7067">
            <w:pPr>
              <w:jc w:val="right"/>
              <w:rPr>
                <w:rFonts w:hint="default" w:ascii="Times New Roman" w:hAnsi="Times New Roman" w:eastAsia="宋体" w:cs="Times New Roman"/>
                <w:i w:val="0"/>
                <w:iCs w:val="0"/>
                <w:color w:val="000000"/>
                <w:sz w:val="20"/>
                <w:szCs w:val="20"/>
                <w:highlight w:val="none"/>
                <w:u w:val="none"/>
              </w:rPr>
            </w:pPr>
          </w:p>
        </w:tc>
      </w:tr>
      <w:tr w14:paraId="1BA4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8C7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6EF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F8E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4CA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AC8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134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2275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0DD92">
            <w:pPr>
              <w:jc w:val="right"/>
              <w:rPr>
                <w:rFonts w:hint="default" w:ascii="Times New Roman" w:hAnsi="Times New Roman" w:eastAsia="宋体" w:cs="Times New Roman"/>
                <w:i w:val="0"/>
                <w:iCs w:val="0"/>
                <w:color w:val="000000"/>
                <w:sz w:val="20"/>
                <w:szCs w:val="20"/>
                <w:highlight w:val="none"/>
                <w:u w:val="none"/>
              </w:rPr>
            </w:pPr>
          </w:p>
        </w:tc>
      </w:tr>
      <w:tr w14:paraId="77BF7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DAA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15C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CC1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D4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613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2C9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B82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54856">
            <w:pPr>
              <w:jc w:val="right"/>
              <w:rPr>
                <w:rFonts w:hint="default" w:ascii="Times New Roman" w:hAnsi="Times New Roman" w:eastAsia="宋体" w:cs="Times New Roman"/>
                <w:i w:val="0"/>
                <w:iCs w:val="0"/>
                <w:color w:val="000000"/>
                <w:sz w:val="20"/>
                <w:szCs w:val="20"/>
                <w:highlight w:val="none"/>
                <w:u w:val="none"/>
              </w:rPr>
            </w:pPr>
          </w:p>
        </w:tc>
      </w:tr>
      <w:tr w14:paraId="17D1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1CB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BA5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CEB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87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99FA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5C7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62B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09C03">
            <w:pPr>
              <w:jc w:val="right"/>
              <w:rPr>
                <w:rFonts w:hint="default" w:ascii="Times New Roman" w:hAnsi="Times New Roman" w:eastAsia="宋体" w:cs="Times New Roman"/>
                <w:i w:val="0"/>
                <w:iCs w:val="0"/>
                <w:color w:val="000000"/>
                <w:sz w:val="20"/>
                <w:szCs w:val="20"/>
                <w:highlight w:val="none"/>
                <w:u w:val="none"/>
              </w:rPr>
            </w:pPr>
          </w:p>
        </w:tc>
      </w:tr>
      <w:tr w14:paraId="2BE7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B93F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717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64D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53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82B4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F56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9B5F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8745F">
            <w:pPr>
              <w:jc w:val="right"/>
              <w:rPr>
                <w:rFonts w:hint="default" w:ascii="Times New Roman" w:hAnsi="Times New Roman" w:eastAsia="宋体" w:cs="Times New Roman"/>
                <w:i w:val="0"/>
                <w:iCs w:val="0"/>
                <w:color w:val="000000"/>
                <w:sz w:val="20"/>
                <w:szCs w:val="20"/>
                <w:highlight w:val="none"/>
                <w:u w:val="none"/>
              </w:rPr>
            </w:pPr>
          </w:p>
        </w:tc>
      </w:tr>
      <w:tr w14:paraId="247E9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9C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4A3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602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98E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2A1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9549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C90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64051">
            <w:pPr>
              <w:jc w:val="right"/>
              <w:rPr>
                <w:rFonts w:hint="default" w:ascii="Times New Roman" w:hAnsi="Times New Roman" w:eastAsia="宋体" w:cs="Times New Roman"/>
                <w:i w:val="0"/>
                <w:iCs w:val="0"/>
                <w:color w:val="000000"/>
                <w:sz w:val="20"/>
                <w:szCs w:val="20"/>
                <w:highlight w:val="none"/>
                <w:u w:val="none"/>
              </w:rPr>
            </w:pPr>
          </w:p>
        </w:tc>
      </w:tr>
      <w:tr w14:paraId="6C90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CB5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918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DE7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CAD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D849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42D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F0E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9FC68">
            <w:pPr>
              <w:jc w:val="right"/>
              <w:rPr>
                <w:rFonts w:hint="default" w:ascii="Times New Roman" w:hAnsi="Times New Roman" w:eastAsia="宋体" w:cs="Times New Roman"/>
                <w:i w:val="0"/>
                <w:iCs w:val="0"/>
                <w:color w:val="000000"/>
                <w:sz w:val="20"/>
                <w:szCs w:val="20"/>
                <w:highlight w:val="none"/>
                <w:u w:val="none"/>
              </w:rPr>
            </w:pPr>
          </w:p>
        </w:tc>
      </w:tr>
      <w:tr w14:paraId="6685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B5B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D55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AD2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69F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11FA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544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BFF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0B8A2">
            <w:pPr>
              <w:jc w:val="right"/>
              <w:rPr>
                <w:rFonts w:hint="default" w:ascii="Times New Roman" w:hAnsi="Times New Roman" w:eastAsia="宋体" w:cs="Times New Roman"/>
                <w:i w:val="0"/>
                <w:iCs w:val="0"/>
                <w:color w:val="000000"/>
                <w:sz w:val="20"/>
                <w:szCs w:val="20"/>
                <w:highlight w:val="none"/>
                <w:u w:val="none"/>
              </w:rPr>
            </w:pPr>
          </w:p>
        </w:tc>
      </w:tr>
      <w:tr w14:paraId="51C17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417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8A0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87D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121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E5F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2E2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297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401F5">
            <w:pPr>
              <w:jc w:val="right"/>
              <w:rPr>
                <w:rFonts w:hint="default" w:ascii="Times New Roman" w:hAnsi="Times New Roman" w:eastAsia="宋体" w:cs="Times New Roman"/>
                <w:i w:val="0"/>
                <w:iCs w:val="0"/>
                <w:color w:val="000000"/>
                <w:sz w:val="20"/>
                <w:szCs w:val="20"/>
                <w:highlight w:val="none"/>
                <w:u w:val="none"/>
              </w:rPr>
            </w:pPr>
          </w:p>
        </w:tc>
      </w:tr>
      <w:tr w14:paraId="2D91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B7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E43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06B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056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B79D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CA8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310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C1780">
            <w:pPr>
              <w:jc w:val="right"/>
              <w:rPr>
                <w:rFonts w:hint="default" w:ascii="Times New Roman" w:hAnsi="Times New Roman" w:eastAsia="宋体" w:cs="Times New Roman"/>
                <w:i w:val="0"/>
                <w:iCs w:val="0"/>
                <w:color w:val="000000"/>
                <w:sz w:val="20"/>
                <w:szCs w:val="20"/>
                <w:highlight w:val="none"/>
                <w:u w:val="none"/>
              </w:rPr>
            </w:pPr>
          </w:p>
        </w:tc>
      </w:tr>
      <w:tr w14:paraId="07E8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6B2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B44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4F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E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3BF2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1E7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EAA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BC31D">
            <w:pPr>
              <w:jc w:val="right"/>
              <w:rPr>
                <w:rFonts w:hint="default" w:ascii="Times New Roman" w:hAnsi="Times New Roman" w:eastAsia="宋体" w:cs="Times New Roman"/>
                <w:i w:val="0"/>
                <w:iCs w:val="0"/>
                <w:color w:val="000000"/>
                <w:sz w:val="20"/>
                <w:szCs w:val="20"/>
                <w:highlight w:val="none"/>
                <w:u w:val="none"/>
              </w:rPr>
            </w:pPr>
          </w:p>
        </w:tc>
      </w:tr>
      <w:tr w14:paraId="2C384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599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168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D67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363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C92B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AC63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FB9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9F8D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93.36</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7"/>
        <w:gridCol w:w="3416"/>
        <w:gridCol w:w="277"/>
        <w:gridCol w:w="765"/>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r>
      <w:tr w14:paraId="327A3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BBBA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380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C8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F6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8D06E3">
            <w:pPr>
              <w:jc w:val="right"/>
              <w:rPr>
                <w:rFonts w:hint="default" w:ascii="Times New Roman" w:hAnsi="Times New Roman" w:eastAsia="宋体" w:cs="Times New Roman"/>
                <w:i w:val="0"/>
                <w:iCs w:val="0"/>
                <w:color w:val="000000"/>
                <w:sz w:val="20"/>
                <w:szCs w:val="20"/>
                <w:highlight w:val="none"/>
                <w:u w:val="none"/>
              </w:rPr>
            </w:pPr>
          </w:p>
        </w:tc>
      </w:tr>
      <w:tr w14:paraId="42F2A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A9CE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8CB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87D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A50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729AD9">
            <w:pPr>
              <w:jc w:val="right"/>
              <w:rPr>
                <w:rFonts w:hint="default" w:ascii="Times New Roman" w:hAnsi="Times New Roman" w:eastAsia="宋体" w:cs="Times New Roman"/>
                <w:i w:val="0"/>
                <w:iCs w:val="0"/>
                <w:color w:val="000000"/>
                <w:sz w:val="20"/>
                <w:szCs w:val="20"/>
                <w:highlight w:val="none"/>
                <w:u w:val="none"/>
              </w:rPr>
            </w:pPr>
          </w:p>
        </w:tc>
      </w:tr>
      <w:tr w14:paraId="50DC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E80F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BC3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46B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35E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0A60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r>
      <w:tr w14:paraId="11EB9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6FF5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840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817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827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CE131C">
            <w:pPr>
              <w:jc w:val="right"/>
              <w:rPr>
                <w:rFonts w:hint="default" w:ascii="Times New Roman" w:hAnsi="Times New Roman" w:eastAsia="宋体" w:cs="Times New Roman"/>
                <w:i w:val="0"/>
                <w:iCs w:val="0"/>
                <w:color w:val="000000"/>
                <w:sz w:val="20"/>
                <w:szCs w:val="20"/>
                <w:highlight w:val="none"/>
                <w:u w:val="none"/>
              </w:rPr>
            </w:pPr>
          </w:p>
        </w:tc>
      </w:tr>
      <w:tr w14:paraId="7929F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633F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08D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952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F485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D33F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r>
      <w:tr w14:paraId="2803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BD84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8AD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3FB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4F14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894A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r>
      <w:tr w14:paraId="2F522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BBC11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B6A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98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3F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5F6192">
            <w:pPr>
              <w:jc w:val="right"/>
              <w:rPr>
                <w:rFonts w:hint="default" w:ascii="Times New Roman" w:hAnsi="Times New Roman" w:eastAsia="宋体" w:cs="Times New Roman"/>
                <w:i w:val="0"/>
                <w:iCs w:val="0"/>
                <w:color w:val="000000"/>
                <w:sz w:val="20"/>
                <w:szCs w:val="20"/>
                <w:highlight w:val="none"/>
                <w:u w:val="none"/>
              </w:rPr>
            </w:pPr>
          </w:p>
        </w:tc>
      </w:tr>
      <w:tr w14:paraId="3ACF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D168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11F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1D9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F33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55D8AB">
            <w:pPr>
              <w:jc w:val="right"/>
              <w:rPr>
                <w:rFonts w:hint="default" w:ascii="Times New Roman" w:hAnsi="Times New Roman" w:eastAsia="宋体" w:cs="Times New Roman"/>
                <w:i w:val="0"/>
                <w:iCs w:val="0"/>
                <w:color w:val="000000"/>
                <w:sz w:val="20"/>
                <w:szCs w:val="20"/>
                <w:highlight w:val="none"/>
                <w:u w:val="none"/>
              </w:rPr>
            </w:pPr>
          </w:p>
        </w:tc>
      </w:tr>
      <w:tr w14:paraId="1445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03B0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2AB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4B5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ECD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816135">
            <w:pPr>
              <w:jc w:val="right"/>
              <w:rPr>
                <w:rFonts w:hint="default" w:ascii="Times New Roman" w:hAnsi="Times New Roman" w:eastAsia="宋体" w:cs="Times New Roman"/>
                <w:i w:val="0"/>
                <w:iCs w:val="0"/>
                <w:color w:val="000000"/>
                <w:sz w:val="20"/>
                <w:szCs w:val="20"/>
                <w:highlight w:val="none"/>
                <w:u w:val="none"/>
              </w:rPr>
            </w:pPr>
          </w:p>
        </w:tc>
      </w:tr>
      <w:tr w14:paraId="7995E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60FE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12B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B1D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27A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C6BB3F">
            <w:pPr>
              <w:jc w:val="right"/>
              <w:rPr>
                <w:rFonts w:hint="default" w:ascii="Times New Roman" w:hAnsi="Times New Roman" w:eastAsia="宋体" w:cs="Times New Roman"/>
                <w:i w:val="0"/>
                <w:iCs w:val="0"/>
                <w:color w:val="000000"/>
                <w:sz w:val="20"/>
                <w:szCs w:val="20"/>
                <w:highlight w:val="none"/>
                <w:u w:val="none"/>
              </w:rPr>
            </w:pPr>
          </w:p>
        </w:tc>
      </w:tr>
      <w:tr w14:paraId="2F89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640C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AE8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B27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019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9561F6">
            <w:pPr>
              <w:jc w:val="right"/>
              <w:rPr>
                <w:rFonts w:hint="default" w:ascii="Times New Roman" w:hAnsi="Times New Roman" w:eastAsia="宋体" w:cs="Times New Roman"/>
                <w:i w:val="0"/>
                <w:iCs w:val="0"/>
                <w:color w:val="000000"/>
                <w:sz w:val="20"/>
                <w:szCs w:val="20"/>
                <w:highlight w:val="none"/>
                <w:u w:val="none"/>
              </w:rPr>
            </w:pPr>
          </w:p>
        </w:tc>
      </w:tr>
      <w:tr w14:paraId="5008E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6E59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76B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3D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8A4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A46CE6">
            <w:pPr>
              <w:jc w:val="right"/>
              <w:rPr>
                <w:rFonts w:hint="default" w:ascii="Times New Roman" w:hAnsi="Times New Roman" w:eastAsia="宋体" w:cs="Times New Roman"/>
                <w:i w:val="0"/>
                <w:iCs w:val="0"/>
                <w:color w:val="000000"/>
                <w:sz w:val="20"/>
                <w:szCs w:val="20"/>
                <w:highlight w:val="none"/>
                <w:u w:val="none"/>
              </w:rPr>
            </w:pPr>
          </w:p>
        </w:tc>
      </w:tr>
      <w:tr w14:paraId="4B28E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8A04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C64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748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E41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EF99A3">
            <w:pPr>
              <w:jc w:val="right"/>
              <w:rPr>
                <w:rFonts w:hint="default" w:ascii="Times New Roman" w:hAnsi="Times New Roman" w:eastAsia="宋体" w:cs="Times New Roman"/>
                <w:i w:val="0"/>
                <w:iCs w:val="0"/>
                <w:color w:val="000000"/>
                <w:sz w:val="20"/>
                <w:szCs w:val="20"/>
                <w:highlight w:val="none"/>
                <w:u w:val="none"/>
              </w:rPr>
            </w:pPr>
          </w:p>
        </w:tc>
      </w:tr>
      <w:tr w14:paraId="635A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4C31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7B1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0F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F3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29D1D7">
            <w:pPr>
              <w:jc w:val="right"/>
              <w:rPr>
                <w:rFonts w:hint="default" w:ascii="Times New Roman" w:hAnsi="Times New Roman" w:eastAsia="宋体" w:cs="Times New Roman"/>
                <w:i w:val="0"/>
                <w:iCs w:val="0"/>
                <w:color w:val="000000"/>
                <w:sz w:val="20"/>
                <w:szCs w:val="20"/>
                <w:highlight w:val="none"/>
                <w:u w:val="none"/>
              </w:rPr>
            </w:pPr>
          </w:p>
        </w:tc>
      </w:tr>
      <w:tr w14:paraId="3D524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6E1F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52C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7EE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70A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8CEAD9">
            <w:pPr>
              <w:jc w:val="right"/>
              <w:rPr>
                <w:rFonts w:hint="default" w:ascii="Times New Roman" w:hAnsi="Times New Roman" w:eastAsia="宋体" w:cs="Times New Roman"/>
                <w:i w:val="0"/>
                <w:iCs w:val="0"/>
                <w:color w:val="000000"/>
                <w:sz w:val="20"/>
                <w:szCs w:val="20"/>
                <w:highlight w:val="none"/>
                <w:u w:val="none"/>
              </w:rPr>
            </w:pPr>
          </w:p>
        </w:tc>
      </w:tr>
      <w:tr w14:paraId="5306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8AAE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A08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522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A5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FCAEB5">
            <w:pPr>
              <w:jc w:val="right"/>
              <w:rPr>
                <w:rFonts w:hint="default" w:ascii="Times New Roman" w:hAnsi="Times New Roman" w:eastAsia="宋体" w:cs="Times New Roman"/>
                <w:i w:val="0"/>
                <w:iCs w:val="0"/>
                <w:color w:val="000000"/>
                <w:sz w:val="20"/>
                <w:szCs w:val="20"/>
                <w:highlight w:val="none"/>
                <w:u w:val="none"/>
              </w:rPr>
            </w:pPr>
          </w:p>
        </w:tc>
      </w:tr>
      <w:tr w14:paraId="4EDF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698E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E79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0DE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32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492F4E">
            <w:pPr>
              <w:jc w:val="right"/>
              <w:rPr>
                <w:rFonts w:hint="default" w:ascii="Times New Roman" w:hAnsi="Times New Roman" w:eastAsia="宋体" w:cs="Times New Roman"/>
                <w:i w:val="0"/>
                <w:iCs w:val="0"/>
                <w:color w:val="000000"/>
                <w:sz w:val="20"/>
                <w:szCs w:val="20"/>
                <w:highlight w:val="none"/>
                <w:u w:val="none"/>
              </w:rPr>
            </w:pPr>
          </w:p>
        </w:tc>
      </w:tr>
      <w:tr w14:paraId="5C8E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C48E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4D6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872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165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D60158">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部门（单位）：中共高邑县委社会工作部</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64.52</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32.19</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2.98</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3.27</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64.52</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部门（单位）：中共高邑县委社会工作部</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部门（单位）：中共高邑县委社会工作部</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0.02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0.02</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ED2600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C57CF3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71D9D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本部门2025年度收、支总计（含结转和结余）均为93.36万元。与2024年度决算相比，收支各增加69.78万元，增长295.9%，主要原因是2025年我单位新增在职人员5人，人员费用大幅增加。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2399B5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BC16E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93.36万元，其中：财政拨款收入93.36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31C7F9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1D144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本部门2025年度本年支出合计93.36万元，其中：基本支出71.36万元，占76.4%；项目支出22.00万元，占23.6%；经营支出0.00万元，占0.0%；上缴上级支出0.00万元，占0.0%；对附属单位补助支出0.00万元，占0.0%。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3BEB47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CE814B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9917B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本部门2025年度财政拨款收、支总计（含结转和结余）均为93.36万元。与2024年度相比，财政拨款收支各增加69.78万元，增长295.9%，主要原因是2025年我单位新增在职人员5人，人员费用大幅增加。</w:t>
      </w:r>
    </w:p>
    <w:p w14:paraId="668524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93.36万元,比上年增加69.78万元，增长295.9%，主要原因是2025年我单位新增在职人员5人，人员费用大幅增加；本年支出93.36万元，比上年增加69.78万元，增长295.9%，主要原因是2025年我单位新增在职人员5人，人员费用大幅增加。具体情况如下：</w:t>
      </w:r>
    </w:p>
    <w:p w14:paraId="07483A3B">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一般公共预算财政拨款本年收入93.36万元,比上年增加69.78万元，增长295.9%，主要原因是2025年我单位新增在职人员5人，人员费用大幅增加；本年支出93.36万元，比上年增加69.78万元，增长295.9%，主要原因是2025年我单位新增在职人员5人，人员费用大幅增加。</w:t>
      </w:r>
    </w:p>
    <w:p w14:paraId="192488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2.政府性基金预算财政拨款本年收入0.00万元，比上年增加0.00万元，增长0.00%，主要原因是；本年支出0.00万元，比上年增加0.00万元，增长0.00%，主要原因是。</w:t>
      </w:r>
    </w:p>
    <w:p w14:paraId="197196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F4368C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C478E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93.36万元，完成年初预算的108.2%，比年初预算增加7.09万元，决算数大于预算数主要原因是2025年下半年我单位新增在职人员5人，且保险基数上调，导致人员费用高出预算；本年支出93.36万元，完成年初预算的108.2%，比年初预算增加7.09万元，决算数大于预算数主要原因是2025年下半年我单位新增在职人员5人，且保险基数上调，导致人员费用高出预算。具体情况如下：</w:t>
      </w:r>
    </w:p>
    <w:p w14:paraId="205FFB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一般公共预算财政拨款本年收入完成年初预算的108.2%，比年初预算增加7.09万元，主要原因是2025年下半年我单位新增在职人员5人，且保险基数上调，导致人员费用高出预算；支出完成年初预算的108.2%，比年初预算增加7.09万元，主要原因是2025年下半年我单位新增在职人员5人，且保险基数上调，导致人员费用高出预算。</w:t>
      </w:r>
    </w:p>
    <w:p w14:paraId="010197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2.政府性基金预算财政拨款本年收入完成年初预算的0.0%，比年初预算增加0.00万元，主要原因是；支出完成年初预算的0.0%，比年初预算增加0.00万元，主要原因是。</w:t>
      </w:r>
    </w:p>
    <w:p w14:paraId="31D7B0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3.国有资本经营预算财政拨款本年收入完成年初预算的0.0%，比年初预算增加0.00万元，主要原因是；支出完成年初预算的0.0%，比年初预算增加0.00万元，主要原因是。</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3448E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EAA18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2025年度财政拨款支出93.36万元，主要用于以下方面：</w:t>
      </w:r>
    </w:p>
    <w:p w14:paraId="2F5B38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3CEA2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76.56万元，占82.0%，主要用于行政运行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7.21万元，占7.7%，主要用于行政事业单位养老等支出；卫生健康（类）支出4.17万元，占4.5%，主要用于行政事业单位医疗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5.42万元，占5.8%，主要用于行政事业单位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9C271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57F9A1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155475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B0822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717B73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57165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2025年度财政拨款基本支出71.36万元，其中：</w:t>
      </w:r>
    </w:p>
    <w:p w14:paraId="48B244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64.52万元，主要包括基本工资、津贴补贴、奖金、伙食补助费、绩效工资、机关事业部门基本养老保险缴费、职业年金缴费、职工基本医疗保险缴费、公务员医疗补助缴费、住房公积金、医疗费、其他社会保障缴费、其他工资福利支出、离休费、退休费、抚恤金、生活补助、医疗费补助、奖励金、其他对个人和家庭的补助支出。</w:t>
      </w:r>
    </w:p>
    <w:p w14:paraId="79C49D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公用经费6.84万元，主要包括办公费、印刷费、邮电费、取暖费、差旅费、维修（护）费、福利费、其他交通费用、其他商品和服务支出、办公设备购置、信息网络及软件购置更新。</w:t>
      </w:r>
    </w:p>
    <w:p w14:paraId="63FA1FB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五、财政拨款“三公”经费支出决算情况说明</w:t>
      </w:r>
    </w:p>
    <w:p w14:paraId="276F08C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6A624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0.02万元，支出决算为0.00万元，完成预算的0.0%，较预算减少0.02万元，降低100.0%，主要原因是从严控制“三公”经费开支，厉行节俭，本年度无公务接待；较2024年度决算增加0.00万元，增长0.00%，主要原因是从严控制“三公”经费开支，厉行节俭，本年度无公务接待。</w:t>
      </w:r>
    </w:p>
    <w:p w14:paraId="5BF449D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49A5E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140538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本部门2025年度公务用车购置及运行维护费预算为0.00万元，支出决算0.00万元，完成预算的0.0%,较预算增加0.00万元，增长0.0%；较上年增加0.00万元，增长0.00%。其中：</w:t>
      </w:r>
    </w:p>
    <w:p w14:paraId="458A2A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我单位本年度未发生“公务用车购置”经费支出；较上年增加0.00万元，增长0.00%,主要原因是我单位本年度未发生“公务用车购置”经费支出。</w:t>
      </w:r>
    </w:p>
    <w:p w14:paraId="221B32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单位公务用车保有量0辆，发生运行维护费支出0.00万元。公车运行维护费支出较预算增加0.00万元，增长0.0%,主要原因是我单位本年度未发生“公车运行维护”经费支出；较上年增加0.00万元，增长0.00%，主要原因是我单位本年度未发生“公车运行维护”经费支出。</w:t>
      </w:r>
    </w:p>
    <w:p w14:paraId="07865E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0.02万元，支出决算0.00万元，完成预算的0.0%。公务接待费支出较预算减少0.02万元，降低100.0%,主要原因是我单位本年度未发生“公务接待”经费支出；较上年度增加0.00万元，增长0.00%,主要原因是我单位本年度未发生“公务接待”经费支出。本年度共发生公务接待0批次、0人次。</w:t>
      </w:r>
    </w:p>
    <w:p w14:paraId="3B463A0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F8060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本部门2025年度机关运行经费支出6.84万元，较2024年度增加2.58万元，增长60.6%。主要原因是2025年我单位新增在职人员5名，导致其他交通费用增加。</w:t>
      </w:r>
    </w:p>
    <w:p w14:paraId="001508A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88DB0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6B985B5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EB5A1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41989C2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B172C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B7805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22万元（决算金额）。其中，一般公共预算项目2个，涉及资金22万元，占一般公共预算项目支出总额的100%；政府性基金预算项目0个，涉及资金0万元，占政府性基金预算项目支出总额的0%；国有资本经营预算项目0个，涉及资金0万元，占国有资本经营预算项目支出总额的0%。</w:t>
      </w:r>
    </w:p>
    <w:p w14:paraId="53B0CA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2025年社会工作经费和2025年社区建设专项资金等2个项目开展了部门重点评价，涉及一般公共预算支出22万元，政府性基金预算支出0万元，国有资本经营预算支出0万元，从评价情况来看，较好的实现了年度预期目标。</w:t>
      </w:r>
    </w:p>
    <w:p w14:paraId="14666A6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7D38C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本部门在今年部门决算公开中反映2025年社会工作经费和2025年省级财政社区建设专项资金预算等2个项目绩效自评结果。</w:t>
      </w:r>
    </w:p>
    <w:p w14:paraId="7672C57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2025年省级财政社区建设专项资金预算项目绩效自评情况：根据年初设定的绩效目标，2025年省级财政社区建设专项资金预算项目绩效自评得分为99分（绩效自评表附后）。全年预算数为18万元，执行数为18万元，完成预算的100%。项目绩效目标完成情况：已按照省级财政要求完成对北渎村和东蒲底村党群服务中心的改建提升。发现的主要问题及原因是：上半年预算执行率偏低，下半年特别是第四季度集中支付占比过高，主要受施工进度影响，项目结算统一在竣工验收后，导致结算时间集中。下一步改进措施：提前开展项目储备和论证，做实做细项目库。对上级下达资金，提前做好分配方案，确保资金下达后及时分配。</w:t>
      </w:r>
    </w:p>
    <w:p w14:paraId="5AA97C2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2025年社会工作经费</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2025年社会工作经费</w:t>
      </w:r>
      <w:r>
        <w:rPr>
          <w:rFonts w:ascii="Times New Roman" w:eastAsia="仿宋_GB2312"/>
          <w:b w:val="0"/>
          <w:sz w:val="32"/>
          <w:szCs w:val="32"/>
        </w:rPr>
        <w:t>项目绩效自评得分为99分（绩效自评表附后）。全年预算数为</w:t>
      </w:r>
      <w:r>
        <w:rPr>
          <w:rFonts w:hint="eastAsia" w:ascii="Times New Roman" w:eastAsia="仿宋_GB2312"/>
          <w:b w:val="0"/>
          <w:sz w:val="32"/>
          <w:szCs w:val="32"/>
          <w:lang w:val="en-US" w:eastAsia="zh-CN"/>
        </w:rPr>
        <w:t>4</w:t>
      </w:r>
      <w:r>
        <w:rPr>
          <w:rFonts w:ascii="Times New Roman" w:eastAsia="仿宋_GB2312"/>
          <w:b w:val="0"/>
          <w:sz w:val="32"/>
          <w:szCs w:val="32"/>
        </w:rPr>
        <w:t>万元，执行数为</w:t>
      </w:r>
      <w:r>
        <w:rPr>
          <w:rFonts w:hint="eastAsia" w:ascii="Times New Roman" w:eastAsia="仿宋_GB2312"/>
          <w:b w:val="0"/>
          <w:sz w:val="32"/>
          <w:szCs w:val="32"/>
          <w:lang w:val="en-US" w:eastAsia="zh-CN"/>
        </w:rPr>
        <w:t>4</w:t>
      </w:r>
      <w:r>
        <w:rPr>
          <w:rFonts w:ascii="Times New Roman" w:eastAsia="仿宋_GB2312"/>
          <w:b w:val="0"/>
          <w:sz w:val="32"/>
          <w:szCs w:val="32"/>
        </w:rPr>
        <w:t>万元，完成预算的100%。项目绩效目标完成情况：</w:t>
      </w:r>
      <w:r>
        <w:rPr>
          <w:rFonts w:hint="eastAsia" w:ascii="Times New Roman" w:eastAsia="仿宋_GB2312"/>
          <w:b w:val="0"/>
          <w:sz w:val="32"/>
          <w:szCs w:val="32"/>
        </w:rPr>
        <w:t>已按照进度要求，在预算安排内完成本年度社会工作开展</w:t>
      </w:r>
      <w:r>
        <w:rPr>
          <w:rFonts w:ascii="Times New Roman" w:eastAsia="仿宋_GB2312"/>
          <w:b w:val="0"/>
          <w:sz w:val="32"/>
          <w:szCs w:val="32"/>
        </w:rPr>
        <w:t>。发现的主要问题及原因是：</w:t>
      </w:r>
      <w:r>
        <w:rPr>
          <w:rFonts w:hint="eastAsia" w:ascii="Times New Roman" w:eastAsia="仿宋_GB2312"/>
          <w:b w:val="0"/>
          <w:sz w:val="32"/>
          <w:szCs w:val="32"/>
        </w:rPr>
        <w:t>创新意识不足，解决问题思路不够丰富，习惯用老方法，主动探索新方法的能力有待提升</w:t>
      </w:r>
      <w:r>
        <w:rPr>
          <w:rFonts w:hint="eastAsia" w:ascii="Times New Roman" w:eastAsia="仿宋_GB2312"/>
          <w:b w:val="0"/>
          <w:sz w:val="32"/>
          <w:szCs w:val="32"/>
          <w:lang w:eastAsia="zh-CN"/>
        </w:rPr>
        <w:t>。</w:t>
      </w:r>
      <w:r>
        <w:rPr>
          <w:rFonts w:hint="eastAsia" w:ascii="Times New Roman" w:eastAsia="仿宋_GB2312"/>
          <w:b w:val="0"/>
          <w:sz w:val="32"/>
          <w:szCs w:val="32"/>
        </w:rPr>
        <w:t>主要原因是业务钻研度不够深入，经验较为欠缺，思考问题局限于自身职责范围，缺乏从整体和长远角度谋划工作的意识</w:t>
      </w:r>
      <w:r>
        <w:rPr>
          <w:rFonts w:ascii="Times New Roman" w:eastAsia="仿宋_GB2312"/>
          <w:b w:val="0"/>
          <w:sz w:val="32"/>
          <w:szCs w:val="32"/>
        </w:rPr>
        <w:t>。下一步改进措施：</w:t>
      </w:r>
      <w:r>
        <w:rPr>
          <w:rFonts w:hint="eastAsia" w:ascii="Times New Roman" w:eastAsia="仿宋_GB2312"/>
          <w:b w:val="0"/>
          <w:sz w:val="32"/>
          <w:szCs w:val="32"/>
        </w:rPr>
        <w:t>制定学习提升计划，主动学习新知识、新技能，做到常学常新，将学习成果与实际工作紧密结合，提升解决实际问题的能力。</w:t>
      </w:r>
    </w:p>
    <w:p w14:paraId="269F7B37">
      <w:pPr>
        <w:widowControl/>
        <w:spacing w:before="0" w:beforeLines="0" w:beforeAutospacing="0" w:after="0" w:afterLines="0" w:afterAutospacing="0" w:line="360" w:lineRule="auto"/>
        <w:jc w:val="left"/>
      </w:pPr>
      <w:r>
        <w:drawing>
          <wp:inline distT="0" distB="0" distL="114300" distR="114300">
            <wp:extent cx="5755640" cy="6209030"/>
            <wp:effectExtent l="0" t="0" r="1651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755640" cy="6209030"/>
                    </a:xfrm>
                    <a:prstGeom prst="rect">
                      <a:avLst/>
                    </a:prstGeom>
                    <a:noFill/>
                    <a:ln>
                      <a:noFill/>
                    </a:ln>
                  </pic:spPr>
                </pic:pic>
              </a:graphicData>
            </a:graphic>
          </wp:inline>
        </w:drawing>
      </w:r>
    </w:p>
    <w:p w14:paraId="3B813948">
      <w:pPr>
        <w:widowControl/>
        <w:spacing w:before="0" w:beforeLines="0" w:beforeAutospacing="0" w:after="0" w:afterLines="0" w:afterAutospacing="0" w:line="360" w:lineRule="auto"/>
        <w:jc w:val="left"/>
      </w:pPr>
    </w:p>
    <w:p w14:paraId="592B5B0D">
      <w:pPr>
        <w:widowControl/>
        <w:spacing w:before="0" w:beforeLines="0" w:beforeAutospacing="0" w:after="0" w:afterLines="0" w:afterAutospacing="0" w:line="360" w:lineRule="auto"/>
        <w:jc w:val="left"/>
        <w:rPr>
          <w:rFonts w:hint="eastAsia"/>
        </w:rPr>
      </w:pPr>
      <w:r>
        <w:drawing>
          <wp:inline distT="0" distB="0" distL="114300" distR="114300">
            <wp:extent cx="5756275" cy="5537835"/>
            <wp:effectExtent l="0" t="0" r="15875" b="571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0"/>
                    <a:stretch>
                      <a:fillRect/>
                    </a:stretch>
                  </pic:blipFill>
                  <pic:spPr>
                    <a:xfrm>
                      <a:off x="0" y="0"/>
                      <a:ext cx="5756275" cy="5537835"/>
                    </a:xfrm>
                    <a:prstGeom prst="rect">
                      <a:avLst/>
                    </a:prstGeom>
                    <a:noFill/>
                    <a:ln>
                      <a:noFill/>
                    </a:ln>
                  </pic:spPr>
                </pic:pic>
              </a:graphicData>
            </a:graphic>
          </wp:inline>
        </w:drawing>
      </w:r>
    </w:p>
    <w:p w14:paraId="65E049B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68EEBD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无</w:t>
      </w:r>
    </w:p>
    <w:p w14:paraId="3E61C8B8">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68E77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1CE87F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FD8D8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AE29B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D465E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394C7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4ED04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89808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B2940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D1161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A1903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F5AAC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F0A11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889BE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w:t>
      </w:r>
      <w:r>
        <w:rPr>
          <w:rFonts w:ascii="Times New Roman" w:eastAsia="仿宋_GB2312"/>
          <w:b w:val="0"/>
          <w:sz w:val="32"/>
          <w:szCs w:val="32"/>
        </w:rPr>
        <w:t>指事业单位在专业业务活动及其辅助活动之外开展非独立核算经营活动发生的支出。</w:t>
      </w:r>
    </w:p>
    <w:p w14:paraId="4B1525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C35576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C8AE8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F1510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7D2D0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12F503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F80F9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6685F">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EE1E">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B2DA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0B5C4">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CAB32"/>
    <w:multiLevelType w:val="singleLevel"/>
    <w:tmpl w:val="E2FCAB32"/>
    <w:lvl w:ilvl="0" w:tentative="0">
      <w:start w:val="1"/>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6FBFEFF1"/>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5F42F"/>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FDEF1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93.36</c:v>
                </c:pt>
                <c:pt idx="1">
                  <c:v>23.58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933632.5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713632.5</c:v>
                </c:pt>
                <c:pt idx="1">
                  <c:v>220000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23.58</c:v>
                </c:pt>
                <c:pt idx="1">
                  <c:v>23.58</c:v>
                </c:pt>
                <c:pt idx="2">
                  <c:v>23.58</c:v>
                </c:pt>
                <c:pt idx="3">
                  <c:v>23.58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93.36</c:v>
                </c:pt>
                <c:pt idx="1">
                  <c:v>93.36</c:v>
                </c:pt>
                <c:pt idx="2">
                  <c:v>93.36</c:v>
                </c:pt>
                <c:pt idx="3">
                  <c:v>93.36</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86.27</c:v>
                </c:pt>
                <c:pt idx="1">
                  <c:v>86.27</c:v>
                </c:pt>
                <c:pt idx="2">
                  <c:v>86.27</c:v>
                </c:pt>
                <c:pt idx="3">
                  <c:v>86.27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93.36</c:v>
                </c:pt>
                <c:pt idx="1">
                  <c:v>93.36</c:v>
                </c:pt>
                <c:pt idx="2">
                  <c:v>93.36</c:v>
                </c:pt>
                <c:pt idx="3">
                  <c:v>93.36</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47</Pages>
  <Words>1660</Words>
  <Characters>6225</Characters>
  <Lines>86</Lines>
  <Paragraphs>24</Paragraphs>
  <TotalTime>4</TotalTime>
  <ScaleCrop>false</ScaleCrop>
  <LinksUpToDate>false</LinksUpToDate>
  <CharactersWithSpaces>6550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2023-08-04T23:55:00Z</dcterms:created>
  <dc:creator>王明新TIAD</dc:creator>
  <cp:lastModifiedBy>QHTF</cp:lastModifiedBy>
  <cp:lastPrinted>2023-08-04T17:00:00Z</cp:lastPrinted>
  <dcterms:modified xsi:type="dcterms:W3CDTF">2026-10-08T10:51:37Z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