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bmp" ContentType="image/bmp"/>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mc:AlternateContent>
          <mc:Choice Requires="wps">
            <w:drawing>
              <wp:anchor distT="0" distB="0" distL="114300" distR="114300" simplePos="0" relativeHeight="251668480" behindDoc="0" locked="0" layoutInCell="1" allowOverlap="1">
                <wp:simplePos x="0" y="0"/>
                <wp:positionH relativeFrom="column">
                  <wp:posOffset>1628775</wp:posOffset>
                </wp:positionH>
                <wp:positionV relativeFrom="paragraph">
                  <wp:posOffset>7872730</wp:posOffset>
                </wp:positionV>
                <wp:extent cx="2131695" cy="517525"/>
                <wp:effectExtent l="0" t="0" r="1905" b="635"/>
                <wp:wrapNone/>
                <wp:docPr id="5" name="文本框 5"/>
                <wp:cNvGraphicFramePr/>
                <a:graphic xmlns:a="http://schemas.openxmlformats.org/drawingml/2006/main">
                  <a:graphicData uri="http://schemas.microsoft.com/office/word/2010/wordprocessingShape">
                    <wps:wsp>
                      <wps:cNvSpPr txBox="1"/>
                      <wps:spPr>
                        <a:xfrm>
                          <a:off x="2600960" y="9102725"/>
                          <a:ext cx="2131695" cy="517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ascii="楷体_GB2312" w:hAnsi="楷体_GB2312" w:eastAsia="楷体_GB2312" w:cs="楷体_GB2312"/>
                                <w:sz w:val="44"/>
                                <w:szCs w:val="52"/>
                              </w:rPr>
                            </w:pPr>
                            <w:r>
                              <w:rPr>
                                <w:rFonts w:hint="eastAsia" w:ascii="楷体_GB2312" w:hAnsi="楷体_GB2312" w:eastAsia="楷体_GB2312" w:cs="楷体_GB2312"/>
                                <w:sz w:val="44"/>
                                <w:szCs w:val="52"/>
                              </w:rPr>
                              <w:t>2021年9月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8.25pt;margin-top:619.9pt;height:40.75pt;width:167.85pt;z-index:251668480;mso-width-relative:page;mso-height-relative:page;" filled="f" stroked="f" coordsize="21600,21600" o:gfxdata="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5cw25dwAAAANAQAADwAAAAAA&#10;AAABACAAAAAiAAAAZHJzL2Rvd25yZXYueG1sUEsBAhQAFAAAAAgAh07iQC5Jnb5IAgAAcgQAAA4A&#10;AAAAAAAAAQAgAAAAKwEAAGRycy9lMm9Eb2MueG1sUEsFBgAAAAAGAAYAWQEAAOUFAAAAAA==&#10;">
                <v:fill on="f" focussize="0,0"/>
                <v:stroke on="f" weight="0.5pt"/>
                <v:imagedata o:title=""/>
                <o:lock v:ext="edit" aspectratio="f"/>
                <v:textbox>
                  <w:txbxContent>
                    <w:p>
                      <w:pPr>
                        <w:jc w:val="center"/>
                        <w:rPr>
                          <w:rFonts w:ascii="楷体_GB2312" w:hAnsi="楷体_GB2312" w:eastAsia="楷体_GB2312" w:cs="楷体_GB2312"/>
                          <w:sz w:val="44"/>
                          <w:szCs w:val="52"/>
                        </w:rPr>
                      </w:pPr>
                      <w:r>
                        <w:rPr>
                          <w:rFonts w:hint="eastAsia" w:ascii="楷体_GB2312" w:hAnsi="楷体_GB2312" w:eastAsia="楷体_GB2312" w:cs="楷体_GB2312"/>
                          <w:sz w:val="44"/>
                          <w:szCs w:val="52"/>
                        </w:rPr>
                        <w:t>2021年9月</w:t>
                      </w:r>
                    </w:p>
                  </w:txbxContent>
                </v:textbox>
              </v:shape>
            </w:pict>
          </mc:Fallback>
        </mc:AlternateContent>
      </w:r>
      <w:r>
        <w:drawing>
          <wp:anchor distT="0" distB="0" distL="114300" distR="114300" simplePos="0" relativeHeight="251669504" behindDoc="1" locked="0" layoutInCell="1" allowOverlap="1">
            <wp:simplePos x="0" y="0"/>
            <wp:positionH relativeFrom="column">
              <wp:posOffset>-997585</wp:posOffset>
            </wp:positionH>
            <wp:positionV relativeFrom="paragraph">
              <wp:posOffset>-1360170</wp:posOffset>
            </wp:positionV>
            <wp:extent cx="7592060" cy="10739755"/>
            <wp:effectExtent l="0" t="0" r="12700" b="4445"/>
            <wp:wrapNone/>
            <wp:docPr id="4" name="图片 4" descr="决算封面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决算封面无"/>
                    <pic:cNvPicPr>
                      <a:picLocks noChangeAspect="1"/>
                    </pic:cNvPicPr>
                  </pic:nvPicPr>
                  <pic:blipFill>
                    <a:blip r:embed="rId13"/>
                    <a:stretch>
                      <a:fillRect/>
                    </a:stretch>
                  </pic:blipFill>
                  <pic:spPr>
                    <a:xfrm>
                      <a:off x="0" y="0"/>
                      <a:ext cx="7592060" cy="10739755"/>
                    </a:xfrm>
                    <a:prstGeom prst="rect">
                      <a:avLst/>
                    </a:prstGeom>
                  </pic:spPr>
                </pic:pic>
              </a:graphicData>
            </a:graphic>
          </wp:anchor>
        </w:drawing>
      </w:r>
      <w:r>
        <w:br w:type="page"/>
      </w:r>
    </w:p>
    <w:p>
      <w:pPr>
        <w:rPr>
          <w:rFonts w:ascii="黑体" w:hAnsi="黑体" w:eastAsia="黑体" w:cs="黑体"/>
          <w:sz w:val="72"/>
          <w:szCs w:val="96"/>
        </w:rPr>
      </w:pPr>
    </w:p>
    <w:p>
      <w:pPr>
        <w:rPr>
          <w:rFonts w:ascii="黑体" w:hAnsi="黑体" w:eastAsia="黑体" w:cs="黑体"/>
          <w:sz w:val="72"/>
          <w:szCs w:val="96"/>
        </w:rPr>
      </w:pPr>
      <w:r>
        <w:rPr>
          <w:rFonts w:hint="eastAsia" w:ascii="黑体" w:hAnsi="黑体" w:eastAsia="黑体" w:cs="黑体"/>
          <w:sz w:val="72"/>
          <w:szCs w:val="96"/>
        </w:rPr>
        <w:t>2020年度部门决算公开文本</w:t>
      </w:r>
    </w:p>
    <w:p>
      <w:pPr>
        <w:spacing w:line="360" w:lineRule="auto"/>
        <w:jc w:val="center"/>
        <w:rPr>
          <w:rFonts w:ascii="黑体" w:hAnsi="黑体" w:eastAsia="黑体" w:cs="黑体"/>
          <w:sz w:val="56"/>
          <w:szCs w:val="72"/>
        </w:rPr>
      </w:pPr>
    </w:p>
    <w:p>
      <w:pPr>
        <w:spacing w:line="600" w:lineRule="auto"/>
        <w:jc w:val="center"/>
        <w:rPr>
          <w:rFonts w:ascii="黑体" w:hAnsi="黑体" w:eastAsia="黑体" w:cs="黑体"/>
          <w:sz w:val="56"/>
          <w:szCs w:val="72"/>
        </w:rPr>
      </w:pPr>
    </w:p>
    <w:p>
      <w:pPr>
        <w:spacing w:line="600" w:lineRule="auto"/>
        <w:jc w:val="center"/>
        <w:rPr>
          <w:rFonts w:ascii="黑体" w:hAnsi="黑体" w:eastAsia="黑体" w:cs="黑体"/>
          <w:sz w:val="56"/>
          <w:szCs w:val="72"/>
        </w:rPr>
      </w:pPr>
    </w:p>
    <w:p>
      <w:pPr>
        <w:spacing w:line="600" w:lineRule="auto"/>
        <w:jc w:val="center"/>
        <w:rPr>
          <w:rFonts w:ascii="黑体" w:hAnsi="黑体" w:eastAsia="黑体" w:cs="黑体"/>
          <w:sz w:val="56"/>
          <w:szCs w:val="72"/>
        </w:rPr>
      </w:pPr>
    </w:p>
    <w:p>
      <w:pPr>
        <w:spacing w:line="600" w:lineRule="auto"/>
        <w:jc w:val="center"/>
        <w:rPr>
          <w:rFonts w:ascii="黑体" w:hAnsi="黑体" w:eastAsia="黑体" w:cs="黑体"/>
          <w:sz w:val="56"/>
          <w:szCs w:val="72"/>
        </w:rPr>
      </w:pPr>
    </w:p>
    <w:p>
      <w:pPr>
        <w:spacing w:line="480" w:lineRule="auto"/>
        <w:jc w:val="center"/>
        <w:rPr>
          <w:rFonts w:ascii="黑体" w:hAnsi="黑体" w:eastAsia="黑体" w:cs="黑体"/>
          <w:sz w:val="56"/>
          <w:szCs w:val="72"/>
        </w:rPr>
      </w:pPr>
    </w:p>
    <w:p>
      <w:pPr>
        <w:spacing w:line="480" w:lineRule="auto"/>
        <w:jc w:val="center"/>
        <w:rPr>
          <w:rFonts w:ascii="黑体" w:hAnsi="黑体" w:eastAsia="黑体" w:cs="黑体"/>
          <w:sz w:val="56"/>
          <w:szCs w:val="72"/>
        </w:rPr>
      </w:pPr>
    </w:p>
    <w:p>
      <w:pPr>
        <w:spacing w:line="480" w:lineRule="auto"/>
        <w:jc w:val="center"/>
        <w:rPr>
          <w:rFonts w:ascii="黑体" w:hAnsi="黑体" w:eastAsia="黑体" w:cs="黑体"/>
          <w:sz w:val="56"/>
          <w:szCs w:val="72"/>
        </w:rPr>
      </w:pPr>
    </w:p>
    <w:p>
      <w:pPr>
        <w:spacing w:line="480" w:lineRule="auto"/>
        <w:jc w:val="center"/>
        <w:rPr>
          <w:rFonts w:ascii="黑体" w:hAnsi="黑体" w:eastAsia="黑体" w:cs="黑体"/>
          <w:sz w:val="56"/>
          <w:szCs w:val="72"/>
        </w:rPr>
      </w:pPr>
    </w:p>
    <w:p>
      <w:pPr>
        <w:snapToGrid w:val="0"/>
        <w:jc w:val="center"/>
        <w:rPr>
          <w:rFonts w:hint="eastAsia" w:ascii="楷体_GB2312" w:hAnsi="楷体_GB2312" w:eastAsia="楷体_GB2312" w:cs="楷体_GB2312"/>
          <w:color w:val="000000" w:themeColor="text1"/>
          <w:kern w:val="0"/>
          <w:sz w:val="44"/>
          <w:szCs w:val="44"/>
          <w:lang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ascii="楷体_GB2312" w:hAnsi="楷体_GB2312" w:eastAsia="楷体_GB2312" w:cs="楷体_GB2312"/>
          <w:color w:val="000000" w:themeColor="text1"/>
          <w:kern w:val="0"/>
          <w:sz w:val="44"/>
          <w:szCs w:val="44"/>
          <w:lang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高邑县富村镇人民政府</w:t>
      </w:r>
    </w:p>
    <w:p>
      <w:pPr>
        <w:snapToGrid w:val="0"/>
        <w:jc w:val="center"/>
        <w:rPr>
          <w:rFonts w:ascii="楷体_GB2312" w:hAnsi="楷体_GB2312" w:eastAsia="楷体_GB2312" w:cs="楷体_GB2312"/>
          <w:color w:val="000000" w:themeColor="text1"/>
          <w:kern w:val="0"/>
          <w:sz w:val="40"/>
          <w:szCs w:val="40"/>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ascii="楷体_GB2312" w:hAnsi="楷体_GB2312" w:eastAsia="楷体_GB2312" w:cs="楷体_GB2312"/>
          <w:color w:val="000000" w:themeColor="text1"/>
          <w:kern w:val="0"/>
          <w:sz w:val="40"/>
          <w:szCs w:val="40"/>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二〇二一年九月</w:t>
      </w:r>
    </w:p>
    <w:p>
      <w:pPr>
        <w:snapToGrid w:val="0"/>
        <w:jc w:val="center"/>
        <w:rPr>
          <w:rFonts w:ascii="楷体_GB2312" w:hAnsi="楷体_GB2312" w:eastAsia="楷体_GB2312" w:cs="楷体_GB2312"/>
          <w:color w:val="000000" w:themeColor="text1"/>
          <w:kern w:val="0"/>
          <w:sz w:val="40"/>
          <w:szCs w:val="40"/>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p>
    <w:p>
      <w:pPr>
        <w:jc w:val="center"/>
        <w:rPr>
          <w:rFonts w:hint="eastAsia" w:ascii="黑体" w:hAnsi="黑体" w:eastAsia="黑体" w:cs="黑体"/>
          <w:sz w:val="72"/>
          <w:szCs w:val="96"/>
          <w:lang w:eastAsia="zh-CN"/>
        </w:rPr>
      </w:pPr>
      <w:r>
        <w:rPr>
          <w:rFonts w:hint="eastAsia" w:ascii="黑体" w:hAnsi="黑体" w:eastAsia="黑体" w:cs="黑体"/>
          <w:sz w:val="72"/>
          <w:szCs w:val="96"/>
          <w:lang w:eastAsia="zh-CN"/>
        </w:rPr>
        <w:t>高邑县富村镇人民政府</w:t>
      </w:r>
    </w:p>
    <w:p>
      <w:pPr>
        <w:rPr>
          <w:rFonts w:ascii="黑体" w:hAnsi="黑体" w:eastAsia="黑体" w:cs="黑体"/>
          <w:sz w:val="72"/>
          <w:szCs w:val="96"/>
        </w:rPr>
      </w:pPr>
      <w:r>
        <w:rPr>
          <w:rFonts w:hint="eastAsia" w:ascii="黑体" w:hAnsi="黑体" w:eastAsia="黑体" w:cs="黑体"/>
          <w:sz w:val="72"/>
          <w:szCs w:val="96"/>
        </w:rPr>
        <w:t>2020年度部门决算公开文本</w:t>
      </w:r>
    </w:p>
    <w:p>
      <w:pPr>
        <w:spacing w:line="360" w:lineRule="auto"/>
        <w:jc w:val="center"/>
        <w:rPr>
          <w:rFonts w:ascii="黑体" w:hAnsi="黑体" w:eastAsia="黑体" w:cs="黑体"/>
          <w:sz w:val="56"/>
          <w:szCs w:val="72"/>
        </w:rPr>
      </w:pPr>
    </w:p>
    <w:p>
      <w:pPr>
        <w:spacing w:line="600" w:lineRule="auto"/>
        <w:jc w:val="center"/>
        <w:rPr>
          <w:rFonts w:ascii="黑体" w:hAnsi="黑体" w:eastAsia="黑体" w:cs="黑体"/>
          <w:sz w:val="56"/>
          <w:szCs w:val="72"/>
        </w:rPr>
      </w:pPr>
    </w:p>
    <w:p>
      <w:pPr>
        <w:spacing w:line="600" w:lineRule="auto"/>
        <w:jc w:val="center"/>
        <w:rPr>
          <w:rFonts w:ascii="黑体" w:hAnsi="黑体" w:eastAsia="黑体" w:cs="黑体"/>
          <w:sz w:val="56"/>
          <w:szCs w:val="72"/>
        </w:rPr>
      </w:pPr>
    </w:p>
    <w:p>
      <w:pPr>
        <w:spacing w:line="600" w:lineRule="auto"/>
        <w:jc w:val="center"/>
        <w:rPr>
          <w:rFonts w:ascii="黑体" w:hAnsi="黑体" w:eastAsia="黑体" w:cs="黑体"/>
          <w:sz w:val="56"/>
          <w:szCs w:val="72"/>
        </w:rPr>
      </w:pPr>
    </w:p>
    <w:p>
      <w:pPr>
        <w:spacing w:line="600" w:lineRule="auto"/>
        <w:jc w:val="center"/>
        <w:rPr>
          <w:rFonts w:ascii="黑体" w:hAnsi="黑体" w:eastAsia="黑体" w:cs="黑体"/>
          <w:sz w:val="56"/>
          <w:szCs w:val="72"/>
        </w:rPr>
      </w:pPr>
    </w:p>
    <w:p>
      <w:pPr>
        <w:spacing w:line="480" w:lineRule="auto"/>
        <w:jc w:val="center"/>
        <w:rPr>
          <w:rFonts w:ascii="黑体" w:hAnsi="黑体" w:eastAsia="黑体" w:cs="黑体"/>
          <w:sz w:val="56"/>
          <w:szCs w:val="72"/>
        </w:rPr>
      </w:pPr>
    </w:p>
    <w:p>
      <w:pPr>
        <w:spacing w:line="480" w:lineRule="auto"/>
        <w:jc w:val="center"/>
        <w:rPr>
          <w:rFonts w:ascii="黑体" w:hAnsi="黑体" w:eastAsia="黑体" w:cs="黑体"/>
          <w:sz w:val="56"/>
          <w:szCs w:val="72"/>
        </w:rPr>
      </w:pPr>
    </w:p>
    <w:p>
      <w:pPr>
        <w:spacing w:line="480" w:lineRule="auto"/>
        <w:jc w:val="center"/>
        <w:rPr>
          <w:rFonts w:ascii="黑体" w:hAnsi="黑体" w:eastAsia="黑体" w:cs="黑体"/>
          <w:sz w:val="56"/>
          <w:szCs w:val="72"/>
        </w:rPr>
      </w:pPr>
    </w:p>
    <w:p>
      <w:pPr>
        <w:snapToGrid w:val="0"/>
        <w:jc w:val="center"/>
        <w:rPr>
          <w:rFonts w:ascii="楷体_GB2312" w:hAnsi="楷体_GB2312" w:eastAsia="楷体_GB2312" w:cs="楷体_GB2312"/>
          <w:color w:val="000000" w:themeColor="text1"/>
          <w:kern w:val="0"/>
          <w:sz w:val="40"/>
          <w:szCs w:val="40"/>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p>
    <w:p>
      <w:pPr>
        <w:snapToGrid w:val="0"/>
        <w:jc w:val="center"/>
        <w:rPr>
          <w:rFonts w:ascii="楷体_GB2312" w:hAnsi="楷体_GB2312" w:eastAsia="楷体_GB2312" w:cs="楷体_GB2312"/>
          <w:color w:val="000000" w:themeColor="text1"/>
          <w:kern w:val="0"/>
          <w:sz w:val="40"/>
          <w:szCs w:val="40"/>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p>
    <w:p>
      <w:pPr>
        <w:snapToGrid w:val="0"/>
        <w:jc w:val="center"/>
        <w:rPr>
          <w:rFonts w:ascii="楷体_GB2312" w:hAnsi="楷体_GB2312" w:eastAsia="楷体_GB2312" w:cs="楷体_GB2312"/>
          <w:color w:val="000000" w:themeColor="text1"/>
          <w:kern w:val="0"/>
          <w:sz w:val="40"/>
          <w:szCs w:val="40"/>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p>
    <w:p>
      <w:pPr>
        <w:snapToGrid w:val="0"/>
        <w:jc w:val="center"/>
        <w:rPr>
          <w:rFonts w:ascii="楷体_GB2312" w:hAnsi="楷体_GB2312" w:eastAsia="楷体_GB2312" w:cs="楷体_GB2312"/>
          <w:color w:val="000000" w:themeColor="text1"/>
          <w:kern w:val="0"/>
          <w:sz w:val="40"/>
          <w:szCs w:val="40"/>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sectPr>
          <w:pgSz w:w="11906" w:h="16838"/>
          <w:pgMar w:top="2098" w:right="1531" w:bottom="1984" w:left="1531" w:header="851" w:footer="992" w:gutter="0"/>
          <w:cols w:space="0" w:num="1"/>
          <w:titlePg/>
          <w:docGrid w:type="lines" w:linePitch="312" w:charSpace="0"/>
        </w:sectPr>
      </w:pPr>
      <w:r>
        <w:rPr>
          <w:rFonts w:hint="eastAsia" w:ascii="楷体_GB2312" w:hAnsi="楷体_GB2312" w:eastAsia="楷体_GB2312" w:cs="楷体_GB2312"/>
          <w:color w:val="000000" w:themeColor="text1"/>
          <w:kern w:val="0"/>
          <w:sz w:val="40"/>
          <w:szCs w:val="40"/>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二〇二一年九月</w:t>
      </w:r>
    </w:p>
    <w:p>
      <w:pPr>
        <w:snapToGrid w:val="0"/>
        <w:jc w:val="center"/>
        <w:rPr>
          <w:rFonts w:ascii="楷体_GB2312" w:hAnsi="楷体_GB2312" w:eastAsia="楷体_GB2312" w:cs="楷体_GB2312"/>
          <w:color w:val="000000" w:themeColor="text1"/>
          <w:kern w:val="0"/>
          <w:sz w:val="40"/>
          <w:szCs w:val="40"/>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sectPr>
          <w:headerReference r:id="rId4" w:type="first"/>
          <w:footerReference r:id="rId5" w:type="first"/>
          <w:headerReference r:id="rId3" w:type="default"/>
          <w:pgSz w:w="11906" w:h="16838"/>
          <w:pgMar w:top="2098" w:right="1531" w:bottom="1984" w:left="1531" w:header="851" w:footer="992" w:gutter="0"/>
          <w:cols w:space="0" w:num="1"/>
          <w:titlePg/>
          <w:docGrid w:type="lines" w:linePitch="312" w:charSpace="0"/>
        </w:sectPr>
      </w:pPr>
    </w:p>
    <w:p>
      <w:pPr>
        <w:tabs>
          <w:tab w:val="left" w:pos="2728"/>
        </w:tabs>
        <w:jc w:val="center"/>
        <w:rPr>
          <w:rFonts w:hint="eastAsia" w:ascii="黑体" w:hAnsi="Times New Roman" w:eastAsia="黑体" w:cs="Times New Roman"/>
          <w:sz w:val="48"/>
          <w:szCs w:val="48"/>
        </w:rPr>
      </w:pPr>
    </w:p>
    <w:p>
      <w:pPr>
        <w:tabs>
          <w:tab w:val="left" w:pos="2728"/>
        </w:tabs>
        <w:jc w:val="center"/>
        <w:rPr>
          <w:rFonts w:ascii="黑体" w:hAnsi="Times New Roman" w:eastAsia="黑体" w:cs="Times New Roman"/>
          <w:sz w:val="48"/>
          <w:szCs w:val="48"/>
        </w:rPr>
      </w:pPr>
      <w:r>
        <w:rPr>
          <w:rFonts w:hint="eastAsia" w:ascii="黑体" w:hAnsi="Times New Roman" w:eastAsia="黑体" w:cs="Times New Roman"/>
          <w:sz w:val="48"/>
          <w:szCs w:val="48"/>
        </w:rPr>
        <w:t>目    录</w:t>
      </w:r>
    </w:p>
    <w:p>
      <w:pPr>
        <w:widowControl/>
        <w:spacing w:after="160" w:line="580" w:lineRule="exact"/>
        <w:ind w:firstLine="640" w:firstLineChars="200"/>
        <w:rPr>
          <w:rFonts w:ascii="Times New Roman" w:hAnsi="Times New Roman" w:eastAsia="黑体" w:cs="Times New Roman"/>
          <w:sz w:val="32"/>
          <w:szCs w:val="32"/>
        </w:rPr>
      </w:pPr>
    </w:p>
    <w:p>
      <w:pPr>
        <w:widowControl/>
        <w:spacing w:line="640" w:lineRule="exact"/>
        <w:ind w:firstLine="640" w:firstLineChars="200"/>
        <w:rPr>
          <w:rFonts w:ascii="Times New Roman" w:hAnsi="Times New Roman" w:eastAsia="仿宋_GB2312" w:cs="Times New Roman"/>
          <w:sz w:val="24"/>
          <w:szCs w:val="32"/>
        </w:rPr>
      </w:pPr>
      <w:r>
        <w:rPr>
          <w:rFonts w:ascii="Times New Roman" w:hAnsi="Times New Roman" w:eastAsia="黑体" w:cs="Times New Roman"/>
          <w:sz w:val="32"/>
          <w:szCs w:val="32"/>
        </w:rPr>
        <w:t>第一部分   部门概况</w:t>
      </w:r>
    </w:p>
    <w:p>
      <w:pPr>
        <w:widowControl/>
        <w:spacing w:line="640" w:lineRule="exact"/>
        <w:ind w:firstLine="1273" w:firstLineChars="398"/>
        <w:rPr>
          <w:rFonts w:ascii="Times New Roman" w:hAnsi="Times New Roman" w:eastAsia="仿宋_GB2312" w:cs="Times New Roman"/>
          <w:sz w:val="32"/>
          <w:szCs w:val="32"/>
        </w:rPr>
      </w:pPr>
      <w:r>
        <w:rPr>
          <w:rFonts w:ascii="Times New Roman" w:hAnsi="Times New Roman" w:eastAsia="仿宋_GB2312" w:cs="Times New Roman"/>
          <w:sz w:val="32"/>
          <w:szCs w:val="32"/>
        </w:rPr>
        <w:t>一、部门</w:t>
      </w:r>
      <w:r>
        <w:rPr>
          <w:rFonts w:hint="eastAsia" w:ascii="Times New Roman" w:hAnsi="Times New Roman" w:eastAsia="仿宋_GB2312" w:cs="Times New Roman"/>
          <w:sz w:val="32"/>
          <w:szCs w:val="32"/>
        </w:rPr>
        <w:t>职责</w:t>
      </w:r>
    </w:p>
    <w:p>
      <w:pPr>
        <w:widowControl/>
        <w:spacing w:line="640" w:lineRule="exact"/>
        <w:ind w:firstLine="1273" w:firstLineChars="398"/>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机构设置</w:t>
      </w:r>
    </w:p>
    <w:p>
      <w:pPr>
        <w:widowControl/>
        <w:spacing w:line="64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第二部分</w:t>
      </w:r>
      <w:r>
        <w:rPr>
          <w:rFonts w:hint="eastAsia" w:ascii="Times New Roman" w:hAnsi="Times New Roman" w:eastAsia="黑体" w:cs="Times New Roman"/>
          <w:sz w:val="32"/>
          <w:szCs w:val="32"/>
        </w:rPr>
        <w:t xml:space="preserve">   </w:t>
      </w:r>
      <w:r>
        <w:rPr>
          <w:rFonts w:ascii="Times New Roman" w:hAnsi="Times New Roman" w:eastAsia="黑体" w:cs="Times New Roman"/>
          <w:sz w:val="32"/>
          <w:szCs w:val="32"/>
        </w:rPr>
        <w:t>20</w:t>
      </w:r>
      <w:r>
        <w:rPr>
          <w:rFonts w:hint="eastAsia" w:ascii="Times New Roman" w:hAnsi="Times New Roman" w:eastAsia="黑体" w:cs="Times New Roman"/>
          <w:sz w:val="32"/>
          <w:szCs w:val="32"/>
        </w:rPr>
        <w:t>20</w:t>
      </w:r>
      <w:r>
        <w:rPr>
          <w:rFonts w:ascii="Times New Roman" w:hAnsi="Times New Roman" w:eastAsia="黑体" w:cs="Times New Roman"/>
          <w:sz w:val="32"/>
          <w:szCs w:val="32"/>
        </w:rPr>
        <w:t>年部门决算情况说明</w:t>
      </w:r>
    </w:p>
    <w:p>
      <w:pPr>
        <w:widowControl/>
        <w:spacing w:line="640" w:lineRule="exact"/>
        <w:ind w:left="630" w:leftChars="30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一、收入支出决算总体情况说明</w:t>
      </w:r>
    </w:p>
    <w:p>
      <w:pPr>
        <w:widowControl/>
        <w:spacing w:line="640" w:lineRule="exact"/>
        <w:ind w:left="630" w:leftChars="30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二、收入决算情况说明</w:t>
      </w:r>
    </w:p>
    <w:p>
      <w:pPr>
        <w:widowControl/>
        <w:spacing w:line="640" w:lineRule="exact"/>
        <w:ind w:left="630" w:leftChars="30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三、支出决算情况说明</w:t>
      </w:r>
    </w:p>
    <w:p>
      <w:pPr>
        <w:widowControl/>
        <w:spacing w:line="640" w:lineRule="exact"/>
        <w:ind w:left="630" w:leftChars="30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四、财政拨款收入支出决算总体情况说明</w:t>
      </w:r>
    </w:p>
    <w:p>
      <w:pPr>
        <w:widowControl/>
        <w:spacing w:line="640" w:lineRule="exact"/>
        <w:ind w:left="630" w:leftChars="30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五、一般公共预算“三公” 经费支出决算情况说明</w:t>
      </w:r>
    </w:p>
    <w:p>
      <w:pPr>
        <w:widowControl/>
        <w:spacing w:line="640" w:lineRule="exact"/>
        <w:ind w:left="630" w:leftChars="30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六、预算绩效情况说明</w:t>
      </w:r>
    </w:p>
    <w:p>
      <w:pPr>
        <w:widowControl/>
        <w:spacing w:line="640" w:lineRule="exact"/>
        <w:ind w:left="630" w:leftChars="30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七、机关运行经费情况</w:t>
      </w:r>
    </w:p>
    <w:p>
      <w:pPr>
        <w:widowControl/>
        <w:spacing w:line="640" w:lineRule="exact"/>
        <w:ind w:left="630" w:leftChars="30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八、政府采购情况</w:t>
      </w:r>
    </w:p>
    <w:p>
      <w:pPr>
        <w:widowControl/>
        <w:spacing w:line="640" w:lineRule="exact"/>
        <w:ind w:left="630" w:leftChars="30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九、国有资产占用情况</w:t>
      </w:r>
    </w:p>
    <w:p>
      <w:pPr>
        <w:widowControl/>
        <w:spacing w:line="640" w:lineRule="exact"/>
        <w:ind w:left="630" w:leftChars="30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十、其他需要说明的情况</w:t>
      </w:r>
    </w:p>
    <w:p>
      <w:pPr>
        <w:widowControl/>
        <w:spacing w:line="64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第三部分   名词解释</w:t>
      </w:r>
    </w:p>
    <w:p>
      <w:pPr>
        <w:widowControl/>
        <w:spacing w:line="640" w:lineRule="exact"/>
        <w:ind w:firstLine="640" w:firstLineChars="200"/>
        <w:rPr>
          <w:rFonts w:ascii="Times New Roman" w:hAnsi="Times New Roman" w:eastAsia="仿宋_GB2312" w:cs="Times New Roman"/>
          <w:sz w:val="20"/>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四</w:t>
      </w:r>
      <w:r>
        <w:rPr>
          <w:rFonts w:ascii="Times New Roman" w:hAnsi="Times New Roman" w:eastAsia="黑体" w:cs="Times New Roman"/>
          <w:sz w:val="32"/>
          <w:szCs w:val="32"/>
        </w:rPr>
        <w:t>部分</w:t>
      </w:r>
      <w:r>
        <w:rPr>
          <w:rFonts w:hint="eastAsia" w:ascii="Times New Roman" w:hAnsi="Times New Roman" w:eastAsia="黑体" w:cs="Times New Roman"/>
          <w:sz w:val="32"/>
          <w:szCs w:val="32"/>
        </w:rPr>
        <w:t xml:space="preserve">  </w:t>
      </w:r>
      <w:r>
        <w:rPr>
          <w:rFonts w:ascii="Times New Roman" w:hAnsi="Times New Roman" w:eastAsia="黑体" w:cs="Times New Roman"/>
          <w:sz w:val="32"/>
          <w:szCs w:val="32"/>
        </w:rPr>
        <w:t xml:space="preserve"> 20</w:t>
      </w:r>
      <w:r>
        <w:rPr>
          <w:rFonts w:hint="eastAsia" w:ascii="Times New Roman" w:hAnsi="Times New Roman" w:eastAsia="黑体" w:cs="Times New Roman"/>
          <w:sz w:val="32"/>
          <w:szCs w:val="32"/>
        </w:rPr>
        <w:t>20</w:t>
      </w:r>
      <w:r>
        <w:rPr>
          <w:rFonts w:ascii="Times New Roman" w:hAnsi="Times New Roman" w:eastAsia="黑体" w:cs="Times New Roman"/>
          <w:sz w:val="32"/>
          <w:szCs w:val="32"/>
        </w:rPr>
        <w:t>年度部门决算报表</w:t>
      </w:r>
    </w:p>
    <w:p>
      <w:pPr>
        <w:widowControl/>
        <w:spacing w:after="160" w:line="580" w:lineRule="exact"/>
        <w:ind w:firstLine="640" w:firstLineChars="200"/>
        <w:rPr>
          <w:rFonts w:ascii="Times New Roman" w:hAnsi="Times New Roman" w:eastAsia="黑体" w:cs="Times New Roman"/>
          <w:sz w:val="32"/>
          <w:szCs w:val="32"/>
        </w:rPr>
        <w:sectPr>
          <w:headerReference r:id="rId7" w:type="first"/>
          <w:footerReference r:id="rId9" w:type="first"/>
          <w:headerReference r:id="rId6" w:type="default"/>
          <w:footerReference r:id="rId8" w:type="default"/>
          <w:type w:val="continuous"/>
          <w:pgSz w:w="11906" w:h="16838"/>
          <w:pgMar w:top="2098" w:right="1531" w:bottom="1984" w:left="1531" w:header="851" w:footer="992" w:gutter="0"/>
          <w:cols w:space="0" w:num="1"/>
          <w:titlePg/>
          <w:docGrid w:type="lines" w:linePitch="312" w:charSpace="0"/>
        </w:sectPr>
      </w:pPr>
    </w:p>
    <w:p>
      <w:pPr>
        <w:widowControl/>
        <w:spacing w:line="580" w:lineRule="exact"/>
        <w:ind w:firstLine="640" w:firstLineChars="200"/>
        <w:rPr>
          <w:rFonts w:eastAsia="黑体"/>
          <w:sz w:val="32"/>
          <w:szCs w:val="32"/>
        </w:rPr>
      </w:pPr>
    </w:p>
    <w:p>
      <w:pPr>
        <w:widowControl/>
        <w:spacing w:line="580" w:lineRule="exact"/>
        <w:ind w:firstLine="640" w:firstLineChars="200"/>
        <w:rPr>
          <w:rFonts w:eastAsia="黑体"/>
          <w:sz w:val="32"/>
          <w:szCs w:val="32"/>
        </w:rPr>
      </w:pPr>
    </w:p>
    <w:p>
      <w:pPr>
        <w:widowControl/>
        <w:spacing w:line="580" w:lineRule="exact"/>
        <w:ind w:firstLine="640" w:firstLineChars="200"/>
        <w:rPr>
          <w:rFonts w:eastAsia="黑体"/>
          <w:sz w:val="32"/>
          <w:szCs w:val="32"/>
        </w:rPr>
      </w:pPr>
    </w:p>
    <w:p>
      <w:r>
        <w:rPr>
          <w:sz w:val="72"/>
        </w:rPr>
        <mc:AlternateContent>
          <mc:Choice Requires="wps">
            <w:drawing>
              <wp:anchor distT="0" distB="0" distL="114300" distR="114300" simplePos="0" relativeHeight="251659264" behindDoc="0" locked="0" layoutInCell="1" allowOverlap="1">
                <wp:simplePos x="0" y="0"/>
                <wp:positionH relativeFrom="column">
                  <wp:posOffset>-1088390</wp:posOffset>
                </wp:positionH>
                <wp:positionV relativeFrom="paragraph">
                  <wp:posOffset>1024890</wp:posOffset>
                </wp:positionV>
                <wp:extent cx="7793355" cy="3341370"/>
                <wp:effectExtent l="6350" t="6350" r="18415" b="20320"/>
                <wp:wrapNone/>
                <wp:docPr id="143" name="文本框 143"/>
                <wp:cNvGraphicFramePr/>
                <a:graphic xmlns:a="http://schemas.openxmlformats.org/drawingml/2006/main">
                  <a:graphicData uri="http://schemas.microsoft.com/office/word/2010/wordprocessingShape">
                    <wps:wsp>
                      <wps:cNvSpPr txBox="1"/>
                      <wps:spPr>
                        <a:xfrm>
                          <a:off x="0" y="0"/>
                          <a:ext cx="7793355" cy="3341370"/>
                        </a:xfrm>
                        <a:prstGeom prst="rect">
                          <a:avLst/>
                        </a:prstGeom>
                        <a:pattFill prst="pct5">
                          <a:fgClr>
                            <a:schemeClr val="bg1">
                              <a:lumMod val="50000"/>
                            </a:schemeClr>
                          </a:fgClr>
                          <a:bgClr>
                            <a:schemeClr val="bg1"/>
                          </a:bgClr>
                        </a:pattFill>
                        <a:ln w="12700" cmpd="sng">
                          <a:solidFill>
                            <a:schemeClr val="bg1">
                              <a:lumMod val="65000"/>
                            </a:schemeClr>
                          </a:solidFill>
                          <a:prstDash val="solid"/>
                        </a:ln>
                      </wps:spPr>
                      <wps:style>
                        <a:lnRef idx="0">
                          <a:schemeClr val="accent1"/>
                        </a:lnRef>
                        <a:fillRef idx="0">
                          <a:schemeClr val="accent1"/>
                        </a:fillRef>
                        <a:effectRef idx="0">
                          <a:schemeClr val="accent1"/>
                        </a:effectRef>
                        <a:fontRef idx="minor">
                          <a:schemeClr val="dk1"/>
                        </a:fontRef>
                      </wps:style>
                      <wps:txbx>
                        <w:txbxContent>
                          <w:p>
                            <w:pPr>
                              <w:widowControl/>
                              <w:jc w:val="center"/>
                              <w:rPr>
                                <w:rFonts w:ascii="黑体" w:hAnsi="黑体" w:eastAsia="黑体" w:cs="黑体"/>
                                <w:color w:val="000000" w:themeColor="text1"/>
                                <w:sz w:val="96"/>
                                <w:szCs w:val="96"/>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r>
                              <w:rPr>
                                <w:rFonts w:hint="eastAsia" w:ascii="黑体" w:hAnsi="黑体" w:eastAsia="黑体" w:cs="黑体"/>
                                <w:color w:val="000000" w:themeColor="text1"/>
                                <w:sz w:val="96"/>
                                <w:szCs w:val="96"/>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第一部分  部门概况</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85.7pt;margin-top:80.7pt;height:263.1pt;width:613.65pt;z-index:251659264;v-text-anchor:middle;mso-width-relative:page;mso-height-relative:page;" fillcolor="#7F7F7F [1612]" filled="t" stroked="t" coordsize="21600,21600" o:gfxdata="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Df95gjcAAAADQEAAA8AAAAAAAAAAQAgAAAAIgAAAGRycy9kb3ducmV2Lnht&#10;bFBLAQIUABQAAAAIAIdO4kCP8Fn4oAIAAHEFAAAOAAAAAAAAAAEAIAAAACsBAABkcnMvZTJvRG9j&#10;LnhtbFBLBQYAAAAABgAGAFkBAAA9BgAAAAA=&#10;">
                <v:fill type="pattern" on="t" color2="#FFFFFF [3212]" o:title="5%" focussize="0,0" r:id="rId14"/>
                <v:stroke weight="1pt" color="#A6A6A6 [2092]" joinstyle="round"/>
                <v:imagedata o:title=""/>
                <o:lock v:ext="edit" aspectratio="f"/>
                <v:textbox>
                  <w:txbxContent>
                    <w:p>
                      <w:pPr>
                        <w:widowControl/>
                        <w:jc w:val="center"/>
                        <w:rPr>
                          <w:rFonts w:ascii="黑体" w:hAnsi="黑体" w:eastAsia="黑体" w:cs="黑体"/>
                          <w:color w:val="000000" w:themeColor="text1"/>
                          <w:sz w:val="96"/>
                          <w:szCs w:val="96"/>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r>
                        <w:rPr>
                          <w:rFonts w:hint="eastAsia" w:ascii="黑体" w:hAnsi="黑体" w:eastAsia="黑体" w:cs="黑体"/>
                          <w:color w:val="000000" w:themeColor="text1"/>
                          <w:sz w:val="96"/>
                          <w:szCs w:val="96"/>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第一部分  部门概况</w:t>
                      </w:r>
                    </w:p>
                  </w:txbxContent>
                </v:textbox>
              </v:shape>
            </w:pict>
          </mc:Fallback>
        </mc:AlternateContent>
      </w:r>
      <w:r>
        <w:br w:type="page"/>
      </w:r>
    </w:p>
    <w:p>
      <w:pPr>
        <w:pStyle w:val="2"/>
        <w:spacing w:before="0" w:after="0" w:line="580" w:lineRule="exact"/>
        <w:ind w:firstLine="640" w:firstLineChars="200"/>
        <w:jc w:val="left"/>
        <w:rPr>
          <w:rFonts w:ascii="黑体" w:eastAsia="黑体" w:cs="黑体"/>
          <w:b w:val="0"/>
          <w:bCs w:val="0"/>
          <w:kern w:val="0"/>
          <w:sz w:val="32"/>
          <w:szCs w:val="32"/>
        </w:rPr>
      </w:pPr>
      <w:r>
        <w:rPr>
          <w:rFonts w:hint="eastAsia" w:ascii="黑体" w:eastAsia="黑体" w:cs="黑体"/>
          <w:b w:val="0"/>
          <w:bCs w:val="0"/>
          <w:kern w:val="0"/>
          <w:sz w:val="32"/>
          <w:szCs w:val="32"/>
        </w:rPr>
        <w:t>一、部门职责</w:t>
      </w:r>
    </w:p>
    <w:p>
      <w:pPr>
        <w:ind w:firstLine="640" w:firstLineChars="200"/>
        <w:rPr>
          <w:rFonts w:ascii="仿宋" w:hAnsi="仿宋" w:eastAsia="仿宋"/>
          <w:sz w:val="32"/>
          <w:szCs w:val="32"/>
        </w:rPr>
      </w:pPr>
      <w:r>
        <w:rPr>
          <w:rFonts w:hint="eastAsia" w:ascii="仿宋" w:hAnsi="仿宋" w:eastAsia="仿宋"/>
          <w:sz w:val="32"/>
          <w:szCs w:val="32"/>
        </w:rPr>
        <w:t>促进经济发展，增加农民收入：把经济工作的着力点放在营造良好的发展环境、落实国家扶贫开发政策和强农惠农措施上来。稳定和完善农村基本经营制度，支持农民专业合作经济组织发展。保护基本农田，组织开展农业基础设施建设。推动产业结构调整，发展培育特色优势产业和特色经济。</w:t>
      </w:r>
    </w:p>
    <w:p>
      <w:pPr>
        <w:ind w:firstLine="640" w:firstLineChars="200"/>
        <w:rPr>
          <w:rFonts w:ascii="仿宋" w:hAnsi="仿宋" w:eastAsia="仿宋"/>
          <w:sz w:val="32"/>
          <w:szCs w:val="32"/>
        </w:rPr>
      </w:pPr>
      <w:r>
        <w:rPr>
          <w:rFonts w:hint="eastAsia" w:ascii="仿宋" w:hAnsi="仿宋" w:eastAsia="仿宋"/>
          <w:sz w:val="32"/>
          <w:szCs w:val="32"/>
        </w:rPr>
        <w:t>助力全镇经济发展：负责规划、指导、协调本区域内经济和社会发展计划的制定和实施；负责土地使用管理和环境保护综合整治工作；负责协调工商、税务、国土等部门工作。</w:t>
      </w:r>
    </w:p>
    <w:p>
      <w:pPr>
        <w:ind w:firstLine="640" w:firstLineChars="200"/>
        <w:rPr>
          <w:rFonts w:ascii="仿宋" w:hAnsi="仿宋" w:eastAsia="仿宋"/>
          <w:sz w:val="32"/>
          <w:szCs w:val="32"/>
        </w:rPr>
      </w:pPr>
      <w:r>
        <w:rPr>
          <w:rFonts w:hint="eastAsia" w:ascii="仿宋" w:hAnsi="仿宋" w:eastAsia="仿宋"/>
          <w:sz w:val="32"/>
          <w:szCs w:val="32"/>
        </w:rPr>
        <w:t>编制、汇总、审核镇及村级财务预算、监管资金流向：负责本级财政预决算和村级财务管理工作，对全镇</w:t>
      </w:r>
      <w:r>
        <w:rPr>
          <w:rFonts w:hint="eastAsia" w:ascii="仿宋" w:hAnsi="仿宋" w:eastAsia="仿宋"/>
          <w:sz w:val="32"/>
          <w:szCs w:val="32"/>
          <w:lang w:val="en-US" w:eastAsia="zh-CN"/>
        </w:rPr>
        <w:t>的</w:t>
      </w:r>
      <w:r>
        <w:rPr>
          <w:rFonts w:hint="eastAsia" w:ascii="仿宋" w:hAnsi="仿宋" w:eastAsia="仿宋"/>
          <w:sz w:val="32"/>
          <w:szCs w:val="32"/>
        </w:rPr>
        <w:t>资产及专项资金使用情况定期进行检查和监督，指导农村经济合作组织开展工作；做好预算执行分析</w:t>
      </w:r>
      <w:bookmarkStart w:id="0" w:name="_GoBack"/>
      <w:bookmarkEnd w:id="0"/>
    </w:p>
    <w:p>
      <w:pPr>
        <w:ind w:firstLine="640" w:firstLineChars="200"/>
        <w:rPr>
          <w:rFonts w:ascii="仿宋" w:hAnsi="仿宋" w:eastAsia="仿宋"/>
          <w:sz w:val="32"/>
          <w:szCs w:val="32"/>
        </w:rPr>
      </w:pPr>
      <w:r>
        <w:rPr>
          <w:rFonts w:hint="eastAsia" w:ascii="仿宋" w:hAnsi="仿宋" w:eastAsia="仿宋"/>
          <w:sz w:val="32"/>
          <w:szCs w:val="32"/>
        </w:rPr>
        <w:t>强化公共服务，着力改善民生：加快新型农村公共服务体系建设，建立健全农村社会保障体系，加强农村精神文明建设，繁荣农村公共文化，加强生态建设和环境保护，做好防灾减灾工作。做好村级新农村建设的指导和规划。拓宽服务渠道，通过“一站式”服务、办事代理制等多种形式，改进服务方式，方便群众办事。</w:t>
      </w:r>
    </w:p>
    <w:p>
      <w:pPr>
        <w:ind w:firstLine="640" w:firstLineChars="200"/>
        <w:rPr>
          <w:rFonts w:ascii="仿宋" w:hAnsi="仿宋" w:eastAsia="仿宋"/>
          <w:sz w:val="32"/>
          <w:szCs w:val="32"/>
        </w:rPr>
      </w:pPr>
      <w:r>
        <w:rPr>
          <w:rFonts w:hint="eastAsia" w:ascii="仿宋" w:hAnsi="仿宋" w:eastAsia="仿宋"/>
          <w:sz w:val="32"/>
          <w:szCs w:val="32"/>
        </w:rPr>
        <w:t>建立健全农村社会保障体系：负责精神文明、新农村建设和科技、教育、文化、卫生、民政、宗教、残联、武装、广播电视、安全生产等社会事务工作的指导服务和协调，指导村民自治活动，推动农村民主政治建设。</w:t>
      </w:r>
    </w:p>
    <w:p>
      <w:pPr>
        <w:ind w:firstLine="640" w:firstLineChars="200"/>
        <w:rPr>
          <w:rFonts w:ascii="仿宋" w:hAnsi="仿宋" w:eastAsia="仿宋"/>
          <w:sz w:val="32"/>
          <w:szCs w:val="32"/>
        </w:rPr>
      </w:pPr>
      <w:r>
        <w:rPr>
          <w:rFonts w:hint="eastAsia" w:ascii="仿宋" w:hAnsi="仿宋" w:eastAsia="仿宋"/>
          <w:sz w:val="32"/>
          <w:szCs w:val="32"/>
        </w:rPr>
        <w:t>计生服务，坚持国策，提高优生率：负责宣传贯彻党的计划生育方针、政策，负责人口和计划生育行政管理工作、计划生育协会和乡村计划生育工作人员的培训、管理等工作。</w:t>
      </w:r>
    </w:p>
    <w:p>
      <w:pPr>
        <w:ind w:firstLine="640" w:firstLineChars="200"/>
        <w:rPr>
          <w:rFonts w:ascii="仿宋" w:hAnsi="仿宋" w:eastAsia="仿宋"/>
          <w:sz w:val="32"/>
          <w:szCs w:val="32"/>
        </w:rPr>
      </w:pPr>
      <w:r>
        <w:rPr>
          <w:rFonts w:hint="eastAsia" w:ascii="仿宋" w:hAnsi="仿宋" w:eastAsia="仿宋"/>
          <w:sz w:val="32"/>
          <w:szCs w:val="32"/>
        </w:rPr>
        <w:t>完善科技教育文化卫生服务工作：负责科技推广、教育、群众文化娱乐、体育活动、新型农村合作医疗、广播电视村村通工作。劳动和社会保障服务：负责劳动法的宣传贯彻、劳动就业、社会保障等工作。</w:t>
      </w:r>
    </w:p>
    <w:p>
      <w:pPr>
        <w:ind w:firstLine="640" w:firstLineChars="200"/>
        <w:rPr>
          <w:rFonts w:ascii="仿宋" w:hAnsi="仿宋" w:eastAsia="仿宋"/>
          <w:sz w:val="32"/>
          <w:szCs w:val="32"/>
        </w:rPr>
      </w:pPr>
      <w:r>
        <w:rPr>
          <w:rFonts w:hint="eastAsia" w:ascii="仿宋" w:hAnsi="仿宋" w:eastAsia="仿宋"/>
          <w:sz w:val="32"/>
          <w:szCs w:val="32"/>
        </w:rPr>
        <w:t>加强社会管理，维护农村稳定：增强社会管理职能，加强乡镇信访和人民调解工作；推进依法行政，严格依法履行职责，健全维护农民权益机制。</w:t>
      </w:r>
    </w:p>
    <w:p>
      <w:pPr>
        <w:ind w:firstLine="480" w:firstLineChars="150"/>
        <w:rPr>
          <w:rFonts w:ascii="仿宋" w:hAnsi="仿宋" w:eastAsia="仿宋"/>
          <w:sz w:val="32"/>
          <w:szCs w:val="32"/>
        </w:rPr>
      </w:pPr>
      <w:r>
        <w:rPr>
          <w:rFonts w:hint="eastAsia" w:ascii="仿宋" w:hAnsi="仿宋" w:eastAsia="仿宋"/>
          <w:sz w:val="32"/>
          <w:szCs w:val="32"/>
        </w:rPr>
        <w:t>全面开展综合治理工作：负责开展社会主义民主与法制教育；负责社会治安综合治理和协调派出所、司法所工作；做好宗教工作，打击邪教；调处矛盾纠纷，做好群众来信来访、社会稳定等工作。</w:t>
      </w:r>
    </w:p>
    <w:p>
      <w:pPr>
        <w:ind w:firstLine="640" w:firstLineChars="200"/>
        <w:rPr>
          <w:rFonts w:ascii="仿宋" w:hAnsi="仿宋" w:eastAsia="仿宋"/>
          <w:sz w:val="32"/>
          <w:szCs w:val="32"/>
        </w:rPr>
      </w:pPr>
      <w:r>
        <w:rPr>
          <w:rFonts w:hint="eastAsia" w:ascii="仿宋" w:hAnsi="仿宋" w:eastAsia="仿宋"/>
          <w:sz w:val="32"/>
          <w:szCs w:val="32"/>
        </w:rPr>
        <w:t>推进基层民主，促进农村和谐：加强农村基层组织建设，指导村民自治，引导农民有序参与村级事务管理。</w:t>
      </w:r>
    </w:p>
    <w:p>
      <w:pPr>
        <w:ind w:firstLine="640" w:firstLineChars="200"/>
        <w:rPr>
          <w:rFonts w:ascii="仿宋" w:hAnsi="仿宋" w:eastAsia="仿宋"/>
          <w:sz w:val="32"/>
          <w:szCs w:val="32"/>
        </w:rPr>
      </w:pPr>
      <w:r>
        <w:rPr>
          <w:rFonts w:hint="eastAsia" w:ascii="仿宋" w:hAnsi="仿宋" w:eastAsia="仿宋"/>
          <w:sz w:val="32"/>
          <w:szCs w:val="32"/>
        </w:rPr>
        <w:t>负责办事处党委、办事处各项工作的督导催办，协调各办公室的工作关系：处理机关日常事务，搞好文秘、档案管理、政务公开和机关后勤保障工作；负责组织、纪检、宣传、人大、政协、统战、工会、共青团、妇联等工作；抓好农村基层组织建设；承办党校政府交办的其他事项。</w:t>
      </w:r>
    </w:p>
    <w:p>
      <w:pPr>
        <w:ind w:firstLine="640" w:firstLineChars="200"/>
        <w:rPr>
          <w:rFonts w:ascii="仿宋" w:hAnsi="仿宋" w:eastAsia="仿宋"/>
          <w:sz w:val="32"/>
          <w:szCs w:val="32"/>
        </w:rPr>
      </w:pPr>
      <w:r>
        <w:rPr>
          <w:rFonts w:hint="eastAsia" w:ascii="仿宋" w:hAnsi="仿宋" w:eastAsia="仿宋"/>
          <w:sz w:val="32"/>
          <w:szCs w:val="32"/>
        </w:rPr>
        <w:t>占地及地上附着物补偿：为了发展乡镇经济，搞好第二产业，增加农民收入，对涉及的占地及地上附着物进行补偿。</w:t>
      </w:r>
    </w:p>
    <w:p>
      <w:pPr>
        <w:keepNext/>
        <w:keepLines/>
        <w:spacing w:line="580" w:lineRule="exact"/>
        <w:ind w:firstLine="640" w:firstLineChars="200"/>
        <w:jc w:val="left"/>
        <w:outlineLvl w:val="0"/>
        <w:rPr>
          <w:rFonts w:ascii="黑体" w:hAnsi="Calibri" w:eastAsia="黑体" w:cs="黑体"/>
          <w:kern w:val="0"/>
          <w:sz w:val="32"/>
          <w:szCs w:val="32"/>
        </w:rPr>
      </w:pPr>
      <w:r>
        <w:rPr>
          <w:rFonts w:hint="eastAsia" w:ascii="黑体" w:hAnsi="Calibri" w:eastAsia="黑体" w:cs="黑体"/>
          <w:kern w:val="0"/>
          <w:sz w:val="32"/>
          <w:szCs w:val="32"/>
        </w:rPr>
        <w:t>二、机构设置</w:t>
      </w:r>
    </w:p>
    <w:p>
      <w:pPr>
        <w:spacing w:line="580" w:lineRule="exact"/>
        <w:ind w:firstLine="640" w:firstLineChars="200"/>
        <w:rPr>
          <w:rFonts w:ascii="仿宋_GB2312" w:hAnsi="Calibri" w:eastAsia="仿宋_GB2312" w:cs="Arial Black"/>
          <w:kern w:val="0"/>
          <w:sz w:val="32"/>
          <w:szCs w:val="32"/>
        </w:rPr>
      </w:pPr>
      <w:r>
        <w:rPr>
          <w:rFonts w:hint="eastAsia" w:ascii="仿宋_GB2312" w:hAnsi="Calibri" w:eastAsia="仿宋_GB2312" w:cs="Arial Black"/>
          <w:kern w:val="0"/>
          <w:sz w:val="32"/>
          <w:szCs w:val="32"/>
        </w:rPr>
        <w:t>从决算编报单位构成看，纳入20</w:t>
      </w:r>
      <w:r>
        <w:rPr>
          <w:rFonts w:ascii="仿宋_GB2312" w:hAnsi="Calibri" w:eastAsia="仿宋_GB2312" w:cs="Arial Black"/>
          <w:kern w:val="0"/>
          <w:sz w:val="32"/>
          <w:szCs w:val="32"/>
        </w:rPr>
        <w:t>20</w:t>
      </w:r>
      <w:r>
        <w:rPr>
          <w:rFonts w:hint="eastAsia" w:ascii="仿宋_GB2312" w:hAnsi="Calibri" w:eastAsia="仿宋_GB2312" w:cs="Arial Black"/>
          <w:kern w:val="0"/>
          <w:sz w:val="32"/>
          <w:szCs w:val="32"/>
        </w:rPr>
        <w:t xml:space="preserve">年度本部门决算汇编范围的独立核算单位（以下简称“单位”）共 </w:t>
      </w:r>
      <w:r>
        <w:rPr>
          <w:rFonts w:hint="eastAsia" w:ascii="仿宋_GB2312" w:hAnsi="Calibri" w:eastAsia="仿宋_GB2312" w:cs="Arial Black"/>
          <w:kern w:val="0"/>
          <w:sz w:val="32"/>
          <w:szCs w:val="32"/>
          <w:lang w:val="en-US" w:eastAsia="zh-CN"/>
        </w:rPr>
        <w:t>1</w:t>
      </w:r>
      <w:r>
        <w:rPr>
          <w:rFonts w:hint="eastAsia" w:ascii="仿宋_GB2312" w:hAnsi="Calibri" w:eastAsia="仿宋_GB2312" w:cs="Arial Black"/>
          <w:kern w:val="0"/>
          <w:sz w:val="32"/>
          <w:szCs w:val="32"/>
        </w:rPr>
        <w:t xml:space="preserve"> 个，具体情况如下：</w:t>
      </w:r>
    </w:p>
    <w:tbl>
      <w:tblPr>
        <w:tblStyle w:val="7"/>
        <w:tblpPr w:leftFromText="180" w:rightFromText="180" w:vertAnchor="text" w:horzAnchor="page" w:tblpXSpec="center" w:tblpY="10"/>
        <w:tblOverlap w:val="never"/>
        <w:tblW w:w="9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3426"/>
        <w:gridCol w:w="2404"/>
        <w:gridCol w:w="26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68" w:type="dxa"/>
            <w:vAlign w:val="center"/>
          </w:tcPr>
          <w:p>
            <w:pPr>
              <w:spacing w:line="560" w:lineRule="exact"/>
              <w:jc w:val="center"/>
              <w:rPr>
                <w:rFonts w:ascii="仿宋_GB2312" w:hAnsi="Calibri" w:eastAsia="仿宋_GB2312" w:cs="Arial Black"/>
                <w:b/>
                <w:bCs/>
                <w:kern w:val="0"/>
                <w:sz w:val="28"/>
                <w:szCs w:val="28"/>
              </w:rPr>
            </w:pPr>
            <w:r>
              <w:rPr>
                <w:rFonts w:hint="eastAsia" w:ascii="仿宋_GB2312" w:hAnsi="Calibri" w:eastAsia="仿宋_GB2312" w:cs="Arial Black"/>
                <w:b/>
                <w:bCs/>
                <w:kern w:val="0"/>
                <w:sz w:val="28"/>
                <w:szCs w:val="28"/>
              </w:rPr>
              <w:t>序号</w:t>
            </w:r>
          </w:p>
        </w:tc>
        <w:tc>
          <w:tcPr>
            <w:tcW w:w="3426" w:type="dxa"/>
            <w:vAlign w:val="center"/>
          </w:tcPr>
          <w:p>
            <w:pPr>
              <w:spacing w:line="560" w:lineRule="exact"/>
              <w:jc w:val="center"/>
              <w:rPr>
                <w:rFonts w:ascii="仿宋_GB2312" w:hAnsi="Calibri" w:eastAsia="仿宋_GB2312" w:cs="Arial Black"/>
                <w:b/>
                <w:bCs/>
                <w:kern w:val="0"/>
                <w:sz w:val="28"/>
                <w:szCs w:val="28"/>
              </w:rPr>
            </w:pPr>
            <w:r>
              <w:rPr>
                <w:rFonts w:hint="eastAsia" w:ascii="仿宋_GB2312" w:hAnsi="Calibri" w:eastAsia="仿宋_GB2312" w:cs="Arial Black"/>
                <w:b/>
                <w:bCs/>
                <w:kern w:val="0"/>
                <w:sz w:val="28"/>
                <w:szCs w:val="28"/>
              </w:rPr>
              <w:t>单位名称</w:t>
            </w:r>
          </w:p>
        </w:tc>
        <w:tc>
          <w:tcPr>
            <w:tcW w:w="2404" w:type="dxa"/>
            <w:vAlign w:val="center"/>
          </w:tcPr>
          <w:p>
            <w:pPr>
              <w:spacing w:line="560" w:lineRule="exact"/>
              <w:jc w:val="center"/>
              <w:rPr>
                <w:rFonts w:ascii="仿宋_GB2312" w:hAnsi="Calibri" w:eastAsia="仿宋_GB2312" w:cs="Arial Black"/>
                <w:b/>
                <w:bCs/>
                <w:kern w:val="0"/>
                <w:sz w:val="28"/>
                <w:szCs w:val="28"/>
              </w:rPr>
            </w:pPr>
            <w:r>
              <w:rPr>
                <w:rFonts w:hint="eastAsia" w:ascii="仿宋_GB2312" w:hAnsi="Calibri" w:eastAsia="仿宋_GB2312" w:cs="Arial Black"/>
                <w:b/>
                <w:bCs/>
                <w:kern w:val="0"/>
                <w:sz w:val="28"/>
                <w:szCs w:val="28"/>
              </w:rPr>
              <w:t>单位基本性质</w:t>
            </w:r>
          </w:p>
        </w:tc>
        <w:tc>
          <w:tcPr>
            <w:tcW w:w="2622" w:type="dxa"/>
            <w:vAlign w:val="center"/>
          </w:tcPr>
          <w:p>
            <w:pPr>
              <w:spacing w:line="560" w:lineRule="exact"/>
              <w:jc w:val="center"/>
              <w:rPr>
                <w:rFonts w:ascii="仿宋_GB2312" w:hAnsi="Calibri" w:eastAsia="仿宋_GB2312" w:cs="Arial Black"/>
                <w:b/>
                <w:bCs/>
                <w:kern w:val="0"/>
                <w:sz w:val="28"/>
                <w:szCs w:val="28"/>
              </w:rPr>
            </w:pPr>
            <w:r>
              <w:rPr>
                <w:rFonts w:hint="eastAsia" w:ascii="仿宋_GB2312" w:hAnsi="Calibri" w:eastAsia="仿宋_GB2312" w:cs="Arial Black"/>
                <w:b/>
                <w:bCs/>
                <w:kern w:val="0"/>
                <w:sz w:val="28"/>
                <w:szCs w:val="28"/>
              </w:rPr>
              <w:t>经费形式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68" w:type="dxa"/>
          </w:tcPr>
          <w:p>
            <w:pPr>
              <w:spacing w:line="560" w:lineRule="exact"/>
              <w:jc w:val="center"/>
              <w:rPr>
                <w:rFonts w:ascii="仿宋_GB2312" w:hAnsi="Calibri" w:eastAsia="仿宋_GB2312" w:cs="Arial Black"/>
                <w:kern w:val="0"/>
                <w:sz w:val="28"/>
                <w:szCs w:val="28"/>
              </w:rPr>
            </w:pPr>
            <w:r>
              <w:rPr>
                <w:rFonts w:hint="eastAsia" w:ascii="仿宋_GB2312" w:hAnsi="Calibri" w:eastAsia="仿宋_GB2312" w:cs="Arial Black"/>
                <w:kern w:val="0"/>
                <w:sz w:val="28"/>
                <w:szCs w:val="28"/>
              </w:rPr>
              <w:t>1</w:t>
            </w:r>
          </w:p>
        </w:tc>
        <w:tc>
          <w:tcPr>
            <w:tcW w:w="3426" w:type="dxa"/>
          </w:tcPr>
          <w:p>
            <w:pPr>
              <w:spacing w:line="560" w:lineRule="exact"/>
              <w:rPr>
                <w:rFonts w:hint="eastAsia" w:ascii="仿宋_GB2312" w:hAnsi="Calibri" w:eastAsia="仿宋_GB2312" w:cs="Arial Black"/>
                <w:kern w:val="0"/>
                <w:sz w:val="28"/>
                <w:szCs w:val="28"/>
                <w:lang w:eastAsia="zh-CN"/>
              </w:rPr>
            </w:pPr>
            <w:r>
              <w:rPr>
                <w:rFonts w:hint="eastAsia" w:ascii="仿宋_GB2312" w:hAnsi="Calibri" w:eastAsia="仿宋_GB2312" w:cs="Arial Black"/>
                <w:kern w:val="0"/>
                <w:sz w:val="28"/>
                <w:szCs w:val="28"/>
                <w:lang w:eastAsia="zh-CN"/>
              </w:rPr>
              <w:t>高邑县富村镇人民政府</w:t>
            </w:r>
          </w:p>
        </w:tc>
        <w:tc>
          <w:tcPr>
            <w:tcW w:w="2404" w:type="dxa"/>
          </w:tcPr>
          <w:p>
            <w:pPr>
              <w:spacing w:line="560" w:lineRule="exact"/>
              <w:jc w:val="center"/>
              <w:rPr>
                <w:rFonts w:hint="eastAsia" w:ascii="仿宋_GB2312" w:hAnsi="Calibri" w:eastAsia="仿宋_GB2312" w:cs="Arial Black"/>
                <w:kern w:val="0"/>
                <w:sz w:val="28"/>
                <w:szCs w:val="28"/>
                <w:lang w:eastAsia="zh-CN"/>
              </w:rPr>
            </w:pPr>
            <w:r>
              <w:rPr>
                <w:rFonts w:hint="eastAsia" w:ascii="仿宋_GB2312" w:hAnsi="Calibri" w:eastAsia="仿宋_GB2312" w:cs="Arial Black"/>
                <w:kern w:val="0"/>
                <w:sz w:val="28"/>
                <w:szCs w:val="28"/>
                <w:lang w:eastAsia="zh-CN"/>
              </w:rPr>
              <w:t>行政单位</w:t>
            </w:r>
          </w:p>
        </w:tc>
        <w:tc>
          <w:tcPr>
            <w:tcW w:w="2622" w:type="dxa"/>
          </w:tcPr>
          <w:p>
            <w:pPr>
              <w:spacing w:line="560" w:lineRule="exact"/>
              <w:jc w:val="center"/>
              <w:rPr>
                <w:rFonts w:hint="eastAsia" w:ascii="仿宋_GB2312" w:hAnsi="Calibri" w:eastAsia="仿宋_GB2312" w:cs="Arial Black"/>
                <w:kern w:val="0"/>
                <w:sz w:val="28"/>
                <w:szCs w:val="28"/>
                <w:lang w:eastAsia="zh-CN"/>
              </w:rPr>
            </w:pPr>
            <w:r>
              <w:rPr>
                <w:rFonts w:hint="eastAsia" w:ascii="仿宋_GB2312" w:hAnsi="Calibri" w:eastAsia="仿宋_GB2312" w:cs="Arial Black"/>
                <w:kern w:val="0"/>
                <w:sz w:val="28"/>
                <w:szCs w:val="28"/>
                <w:lang w:eastAsia="zh-CN"/>
              </w:rPr>
              <w:t>财政拨款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68" w:type="dxa"/>
          </w:tcPr>
          <w:p>
            <w:pPr>
              <w:spacing w:line="560" w:lineRule="exact"/>
              <w:jc w:val="center"/>
              <w:rPr>
                <w:rFonts w:ascii="仿宋_GB2312" w:hAnsi="Calibri" w:eastAsia="仿宋_GB2312" w:cs="Arial Black"/>
                <w:kern w:val="0"/>
                <w:sz w:val="28"/>
                <w:szCs w:val="28"/>
              </w:rPr>
            </w:pPr>
            <w:r>
              <w:rPr>
                <w:rFonts w:hint="eastAsia" w:ascii="仿宋_GB2312" w:hAnsi="Calibri" w:eastAsia="仿宋_GB2312" w:cs="Arial Black"/>
                <w:kern w:val="0"/>
                <w:sz w:val="28"/>
                <w:szCs w:val="28"/>
              </w:rPr>
              <w:t>2</w:t>
            </w:r>
          </w:p>
        </w:tc>
        <w:tc>
          <w:tcPr>
            <w:tcW w:w="3426" w:type="dxa"/>
          </w:tcPr>
          <w:p>
            <w:pPr>
              <w:spacing w:line="560" w:lineRule="exact"/>
              <w:rPr>
                <w:rFonts w:ascii="仿宋_GB2312" w:hAnsi="Calibri" w:eastAsia="仿宋_GB2312" w:cs="Arial Black"/>
                <w:kern w:val="0"/>
                <w:sz w:val="28"/>
                <w:szCs w:val="28"/>
              </w:rPr>
            </w:pPr>
          </w:p>
        </w:tc>
        <w:tc>
          <w:tcPr>
            <w:tcW w:w="2404" w:type="dxa"/>
          </w:tcPr>
          <w:p>
            <w:pPr>
              <w:spacing w:line="560" w:lineRule="exact"/>
              <w:jc w:val="center"/>
              <w:rPr>
                <w:rFonts w:ascii="仿宋_GB2312" w:hAnsi="Calibri" w:eastAsia="仿宋_GB2312" w:cs="Arial Black"/>
                <w:kern w:val="0"/>
                <w:sz w:val="28"/>
                <w:szCs w:val="28"/>
              </w:rPr>
            </w:pPr>
          </w:p>
        </w:tc>
        <w:tc>
          <w:tcPr>
            <w:tcW w:w="2622" w:type="dxa"/>
          </w:tcPr>
          <w:p>
            <w:pPr>
              <w:spacing w:line="560" w:lineRule="exact"/>
              <w:jc w:val="center"/>
              <w:rPr>
                <w:rFonts w:ascii="仿宋_GB2312" w:hAnsi="Calibri" w:eastAsia="仿宋_GB2312" w:cs="Arial Black"/>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68" w:type="dxa"/>
          </w:tcPr>
          <w:p>
            <w:pPr>
              <w:spacing w:line="560" w:lineRule="exact"/>
              <w:jc w:val="center"/>
              <w:rPr>
                <w:rFonts w:ascii="仿宋_GB2312" w:hAnsi="Calibri" w:eastAsia="仿宋_GB2312" w:cs="Arial Black"/>
                <w:kern w:val="0"/>
                <w:sz w:val="28"/>
                <w:szCs w:val="28"/>
              </w:rPr>
            </w:pPr>
            <w:r>
              <w:rPr>
                <w:rFonts w:hint="eastAsia" w:ascii="仿宋_GB2312" w:hAnsi="Calibri" w:eastAsia="仿宋_GB2312" w:cs="Arial Black"/>
                <w:kern w:val="0"/>
                <w:sz w:val="28"/>
                <w:szCs w:val="28"/>
              </w:rPr>
              <w:t>3</w:t>
            </w:r>
          </w:p>
        </w:tc>
        <w:tc>
          <w:tcPr>
            <w:tcW w:w="3426" w:type="dxa"/>
          </w:tcPr>
          <w:p>
            <w:pPr>
              <w:spacing w:line="560" w:lineRule="exact"/>
              <w:rPr>
                <w:rFonts w:ascii="仿宋_GB2312" w:hAnsi="Calibri" w:eastAsia="仿宋_GB2312" w:cs="Arial Black"/>
                <w:kern w:val="0"/>
                <w:sz w:val="28"/>
                <w:szCs w:val="28"/>
              </w:rPr>
            </w:pPr>
          </w:p>
        </w:tc>
        <w:tc>
          <w:tcPr>
            <w:tcW w:w="2404" w:type="dxa"/>
          </w:tcPr>
          <w:p>
            <w:pPr>
              <w:spacing w:line="560" w:lineRule="exact"/>
              <w:jc w:val="center"/>
              <w:rPr>
                <w:rFonts w:ascii="仿宋_GB2312" w:hAnsi="Calibri" w:eastAsia="仿宋_GB2312" w:cs="Arial Black"/>
                <w:kern w:val="0"/>
                <w:sz w:val="28"/>
                <w:szCs w:val="28"/>
              </w:rPr>
            </w:pPr>
          </w:p>
        </w:tc>
        <w:tc>
          <w:tcPr>
            <w:tcW w:w="2622" w:type="dxa"/>
          </w:tcPr>
          <w:p>
            <w:pPr>
              <w:spacing w:line="560" w:lineRule="exact"/>
              <w:jc w:val="center"/>
              <w:rPr>
                <w:rFonts w:ascii="仿宋_GB2312" w:hAnsi="Calibri" w:eastAsia="仿宋_GB2312" w:cs="Arial Black"/>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8" w:type="dxa"/>
            <w:tcBorders>
              <w:bottom w:val="single" w:color="auto" w:sz="4" w:space="0"/>
            </w:tcBorders>
          </w:tcPr>
          <w:p>
            <w:pPr>
              <w:spacing w:line="560" w:lineRule="exact"/>
              <w:jc w:val="both"/>
              <w:rPr>
                <w:rFonts w:ascii="仿宋_GB2312" w:hAnsi="Calibri" w:eastAsia="仿宋_GB2312" w:cs="Arial Black"/>
                <w:kern w:val="0"/>
                <w:sz w:val="28"/>
                <w:szCs w:val="28"/>
              </w:rPr>
            </w:pPr>
          </w:p>
        </w:tc>
        <w:tc>
          <w:tcPr>
            <w:tcW w:w="3426" w:type="dxa"/>
            <w:tcBorders>
              <w:bottom w:val="single" w:color="auto" w:sz="4" w:space="0"/>
            </w:tcBorders>
          </w:tcPr>
          <w:p>
            <w:pPr>
              <w:spacing w:line="560" w:lineRule="exact"/>
              <w:rPr>
                <w:rFonts w:ascii="仿宋_GB2312" w:hAnsi="Calibri" w:eastAsia="仿宋_GB2312" w:cs="Arial Black"/>
                <w:kern w:val="0"/>
                <w:sz w:val="28"/>
                <w:szCs w:val="28"/>
              </w:rPr>
            </w:pPr>
          </w:p>
        </w:tc>
        <w:tc>
          <w:tcPr>
            <w:tcW w:w="2404" w:type="dxa"/>
            <w:tcBorders>
              <w:bottom w:val="single" w:color="auto" w:sz="4" w:space="0"/>
            </w:tcBorders>
          </w:tcPr>
          <w:p>
            <w:pPr>
              <w:spacing w:line="560" w:lineRule="exact"/>
              <w:jc w:val="center"/>
              <w:rPr>
                <w:rFonts w:ascii="仿宋_GB2312" w:hAnsi="Calibri" w:eastAsia="仿宋_GB2312" w:cs="Arial Black"/>
                <w:kern w:val="0"/>
                <w:sz w:val="28"/>
                <w:szCs w:val="28"/>
              </w:rPr>
            </w:pPr>
          </w:p>
        </w:tc>
        <w:tc>
          <w:tcPr>
            <w:tcW w:w="2622" w:type="dxa"/>
            <w:tcBorders>
              <w:bottom w:val="single" w:color="auto" w:sz="4" w:space="0"/>
            </w:tcBorders>
          </w:tcPr>
          <w:p>
            <w:pPr>
              <w:spacing w:line="560" w:lineRule="exact"/>
              <w:jc w:val="both"/>
              <w:rPr>
                <w:rFonts w:ascii="仿宋_GB2312" w:hAnsi="Calibri" w:eastAsia="仿宋_GB2312" w:cs="Arial Black"/>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9420" w:type="dxa"/>
            <w:gridSpan w:val="4"/>
            <w:tcBorders>
              <w:top w:val="single" w:color="auto" w:sz="4" w:space="0"/>
              <w:left w:val="nil"/>
              <w:bottom w:val="nil"/>
              <w:right w:val="nil"/>
            </w:tcBorders>
          </w:tcPr>
          <w:p>
            <w:pPr>
              <w:spacing w:line="560" w:lineRule="exact"/>
              <w:jc w:val="left"/>
              <w:rPr>
                <w:rFonts w:ascii="仿宋_GB2312" w:hAnsi="Calibri" w:eastAsia="仿宋_GB2312" w:cs="Arial Black"/>
                <w:kern w:val="0"/>
                <w:sz w:val="28"/>
                <w:szCs w:val="28"/>
              </w:rPr>
            </w:pPr>
            <w:r>
              <w:rPr>
                <w:rFonts w:hint="eastAsia" w:ascii="仿宋_GB2312" w:hAnsi="Calibri" w:eastAsia="仿宋_GB2312" w:cs="Arial Black"/>
                <w:kern w:val="0"/>
                <w:sz w:val="28"/>
                <w:szCs w:val="28"/>
              </w:rPr>
              <w:t>注：1、单位基本性质分为行政单位、参公事业单位、财政补助事业单位、经费自理事业单位四类。</w:t>
            </w:r>
          </w:p>
          <w:p>
            <w:pPr>
              <w:spacing w:line="560" w:lineRule="exact"/>
              <w:ind w:firstLine="560" w:firstLineChars="200"/>
              <w:jc w:val="left"/>
              <w:rPr>
                <w:rFonts w:ascii="仿宋_GB2312" w:hAnsi="Calibri" w:eastAsia="仿宋_GB2312" w:cs="Arial Black"/>
                <w:kern w:val="0"/>
                <w:sz w:val="28"/>
                <w:szCs w:val="28"/>
              </w:rPr>
            </w:pPr>
            <w:r>
              <w:rPr>
                <w:rFonts w:hint="eastAsia" w:ascii="仿宋_GB2312" w:hAnsi="Calibri" w:eastAsia="仿宋_GB2312" w:cs="Arial Black"/>
                <w:kern w:val="0"/>
                <w:sz w:val="28"/>
                <w:szCs w:val="28"/>
              </w:rPr>
              <w:t>2、经费形式分为财政拨款、财政性资金基本保证、财政性资金定额或定项补助、财政性资金零补助四类。</w:t>
            </w:r>
          </w:p>
        </w:tc>
      </w:tr>
    </w:tbl>
    <w:p>
      <w:pPr>
        <w:widowControl/>
        <w:spacing w:after="160" w:line="580" w:lineRule="exact"/>
        <w:rPr>
          <w:rFonts w:ascii="Times New Roman" w:hAnsi="Times New Roman" w:eastAsia="黑体" w:cs="Times New Roman"/>
          <w:sz w:val="32"/>
          <w:szCs w:val="32"/>
        </w:rPr>
      </w:pPr>
    </w:p>
    <w:p/>
    <w:p>
      <w:pPr>
        <w:widowControl/>
        <w:spacing w:after="160" w:line="580" w:lineRule="exact"/>
        <w:ind w:firstLine="1440" w:firstLineChars="200"/>
        <w:rPr>
          <w:rFonts w:ascii="Times New Roman" w:hAnsi="Times New Roman" w:eastAsia="黑体" w:cs="Times New Roman"/>
          <w:sz w:val="32"/>
          <w:szCs w:val="32"/>
        </w:rPr>
        <w:sectPr>
          <w:headerReference r:id="rId10" w:type="default"/>
          <w:pgSz w:w="11906" w:h="16838"/>
          <w:pgMar w:top="2098" w:right="1531" w:bottom="1984" w:left="1531" w:header="851" w:footer="992" w:gutter="0"/>
          <w:pgNumType w:fmt="numberInDash"/>
          <w:cols w:space="0" w:num="1"/>
          <w:titlePg/>
          <w:docGrid w:type="lines" w:linePitch="312" w:charSpace="0"/>
        </w:sectPr>
      </w:pPr>
      <w:r>
        <w:rPr>
          <w:sz w:val="72"/>
        </w:rPr>
        <mc:AlternateContent>
          <mc:Choice Requires="wps">
            <w:drawing>
              <wp:anchor distT="0" distB="0" distL="114300" distR="114300" simplePos="0" relativeHeight="251663360" behindDoc="0" locked="0" layoutInCell="1" allowOverlap="1">
                <wp:simplePos x="0" y="0"/>
                <wp:positionH relativeFrom="column">
                  <wp:posOffset>-1088390</wp:posOffset>
                </wp:positionH>
                <wp:positionV relativeFrom="paragraph">
                  <wp:posOffset>3024505</wp:posOffset>
                </wp:positionV>
                <wp:extent cx="7793355" cy="2200275"/>
                <wp:effectExtent l="0" t="0" r="0" b="0"/>
                <wp:wrapNone/>
                <wp:docPr id="151" name="文本框 151"/>
                <wp:cNvGraphicFramePr/>
                <a:graphic xmlns:a="http://schemas.openxmlformats.org/drawingml/2006/main">
                  <a:graphicData uri="http://schemas.microsoft.com/office/word/2010/wordprocessingShape">
                    <wps:wsp>
                      <wps:cNvSpPr txBox="1"/>
                      <wps:spPr>
                        <a:xfrm>
                          <a:off x="0" y="0"/>
                          <a:ext cx="7793355" cy="22002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widowControl/>
                              <w:jc w:val="center"/>
                              <w:rPr>
                                <w:rFonts w:ascii="黑体" w:hAnsi="黑体" w:eastAsia="黑体" w:cs="黑体"/>
                                <w:color w:val="000000" w:themeColor="text1"/>
                                <w:sz w:val="96"/>
                                <w:szCs w:val="96"/>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r>
                              <w:rPr>
                                <w:rFonts w:hint="eastAsia" w:ascii="黑体" w:hAnsi="黑体" w:eastAsia="黑体" w:cs="黑体"/>
                                <w:color w:val="000000" w:themeColor="text1"/>
                                <w:sz w:val="96"/>
                                <w:szCs w:val="96"/>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 xml:space="preserve"> </w:t>
                            </w:r>
                          </w:p>
                          <w:p>
                            <w:pPr>
                              <w:widowControl/>
                              <w:jc w:val="center"/>
                              <w:rPr>
                                <w:rFonts w:ascii="黑体" w:hAnsi="黑体" w:eastAsia="黑体" w:cs="黑体"/>
                                <w:color w:val="000000" w:themeColor="text1"/>
                                <w:sz w:val="96"/>
                                <w:szCs w:val="96"/>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5.7pt;margin-top:238.15pt;height:173.25pt;width:613.65pt;z-index:251663360;mso-width-relative:page;mso-height-relative:page;" filled="f" stroked="f" coordsize="21600,21600" o:gfxdata="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Kuuj5PeAAAADQEAAA8AAAAAAAAAAQAgAAAA&#10;IgAAAGRycy9kb3ducmV2LnhtbFBLAQIUABQAAAAIAIdO4kBdpNn+PgIAAGsEAAAOAAAAAAAAAAEA&#10;IAAAAC0BAABkcnMvZTJvRG9jLnhtbFBLBQYAAAAABgAGAFkBAADdBQAAAAA=&#10;">
                <v:fill on="f" focussize="0,0"/>
                <v:stroke on="f" weight="0.5pt"/>
                <v:imagedata o:title=""/>
                <o:lock v:ext="edit" aspectratio="f"/>
                <v:textbox>
                  <w:txbxContent>
                    <w:p>
                      <w:pPr>
                        <w:widowControl/>
                        <w:jc w:val="center"/>
                        <w:rPr>
                          <w:rFonts w:ascii="黑体" w:hAnsi="黑体" w:eastAsia="黑体" w:cs="黑体"/>
                          <w:color w:val="000000" w:themeColor="text1"/>
                          <w:sz w:val="96"/>
                          <w:szCs w:val="96"/>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r>
                        <w:rPr>
                          <w:rFonts w:hint="eastAsia" w:ascii="黑体" w:hAnsi="黑体" w:eastAsia="黑体" w:cs="黑体"/>
                          <w:color w:val="000000" w:themeColor="text1"/>
                          <w:sz w:val="96"/>
                          <w:szCs w:val="96"/>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 xml:space="preserve"> </w:t>
                      </w:r>
                    </w:p>
                    <w:p>
                      <w:pPr>
                        <w:widowControl/>
                        <w:jc w:val="center"/>
                        <w:rPr>
                          <w:rFonts w:ascii="黑体" w:hAnsi="黑体" w:eastAsia="黑体" w:cs="黑体"/>
                          <w:color w:val="000000" w:themeColor="text1"/>
                          <w:sz w:val="96"/>
                          <w:szCs w:val="96"/>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txbxContent>
                </v:textbox>
              </v:shape>
            </w:pict>
          </mc:Fallback>
        </mc:AlternateContent>
      </w:r>
    </w:p>
    <w:p>
      <w:pPr>
        <w:widowControl/>
        <w:spacing w:line="580" w:lineRule="exact"/>
        <w:ind w:firstLine="640" w:firstLineChars="200"/>
        <w:rPr>
          <w:rFonts w:eastAsia="黑体"/>
          <w:sz w:val="32"/>
          <w:szCs w:val="32"/>
        </w:rPr>
      </w:pPr>
    </w:p>
    <w:p>
      <w:pPr>
        <w:jc w:val="center"/>
        <w:rPr>
          <w:rFonts w:ascii="黑体" w:hAnsi="黑体" w:eastAsia="黑体" w:cs="黑体"/>
          <w:sz w:val="56"/>
          <w:szCs w:val="72"/>
        </w:rPr>
      </w:pPr>
    </w:p>
    <w:p>
      <w:pPr>
        <w:jc w:val="center"/>
        <w:rPr>
          <w:rFonts w:ascii="黑体" w:hAnsi="黑体" w:eastAsia="黑体" w:cs="黑体"/>
          <w:sz w:val="56"/>
          <w:szCs w:val="72"/>
        </w:rPr>
      </w:pPr>
    </w:p>
    <w:p>
      <w:pPr>
        <w:jc w:val="center"/>
        <w:rPr>
          <w:rFonts w:ascii="黑体" w:hAnsi="黑体" w:eastAsia="黑体" w:cs="黑体"/>
          <w:sz w:val="56"/>
          <w:szCs w:val="72"/>
        </w:rPr>
      </w:pPr>
    </w:p>
    <w:p>
      <w:pPr>
        <w:jc w:val="center"/>
        <w:rPr>
          <w:rFonts w:ascii="黑体" w:hAnsi="黑体" w:eastAsia="黑体" w:cs="黑体"/>
          <w:sz w:val="56"/>
          <w:szCs w:val="72"/>
        </w:rPr>
      </w:pPr>
    </w:p>
    <w:p>
      <w:pPr>
        <w:jc w:val="center"/>
        <w:rPr>
          <w:rFonts w:ascii="黑体" w:hAnsi="黑体" w:eastAsia="黑体" w:cs="黑体"/>
          <w:sz w:val="56"/>
          <w:szCs w:val="72"/>
        </w:rPr>
      </w:pPr>
    </w:p>
    <w:p>
      <w:pPr>
        <w:jc w:val="center"/>
        <w:rPr>
          <w:rFonts w:ascii="黑体" w:hAnsi="黑体" w:eastAsia="黑体" w:cs="黑体"/>
          <w:sz w:val="56"/>
          <w:szCs w:val="72"/>
        </w:rPr>
      </w:pPr>
    </w:p>
    <w:p>
      <w:pPr>
        <w:jc w:val="center"/>
        <w:rPr>
          <w:rFonts w:ascii="黑体" w:hAnsi="黑体" w:eastAsia="黑体" w:cs="黑体"/>
          <w:sz w:val="56"/>
          <w:szCs w:val="72"/>
        </w:rPr>
      </w:pPr>
    </w:p>
    <w:p>
      <w:pPr>
        <w:jc w:val="center"/>
        <w:rPr>
          <w:rFonts w:ascii="黑体" w:hAnsi="黑体" w:eastAsia="黑体" w:cs="黑体"/>
          <w:sz w:val="56"/>
          <w:szCs w:val="72"/>
        </w:rPr>
      </w:pPr>
    </w:p>
    <w:p>
      <w:pPr>
        <w:jc w:val="center"/>
        <w:rPr>
          <w:rFonts w:ascii="黑体" w:hAnsi="黑体" w:eastAsia="黑体" w:cs="黑体"/>
          <w:sz w:val="56"/>
          <w:szCs w:val="72"/>
        </w:rPr>
      </w:pPr>
      <w:r>
        <w:rPr>
          <w:sz w:val="72"/>
        </w:rPr>
        <mc:AlternateContent>
          <mc:Choice Requires="wps">
            <w:drawing>
              <wp:anchor distT="0" distB="0" distL="114300" distR="114300" simplePos="0" relativeHeight="251664384" behindDoc="0" locked="0" layoutInCell="1" allowOverlap="1">
                <wp:simplePos x="0" y="0"/>
                <wp:positionH relativeFrom="column">
                  <wp:posOffset>-1028065</wp:posOffset>
                </wp:positionH>
                <wp:positionV relativeFrom="paragraph">
                  <wp:posOffset>-2637155</wp:posOffset>
                </wp:positionV>
                <wp:extent cx="7793355" cy="3341370"/>
                <wp:effectExtent l="6350" t="6350" r="18415" b="20320"/>
                <wp:wrapNone/>
                <wp:docPr id="2" name="文本框 2"/>
                <wp:cNvGraphicFramePr/>
                <a:graphic xmlns:a="http://schemas.openxmlformats.org/drawingml/2006/main">
                  <a:graphicData uri="http://schemas.microsoft.com/office/word/2010/wordprocessingShape">
                    <wps:wsp>
                      <wps:cNvSpPr txBox="1"/>
                      <wps:spPr>
                        <a:xfrm>
                          <a:off x="0" y="0"/>
                          <a:ext cx="7793355" cy="3341370"/>
                        </a:xfrm>
                        <a:prstGeom prst="rect">
                          <a:avLst/>
                        </a:prstGeom>
                        <a:pattFill prst="pct5">
                          <a:fgClr>
                            <a:schemeClr val="bg1">
                              <a:lumMod val="50000"/>
                            </a:schemeClr>
                          </a:fgClr>
                          <a:bgClr>
                            <a:schemeClr val="bg1"/>
                          </a:bgClr>
                        </a:pattFill>
                        <a:ln w="12700" cmpd="sng">
                          <a:solidFill>
                            <a:schemeClr val="bg1">
                              <a:lumMod val="65000"/>
                            </a:schemeClr>
                          </a:solidFill>
                          <a:prstDash val="solid"/>
                        </a:ln>
                      </wps:spPr>
                      <wps:style>
                        <a:lnRef idx="0">
                          <a:schemeClr val="accent1"/>
                        </a:lnRef>
                        <a:fillRef idx="0">
                          <a:schemeClr val="accent1"/>
                        </a:fillRef>
                        <a:effectRef idx="0">
                          <a:schemeClr val="accent1"/>
                        </a:effectRef>
                        <a:fontRef idx="minor">
                          <a:schemeClr val="dk1"/>
                        </a:fontRef>
                      </wps:style>
                      <wps:txbx>
                        <w:txbxContent>
                          <w:p>
                            <w:pPr>
                              <w:widowControl/>
                              <w:jc w:val="center"/>
                              <w:rPr>
                                <w:rFonts w:ascii="黑体" w:hAnsi="黑体" w:eastAsia="黑体" w:cs="黑体"/>
                                <w:color w:val="000000" w:themeColor="text1"/>
                                <w:sz w:val="90"/>
                                <w:szCs w:val="90"/>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r>
                              <w:rPr>
                                <w:rFonts w:hint="eastAsia" w:ascii="黑体" w:hAnsi="黑体" w:eastAsia="黑体" w:cs="黑体"/>
                                <w:color w:val="000000" w:themeColor="text1"/>
                                <w:sz w:val="90"/>
                                <w:szCs w:val="90"/>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 xml:space="preserve">第二部分 </w:t>
                            </w:r>
                          </w:p>
                          <w:p>
                            <w:pPr>
                              <w:widowControl/>
                              <w:jc w:val="center"/>
                              <w:rPr>
                                <w:rFonts w:ascii="黑体" w:hAnsi="黑体" w:eastAsia="黑体" w:cs="黑体"/>
                                <w:color w:val="000000" w:themeColor="text1"/>
                                <w:sz w:val="90"/>
                                <w:szCs w:val="90"/>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r>
                              <w:rPr>
                                <w:rFonts w:hint="eastAsia" w:ascii="黑体" w:hAnsi="黑体" w:eastAsia="黑体" w:cs="黑体"/>
                                <w:color w:val="000000" w:themeColor="text1"/>
                                <w:sz w:val="90"/>
                                <w:szCs w:val="90"/>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2020年部门决算情况说明</w:t>
                            </w:r>
                          </w:p>
                          <w:p>
                            <w:pPr>
                              <w:widowControl/>
                              <w:jc w:val="center"/>
                              <w:rPr>
                                <w14:textOutline w14:w="9525" w14:cap="flat" w14:cmpd="sng" w14:algn="ctr">
                                  <w14:solidFill>
                                    <w14:schemeClr w14:val="tx1">
                                      <w14:lumMod w14:val="50000"/>
                                      <w14:lumOff w14:val="50000"/>
                                    </w14:schemeClr>
                                  </w14:solidFill>
                                  <w14:prstDash w14:val="solid"/>
                                  <w14:round/>
                                </w14:textOutline>
                              </w:rPr>
                            </w:pPr>
                          </w:p>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80.95pt;margin-top:-207.65pt;height:263.1pt;width:613.65pt;z-index:251664384;v-text-anchor:middle;mso-width-relative:page;mso-height-relative:page;" fillcolor="#7F7F7F [1612]" filled="t" stroked="t" coordsize="21600,21600" o:gfxdata="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vBcO0d0AAAAOAQAADwAAAAAAAAABACAAAAAiAAAAZHJzL2Rvd25yZXYueG1s&#10;UEsBAhQAFAAAAAgAh07iQFmkM3ieAgAAbQUAAA4AAAAAAAAAAQAgAAAALAEAAGRycy9lMm9Eb2Mu&#10;eG1sUEsFBgAAAAAGAAYAWQEAADwGAAAAAA==&#10;">
                <v:fill type="pattern" on="t" color2="#FFFFFF [3212]" o:title="5%" focussize="0,0" r:id="rId14"/>
                <v:stroke weight="1pt" color="#A6A6A6 [2092]" joinstyle="round"/>
                <v:imagedata o:title=""/>
                <o:lock v:ext="edit" aspectratio="f"/>
                <v:textbox>
                  <w:txbxContent>
                    <w:p>
                      <w:pPr>
                        <w:widowControl/>
                        <w:jc w:val="center"/>
                        <w:rPr>
                          <w:rFonts w:ascii="黑体" w:hAnsi="黑体" w:eastAsia="黑体" w:cs="黑体"/>
                          <w:color w:val="000000" w:themeColor="text1"/>
                          <w:sz w:val="90"/>
                          <w:szCs w:val="90"/>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r>
                        <w:rPr>
                          <w:rFonts w:hint="eastAsia" w:ascii="黑体" w:hAnsi="黑体" w:eastAsia="黑体" w:cs="黑体"/>
                          <w:color w:val="000000" w:themeColor="text1"/>
                          <w:sz w:val="90"/>
                          <w:szCs w:val="90"/>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 xml:space="preserve">第二部分 </w:t>
                      </w:r>
                    </w:p>
                    <w:p>
                      <w:pPr>
                        <w:widowControl/>
                        <w:jc w:val="center"/>
                        <w:rPr>
                          <w:rFonts w:ascii="黑体" w:hAnsi="黑体" w:eastAsia="黑体" w:cs="黑体"/>
                          <w:color w:val="000000" w:themeColor="text1"/>
                          <w:sz w:val="90"/>
                          <w:szCs w:val="90"/>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r>
                        <w:rPr>
                          <w:rFonts w:hint="eastAsia" w:ascii="黑体" w:hAnsi="黑体" w:eastAsia="黑体" w:cs="黑体"/>
                          <w:color w:val="000000" w:themeColor="text1"/>
                          <w:sz w:val="90"/>
                          <w:szCs w:val="90"/>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2020年部门决算情况说明</w:t>
                      </w:r>
                    </w:p>
                    <w:p>
                      <w:pPr>
                        <w:widowControl/>
                        <w:jc w:val="center"/>
                        <w:rPr>
                          <w14:textOutline w14:w="9525" w14:cap="flat" w14:cmpd="sng" w14:algn="ctr">
                            <w14:solidFill>
                              <w14:schemeClr w14:val="tx1">
                                <w14:lumMod w14:val="50000"/>
                                <w14:lumOff w14:val="50000"/>
                              </w14:schemeClr>
                            </w14:solidFill>
                            <w14:prstDash w14:val="solid"/>
                            <w14:round/>
                          </w14:textOutline>
                        </w:rPr>
                      </w:pPr>
                    </w:p>
                    <w:p/>
                  </w:txbxContent>
                </v:textbox>
              </v:shape>
            </w:pict>
          </mc:Fallback>
        </mc:AlternateContent>
      </w:r>
    </w:p>
    <w:p>
      <w:pPr>
        <w:jc w:val="center"/>
        <w:rPr>
          <w:rFonts w:ascii="黑体" w:hAnsi="黑体" w:eastAsia="黑体" w:cs="黑体"/>
          <w:sz w:val="56"/>
          <w:szCs w:val="72"/>
        </w:rPr>
      </w:pPr>
    </w:p>
    <w:p>
      <w:pPr>
        <w:keepNext/>
        <w:keepLines/>
        <w:snapToGrid w:val="0"/>
        <w:spacing w:line="600" w:lineRule="exact"/>
        <w:ind w:firstLine="420" w:firstLineChars="200"/>
        <w:outlineLvl w:val="1"/>
        <w:rPr>
          <w:rFonts w:ascii="黑体" w:hAnsi="Calibri" w:eastAsia="黑体" w:cs="Times New Roman"/>
          <w:sz w:val="32"/>
          <w:szCs w:val="32"/>
        </w:rPr>
      </w:pPr>
      <w:r>
        <w:br w:type="page"/>
      </w:r>
      <w:r>
        <w:rPr>
          <w:rFonts w:hint="eastAsia" w:ascii="黑体" w:hAnsi="Calibri" w:eastAsia="黑体" w:cs="Times New Roman"/>
          <w:sz w:val="32"/>
          <w:szCs w:val="32"/>
        </w:rPr>
        <w:t>一、收入</w:t>
      </w:r>
      <w:r>
        <w:rPr>
          <w:rFonts w:hint="eastAsia" w:ascii="黑体" w:hAnsi="Cambria" w:eastAsia="黑体" w:cs="黑体"/>
          <w:kern w:val="0"/>
          <w:sz w:val="32"/>
          <w:szCs w:val="32"/>
        </w:rPr>
        <w:t>支出</w:t>
      </w:r>
      <w:r>
        <w:rPr>
          <w:rFonts w:hint="eastAsia" w:ascii="黑体" w:hAnsi="Calibri" w:eastAsia="黑体" w:cs="Times New Roman"/>
          <w:sz w:val="32"/>
          <w:szCs w:val="32"/>
        </w:rPr>
        <w:t>决算总体情况说明</w:t>
      </w:r>
    </w:p>
    <w:p>
      <w:pPr>
        <w:adjustRightInd w:val="0"/>
        <w:snapToGrid w:val="0"/>
        <w:spacing w:line="600" w:lineRule="exact"/>
        <w:ind w:firstLine="640" w:firstLineChars="200"/>
        <w:rPr>
          <w:rFonts w:hint="eastAsia" w:ascii="仿宋_GB2312" w:hAnsi="Times New Roman" w:eastAsia="仿宋_GB2312" w:cs="Wingdings"/>
          <w:sz w:val="32"/>
          <w:szCs w:val="32"/>
          <w:highlight w:val="yellow"/>
          <w:lang w:eastAsia="zh-CN"/>
        </w:rPr>
      </w:pPr>
      <w:r>
        <w:rPr>
          <w:rFonts w:hint="eastAsia" w:ascii="仿宋_GB2312" w:hAnsi="Times New Roman" w:eastAsia="仿宋_GB2312" w:cs="Wingdings"/>
          <w:sz w:val="32"/>
          <w:szCs w:val="32"/>
        </w:rPr>
        <w:t>本部门2020年度收、支总计（含结转和结余）</w:t>
      </w:r>
      <w:r>
        <w:rPr>
          <w:rFonts w:hint="eastAsia" w:ascii="仿宋_GB2312" w:hAnsi="Times New Roman" w:eastAsia="仿宋_GB2312" w:cs="Wingdings"/>
          <w:sz w:val="32"/>
          <w:szCs w:val="32"/>
          <w:lang w:val="en-US" w:eastAsia="zh-CN"/>
        </w:rPr>
        <w:t>11931.56</w:t>
      </w:r>
      <w:r>
        <w:rPr>
          <w:rFonts w:hint="eastAsia" w:ascii="仿宋_GB2312" w:hAnsi="Times New Roman" w:eastAsia="仿宋_GB2312" w:cs="Wingdings"/>
          <w:sz w:val="32"/>
          <w:szCs w:val="32"/>
        </w:rPr>
        <w:t>万元。与2019年度决算相比，收支各增加</w:t>
      </w:r>
      <w:r>
        <w:rPr>
          <w:rFonts w:hint="eastAsia" w:ascii="仿宋_GB2312" w:hAnsi="Times New Roman" w:eastAsia="仿宋_GB2312" w:cs="Wingdings"/>
          <w:sz w:val="32"/>
          <w:szCs w:val="32"/>
          <w:lang w:val="en-US" w:eastAsia="zh-CN"/>
        </w:rPr>
        <w:t>5206.07</w:t>
      </w:r>
      <w:r>
        <w:rPr>
          <w:rFonts w:hint="eastAsia" w:ascii="仿宋_GB2312" w:hAnsi="Times New Roman" w:eastAsia="仿宋_GB2312" w:cs="Wingdings"/>
          <w:sz w:val="32"/>
          <w:szCs w:val="32"/>
        </w:rPr>
        <w:t>万元，增长</w:t>
      </w:r>
      <w:r>
        <w:rPr>
          <w:rFonts w:hint="eastAsia" w:ascii="仿宋_GB2312" w:hAnsi="Times New Roman" w:eastAsia="仿宋_GB2312" w:cs="Wingdings"/>
          <w:sz w:val="32"/>
          <w:szCs w:val="32"/>
          <w:lang w:val="en-US" w:eastAsia="zh-CN"/>
        </w:rPr>
        <w:t>43.63</w:t>
      </w:r>
      <w:r>
        <w:rPr>
          <w:rFonts w:hint="eastAsia" w:ascii="仿宋_GB2312" w:hAnsi="Times New Roman" w:eastAsia="仿宋_GB2312" w:cs="Wingdings"/>
          <w:sz w:val="32"/>
          <w:szCs w:val="32"/>
        </w:rPr>
        <w:t>%，主要原因是</w:t>
      </w:r>
      <w:r>
        <w:rPr>
          <w:rFonts w:hint="eastAsia" w:ascii="仿宋_GB2312" w:hAnsi="Times New Roman" w:eastAsia="仿宋_GB2312" w:cs="Wingdings"/>
          <w:sz w:val="32"/>
          <w:szCs w:val="32"/>
          <w:lang w:eastAsia="zh-CN"/>
        </w:rPr>
        <w:t>增加智能港征地拆迁。</w:t>
      </w:r>
    </w:p>
    <w:p>
      <w:pPr>
        <w:adjustRightInd w:val="0"/>
        <w:snapToGrid w:val="0"/>
        <w:spacing w:line="600" w:lineRule="exact"/>
        <w:rPr>
          <w:rFonts w:ascii="仿宋_GB2312" w:hAnsi="Times New Roman" w:eastAsia="仿宋_GB2312" w:cs="Wingdings"/>
          <w:sz w:val="32"/>
          <w:szCs w:val="32"/>
        </w:rPr>
      </w:pPr>
      <w:r>
        <w:rPr>
          <w:rFonts w:hint="eastAsia" w:ascii="仿宋_GB2312" w:hAnsi="Times New Roman" w:eastAsia="仿宋_GB2312" w:cs="Wingdings"/>
          <w:sz w:val="32"/>
          <w:szCs w:val="32"/>
        </w:rPr>
        <w:drawing>
          <wp:anchor distT="0" distB="0" distL="114300" distR="114300" simplePos="0" relativeHeight="251665408" behindDoc="1" locked="0" layoutInCell="1" allowOverlap="1">
            <wp:simplePos x="0" y="0"/>
            <wp:positionH relativeFrom="column">
              <wp:posOffset>744220</wp:posOffset>
            </wp:positionH>
            <wp:positionV relativeFrom="paragraph">
              <wp:posOffset>62230</wp:posOffset>
            </wp:positionV>
            <wp:extent cx="4157980" cy="2273300"/>
            <wp:effectExtent l="0" t="0" r="2540" b="12700"/>
            <wp:wrapNone/>
            <wp:docPr id="27" name="图表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adjustRightInd w:val="0"/>
        <w:snapToGrid w:val="0"/>
        <w:spacing w:line="600" w:lineRule="exact"/>
        <w:ind w:firstLine="640" w:firstLineChars="200"/>
        <w:rPr>
          <w:rFonts w:ascii="仿宋_GB2312" w:hAnsi="Times New Roman" w:eastAsia="仿宋_GB2312" w:cs="Wingdings"/>
          <w:sz w:val="32"/>
          <w:szCs w:val="32"/>
        </w:rPr>
      </w:pPr>
    </w:p>
    <w:p>
      <w:pPr>
        <w:tabs>
          <w:tab w:val="left" w:pos="5800"/>
        </w:tabs>
        <w:adjustRightInd w:val="0"/>
        <w:snapToGrid w:val="0"/>
        <w:spacing w:line="600" w:lineRule="exact"/>
        <w:ind w:firstLine="640" w:firstLineChars="200"/>
        <w:rPr>
          <w:rFonts w:ascii="仿宋_GB2312" w:hAnsi="Times New Roman" w:eastAsia="仿宋_GB2312" w:cs="Wingdings"/>
          <w:sz w:val="18"/>
          <w:szCs w:val="18"/>
        </w:rPr>
      </w:pPr>
      <w:r>
        <w:rPr>
          <w:rFonts w:ascii="仿宋_GB2312" w:hAnsi="Times New Roman" w:eastAsia="仿宋_GB2312" w:cs="Wingdings"/>
          <w:sz w:val="32"/>
          <w:szCs w:val="32"/>
        </w:rPr>
        <w:tab/>
      </w:r>
    </w:p>
    <w:p>
      <w:pPr>
        <w:adjustRightInd w:val="0"/>
        <w:snapToGrid w:val="0"/>
        <w:spacing w:line="600" w:lineRule="exact"/>
        <w:ind w:firstLine="640" w:firstLineChars="200"/>
        <w:rPr>
          <w:rFonts w:ascii="仿宋_GB2312" w:hAnsi="Times New Roman" w:eastAsia="仿宋_GB2312" w:cs="Wingdings"/>
          <w:sz w:val="32"/>
          <w:szCs w:val="32"/>
        </w:rPr>
      </w:pPr>
    </w:p>
    <w:p>
      <w:pPr>
        <w:tabs>
          <w:tab w:val="left" w:pos="2820"/>
        </w:tabs>
        <w:adjustRightInd w:val="0"/>
        <w:snapToGrid w:val="0"/>
        <w:spacing w:line="600" w:lineRule="exact"/>
        <w:ind w:firstLine="640" w:firstLineChars="200"/>
        <w:rPr>
          <w:rFonts w:ascii="仿宋_GB2312" w:hAnsi="Times New Roman" w:eastAsia="仿宋_GB2312" w:cs="Wingdings"/>
          <w:sz w:val="20"/>
          <w:szCs w:val="20"/>
        </w:rPr>
      </w:pPr>
      <w:r>
        <w:rPr>
          <w:rFonts w:ascii="仿宋_GB2312" w:hAnsi="Times New Roman" w:eastAsia="仿宋_GB2312" w:cs="Wingdings"/>
          <w:sz w:val="32"/>
          <w:szCs w:val="32"/>
        </w:rPr>
        <w:tab/>
      </w:r>
    </w:p>
    <w:p>
      <w:pPr>
        <w:keepNext/>
        <w:keepLines/>
        <w:snapToGrid w:val="0"/>
        <w:spacing w:line="600" w:lineRule="exact"/>
        <w:ind w:firstLine="640" w:firstLineChars="200"/>
        <w:outlineLvl w:val="1"/>
        <w:rPr>
          <w:rFonts w:ascii="黑体" w:hAnsi="Calibri" w:eastAsia="黑体" w:cs="Times New Roman"/>
          <w:sz w:val="32"/>
          <w:szCs w:val="32"/>
        </w:rPr>
      </w:pPr>
    </w:p>
    <w:p>
      <w:pPr>
        <w:keepNext/>
        <w:keepLines/>
        <w:snapToGrid w:val="0"/>
        <w:spacing w:line="600" w:lineRule="exact"/>
        <w:ind w:firstLine="640" w:firstLineChars="200"/>
        <w:outlineLvl w:val="1"/>
        <w:rPr>
          <w:rFonts w:ascii="黑体" w:hAnsi="Calibri" w:eastAsia="黑体" w:cs="Times New Roman"/>
          <w:sz w:val="32"/>
          <w:szCs w:val="32"/>
        </w:rPr>
      </w:pPr>
      <w:r>
        <w:rPr>
          <w:rFonts w:hint="eastAsia" w:ascii="黑体" w:hAnsi="Calibri" w:eastAsia="黑体" w:cs="Times New Roman"/>
          <w:sz w:val="32"/>
          <w:szCs w:val="32"/>
        </w:rPr>
        <w:t>二、收入决算情况说明</w:t>
      </w:r>
    </w:p>
    <w:p>
      <w:pPr>
        <w:snapToGrid w:val="0"/>
        <w:spacing w:line="600" w:lineRule="exact"/>
        <w:ind w:firstLine="640" w:firstLineChars="200"/>
        <w:outlineLvl w:val="1"/>
        <w:rPr>
          <w:rFonts w:hint="eastAsia" w:ascii="仿宋_GB2312" w:hAnsi="Times New Roman" w:eastAsia="仿宋_GB2312" w:cs="Wingdings"/>
          <w:color w:val="000000" w:themeColor="text1"/>
          <w:sz w:val="32"/>
          <w:szCs w:val="32"/>
          <w14:textFill>
            <w14:solidFill>
              <w14:schemeClr w14:val="tx1"/>
            </w14:solidFill>
          </w14:textFill>
        </w:rPr>
      </w:pPr>
      <w:r>
        <w:rPr>
          <w:rFonts w:hint="eastAsia" w:ascii="仿宋_GB2312" w:hAnsi="Times New Roman" w:eastAsia="仿宋_GB2312" w:cs="Wingdings"/>
          <w:sz w:val="32"/>
          <w:szCs w:val="32"/>
        </w:rPr>
        <w:t>本</w:t>
      </w:r>
      <w:r>
        <w:rPr>
          <w:rFonts w:hint="eastAsia" w:ascii="仿宋_GB2312" w:hAnsi="Times New Roman" w:eastAsia="仿宋_GB2312" w:cs="Wingdings"/>
          <w:color w:val="000000" w:themeColor="text1"/>
          <w:sz w:val="32"/>
          <w:szCs w:val="32"/>
          <w14:textFill>
            <w14:solidFill>
              <w14:schemeClr w14:val="tx1"/>
            </w14:solidFill>
          </w14:textFill>
        </w:rPr>
        <w:t>部门2020年度本年收入合计</w:t>
      </w:r>
      <w:r>
        <w:rPr>
          <w:rFonts w:hint="eastAsia" w:ascii="仿宋_GB2312" w:hAnsi="Times New Roman" w:eastAsia="仿宋_GB2312" w:cs="Wingdings"/>
          <w:color w:val="000000" w:themeColor="text1"/>
          <w:sz w:val="32"/>
          <w:szCs w:val="32"/>
          <w:lang w:val="en-US" w:eastAsia="zh-CN"/>
          <w14:textFill>
            <w14:solidFill>
              <w14:schemeClr w14:val="tx1"/>
            </w14:solidFill>
          </w14:textFill>
        </w:rPr>
        <w:t>11778.28</w:t>
      </w:r>
      <w:r>
        <w:rPr>
          <w:rFonts w:hint="eastAsia" w:ascii="仿宋_GB2312" w:hAnsi="Times New Roman" w:eastAsia="仿宋_GB2312" w:cs="Wingdings"/>
          <w:color w:val="000000" w:themeColor="text1"/>
          <w:sz w:val="32"/>
          <w:szCs w:val="32"/>
          <w14:textFill>
            <w14:solidFill>
              <w14:schemeClr w14:val="tx1"/>
            </w14:solidFill>
          </w14:textFill>
        </w:rPr>
        <w:t>万元，其中：财政拨款收入</w:t>
      </w:r>
      <w:r>
        <w:rPr>
          <w:rFonts w:hint="eastAsia" w:ascii="仿宋_GB2312" w:hAnsi="Times New Roman" w:eastAsia="仿宋_GB2312" w:cs="Wingdings"/>
          <w:color w:val="000000" w:themeColor="text1"/>
          <w:sz w:val="32"/>
          <w:szCs w:val="32"/>
          <w:lang w:val="en-US" w:eastAsia="zh-CN"/>
          <w14:textFill>
            <w14:solidFill>
              <w14:schemeClr w14:val="tx1"/>
            </w14:solidFill>
          </w14:textFill>
        </w:rPr>
        <w:t>11778.28</w:t>
      </w:r>
      <w:r>
        <w:rPr>
          <w:rFonts w:hint="eastAsia" w:ascii="仿宋_GB2312" w:hAnsi="Times New Roman" w:eastAsia="仿宋_GB2312" w:cs="Wingdings"/>
          <w:color w:val="000000" w:themeColor="text1"/>
          <w:sz w:val="32"/>
          <w:szCs w:val="32"/>
          <w14:textFill>
            <w14:solidFill>
              <w14:schemeClr w14:val="tx1"/>
            </w14:solidFill>
          </w14:textFill>
        </w:rPr>
        <w:t>万元，占</w:t>
      </w:r>
      <w:r>
        <w:rPr>
          <w:rFonts w:hint="eastAsia" w:ascii="仿宋_GB2312" w:hAnsi="Times New Roman" w:eastAsia="仿宋_GB2312" w:cs="Wingdings"/>
          <w:color w:val="000000" w:themeColor="text1"/>
          <w:sz w:val="32"/>
          <w:szCs w:val="32"/>
          <w:lang w:val="en-US" w:eastAsia="zh-CN"/>
          <w14:textFill>
            <w14:solidFill>
              <w14:schemeClr w14:val="tx1"/>
            </w14:solidFill>
          </w14:textFill>
        </w:rPr>
        <w:t>100</w:t>
      </w:r>
      <w:r>
        <w:rPr>
          <w:rFonts w:hint="eastAsia" w:ascii="仿宋_GB2312" w:hAnsi="Times New Roman" w:eastAsia="仿宋_GB2312" w:cs="Wingdings"/>
          <w:color w:val="000000" w:themeColor="text1"/>
          <w:sz w:val="32"/>
          <w:szCs w:val="32"/>
          <w14:textFill>
            <w14:solidFill>
              <w14:schemeClr w14:val="tx1"/>
            </w14:solidFill>
          </w14:textFill>
        </w:rPr>
        <w:t>%；上级补助收入</w:t>
      </w:r>
      <w:r>
        <w:rPr>
          <w:rFonts w:hint="eastAsia" w:ascii="仿宋_GB2312" w:hAnsi="Times New Roman" w:eastAsia="仿宋_GB2312" w:cs="Wingdings"/>
          <w:color w:val="000000" w:themeColor="text1"/>
          <w:sz w:val="32"/>
          <w:szCs w:val="32"/>
          <w:lang w:val="en-US" w:eastAsia="zh-CN"/>
          <w14:textFill>
            <w14:solidFill>
              <w14:schemeClr w14:val="tx1"/>
            </w14:solidFill>
          </w14:textFill>
        </w:rPr>
        <w:t>0</w:t>
      </w:r>
      <w:r>
        <w:rPr>
          <w:rFonts w:hint="eastAsia" w:ascii="仿宋_GB2312" w:hAnsi="Times New Roman" w:eastAsia="仿宋_GB2312" w:cs="Wingdings"/>
          <w:color w:val="000000" w:themeColor="text1"/>
          <w:sz w:val="32"/>
          <w:szCs w:val="32"/>
          <w14:textFill>
            <w14:solidFill>
              <w14:schemeClr w14:val="tx1"/>
            </w14:solidFill>
          </w14:textFill>
        </w:rPr>
        <w:t>万元，占</w:t>
      </w:r>
      <w:r>
        <w:rPr>
          <w:rFonts w:hint="eastAsia" w:ascii="仿宋_GB2312" w:hAnsi="Times New Roman" w:eastAsia="仿宋_GB2312" w:cs="Wingdings"/>
          <w:color w:val="000000" w:themeColor="text1"/>
          <w:sz w:val="32"/>
          <w:szCs w:val="32"/>
          <w:lang w:val="en-US" w:eastAsia="zh-CN"/>
          <w14:textFill>
            <w14:solidFill>
              <w14:schemeClr w14:val="tx1"/>
            </w14:solidFill>
          </w14:textFill>
        </w:rPr>
        <w:t>0</w:t>
      </w:r>
      <w:r>
        <w:rPr>
          <w:rFonts w:hint="eastAsia" w:ascii="仿宋_GB2312" w:hAnsi="Times New Roman" w:eastAsia="仿宋_GB2312" w:cs="Wingdings"/>
          <w:color w:val="000000" w:themeColor="text1"/>
          <w:sz w:val="32"/>
          <w:szCs w:val="32"/>
          <w14:textFill>
            <w14:solidFill>
              <w14:schemeClr w14:val="tx1"/>
            </w14:solidFill>
          </w14:textFill>
        </w:rPr>
        <w:t>%；事业收入</w:t>
      </w:r>
      <w:r>
        <w:rPr>
          <w:rFonts w:hint="eastAsia" w:ascii="仿宋_GB2312" w:hAnsi="Times New Roman" w:eastAsia="仿宋_GB2312" w:cs="Wingdings"/>
          <w:color w:val="000000" w:themeColor="text1"/>
          <w:sz w:val="32"/>
          <w:szCs w:val="32"/>
          <w:lang w:val="en-US" w:eastAsia="zh-CN"/>
          <w14:textFill>
            <w14:solidFill>
              <w14:schemeClr w14:val="tx1"/>
            </w14:solidFill>
          </w14:textFill>
        </w:rPr>
        <w:t>0</w:t>
      </w:r>
      <w:r>
        <w:rPr>
          <w:rFonts w:hint="eastAsia" w:ascii="仿宋_GB2312" w:hAnsi="Times New Roman" w:eastAsia="仿宋_GB2312" w:cs="Wingdings"/>
          <w:color w:val="000000" w:themeColor="text1"/>
          <w:sz w:val="32"/>
          <w:szCs w:val="32"/>
          <w14:textFill>
            <w14:solidFill>
              <w14:schemeClr w14:val="tx1"/>
            </w14:solidFill>
          </w14:textFill>
        </w:rPr>
        <w:t>万元，占</w:t>
      </w:r>
      <w:r>
        <w:rPr>
          <w:rFonts w:hint="eastAsia" w:ascii="仿宋_GB2312" w:hAnsi="Times New Roman" w:eastAsia="仿宋_GB2312" w:cs="Wingdings"/>
          <w:color w:val="000000" w:themeColor="text1"/>
          <w:sz w:val="32"/>
          <w:szCs w:val="32"/>
          <w:lang w:val="en-US" w:eastAsia="zh-CN"/>
          <w14:textFill>
            <w14:solidFill>
              <w14:schemeClr w14:val="tx1"/>
            </w14:solidFill>
          </w14:textFill>
        </w:rPr>
        <w:t>0</w:t>
      </w:r>
      <w:r>
        <w:rPr>
          <w:rFonts w:hint="eastAsia" w:ascii="仿宋_GB2312" w:hAnsi="Times New Roman" w:eastAsia="仿宋_GB2312" w:cs="Wingdings"/>
          <w:color w:val="000000" w:themeColor="text1"/>
          <w:sz w:val="32"/>
          <w:szCs w:val="32"/>
          <w14:textFill>
            <w14:solidFill>
              <w14:schemeClr w14:val="tx1"/>
            </w14:solidFill>
          </w14:textFill>
        </w:rPr>
        <w:t>%；经营收入</w:t>
      </w:r>
      <w:r>
        <w:rPr>
          <w:rFonts w:hint="eastAsia" w:ascii="仿宋_GB2312" w:hAnsi="Times New Roman" w:eastAsia="仿宋_GB2312" w:cs="Wingdings"/>
          <w:color w:val="000000" w:themeColor="text1"/>
          <w:sz w:val="32"/>
          <w:szCs w:val="32"/>
          <w:lang w:val="en-US" w:eastAsia="zh-CN"/>
          <w14:textFill>
            <w14:solidFill>
              <w14:schemeClr w14:val="tx1"/>
            </w14:solidFill>
          </w14:textFill>
        </w:rPr>
        <w:t>0</w:t>
      </w:r>
      <w:r>
        <w:rPr>
          <w:rFonts w:hint="eastAsia" w:ascii="仿宋_GB2312" w:hAnsi="Times New Roman" w:eastAsia="仿宋_GB2312" w:cs="Wingdings"/>
          <w:color w:val="000000" w:themeColor="text1"/>
          <w:sz w:val="32"/>
          <w:szCs w:val="32"/>
          <w14:textFill>
            <w14:solidFill>
              <w14:schemeClr w14:val="tx1"/>
            </w14:solidFill>
          </w14:textFill>
        </w:rPr>
        <w:t>万元，占</w:t>
      </w:r>
      <w:r>
        <w:rPr>
          <w:rFonts w:hint="eastAsia" w:ascii="仿宋_GB2312" w:hAnsi="Times New Roman" w:eastAsia="仿宋_GB2312" w:cs="Wingdings"/>
          <w:color w:val="000000" w:themeColor="text1"/>
          <w:sz w:val="32"/>
          <w:szCs w:val="32"/>
          <w:lang w:val="en-US" w:eastAsia="zh-CN"/>
          <w14:textFill>
            <w14:solidFill>
              <w14:schemeClr w14:val="tx1"/>
            </w14:solidFill>
          </w14:textFill>
        </w:rPr>
        <w:t>0</w:t>
      </w:r>
      <w:r>
        <w:rPr>
          <w:rFonts w:hint="eastAsia" w:ascii="仿宋_GB2312" w:hAnsi="Times New Roman" w:eastAsia="仿宋_GB2312" w:cs="Wingdings"/>
          <w:color w:val="000000" w:themeColor="text1"/>
          <w:sz w:val="32"/>
          <w:szCs w:val="32"/>
          <w14:textFill>
            <w14:solidFill>
              <w14:schemeClr w14:val="tx1"/>
            </w14:solidFill>
          </w14:textFill>
        </w:rPr>
        <w:t>%；附属单位上缴收入</w:t>
      </w:r>
      <w:r>
        <w:rPr>
          <w:rFonts w:hint="eastAsia" w:ascii="仿宋_GB2312" w:hAnsi="Times New Roman" w:eastAsia="仿宋_GB2312" w:cs="Wingdings"/>
          <w:color w:val="000000" w:themeColor="text1"/>
          <w:sz w:val="32"/>
          <w:szCs w:val="32"/>
          <w:lang w:val="en-US" w:eastAsia="zh-CN"/>
          <w14:textFill>
            <w14:solidFill>
              <w14:schemeClr w14:val="tx1"/>
            </w14:solidFill>
          </w14:textFill>
        </w:rPr>
        <w:t>0</w:t>
      </w:r>
      <w:r>
        <w:rPr>
          <w:rFonts w:hint="eastAsia" w:ascii="仿宋_GB2312" w:hAnsi="Times New Roman" w:eastAsia="仿宋_GB2312" w:cs="Wingdings"/>
          <w:color w:val="000000" w:themeColor="text1"/>
          <w:sz w:val="32"/>
          <w:szCs w:val="32"/>
          <w14:textFill>
            <w14:solidFill>
              <w14:schemeClr w14:val="tx1"/>
            </w14:solidFill>
          </w14:textFill>
        </w:rPr>
        <w:t>万元，占</w:t>
      </w:r>
      <w:r>
        <w:rPr>
          <w:rFonts w:hint="eastAsia" w:ascii="仿宋_GB2312" w:hAnsi="Times New Roman" w:eastAsia="仿宋_GB2312" w:cs="Wingdings"/>
          <w:color w:val="000000" w:themeColor="text1"/>
          <w:sz w:val="32"/>
          <w:szCs w:val="32"/>
          <w:lang w:val="en-US" w:eastAsia="zh-CN"/>
          <w14:textFill>
            <w14:solidFill>
              <w14:schemeClr w14:val="tx1"/>
            </w14:solidFill>
          </w14:textFill>
        </w:rPr>
        <w:t>0</w:t>
      </w:r>
      <w:r>
        <w:rPr>
          <w:rFonts w:hint="eastAsia" w:ascii="仿宋_GB2312" w:hAnsi="Times New Roman" w:eastAsia="仿宋_GB2312" w:cs="Wingdings"/>
          <w:color w:val="000000" w:themeColor="text1"/>
          <w:sz w:val="32"/>
          <w:szCs w:val="32"/>
          <w14:textFill>
            <w14:solidFill>
              <w14:schemeClr w14:val="tx1"/>
            </w14:solidFill>
          </w14:textFill>
        </w:rPr>
        <w:t>%；其他收入</w:t>
      </w:r>
      <w:r>
        <w:rPr>
          <w:rFonts w:hint="eastAsia" w:ascii="仿宋_GB2312" w:hAnsi="Times New Roman" w:eastAsia="仿宋_GB2312" w:cs="Wingdings"/>
          <w:color w:val="000000" w:themeColor="text1"/>
          <w:sz w:val="32"/>
          <w:szCs w:val="32"/>
          <w:lang w:val="en-US" w:eastAsia="zh-CN"/>
          <w14:textFill>
            <w14:solidFill>
              <w14:schemeClr w14:val="tx1"/>
            </w14:solidFill>
          </w14:textFill>
        </w:rPr>
        <w:t>0</w:t>
      </w:r>
      <w:r>
        <w:rPr>
          <w:rFonts w:hint="eastAsia" w:ascii="仿宋_GB2312" w:hAnsi="Times New Roman" w:eastAsia="仿宋_GB2312" w:cs="Wingdings"/>
          <w:color w:val="000000" w:themeColor="text1"/>
          <w:sz w:val="32"/>
          <w:szCs w:val="32"/>
          <w14:textFill>
            <w14:solidFill>
              <w14:schemeClr w14:val="tx1"/>
            </w14:solidFill>
          </w14:textFill>
        </w:rPr>
        <w:t>万元，占</w:t>
      </w:r>
      <w:r>
        <w:rPr>
          <w:rFonts w:hint="eastAsia" w:ascii="仿宋_GB2312" w:hAnsi="Times New Roman" w:eastAsia="仿宋_GB2312" w:cs="Wingdings"/>
          <w:color w:val="000000" w:themeColor="text1"/>
          <w:sz w:val="32"/>
          <w:szCs w:val="32"/>
          <w:lang w:val="en-US" w:eastAsia="zh-CN"/>
          <w14:textFill>
            <w14:solidFill>
              <w14:schemeClr w14:val="tx1"/>
            </w14:solidFill>
          </w14:textFill>
        </w:rPr>
        <w:t>0</w:t>
      </w:r>
      <w:r>
        <w:rPr>
          <w:rFonts w:hint="eastAsia" w:ascii="仿宋_GB2312" w:hAnsi="Times New Roman" w:eastAsia="仿宋_GB2312" w:cs="Wingdings"/>
          <w:color w:val="000000" w:themeColor="text1"/>
          <w:sz w:val="32"/>
          <w:szCs w:val="32"/>
          <w14:textFill>
            <w14:solidFill>
              <w14:schemeClr w14:val="tx1"/>
            </w14:solidFill>
          </w14:textFill>
        </w:rPr>
        <w:t>%。</w:t>
      </w:r>
    </w:p>
    <w:p>
      <w:pPr>
        <w:snapToGrid w:val="0"/>
        <w:spacing w:line="600" w:lineRule="exact"/>
        <w:ind w:firstLine="640" w:firstLineChars="200"/>
        <w:outlineLvl w:val="1"/>
        <w:rPr>
          <w:rFonts w:ascii="黑体" w:hAnsi="Calibri" w:eastAsia="黑体" w:cs="Times New Roman"/>
          <w:sz w:val="32"/>
          <w:szCs w:val="32"/>
        </w:rPr>
      </w:pPr>
      <w:r>
        <w:rPr>
          <w:rFonts w:hint="eastAsia" w:ascii="黑体" w:hAnsi="Calibri" w:eastAsia="黑体" w:cs="Times New Roman"/>
          <w:sz w:val="32"/>
          <w:szCs w:val="32"/>
        </w:rPr>
        <w:t>三、支出决算情况说明</w:t>
      </w:r>
    </w:p>
    <w:p>
      <w:pPr>
        <w:adjustRightInd w:val="0"/>
        <w:snapToGrid w:val="0"/>
        <w:spacing w:line="600" w:lineRule="exact"/>
        <w:ind w:firstLine="640" w:firstLineChars="200"/>
        <w:rPr>
          <w:rFonts w:ascii="仿宋_GB2312" w:hAnsi="Times New Roman" w:eastAsia="仿宋_GB2312" w:cs="Wingdings"/>
          <w:sz w:val="32"/>
          <w:szCs w:val="32"/>
        </w:rPr>
      </w:pPr>
      <w:r>
        <w:rPr>
          <w:rFonts w:hint="eastAsia" w:ascii="仿宋_GB2312" w:hAnsi="Times New Roman" w:eastAsia="仿宋_GB2312" w:cs="Wingdings"/>
          <w:sz w:val="32"/>
          <w:szCs w:val="32"/>
        </w:rPr>
        <w:t>本部门2020年度本年支出合计</w:t>
      </w:r>
      <w:r>
        <w:rPr>
          <w:rFonts w:hint="eastAsia" w:ascii="仿宋_GB2312" w:hAnsi="Times New Roman" w:eastAsia="仿宋_GB2312" w:cs="Wingdings"/>
          <w:sz w:val="32"/>
          <w:szCs w:val="32"/>
          <w:lang w:val="en-US" w:eastAsia="zh-CN"/>
        </w:rPr>
        <w:t>11717.74</w:t>
      </w:r>
      <w:r>
        <w:rPr>
          <w:rFonts w:hint="eastAsia" w:ascii="仿宋_GB2312" w:hAnsi="Times New Roman" w:eastAsia="仿宋_GB2312" w:cs="Wingdings"/>
          <w:sz w:val="32"/>
          <w:szCs w:val="32"/>
        </w:rPr>
        <w:t>万元，其中：基本支出</w:t>
      </w:r>
      <w:r>
        <w:rPr>
          <w:rFonts w:hint="eastAsia" w:ascii="仿宋_GB2312" w:hAnsi="Times New Roman" w:eastAsia="仿宋_GB2312" w:cs="Wingdings"/>
          <w:sz w:val="32"/>
          <w:szCs w:val="32"/>
          <w:lang w:val="en-US" w:eastAsia="zh-CN"/>
        </w:rPr>
        <w:t>779.53</w:t>
      </w:r>
      <w:r>
        <w:rPr>
          <w:rFonts w:hint="eastAsia" w:ascii="仿宋_GB2312" w:hAnsi="Times New Roman" w:eastAsia="仿宋_GB2312" w:cs="Wingdings"/>
          <w:sz w:val="32"/>
          <w:szCs w:val="32"/>
        </w:rPr>
        <w:t>万元，占</w:t>
      </w:r>
      <w:r>
        <w:rPr>
          <w:rFonts w:hint="eastAsia" w:ascii="仿宋_GB2312" w:hAnsi="Times New Roman" w:eastAsia="仿宋_GB2312" w:cs="Wingdings"/>
          <w:sz w:val="32"/>
          <w:szCs w:val="32"/>
          <w:lang w:val="en-US" w:eastAsia="zh-CN"/>
        </w:rPr>
        <w:t>6.65</w:t>
      </w:r>
      <w:r>
        <w:rPr>
          <w:rFonts w:hint="eastAsia" w:ascii="仿宋_GB2312" w:hAnsi="Times New Roman" w:eastAsia="仿宋_GB2312" w:cs="Wingdings"/>
          <w:sz w:val="32"/>
          <w:szCs w:val="32"/>
        </w:rPr>
        <w:t>%；项目支出</w:t>
      </w:r>
      <w:r>
        <w:rPr>
          <w:rFonts w:hint="eastAsia" w:ascii="仿宋_GB2312" w:hAnsi="Times New Roman" w:eastAsia="仿宋_GB2312" w:cs="Wingdings"/>
          <w:sz w:val="32"/>
          <w:szCs w:val="32"/>
          <w:lang w:val="en-US" w:eastAsia="zh-CN"/>
        </w:rPr>
        <w:t>10938.21</w:t>
      </w:r>
      <w:r>
        <w:rPr>
          <w:rFonts w:hint="eastAsia" w:ascii="仿宋_GB2312" w:hAnsi="Times New Roman" w:eastAsia="仿宋_GB2312" w:cs="Wingdings"/>
          <w:sz w:val="32"/>
          <w:szCs w:val="32"/>
        </w:rPr>
        <w:t>万元，占</w:t>
      </w:r>
      <w:r>
        <w:rPr>
          <w:rFonts w:hint="eastAsia" w:ascii="仿宋_GB2312" w:hAnsi="Times New Roman" w:eastAsia="仿宋_GB2312" w:cs="Wingdings"/>
          <w:sz w:val="32"/>
          <w:szCs w:val="32"/>
          <w:lang w:val="en-US" w:eastAsia="zh-CN"/>
        </w:rPr>
        <w:t>93.35</w:t>
      </w:r>
      <w:r>
        <w:rPr>
          <w:rFonts w:hint="eastAsia" w:ascii="仿宋_GB2312" w:hAnsi="Times New Roman" w:eastAsia="仿宋_GB2312" w:cs="Wingdings"/>
          <w:sz w:val="32"/>
          <w:szCs w:val="32"/>
        </w:rPr>
        <w:t>%；上缴上级支出</w:t>
      </w:r>
      <w:r>
        <w:rPr>
          <w:rFonts w:hint="eastAsia" w:ascii="仿宋_GB2312" w:hAnsi="Times New Roman" w:eastAsia="仿宋_GB2312" w:cs="Wingdings"/>
          <w:sz w:val="32"/>
          <w:szCs w:val="32"/>
          <w:lang w:val="en-US" w:eastAsia="zh-CN"/>
        </w:rPr>
        <w:t>0</w:t>
      </w:r>
      <w:r>
        <w:rPr>
          <w:rFonts w:hint="eastAsia" w:ascii="仿宋_GB2312" w:hAnsi="Times New Roman" w:eastAsia="仿宋_GB2312" w:cs="Wingdings"/>
          <w:sz w:val="32"/>
          <w:szCs w:val="32"/>
        </w:rPr>
        <w:t>万元，占</w:t>
      </w:r>
      <w:r>
        <w:rPr>
          <w:rFonts w:hint="eastAsia" w:ascii="仿宋_GB2312" w:hAnsi="Times New Roman" w:eastAsia="仿宋_GB2312" w:cs="Wingdings"/>
          <w:sz w:val="32"/>
          <w:szCs w:val="32"/>
          <w:lang w:val="en-US" w:eastAsia="zh-CN"/>
        </w:rPr>
        <w:t>0</w:t>
      </w:r>
      <w:r>
        <w:rPr>
          <w:rFonts w:hint="eastAsia" w:ascii="仿宋_GB2312" w:hAnsi="Times New Roman" w:eastAsia="仿宋_GB2312" w:cs="Wingdings"/>
          <w:sz w:val="32"/>
          <w:szCs w:val="32"/>
        </w:rPr>
        <w:t>%；经营支出</w:t>
      </w:r>
      <w:r>
        <w:rPr>
          <w:rFonts w:hint="eastAsia" w:ascii="仿宋_GB2312" w:hAnsi="Times New Roman" w:eastAsia="仿宋_GB2312" w:cs="Wingdings"/>
          <w:sz w:val="32"/>
          <w:szCs w:val="32"/>
          <w:lang w:val="en-US" w:eastAsia="zh-CN"/>
        </w:rPr>
        <w:t>0</w:t>
      </w:r>
      <w:r>
        <w:rPr>
          <w:rFonts w:hint="eastAsia" w:ascii="仿宋_GB2312" w:hAnsi="Times New Roman" w:eastAsia="仿宋_GB2312" w:cs="Wingdings"/>
          <w:sz w:val="32"/>
          <w:szCs w:val="32"/>
        </w:rPr>
        <w:t>万元，占</w:t>
      </w:r>
      <w:r>
        <w:rPr>
          <w:rFonts w:hint="eastAsia" w:ascii="仿宋_GB2312" w:hAnsi="Times New Roman" w:eastAsia="仿宋_GB2312" w:cs="Wingdings"/>
          <w:sz w:val="32"/>
          <w:szCs w:val="32"/>
          <w:lang w:val="en-US" w:eastAsia="zh-CN"/>
        </w:rPr>
        <w:t>0</w:t>
      </w:r>
      <w:r>
        <w:rPr>
          <w:rFonts w:hint="eastAsia" w:ascii="仿宋_GB2312" w:hAnsi="Times New Roman" w:eastAsia="仿宋_GB2312" w:cs="Wingdings"/>
          <w:sz w:val="32"/>
          <w:szCs w:val="32"/>
        </w:rPr>
        <w:t>%；对附属单位补助支出</w:t>
      </w:r>
      <w:r>
        <w:rPr>
          <w:rFonts w:hint="eastAsia" w:ascii="仿宋_GB2312" w:hAnsi="Times New Roman" w:eastAsia="仿宋_GB2312" w:cs="Wingdings"/>
          <w:sz w:val="32"/>
          <w:szCs w:val="32"/>
          <w:lang w:val="en-US" w:eastAsia="zh-CN"/>
        </w:rPr>
        <w:t>0</w:t>
      </w:r>
      <w:r>
        <w:rPr>
          <w:rFonts w:hint="eastAsia" w:ascii="仿宋_GB2312" w:hAnsi="Times New Roman" w:eastAsia="仿宋_GB2312" w:cs="Wingdings"/>
          <w:sz w:val="32"/>
          <w:szCs w:val="32"/>
        </w:rPr>
        <w:t>万元，占</w:t>
      </w:r>
      <w:r>
        <w:rPr>
          <w:rFonts w:hint="eastAsia" w:ascii="仿宋_GB2312" w:hAnsi="Times New Roman" w:eastAsia="仿宋_GB2312" w:cs="Wingdings"/>
          <w:sz w:val="32"/>
          <w:szCs w:val="32"/>
          <w:lang w:val="en-US" w:eastAsia="zh-CN"/>
        </w:rPr>
        <w:t>0</w:t>
      </w:r>
      <w:r>
        <w:rPr>
          <w:rFonts w:hint="eastAsia" w:ascii="仿宋_GB2312" w:hAnsi="Times New Roman" w:eastAsia="仿宋_GB2312" w:cs="Wingdings"/>
          <w:sz w:val="32"/>
          <w:szCs w:val="32"/>
        </w:rPr>
        <w:t>%。如图所示：</w:t>
      </w:r>
    </w:p>
    <w:p>
      <w:pPr>
        <w:adjustRightInd w:val="0"/>
        <w:snapToGrid w:val="0"/>
        <w:spacing w:line="600" w:lineRule="exact"/>
        <w:ind w:firstLine="1920" w:firstLineChars="600"/>
        <w:rPr>
          <w:rFonts w:ascii="仿宋_GB2312" w:hAnsi="Times New Roman" w:eastAsia="仿宋_GB2312" w:cs="Wingdings"/>
          <w:sz w:val="32"/>
          <w:szCs w:val="32"/>
        </w:rPr>
      </w:pPr>
    </w:p>
    <w:p>
      <w:pPr>
        <w:adjustRightInd w:val="0"/>
        <w:snapToGrid w:val="0"/>
        <w:spacing w:line="600" w:lineRule="exact"/>
        <w:ind w:firstLine="1260" w:firstLineChars="600"/>
        <w:rPr>
          <w:rFonts w:ascii="仿宋_GB2312" w:hAnsi="Times New Roman" w:eastAsia="仿宋_GB2312" w:cs="Wingdings"/>
          <w:sz w:val="32"/>
          <w:szCs w:val="32"/>
        </w:rPr>
      </w:pPr>
      <w:r>
        <w:rPr>
          <w:rFonts w:ascii="Times New Roman" w:hAnsi="Times New Roman" w:eastAsia="宋体" w:cs="Times New Roman"/>
        </w:rPr>
        <mc:AlternateContent>
          <mc:Choice Requires="wpg">
            <w:drawing>
              <wp:anchor distT="0" distB="0" distL="114300" distR="114300" simplePos="0" relativeHeight="251660288" behindDoc="1" locked="0" layoutInCell="1" allowOverlap="1">
                <wp:simplePos x="0" y="0"/>
                <wp:positionH relativeFrom="column">
                  <wp:posOffset>1066165</wp:posOffset>
                </wp:positionH>
                <wp:positionV relativeFrom="paragraph">
                  <wp:posOffset>101600</wp:posOffset>
                </wp:positionV>
                <wp:extent cx="3656965" cy="2449195"/>
                <wp:effectExtent l="0" t="0" r="635" b="8255"/>
                <wp:wrapNone/>
                <wp:docPr id="31" name="组合 31"/>
                <wp:cNvGraphicFramePr/>
                <a:graphic xmlns:a="http://schemas.openxmlformats.org/drawingml/2006/main">
                  <a:graphicData uri="http://schemas.microsoft.com/office/word/2010/wordprocessingGroup">
                    <wpg:wgp>
                      <wpg:cNvGrpSpPr/>
                      <wpg:grpSpPr>
                        <a:xfrm>
                          <a:off x="0" y="0"/>
                          <a:ext cx="3656965" cy="2449195"/>
                          <a:chOff x="7032" y="190738"/>
                          <a:chExt cx="4600" cy="3345"/>
                        </a:xfrm>
                      </wpg:grpSpPr>
                      <pic:pic xmlns:pic="http://schemas.openxmlformats.org/drawingml/2006/picture">
                        <pic:nvPicPr>
                          <pic:cNvPr id="156" name="图片 3"/>
                          <pic:cNvPicPr>
                            <a:picLocks noChangeAspect="1"/>
                          </pic:cNvPicPr>
                        </pic:nvPicPr>
                        <pic:blipFill>
                          <a:blip r:embed="rId16"/>
                          <a:srcRect l="3251" t="2274" r="1858" b="7961"/>
                          <a:stretch>
                            <a:fillRect/>
                          </a:stretch>
                        </pic:blipFill>
                        <pic:spPr>
                          <a:xfrm>
                            <a:off x="7032" y="190738"/>
                            <a:ext cx="4600" cy="2665"/>
                          </a:xfrm>
                          <a:prstGeom prst="rect">
                            <a:avLst/>
                          </a:prstGeom>
                          <a:noFill/>
                          <a:ln>
                            <a:noFill/>
                          </a:ln>
                        </pic:spPr>
                      </pic:pic>
                      <wps:wsp>
                        <wps:cNvPr id="30" name="文本框 30"/>
                        <wps:cNvSpPr txBox="1"/>
                        <wps:spPr>
                          <a:xfrm>
                            <a:off x="7289" y="193423"/>
                            <a:ext cx="4169" cy="660"/>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adjustRightInd w:val="0"/>
                                <w:snapToGrid w:val="0"/>
                                <w:spacing w:after="160" w:line="560" w:lineRule="exact"/>
                                <w:jc w:val="center"/>
                                <w:rPr>
                                  <w:rFonts w:ascii="仿宋_GB2312" w:hAnsi="Times New Roman" w:eastAsia="仿宋_GB2312" w:cs="Wingdings"/>
                                  <w:sz w:val="28"/>
                                  <w:szCs w:val="28"/>
                                </w:rPr>
                              </w:pPr>
                              <w:r>
                                <w:rPr>
                                  <w:rFonts w:hint="eastAsia" w:ascii="仿宋_GB2312" w:hAnsi="Times New Roman" w:eastAsia="仿宋_GB2312" w:cs="Wingdings"/>
                                  <w:sz w:val="28"/>
                                  <w:szCs w:val="28"/>
                                </w:rPr>
                                <w:t>图X：支出决算构成情况（按支出性质）</w:t>
                              </w:r>
                            </w:p>
                            <w:p>
                              <w:pPr>
                                <w:spacing w:after="160" w:line="480" w:lineRule="auto"/>
                                <w:rPr>
                                  <w:rFonts w:ascii="Times New Roman" w:hAnsi="Times New Roman" w:eastAsia="宋体" w:cs="Times New Roman"/>
                                  <w:sz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83.95pt;margin-top:8pt;height:192.85pt;width:287.95pt;z-index:-251656192;mso-width-relative:page;mso-height-relative:page;" coordorigin="7032,190738" coordsize="4600,3345" o:gfxdata="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">
                <o:lock v:ext="edit" aspectratio="f"/>
                <v:shape id="图片 3" o:spid="_x0000_s1026" o:spt="75" type="#_x0000_t75" style="position:absolute;left:7032;top:190738;height:2665;width:4600;" filled="f" o:preferrelative="t" stroked="f" coordsize="21600,21600" o:gfxdata="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DIvtAi2AAAA3AAAAA8A&#10;AAAAAAAAAQAgAAAAIgAAAGRycy9kb3ducmV2LnhtbFBLAQIUABQAAAAIAIdO4kAzLwWeOwAAADkA&#10;AAAQAAAAAAAAAAEAIAAAAAUBAABkcnMvc2hhcGV4bWwueG1sUEsFBgAAAAAGAAYAWwEAAK8DAAAA&#10;AA==&#10;">
                  <v:fill on="f" focussize="0,0"/>
                  <v:stroke on="f"/>
                  <v:imagedata r:id="rId16" cropleft="2131f" croptop="1490f" cropright="1218f" cropbottom="5217f" o:title=""/>
                  <o:lock v:ext="edit" aspectratio="t"/>
                </v:shape>
                <v:shape id="_x0000_s1026" o:spid="_x0000_s1026" o:spt="202" type="#_x0000_t202" style="position:absolute;left:7289;top:193423;height:660;width:4169;" fillcolor="#FFFFFF" filled="t" stroked="f" coordsize="21600,21600" o:gfxdata="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AwBfbWtAAAANsAAAAPAAAA&#10;AAAAAAEAIAAAACIAAABkcnMvZG93bnJldi54bWxQSwECFAAUAAAACACHTuJAMy8FnjsAAAA5AAAA&#10;EAAAAAAAAAABACAAAAADAQAAZHJzL3NoYXBleG1sLnhtbFBLBQYAAAAABgAGAFsBAACtAwAAAAA=&#10;">
                  <v:fill on="t" focussize="0,0"/>
                  <v:stroke on="f" weight="0.5pt"/>
                  <v:imagedata o:title=""/>
                  <o:lock v:ext="edit" aspectratio="f"/>
                  <v:textbox>
                    <w:txbxContent>
                      <w:p>
                        <w:pPr>
                          <w:adjustRightInd w:val="0"/>
                          <w:snapToGrid w:val="0"/>
                          <w:spacing w:after="160" w:line="560" w:lineRule="exact"/>
                          <w:jc w:val="center"/>
                          <w:rPr>
                            <w:rFonts w:ascii="仿宋_GB2312" w:hAnsi="Times New Roman" w:eastAsia="仿宋_GB2312" w:cs="Wingdings"/>
                            <w:sz w:val="28"/>
                            <w:szCs w:val="28"/>
                          </w:rPr>
                        </w:pPr>
                        <w:r>
                          <w:rPr>
                            <w:rFonts w:hint="eastAsia" w:ascii="仿宋_GB2312" w:hAnsi="Times New Roman" w:eastAsia="仿宋_GB2312" w:cs="Wingdings"/>
                            <w:sz w:val="28"/>
                            <w:szCs w:val="28"/>
                          </w:rPr>
                          <w:t>图X：支出决算构成情况（按支出性质）</w:t>
                        </w:r>
                      </w:p>
                      <w:p>
                        <w:pPr>
                          <w:spacing w:after="160" w:line="480" w:lineRule="auto"/>
                          <w:rPr>
                            <w:rFonts w:ascii="Times New Roman" w:hAnsi="Times New Roman" w:eastAsia="宋体" w:cs="Times New Roman"/>
                            <w:sz w:val="20"/>
                          </w:rPr>
                        </w:pPr>
                      </w:p>
                    </w:txbxContent>
                  </v:textbox>
                </v:shape>
              </v:group>
            </w:pict>
          </mc:Fallback>
        </mc:AlternateContent>
      </w:r>
    </w:p>
    <w:p>
      <w:pPr>
        <w:adjustRightInd w:val="0"/>
        <w:snapToGrid w:val="0"/>
        <w:spacing w:line="600" w:lineRule="exact"/>
        <w:ind w:firstLine="1260" w:firstLineChars="600"/>
        <w:rPr>
          <w:rFonts w:ascii="仿宋_GB2312" w:hAnsi="Times New Roman" w:eastAsia="仿宋_GB2312" w:cs="Wingdings"/>
          <w:sz w:val="32"/>
          <w:szCs w:val="32"/>
        </w:rPr>
      </w:pPr>
      <w:r>
        <w:drawing>
          <wp:anchor distT="0" distB="0" distL="114300" distR="114300" simplePos="0" relativeHeight="251669504" behindDoc="0" locked="0" layoutInCell="1" allowOverlap="1">
            <wp:simplePos x="0" y="0"/>
            <wp:positionH relativeFrom="column">
              <wp:posOffset>566420</wp:posOffset>
            </wp:positionH>
            <wp:positionV relativeFrom="paragraph">
              <wp:posOffset>-709930</wp:posOffset>
            </wp:positionV>
            <wp:extent cx="4572000" cy="2743200"/>
            <wp:effectExtent l="4445" t="4445" r="14605" b="14605"/>
            <wp:wrapNone/>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pPr>
        <w:adjustRightInd w:val="0"/>
        <w:snapToGrid w:val="0"/>
        <w:spacing w:line="600" w:lineRule="exact"/>
        <w:ind w:firstLine="1920" w:firstLineChars="600"/>
        <w:rPr>
          <w:rFonts w:ascii="仿宋_GB2312" w:hAnsi="Times New Roman" w:eastAsia="仿宋_GB2312" w:cs="Wingdings"/>
          <w:sz w:val="32"/>
          <w:szCs w:val="32"/>
        </w:rPr>
      </w:pPr>
    </w:p>
    <w:p>
      <w:pPr>
        <w:adjustRightInd w:val="0"/>
        <w:snapToGrid w:val="0"/>
        <w:spacing w:line="600" w:lineRule="exact"/>
        <w:ind w:firstLine="1920" w:firstLineChars="600"/>
        <w:rPr>
          <w:rFonts w:ascii="仿宋_GB2312" w:hAnsi="Times New Roman" w:eastAsia="仿宋_GB2312" w:cs="Wingdings"/>
          <w:sz w:val="32"/>
          <w:szCs w:val="32"/>
        </w:rPr>
      </w:pPr>
    </w:p>
    <w:p>
      <w:pPr>
        <w:adjustRightInd w:val="0"/>
        <w:snapToGrid w:val="0"/>
        <w:spacing w:line="600" w:lineRule="exact"/>
        <w:ind w:firstLine="1920" w:firstLineChars="600"/>
        <w:rPr>
          <w:rFonts w:ascii="仿宋_GB2312" w:hAnsi="Times New Roman" w:eastAsia="仿宋_GB2312" w:cs="Wingdings"/>
          <w:sz w:val="32"/>
          <w:szCs w:val="32"/>
        </w:rPr>
      </w:pPr>
    </w:p>
    <w:p>
      <w:pPr>
        <w:keepNext/>
        <w:keepLines/>
        <w:snapToGrid w:val="0"/>
        <w:spacing w:line="600" w:lineRule="exact"/>
        <w:ind w:firstLine="643" w:firstLineChars="200"/>
        <w:outlineLvl w:val="1"/>
        <w:rPr>
          <w:rFonts w:ascii="黑体" w:hAnsi="Calibri" w:eastAsia="黑体" w:cs="Times New Roman"/>
          <w:b/>
          <w:bCs/>
          <w:sz w:val="32"/>
          <w:szCs w:val="32"/>
        </w:rPr>
      </w:pPr>
    </w:p>
    <w:p>
      <w:pPr>
        <w:keepNext/>
        <w:keepLines/>
        <w:snapToGrid w:val="0"/>
        <w:spacing w:line="600" w:lineRule="exact"/>
        <w:ind w:firstLine="640" w:firstLineChars="200"/>
        <w:outlineLvl w:val="1"/>
        <w:rPr>
          <w:rFonts w:ascii="黑体" w:hAnsi="Calibri" w:eastAsia="黑体" w:cs="Times New Roman"/>
          <w:sz w:val="32"/>
          <w:szCs w:val="32"/>
        </w:rPr>
      </w:pPr>
    </w:p>
    <w:p>
      <w:pPr>
        <w:keepNext/>
        <w:keepLines/>
        <w:snapToGrid w:val="0"/>
        <w:spacing w:line="600" w:lineRule="exact"/>
        <w:ind w:firstLine="640" w:firstLineChars="200"/>
        <w:outlineLvl w:val="1"/>
        <w:rPr>
          <w:rFonts w:ascii="黑体" w:hAnsi="Calibri" w:eastAsia="黑体" w:cs="Times New Roman"/>
          <w:sz w:val="32"/>
          <w:szCs w:val="32"/>
        </w:rPr>
      </w:pPr>
      <w:r>
        <w:rPr>
          <w:rFonts w:hint="eastAsia" w:ascii="黑体" w:hAnsi="Calibri" w:eastAsia="黑体" w:cs="Times New Roman"/>
          <w:sz w:val="32"/>
          <w:szCs w:val="32"/>
        </w:rPr>
        <w:t>四、</w:t>
      </w:r>
      <w:r>
        <w:rPr>
          <w:rFonts w:hint="eastAsia" w:ascii="黑体" w:hAnsi="Cambria" w:eastAsia="黑体" w:cs="黑体"/>
          <w:kern w:val="0"/>
          <w:sz w:val="32"/>
          <w:szCs w:val="32"/>
        </w:rPr>
        <w:t>财政</w:t>
      </w:r>
      <w:r>
        <w:rPr>
          <w:rFonts w:hint="eastAsia" w:ascii="黑体" w:hAnsi="Calibri" w:eastAsia="黑体" w:cs="Times New Roman"/>
          <w:sz w:val="32"/>
          <w:szCs w:val="32"/>
        </w:rPr>
        <w:t>拨款收入支出决算总体情况说明</w:t>
      </w:r>
    </w:p>
    <w:p>
      <w:pPr>
        <w:snapToGrid w:val="0"/>
        <w:spacing w:line="600" w:lineRule="exact"/>
        <w:ind w:firstLine="643" w:firstLineChars="200"/>
        <w:rPr>
          <w:rFonts w:ascii="楷体_GB2312" w:hAnsi="Times New Roman" w:eastAsia="楷体_GB2312" w:cs="Mongolian Baiti"/>
          <w:b/>
          <w:bCs/>
          <w:sz w:val="32"/>
          <w:szCs w:val="32"/>
        </w:rPr>
      </w:pPr>
      <w:r>
        <w:rPr>
          <w:rFonts w:hint="eastAsia" w:ascii="楷体_GB2312" w:hAnsi="Times New Roman" w:eastAsia="楷体_GB2312" w:cs="Mongolian Baiti"/>
          <w:b/>
          <w:bCs/>
          <w:sz w:val="32"/>
          <w:szCs w:val="32"/>
        </w:rPr>
        <w:t>（一）财政拨款收支与2019年度决算对比情况</w:t>
      </w:r>
    </w:p>
    <w:p>
      <w:pPr>
        <w:adjustRightInd w:val="0"/>
        <w:snapToGrid w:val="0"/>
        <w:spacing w:line="600" w:lineRule="exact"/>
        <w:ind w:firstLine="640" w:firstLineChars="200"/>
        <w:rPr>
          <w:rFonts w:ascii="仿宋_GB2312" w:hAnsi="Times New Roman" w:eastAsia="仿宋_GB2312" w:cs="Wingdings"/>
          <w:sz w:val="32"/>
          <w:szCs w:val="32"/>
        </w:rPr>
      </w:pPr>
      <w:r>
        <w:rPr>
          <w:rFonts w:hint="eastAsia" w:ascii="仿宋_GB2312" w:hAnsi="Times New Roman" w:eastAsia="仿宋_GB2312" w:cs="Wingdings"/>
          <w:sz w:val="32"/>
          <w:szCs w:val="32"/>
        </w:rPr>
        <w:t>本部门2020年度财政拨款本年收入</w:t>
      </w:r>
      <w:r>
        <w:rPr>
          <w:rFonts w:hint="eastAsia" w:ascii="仿宋_GB2312" w:hAnsi="Times New Roman" w:eastAsia="仿宋_GB2312" w:cs="Wingdings"/>
          <w:sz w:val="32"/>
          <w:szCs w:val="32"/>
          <w:lang w:val="en-US" w:eastAsia="zh-CN"/>
        </w:rPr>
        <w:t>11778.28</w:t>
      </w:r>
      <w:r>
        <w:rPr>
          <w:rFonts w:hint="eastAsia" w:ascii="仿宋_GB2312" w:hAnsi="Times New Roman" w:eastAsia="仿宋_GB2312" w:cs="Wingdings"/>
          <w:sz w:val="32"/>
          <w:szCs w:val="32"/>
        </w:rPr>
        <w:t>万元,比2019年度增加</w:t>
      </w:r>
      <w:r>
        <w:rPr>
          <w:rFonts w:hint="eastAsia" w:ascii="仿宋_GB2312" w:hAnsi="Times New Roman" w:eastAsia="仿宋_GB2312" w:cs="Wingdings"/>
          <w:sz w:val="32"/>
          <w:szCs w:val="32"/>
          <w:lang w:val="en-US" w:eastAsia="zh-CN"/>
        </w:rPr>
        <w:t>5052.79</w:t>
      </w:r>
      <w:r>
        <w:rPr>
          <w:rFonts w:hint="eastAsia" w:ascii="仿宋_GB2312" w:hAnsi="Times New Roman" w:eastAsia="仿宋_GB2312" w:cs="Wingdings"/>
          <w:sz w:val="32"/>
          <w:szCs w:val="32"/>
        </w:rPr>
        <w:t>万元，增长</w:t>
      </w:r>
      <w:r>
        <w:rPr>
          <w:rFonts w:hint="eastAsia" w:ascii="仿宋_GB2312" w:hAnsi="Times New Roman" w:eastAsia="仿宋_GB2312" w:cs="Wingdings"/>
          <w:sz w:val="32"/>
          <w:szCs w:val="32"/>
          <w:lang w:val="en-US" w:eastAsia="zh-CN"/>
        </w:rPr>
        <w:t>42.89</w:t>
      </w:r>
      <w:r>
        <w:rPr>
          <w:rFonts w:hint="eastAsia" w:ascii="仿宋_GB2312" w:hAnsi="Times New Roman" w:eastAsia="仿宋_GB2312" w:cs="Wingdings"/>
          <w:sz w:val="32"/>
          <w:szCs w:val="32"/>
        </w:rPr>
        <w:t>%，主要是</w:t>
      </w:r>
      <w:r>
        <w:rPr>
          <w:rFonts w:hint="eastAsia" w:ascii="仿宋_GB2312" w:hAnsi="Times New Roman" w:eastAsia="仿宋_GB2312" w:cs="DengXian-Regular"/>
          <w:sz w:val="32"/>
          <w:szCs w:val="32"/>
        </w:rPr>
        <w:t>政府性基金拨款</w:t>
      </w:r>
      <w:r>
        <w:rPr>
          <w:rFonts w:hint="eastAsia" w:ascii="仿宋_GB2312" w:hAnsi="Times New Roman" w:eastAsia="仿宋_GB2312" w:cs="Wingdings"/>
          <w:sz w:val="32"/>
          <w:szCs w:val="32"/>
          <w:lang w:eastAsia="zh-CN"/>
        </w:rPr>
        <w:t>增加</w:t>
      </w:r>
      <w:r>
        <w:rPr>
          <w:rFonts w:hint="eastAsia" w:ascii="仿宋_GB2312" w:hAnsi="Times New Roman" w:eastAsia="仿宋_GB2312" w:cs="Wingdings"/>
          <w:sz w:val="32"/>
          <w:szCs w:val="32"/>
        </w:rPr>
        <w:t>；本年支出</w:t>
      </w:r>
      <w:r>
        <w:rPr>
          <w:rFonts w:hint="eastAsia" w:ascii="仿宋_GB2312" w:hAnsi="Times New Roman" w:eastAsia="仿宋_GB2312" w:cs="Wingdings"/>
          <w:sz w:val="32"/>
          <w:szCs w:val="32"/>
          <w:lang w:val="en-US" w:eastAsia="zh-CN"/>
        </w:rPr>
        <w:t>11717.74</w:t>
      </w:r>
      <w:r>
        <w:rPr>
          <w:rFonts w:hint="eastAsia" w:ascii="仿宋_GB2312" w:hAnsi="Times New Roman" w:eastAsia="仿宋_GB2312" w:cs="Wingdings"/>
          <w:sz w:val="32"/>
          <w:szCs w:val="32"/>
        </w:rPr>
        <w:t>万元，增加</w:t>
      </w:r>
      <w:r>
        <w:rPr>
          <w:rFonts w:hint="eastAsia" w:ascii="仿宋_GB2312" w:hAnsi="Times New Roman" w:eastAsia="仿宋_GB2312" w:cs="Wingdings"/>
          <w:sz w:val="32"/>
          <w:szCs w:val="32"/>
          <w:lang w:val="en-US" w:eastAsia="zh-CN"/>
        </w:rPr>
        <w:t>5145.53</w:t>
      </w:r>
      <w:r>
        <w:rPr>
          <w:rFonts w:hint="eastAsia" w:ascii="仿宋_GB2312" w:hAnsi="Times New Roman" w:eastAsia="仿宋_GB2312" w:cs="Wingdings"/>
          <w:sz w:val="32"/>
          <w:szCs w:val="32"/>
        </w:rPr>
        <w:t>万元，增长</w:t>
      </w:r>
      <w:r>
        <w:rPr>
          <w:rFonts w:hint="eastAsia" w:ascii="仿宋_GB2312" w:hAnsi="Times New Roman" w:eastAsia="仿宋_GB2312" w:cs="Wingdings"/>
          <w:sz w:val="32"/>
          <w:szCs w:val="32"/>
          <w:lang w:val="en-US" w:eastAsia="zh-CN"/>
        </w:rPr>
        <w:t>43.91</w:t>
      </w:r>
      <w:r>
        <w:rPr>
          <w:rFonts w:hint="eastAsia" w:ascii="仿宋_GB2312" w:hAnsi="Times New Roman" w:eastAsia="仿宋_GB2312" w:cs="Wingdings"/>
          <w:sz w:val="32"/>
          <w:szCs w:val="32"/>
        </w:rPr>
        <w:t>%，主要是</w:t>
      </w:r>
      <w:r>
        <w:rPr>
          <w:rFonts w:hint="eastAsia" w:ascii="仿宋_GB2312" w:hAnsi="Times New Roman" w:eastAsia="仿宋_GB2312" w:cs="Wingdings"/>
          <w:sz w:val="32"/>
          <w:szCs w:val="32"/>
          <w:lang w:eastAsia="zh-CN"/>
        </w:rPr>
        <w:t>增加智能港占地支出</w:t>
      </w:r>
      <w:r>
        <w:rPr>
          <w:rFonts w:hint="eastAsia" w:ascii="仿宋_GB2312" w:hAnsi="Times New Roman" w:eastAsia="仿宋_GB2312" w:cs="Wingdings"/>
          <w:sz w:val="32"/>
          <w:szCs w:val="32"/>
        </w:rPr>
        <w:t>。具体情况如下：</w:t>
      </w:r>
    </w:p>
    <w:p>
      <w:pPr>
        <w:numPr>
          <w:ilvl w:val="0"/>
          <w:numId w:val="1"/>
        </w:numPr>
        <w:adjustRightInd w:val="0"/>
        <w:snapToGrid w:val="0"/>
        <w:spacing w:line="600" w:lineRule="exact"/>
        <w:ind w:firstLine="640" w:firstLineChars="200"/>
        <w:rPr>
          <w:rFonts w:ascii="仿宋_GB2312" w:hAnsi="Times New Roman" w:eastAsia="仿宋_GB2312" w:cs="Wingdings"/>
          <w:sz w:val="32"/>
          <w:szCs w:val="32"/>
        </w:rPr>
      </w:pPr>
      <w:r>
        <w:rPr>
          <w:rFonts w:hint="eastAsia" w:ascii="仿宋_GB2312" w:hAnsi="Times New Roman" w:eastAsia="仿宋_GB2312" w:cs="Wingdings"/>
          <w:sz w:val="32"/>
          <w:szCs w:val="32"/>
        </w:rPr>
        <w:t>一般公共预算财政拨款本年收入</w:t>
      </w:r>
      <w:r>
        <w:rPr>
          <w:rFonts w:hint="eastAsia" w:ascii="仿宋_GB2312" w:hAnsi="Times New Roman" w:eastAsia="仿宋_GB2312" w:cs="Wingdings"/>
          <w:sz w:val="32"/>
          <w:szCs w:val="32"/>
          <w:lang w:val="en-US" w:eastAsia="zh-CN"/>
        </w:rPr>
        <w:t>3171.42</w:t>
      </w:r>
      <w:r>
        <w:rPr>
          <w:rFonts w:hint="eastAsia" w:ascii="仿宋_GB2312" w:hAnsi="Times New Roman" w:eastAsia="仿宋_GB2312" w:cs="Wingdings"/>
          <w:sz w:val="32"/>
          <w:szCs w:val="32"/>
        </w:rPr>
        <w:t>万元，比上年减少</w:t>
      </w:r>
      <w:r>
        <w:rPr>
          <w:rFonts w:hint="eastAsia" w:ascii="仿宋_GB2312" w:hAnsi="Times New Roman" w:eastAsia="仿宋_GB2312" w:cs="Wingdings"/>
          <w:sz w:val="32"/>
          <w:szCs w:val="32"/>
          <w:lang w:val="en-US" w:eastAsia="zh-CN"/>
        </w:rPr>
        <w:t>3027.51</w:t>
      </w:r>
      <w:r>
        <w:rPr>
          <w:rFonts w:hint="eastAsia" w:ascii="仿宋_GB2312" w:hAnsi="Times New Roman" w:eastAsia="仿宋_GB2312" w:cs="Wingdings"/>
          <w:sz w:val="32"/>
          <w:szCs w:val="32"/>
        </w:rPr>
        <w:t>万元；主要是</w:t>
      </w:r>
      <w:r>
        <w:rPr>
          <w:rFonts w:hint="eastAsia" w:ascii="仿宋_GB2312" w:hAnsi="Times New Roman" w:eastAsia="仿宋_GB2312" w:cs="Wingdings"/>
          <w:sz w:val="32"/>
          <w:szCs w:val="32"/>
          <w:lang w:eastAsia="zh-CN"/>
        </w:rPr>
        <w:t>社会保障和就业的支出</w:t>
      </w:r>
      <w:r>
        <w:rPr>
          <w:rFonts w:hint="eastAsia" w:ascii="仿宋_GB2312" w:hAnsi="Times New Roman" w:eastAsia="仿宋_GB2312" w:cs="Wingdings"/>
          <w:sz w:val="32"/>
          <w:szCs w:val="32"/>
        </w:rPr>
        <w:t>；本年支出</w:t>
      </w:r>
      <w:r>
        <w:rPr>
          <w:rFonts w:hint="eastAsia" w:ascii="仿宋_GB2312" w:hAnsi="Times New Roman" w:eastAsia="仿宋_GB2312" w:cs="Wingdings"/>
          <w:sz w:val="32"/>
          <w:szCs w:val="32"/>
          <w:lang w:val="en-US" w:eastAsia="zh-CN"/>
        </w:rPr>
        <w:t>3110.88</w:t>
      </w:r>
      <w:r>
        <w:rPr>
          <w:rFonts w:hint="eastAsia" w:ascii="仿宋_GB2312" w:hAnsi="Times New Roman" w:eastAsia="仿宋_GB2312" w:cs="Wingdings"/>
          <w:sz w:val="32"/>
          <w:szCs w:val="32"/>
        </w:rPr>
        <w:t>万元，比上年减少</w:t>
      </w:r>
      <w:r>
        <w:rPr>
          <w:rFonts w:hint="eastAsia" w:ascii="仿宋_GB2312" w:hAnsi="Times New Roman" w:eastAsia="仿宋_GB2312" w:cs="Wingdings"/>
          <w:sz w:val="32"/>
          <w:szCs w:val="32"/>
          <w:lang w:val="en-US" w:eastAsia="zh-CN"/>
        </w:rPr>
        <w:t>2934.77</w:t>
      </w:r>
      <w:r>
        <w:rPr>
          <w:rFonts w:hint="eastAsia" w:ascii="仿宋_GB2312" w:hAnsi="Times New Roman" w:eastAsia="仿宋_GB2312" w:cs="Wingdings"/>
          <w:sz w:val="32"/>
          <w:szCs w:val="32"/>
        </w:rPr>
        <w:t>万元，降低</w:t>
      </w:r>
      <w:r>
        <w:rPr>
          <w:rFonts w:hint="eastAsia" w:ascii="仿宋_GB2312" w:hAnsi="Times New Roman" w:eastAsia="仿宋_GB2312" w:cs="Wingdings"/>
          <w:sz w:val="32"/>
          <w:szCs w:val="32"/>
          <w:lang w:val="en-US" w:eastAsia="zh-CN"/>
        </w:rPr>
        <w:t>48.54</w:t>
      </w:r>
      <w:r>
        <w:rPr>
          <w:rFonts w:hint="eastAsia" w:ascii="仿宋_GB2312" w:hAnsi="Times New Roman" w:eastAsia="仿宋_GB2312" w:cs="Wingdings"/>
          <w:sz w:val="32"/>
          <w:szCs w:val="32"/>
        </w:rPr>
        <w:t>%，主要是</w:t>
      </w:r>
      <w:r>
        <w:rPr>
          <w:rFonts w:hint="eastAsia" w:ascii="仿宋_GB2312" w:hAnsi="Times New Roman" w:eastAsia="仿宋_GB2312" w:cs="Wingdings"/>
          <w:sz w:val="32"/>
          <w:szCs w:val="32"/>
          <w:lang w:eastAsia="zh-CN"/>
        </w:rPr>
        <w:t>社会保障和就业支出和健康卫生支出的减少</w:t>
      </w:r>
      <w:r>
        <w:rPr>
          <w:rFonts w:hint="eastAsia" w:ascii="仿宋_GB2312" w:hAnsi="Times New Roman" w:eastAsia="仿宋_GB2312" w:cs="Wingdings"/>
          <w:sz w:val="32"/>
          <w:szCs w:val="32"/>
        </w:rPr>
        <w:t>。</w:t>
      </w:r>
    </w:p>
    <w:p>
      <w:pPr>
        <w:numPr>
          <w:ilvl w:val="0"/>
          <w:numId w:val="1"/>
        </w:numPr>
        <w:adjustRightInd w:val="0"/>
        <w:snapToGrid w:val="0"/>
        <w:spacing w:line="600" w:lineRule="exact"/>
        <w:ind w:firstLine="640" w:firstLineChars="200"/>
        <w:rPr>
          <w:rFonts w:ascii="仿宋_GB2312" w:hAnsi="Times New Roman" w:eastAsia="仿宋_GB2312" w:cs="Wingdings"/>
          <w:sz w:val="32"/>
          <w:szCs w:val="32"/>
        </w:rPr>
      </w:pPr>
      <w:r>
        <w:rPr>
          <w:rFonts w:hint="eastAsia" w:ascii="仿宋_GB2312" w:hAnsi="Times New Roman" w:eastAsia="仿宋_GB2312" w:cs="Wingdings"/>
          <w:sz w:val="32"/>
          <w:szCs w:val="32"/>
        </w:rPr>
        <w:t>政府性基金预算财政拨款本年收入</w:t>
      </w:r>
      <w:r>
        <w:rPr>
          <w:rFonts w:hint="eastAsia" w:ascii="仿宋_GB2312" w:hAnsi="Times New Roman" w:eastAsia="仿宋_GB2312" w:cs="Wingdings"/>
          <w:sz w:val="32"/>
          <w:szCs w:val="32"/>
          <w:lang w:val="en-US" w:eastAsia="zh-CN"/>
        </w:rPr>
        <w:t>8606.06</w:t>
      </w:r>
      <w:r>
        <w:rPr>
          <w:rFonts w:hint="eastAsia" w:ascii="仿宋_GB2312" w:hAnsi="Times New Roman" w:eastAsia="仿宋_GB2312" w:cs="Wingdings"/>
          <w:sz w:val="32"/>
          <w:szCs w:val="32"/>
        </w:rPr>
        <w:t>万元，比上年增加</w:t>
      </w:r>
      <w:r>
        <w:rPr>
          <w:rFonts w:hint="eastAsia" w:ascii="仿宋_GB2312" w:hAnsi="Times New Roman" w:eastAsia="仿宋_GB2312" w:cs="Wingdings"/>
          <w:sz w:val="32"/>
          <w:szCs w:val="32"/>
          <w:lang w:val="en-US" w:eastAsia="zh-CN"/>
        </w:rPr>
        <w:t>8079.5</w:t>
      </w:r>
      <w:r>
        <w:rPr>
          <w:rFonts w:hint="eastAsia" w:ascii="仿宋_GB2312" w:hAnsi="Times New Roman" w:eastAsia="仿宋_GB2312" w:cs="Wingdings"/>
          <w:sz w:val="32"/>
          <w:szCs w:val="32"/>
        </w:rPr>
        <w:t>万元，增长</w:t>
      </w:r>
      <w:r>
        <w:rPr>
          <w:rFonts w:hint="eastAsia" w:ascii="仿宋_GB2312" w:hAnsi="Times New Roman" w:eastAsia="仿宋_GB2312" w:cs="Wingdings"/>
          <w:sz w:val="32"/>
          <w:szCs w:val="32"/>
          <w:lang w:val="en-US" w:eastAsia="zh-CN"/>
        </w:rPr>
        <w:t>93.88</w:t>
      </w:r>
      <w:r>
        <w:rPr>
          <w:rFonts w:hint="eastAsia" w:ascii="仿宋_GB2312" w:hAnsi="Times New Roman" w:eastAsia="仿宋_GB2312" w:cs="Wingdings"/>
          <w:sz w:val="32"/>
          <w:szCs w:val="32"/>
        </w:rPr>
        <w:t>%，主要原因是</w:t>
      </w:r>
      <w:r>
        <w:rPr>
          <w:rFonts w:hint="eastAsia" w:ascii="仿宋_GB2312" w:hAnsi="Times New Roman" w:eastAsia="仿宋_GB2312" w:cs="Wingdings"/>
          <w:sz w:val="32"/>
          <w:szCs w:val="32"/>
          <w:lang w:eastAsia="zh-CN"/>
        </w:rPr>
        <w:t>增加智能港占地拨款</w:t>
      </w:r>
      <w:r>
        <w:rPr>
          <w:rFonts w:hint="eastAsia" w:ascii="仿宋_GB2312" w:hAnsi="Times New Roman" w:eastAsia="仿宋_GB2312" w:cs="Wingdings"/>
          <w:sz w:val="32"/>
          <w:szCs w:val="32"/>
        </w:rPr>
        <w:t>；本年支出</w:t>
      </w:r>
      <w:r>
        <w:rPr>
          <w:rFonts w:hint="eastAsia" w:ascii="仿宋_GB2312" w:hAnsi="Times New Roman" w:eastAsia="仿宋_GB2312" w:cs="Wingdings"/>
          <w:sz w:val="32"/>
          <w:szCs w:val="32"/>
          <w:lang w:val="en-US" w:eastAsia="zh-CN"/>
        </w:rPr>
        <w:t>8606.06</w:t>
      </w:r>
      <w:r>
        <w:rPr>
          <w:rFonts w:hint="eastAsia" w:ascii="仿宋_GB2312" w:hAnsi="Times New Roman" w:eastAsia="仿宋_GB2312" w:cs="Wingdings"/>
          <w:sz w:val="32"/>
          <w:szCs w:val="32"/>
        </w:rPr>
        <w:t>万元，比上年增加</w:t>
      </w:r>
      <w:r>
        <w:rPr>
          <w:rFonts w:hint="eastAsia" w:ascii="仿宋_GB2312" w:hAnsi="Times New Roman" w:eastAsia="仿宋_GB2312" w:cs="Wingdings"/>
          <w:sz w:val="32"/>
          <w:szCs w:val="32"/>
          <w:lang w:val="en-US" w:eastAsia="zh-CN"/>
        </w:rPr>
        <w:t>8079.5</w:t>
      </w:r>
      <w:r>
        <w:rPr>
          <w:rFonts w:hint="eastAsia" w:ascii="仿宋_GB2312" w:hAnsi="Times New Roman" w:eastAsia="仿宋_GB2312" w:cs="Wingdings"/>
          <w:sz w:val="32"/>
          <w:szCs w:val="32"/>
        </w:rPr>
        <w:t>万元，增长</w:t>
      </w:r>
      <w:r>
        <w:rPr>
          <w:rFonts w:hint="eastAsia" w:ascii="仿宋_GB2312" w:hAnsi="Times New Roman" w:eastAsia="仿宋_GB2312" w:cs="Wingdings"/>
          <w:sz w:val="32"/>
          <w:szCs w:val="32"/>
          <w:lang w:val="en-US" w:eastAsia="zh-CN"/>
        </w:rPr>
        <w:t>93.88</w:t>
      </w:r>
      <w:r>
        <w:rPr>
          <w:rFonts w:hint="eastAsia" w:ascii="仿宋_GB2312" w:hAnsi="Times New Roman" w:eastAsia="仿宋_GB2312" w:cs="Wingdings"/>
          <w:sz w:val="32"/>
          <w:szCs w:val="32"/>
        </w:rPr>
        <w:t>%，主要是</w:t>
      </w:r>
      <w:r>
        <w:rPr>
          <w:rFonts w:hint="eastAsia" w:ascii="仿宋_GB2312" w:hAnsi="Times New Roman" w:eastAsia="仿宋_GB2312" w:cs="Wingdings"/>
          <w:sz w:val="32"/>
          <w:szCs w:val="32"/>
          <w:lang w:eastAsia="zh-CN"/>
        </w:rPr>
        <w:t>增加智能港占地支出</w:t>
      </w:r>
      <w:r>
        <w:rPr>
          <w:rFonts w:hint="eastAsia" w:ascii="仿宋_GB2312" w:hAnsi="Times New Roman" w:eastAsia="仿宋_GB2312" w:cs="Wingdings"/>
          <w:sz w:val="32"/>
          <w:szCs w:val="32"/>
        </w:rPr>
        <w:t>。</w:t>
      </w:r>
      <w:r>
        <w:rPr>
          <w:rFonts w:hint="eastAsia" w:ascii="仿宋_GB2312" w:hAnsi="Times New Roman" w:eastAsia="仿宋_GB2312" w:cs="Wingdings"/>
          <w:sz w:val="32"/>
          <w:szCs w:val="32"/>
          <w:lang w:eastAsia="zh-CN"/>
        </w:rPr>
        <w:t>（如图所示：）</w:t>
      </w:r>
    </w:p>
    <w:p>
      <w:pPr>
        <w:snapToGrid w:val="0"/>
        <w:spacing w:line="600" w:lineRule="exact"/>
        <w:ind w:firstLine="643" w:firstLineChars="200"/>
        <w:rPr>
          <w:rFonts w:hint="eastAsia" w:ascii="楷体_GB2312" w:hAnsi="Times New Roman" w:eastAsia="楷体_GB2312" w:cs="Mongolian Baiti"/>
          <w:b/>
          <w:bCs/>
          <w:sz w:val="32"/>
          <w:szCs w:val="32"/>
        </w:rPr>
      </w:pPr>
    </w:p>
    <w:p>
      <w:pPr>
        <w:snapToGrid w:val="0"/>
        <w:spacing w:line="600" w:lineRule="exact"/>
        <w:ind w:firstLine="643" w:firstLineChars="200"/>
        <w:rPr>
          <w:rFonts w:hint="eastAsia" w:ascii="楷体_GB2312" w:hAnsi="Times New Roman" w:eastAsia="楷体_GB2312" w:cs="Mongolian Baiti"/>
          <w:b/>
          <w:bCs/>
          <w:sz w:val="32"/>
          <w:szCs w:val="32"/>
        </w:rPr>
      </w:pPr>
    </w:p>
    <w:p>
      <w:pPr>
        <w:snapToGrid w:val="0"/>
        <w:spacing w:line="600" w:lineRule="exact"/>
        <w:ind w:firstLine="643" w:firstLineChars="200"/>
        <w:rPr>
          <w:rFonts w:hint="eastAsia" w:ascii="楷体_GB2312" w:hAnsi="Times New Roman" w:eastAsia="楷体_GB2312" w:cs="Mongolian Baiti"/>
          <w:b/>
          <w:bCs/>
          <w:sz w:val="32"/>
          <w:szCs w:val="32"/>
        </w:rPr>
      </w:pPr>
    </w:p>
    <w:p>
      <w:pPr>
        <w:snapToGrid w:val="0"/>
        <w:spacing w:line="600" w:lineRule="exact"/>
        <w:ind w:firstLine="643" w:firstLineChars="200"/>
        <w:rPr>
          <w:rFonts w:hint="eastAsia" w:ascii="楷体_GB2312" w:hAnsi="Times New Roman" w:eastAsia="楷体_GB2312" w:cs="Mongolian Baiti"/>
          <w:b/>
          <w:bCs/>
          <w:sz w:val="32"/>
          <w:szCs w:val="32"/>
        </w:rPr>
      </w:pPr>
    </w:p>
    <w:p>
      <w:pPr>
        <w:snapToGrid w:val="0"/>
        <w:spacing w:line="600" w:lineRule="exact"/>
        <w:ind w:firstLine="643" w:firstLineChars="200"/>
        <w:rPr>
          <w:rFonts w:hint="eastAsia" w:ascii="楷体_GB2312" w:hAnsi="Times New Roman" w:eastAsia="楷体_GB2312" w:cs="Mongolian Baiti"/>
          <w:b/>
          <w:bCs/>
          <w:sz w:val="32"/>
          <w:szCs w:val="32"/>
        </w:rPr>
      </w:pPr>
    </w:p>
    <w:p>
      <w:pPr>
        <w:snapToGrid w:val="0"/>
        <w:spacing w:line="600" w:lineRule="exact"/>
        <w:ind w:firstLine="420" w:firstLineChars="200"/>
        <w:rPr>
          <w:rFonts w:hint="eastAsia" w:ascii="楷体_GB2312" w:hAnsi="Times New Roman" w:eastAsia="楷体_GB2312" w:cs="Mongolian Baiti"/>
          <w:b/>
          <w:bCs/>
          <w:sz w:val="32"/>
          <w:szCs w:val="32"/>
        </w:rPr>
      </w:pPr>
      <w:r>
        <w:drawing>
          <wp:anchor distT="0" distB="0" distL="114300" distR="114300" simplePos="0" relativeHeight="251670528" behindDoc="0" locked="0" layoutInCell="1" allowOverlap="1">
            <wp:simplePos x="0" y="0"/>
            <wp:positionH relativeFrom="column">
              <wp:posOffset>271145</wp:posOffset>
            </wp:positionH>
            <wp:positionV relativeFrom="paragraph">
              <wp:posOffset>-2453005</wp:posOffset>
            </wp:positionV>
            <wp:extent cx="4572000" cy="2743200"/>
            <wp:effectExtent l="4445" t="4445" r="14605" b="14605"/>
            <wp:wrapNone/>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pPr>
        <w:snapToGrid w:val="0"/>
        <w:spacing w:line="600" w:lineRule="exact"/>
        <w:ind w:firstLine="643" w:firstLineChars="200"/>
        <w:rPr>
          <w:rFonts w:hint="eastAsia" w:ascii="楷体_GB2312" w:hAnsi="Times New Roman" w:eastAsia="楷体_GB2312" w:cs="Mongolian Baiti"/>
          <w:b/>
          <w:bCs/>
          <w:sz w:val="32"/>
          <w:szCs w:val="32"/>
        </w:rPr>
      </w:pPr>
    </w:p>
    <w:p>
      <w:pPr>
        <w:snapToGrid w:val="0"/>
        <w:spacing w:line="600" w:lineRule="exact"/>
        <w:ind w:firstLine="643" w:firstLineChars="200"/>
        <w:rPr>
          <w:rFonts w:ascii="仿宋_GB2312" w:hAnsi="Times New Roman" w:eastAsia="仿宋_GB2312" w:cs="Mongolian Baiti"/>
          <w:b/>
          <w:bCs/>
          <w:sz w:val="32"/>
          <w:szCs w:val="32"/>
        </w:rPr>
      </w:pPr>
      <w:r>
        <w:rPr>
          <w:rFonts w:hint="eastAsia" w:ascii="楷体_GB2312" w:hAnsi="Times New Roman" w:eastAsia="楷体_GB2312" w:cs="Mongolian Baiti"/>
          <w:b/>
          <w:bCs/>
          <w:sz w:val="32"/>
          <w:szCs w:val="32"/>
        </w:rPr>
        <w:t>（二）财政拨款收支与年初预算数对比情况</w:t>
      </w:r>
    </w:p>
    <w:p>
      <w:pPr>
        <w:adjustRightInd w:val="0"/>
        <w:snapToGrid w:val="0"/>
        <w:spacing w:line="600" w:lineRule="exact"/>
        <w:ind w:firstLine="640" w:firstLineChars="200"/>
        <w:rPr>
          <w:rFonts w:ascii="仿宋_GB2312" w:hAnsi="Times New Roman" w:eastAsia="仿宋_GB2312" w:cs="Wingdings"/>
          <w:sz w:val="32"/>
          <w:szCs w:val="32"/>
        </w:rPr>
      </w:pPr>
      <w:r>
        <w:rPr>
          <w:rFonts w:hint="eastAsia" w:ascii="仿宋_GB2312" w:hAnsi="Times New Roman" w:eastAsia="仿宋_GB2312" w:cs="Wingdings"/>
          <w:sz w:val="32"/>
          <w:szCs w:val="32"/>
        </w:rPr>
        <w:t>本部门2020年度财政拨款本年收入</w:t>
      </w:r>
      <w:r>
        <w:rPr>
          <w:rFonts w:hint="eastAsia" w:ascii="仿宋_GB2312" w:hAnsi="Times New Roman" w:eastAsia="仿宋_GB2312" w:cs="Wingdings"/>
          <w:sz w:val="32"/>
          <w:szCs w:val="32"/>
          <w:lang w:val="en-US" w:eastAsia="zh-CN"/>
        </w:rPr>
        <w:t>11778.28</w:t>
      </w:r>
      <w:r>
        <w:rPr>
          <w:rFonts w:hint="eastAsia" w:ascii="仿宋_GB2312" w:hAnsi="Times New Roman" w:eastAsia="仿宋_GB2312" w:cs="Wingdings"/>
          <w:sz w:val="32"/>
          <w:szCs w:val="32"/>
        </w:rPr>
        <w:t>万元，完成年初预算的</w:t>
      </w:r>
      <w:r>
        <w:rPr>
          <w:rFonts w:hint="eastAsia" w:ascii="仿宋_GB2312" w:hAnsi="Times New Roman" w:eastAsia="仿宋_GB2312" w:cs="Wingdings"/>
          <w:sz w:val="32"/>
          <w:szCs w:val="32"/>
          <w:lang w:val="en-US" w:eastAsia="zh-CN"/>
        </w:rPr>
        <w:t>211.86</w:t>
      </w:r>
      <w:r>
        <w:rPr>
          <w:rFonts w:hint="eastAsia" w:ascii="仿宋_GB2312" w:hAnsi="Times New Roman" w:eastAsia="仿宋_GB2312" w:cs="Wingdings"/>
          <w:sz w:val="32"/>
          <w:szCs w:val="32"/>
        </w:rPr>
        <w:t>%,比年初预算增加</w:t>
      </w:r>
      <w:r>
        <w:rPr>
          <w:rFonts w:hint="eastAsia" w:ascii="仿宋_GB2312" w:hAnsi="Times New Roman" w:eastAsia="仿宋_GB2312" w:cs="Wingdings"/>
          <w:sz w:val="32"/>
          <w:szCs w:val="32"/>
          <w:lang w:val="en-US" w:eastAsia="zh-CN"/>
        </w:rPr>
        <w:t>8001.5</w:t>
      </w:r>
      <w:r>
        <w:rPr>
          <w:rFonts w:hint="eastAsia" w:ascii="仿宋_GB2312" w:hAnsi="Times New Roman" w:eastAsia="仿宋_GB2312" w:cs="Wingdings"/>
          <w:sz w:val="32"/>
          <w:szCs w:val="32"/>
        </w:rPr>
        <w:t>万元，决算数大于预算数主要原因是</w:t>
      </w:r>
      <w:r>
        <w:rPr>
          <w:rFonts w:hint="eastAsia" w:ascii="仿宋_GB2312" w:hAnsi="Times New Roman" w:eastAsia="仿宋_GB2312" w:cs="Wingdings"/>
          <w:sz w:val="32"/>
          <w:szCs w:val="32"/>
          <w:lang w:eastAsia="zh-CN"/>
        </w:rPr>
        <w:t>智能港占地拨款增加</w:t>
      </w:r>
      <w:r>
        <w:rPr>
          <w:rFonts w:hint="eastAsia" w:ascii="仿宋_GB2312" w:hAnsi="Times New Roman" w:eastAsia="仿宋_GB2312" w:cs="Wingdings"/>
          <w:sz w:val="32"/>
          <w:szCs w:val="32"/>
        </w:rPr>
        <w:t>；本年支出</w:t>
      </w:r>
      <w:r>
        <w:rPr>
          <w:rFonts w:hint="eastAsia" w:ascii="仿宋_GB2312" w:hAnsi="Times New Roman" w:eastAsia="仿宋_GB2312" w:cs="Wingdings"/>
          <w:sz w:val="32"/>
          <w:szCs w:val="32"/>
          <w:lang w:val="en-US" w:eastAsia="zh-CN"/>
        </w:rPr>
        <w:t>11717.74</w:t>
      </w:r>
      <w:r>
        <w:rPr>
          <w:rFonts w:hint="eastAsia" w:ascii="仿宋_GB2312" w:hAnsi="Times New Roman" w:eastAsia="仿宋_GB2312" w:cs="Wingdings"/>
          <w:sz w:val="32"/>
          <w:szCs w:val="32"/>
        </w:rPr>
        <w:t>万元，完成年初预算的</w:t>
      </w:r>
      <w:r>
        <w:rPr>
          <w:rFonts w:hint="eastAsia" w:ascii="仿宋_GB2312" w:hAnsi="Times New Roman" w:eastAsia="仿宋_GB2312" w:cs="Wingdings"/>
          <w:sz w:val="32"/>
          <w:szCs w:val="32"/>
          <w:lang w:val="en-US" w:eastAsia="zh-CN"/>
        </w:rPr>
        <w:t>210.26</w:t>
      </w:r>
      <w:r>
        <w:rPr>
          <w:rFonts w:hint="eastAsia" w:ascii="仿宋_GB2312" w:hAnsi="Times New Roman" w:eastAsia="仿宋_GB2312" w:cs="Wingdings"/>
          <w:sz w:val="32"/>
          <w:szCs w:val="32"/>
        </w:rPr>
        <w:t>%,比年初预算增加</w:t>
      </w:r>
      <w:r>
        <w:rPr>
          <w:rFonts w:hint="eastAsia" w:ascii="仿宋_GB2312" w:hAnsi="Times New Roman" w:eastAsia="仿宋_GB2312" w:cs="Wingdings"/>
          <w:sz w:val="32"/>
          <w:szCs w:val="32"/>
          <w:lang w:val="en-US" w:eastAsia="zh-CN"/>
        </w:rPr>
        <w:t>7940.96</w:t>
      </w:r>
      <w:r>
        <w:rPr>
          <w:rFonts w:hint="eastAsia" w:ascii="仿宋_GB2312" w:hAnsi="Times New Roman" w:eastAsia="仿宋_GB2312" w:cs="Wingdings"/>
          <w:sz w:val="32"/>
          <w:szCs w:val="32"/>
        </w:rPr>
        <w:t>万元，决算数大于预算数主要原因是</w:t>
      </w:r>
      <w:r>
        <w:rPr>
          <w:rFonts w:hint="eastAsia" w:ascii="仿宋_GB2312" w:hAnsi="Times New Roman" w:eastAsia="仿宋_GB2312" w:cs="Wingdings"/>
          <w:sz w:val="32"/>
          <w:szCs w:val="32"/>
          <w:lang w:eastAsia="zh-CN"/>
        </w:rPr>
        <w:t>增加智能港占地支出</w:t>
      </w:r>
      <w:r>
        <w:rPr>
          <w:rFonts w:hint="eastAsia" w:ascii="仿宋_GB2312" w:hAnsi="Times New Roman" w:eastAsia="仿宋_GB2312" w:cs="Wingdings"/>
          <w:sz w:val="32"/>
          <w:szCs w:val="32"/>
        </w:rPr>
        <w:t>。具体情况如下：</w:t>
      </w:r>
    </w:p>
    <w:p>
      <w:pPr>
        <w:numPr>
          <w:ilvl w:val="0"/>
          <w:numId w:val="2"/>
        </w:numPr>
        <w:adjustRightInd w:val="0"/>
        <w:snapToGrid w:val="0"/>
        <w:spacing w:line="600" w:lineRule="exact"/>
        <w:ind w:firstLine="640" w:firstLineChars="200"/>
        <w:rPr>
          <w:rFonts w:ascii="仿宋_GB2312" w:hAnsi="Times New Roman" w:eastAsia="仿宋_GB2312" w:cs="Wingdings"/>
          <w:sz w:val="32"/>
          <w:szCs w:val="32"/>
        </w:rPr>
      </w:pPr>
      <w:r>
        <w:rPr>
          <w:rFonts w:hint="eastAsia" w:ascii="仿宋_GB2312" w:hAnsi="Times New Roman" w:eastAsia="仿宋_GB2312" w:cs="Wingdings"/>
          <w:sz w:val="32"/>
          <w:szCs w:val="32"/>
        </w:rPr>
        <w:t>一般公共预算财政拨款本年收入完成年初预算</w:t>
      </w:r>
      <w:r>
        <w:rPr>
          <w:rFonts w:hint="eastAsia" w:ascii="仿宋_GB2312" w:hAnsi="Times New Roman" w:eastAsia="仿宋_GB2312" w:cs="Wingdings"/>
          <w:sz w:val="32"/>
          <w:szCs w:val="32"/>
          <w:lang w:val="en-US" w:eastAsia="zh-CN"/>
        </w:rPr>
        <w:t>171.02</w:t>
      </w:r>
      <w:r>
        <w:rPr>
          <w:rFonts w:hint="eastAsia" w:ascii="仿宋_GB2312" w:hAnsi="Times New Roman" w:eastAsia="仿宋_GB2312" w:cs="Wingdings"/>
          <w:sz w:val="32"/>
          <w:szCs w:val="32"/>
        </w:rPr>
        <w:t>%，比年初预算增加</w:t>
      </w:r>
      <w:r>
        <w:rPr>
          <w:rFonts w:hint="eastAsia" w:ascii="仿宋_GB2312" w:hAnsi="Times New Roman" w:eastAsia="仿宋_GB2312" w:cs="Wingdings"/>
          <w:sz w:val="32"/>
          <w:szCs w:val="32"/>
          <w:lang w:val="en-US" w:eastAsia="zh-CN"/>
        </w:rPr>
        <w:t>2001.51</w:t>
      </w:r>
      <w:r>
        <w:rPr>
          <w:rFonts w:hint="eastAsia" w:ascii="仿宋_GB2312" w:hAnsi="Times New Roman" w:eastAsia="仿宋_GB2312" w:cs="Wingdings"/>
          <w:sz w:val="32"/>
          <w:szCs w:val="32"/>
        </w:rPr>
        <w:t>万元，主要是</w:t>
      </w:r>
      <w:r>
        <w:rPr>
          <w:rFonts w:hint="eastAsia" w:ascii="仿宋_GB2312" w:hAnsi="Times New Roman" w:eastAsia="仿宋_GB2312" w:cs="Wingdings"/>
          <w:sz w:val="32"/>
          <w:szCs w:val="32"/>
          <w:lang w:eastAsia="zh-CN"/>
        </w:rPr>
        <w:t>增加城乡社区</w:t>
      </w:r>
      <w:r>
        <w:rPr>
          <w:rFonts w:hint="eastAsia" w:ascii="仿宋_GB2312" w:hAnsi="Times New Roman" w:eastAsia="仿宋_GB2312" w:cs="Wingdings"/>
          <w:sz w:val="32"/>
          <w:szCs w:val="32"/>
        </w:rPr>
        <w:t>；支出完成年初预算</w:t>
      </w:r>
      <w:r>
        <w:rPr>
          <w:rFonts w:hint="eastAsia" w:ascii="仿宋_GB2312" w:hAnsi="Times New Roman" w:eastAsia="仿宋_GB2312" w:cs="Wingdings"/>
          <w:sz w:val="32"/>
          <w:szCs w:val="32"/>
          <w:lang w:val="en-US" w:eastAsia="zh-CN"/>
        </w:rPr>
        <w:t>165.91</w:t>
      </w:r>
      <w:r>
        <w:rPr>
          <w:rFonts w:hint="eastAsia" w:ascii="仿宋_GB2312" w:hAnsi="Times New Roman" w:eastAsia="仿宋_GB2312" w:cs="Wingdings"/>
          <w:sz w:val="32"/>
          <w:szCs w:val="32"/>
        </w:rPr>
        <w:t>%，比年初预算增加</w:t>
      </w:r>
      <w:r>
        <w:rPr>
          <w:rFonts w:hint="eastAsia" w:ascii="仿宋_GB2312" w:hAnsi="Times New Roman" w:eastAsia="仿宋_GB2312" w:cs="Wingdings"/>
          <w:sz w:val="32"/>
          <w:szCs w:val="32"/>
          <w:lang w:val="en-US" w:eastAsia="zh-CN"/>
        </w:rPr>
        <w:t>1940.97</w:t>
      </w:r>
      <w:r>
        <w:rPr>
          <w:rFonts w:hint="eastAsia" w:ascii="仿宋_GB2312" w:hAnsi="Times New Roman" w:eastAsia="仿宋_GB2312" w:cs="Wingdings"/>
          <w:sz w:val="32"/>
          <w:szCs w:val="32"/>
        </w:rPr>
        <w:t>万元，主要是</w:t>
      </w:r>
      <w:r>
        <w:rPr>
          <w:rFonts w:hint="eastAsia" w:ascii="仿宋_GB2312" w:hAnsi="Times New Roman" w:eastAsia="仿宋_GB2312" w:cs="Wingdings"/>
          <w:sz w:val="32"/>
          <w:szCs w:val="32"/>
          <w:lang w:eastAsia="zh-CN"/>
        </w:rPr>
        <w:t>卫生健康支出和节能环保支出及城乡社区支出的增加</w:t>
      </w:r>
      <w:r>
        <w:rPr>
          <w:rFonts w:hint="eastAsia" w:ascii="仿宋_GB2312" w:hAnsi="Times New Roman" w:eastAsia="仿宋_GB2312" w:cs="Wingdings"/>
          <w:sz w:val="32"/>
          <w:szCs w:val="32"/>
        </w:rPr>
        <w:t>。</w:t>
      </w:r>
    </w:p>
    <w:p>
      <w:pPr>
        <w:numPr>
          <w:ilvl w:val="0"/>
          <w:numId w:val="2"/>
        </w:numPr>
        <w:adjustRightInd w:val="0"/>
        <w:snapToGrid w:val="0"/>
        <w:spacing w:line="600" w:lineRule="exact"/>
        <w:ind w:firstLine="640" w:firstLineChars="200"/>
        <w:rPr>
          <w:rFonts w:ascii="仿宋_GB2312" w:hAnsi="Times New Roman" w:eastAsia="仿宋_GB2312" w:cs="Wingdings"/>
          <w:sz w:val="32"/>
          <w:szCs w:val="32"/>
        </w:rPr>
      </w:pPr>
      <w:r>
        <w:rPr>
          <w:rFonts w:hint="eastAsia" w:ascii="仿宋_GB2312" w:hAnsi="Times New Roman" w:eastAsia="仿宋_GB2312" w:cs="Wingdings"/>
          <w:sz w:val="32"/>
          <w:szCs w:val="32"/>
        </w:rPr>
        <w:t>政府性基金预算财政拨款本年收入完成年初预算</w:t>
      </w:r>
      <w:r>
        <w:rPr>
          <w:rFonts w:hint="eastAsia" w:ascii="仿宋_GB2312" w:hAnsi="Times New Roman" w:eastAsia="仿宋_GB2312" w:cs="Wingdings"/>
          <w:sz w:val="32"/>
          <w:szCs w:val="32"/>
          <w:lang w:val="en-US" w:eastAsia="zh-CN"/>
        </w:rPr>
        <w:t>230.30</w:t>
      </w:r>
      <w:r>
        <w:rPr>
          <w:rFonts w:hint="eastAsia" w:ascii="仿宋_GB2312" w:hAnsi="Times New Roman" w:eastAsia="仿宋_GB2312" w:cs="Wingdings"/>
          <w:sz w:val="32"/>
          <w:szCs w:val="32"/>
        </w:rPr>
        <w:t>%，比年初预算增加</w:t>
      </w:r>
      <w:r>
        <w:rPr>
          <w:rFonts w:hint="eastAsia" w:ascii="仿宋_GB2312" w:hAnsi="Times New Roman" w:eastAsia="仿宋_GB2312" w:cs="Wingdings"/>
          <w:sz w:val="32"/>
          <w:szCs w:val="32"/>
          <w:lang w:val="en-US" w:eastAsia="zh-CN"/>
        </w:rPr>
        <w:t>5999.19</w:t>
      </w:r>
      <w:r>
        <w:rPr>
          <w:rFonts w:hint="eastAsia" w:ascii="仿宋_GB2312" w:hAnsi="Times New Roman" w:eastAsia="仿宋_GB2312" w:cs="Wingdings"/>
          <w:sz w:val="32"/>
          <w:szCs w:val="32"/>
        </w:rPr>
        <w:t>万元，主要是</w:t>
      </w:r>
      <w:r>
        <w:rPr>
          <w:rFonts w:hint="eastAsia" w:ascii="仿宋_GB2312" w:hAnsi="Times New Roman" w:eastAsia="仿宋_GB2312" w:cs="Wingdings"/>
          <w:sz w:val="32"/>
          <w:szCs w:val="32"/>
          <w:lang w:eastAsia="zh-CN"/>
        </w:rPr>
        <w:t>增加智能港占地拨款</w:t>
      </w:r>
      <w:r>
        <w:rPr>
          <w:rFonts w:hint="eastAsia" w:ascii="仿宋_GB2312" w:hAnsi="Times New Roman" w:eastAsia="仿宋_GB2312" w:cs="Wingdings"/>
          <w:sz w:val="32"/>
          <w:szCs w:val="32"/>
        </w:rPr>
        <w:t>；支出完成年初预算</w:t>
      </w:r>
      <w:r>
        <w:rPr>
          <w:rFonts w:hint="eastAsia" w:ascii="仿宋_GB2312" w:hAnsi="Times New Roman" w:eastAsia="仿宋_GB2312" w:cs="Wingdings"/>
          <w:sz w:val="32"/>
          <w:szCs w:val="32"/>
          <w:lang w:val="en-US" w:eastAsia="zh-CN"/>
        </w:rPr>
        <w:t>230.16</w:t>
      </w:r>
      <w:r>
        <w:rPr>
          <w:rFonts w:hint="eastAsia" w:ascii="仿宋_GB2312" w:hAnsi="Times New Roman" w:eastAsia="仿宋_GB2312" w:cs="Wingdings"/>
          <w:sz w:val="32"/>
          <w:szCs w:val="32"/>
        </w:rPr>
        <w:t>%，比年初预算增加</w:t>
      </w:r>
      <w:r>
        <w:rPr>
          <w:rFonts w:hint="eastAsia" w:ascii="仿宋_GB2312" w:hAnsi="Times New Roman" w:eastAsia="仿宋_GB2312" w:cs="Wingdings"/>
          <w:sz w:val="32"/>
          <w:szCs w:val="32"/>
          <w:lang w:val="en-US" w:eastAsia="zh-CN"/>
        </w:rPr>
        <w:t>5999.99</w:t>
      </w:r>
      <w:r>
        <w:rPr>
          <w:rFonts w:hint="eastAsia" w:ascii="仿宋_GB2312" w:hAnsi="Times New Roman" w:eastAsia="仿宋_GB2312" w:cs="Wingdings"/>
          <w:sz w:val="32"/>
          <w:szCs w:val="32"/>
        </w:rPr>
        <w:t>万元，主要是</w:t>
      </w:r>
      <w:r>
        <w:rPr>
          <w:rFonts w:hint="eastAsia" w:ascii="仿宋_GB2312" w:hAnsi="Times New Roman" w:eastAsia="仿宋_GB2312" w:cs="Wingdings"/>
          <w:sz w:val="32"/>
          <w:szCs w:val="32"/>
          <w:lang w:eastAsia="zh-CN"/>
        </w:rPr>
        <w:t>智能港占地支出的增加</w:t>
      </w:r>
      <w:r>
        <w:rPr>
          <w:rFonts w:hint="eastAsia" w:ascii="仿宋_GB2312" w:hAnsi="Times New Roman" w:eastAsia="仿宋_GB2312" w:cs="Wingdings"/>
          <w:sz w:val="32"/>
          <w:szCs w:val="32"/>
        </w:rPr>
        <w:t>。</w:t>
      </w:r>
    </w:p>
    <w:p>
      <w:pPr>
        <w:adjustRightInd w:val="0"/>
        <w:snapToGrid w:val="0"/>
        <w:spacing w:line="600" w:lineRule="exact"/>
        <w:ind w:firstLine="640" w:firstLineChars="200"/>
        <w:rPr>
          <w:rFonts w:ascii="仿宋_GB2312" w:hAnsi="Times New Roman" w:eastAsia="仿宋_GB2312" w:cs="Wingdings"/>
          <w:sz w:val="32"/>
          <w:szCs w:val="32"/>
          <w:highlight w:val="yellow"/>
        </w:rPr>
      </w:pPr>
    </w:p>
    <w:p>
      <w:pPr>
        <w:adjustRightInd w:val="0"/>
        <w:snapToGrid w:val="0"/>
        <w:spacing w:line="600" w:lineRule="exact"/>
        <w:ind w:firstLine="640" w:firstLineChars="200"/>
        <w:rPr>
          <w:rFonts w:ascii="仿宋_GB2312" w:hAnsi="Times New Roman" w:eastAsia="仿宋_GB2312" w:cs="Wingdings"/>
          <w:sz w:val="32"/>
          <w:szCs w:val="32"/>
          <w:highlight w:val="yellow"/>
        </w:rPr>
      </w:pPr>
    </w:p>
    <w:p>
      <w:pPr>
        <w:adjustRightInd w:val="0"/>
        <w:snapToGrid w:val="0"/>
        <w:spacing w:line="600" w:lineRule="exact"/>
        <w:ind w:firstLine="640" w:firstLineChars="200"/>
        <w:rPr>
          <w:rFonts w:ascii="仿宋_GB2312" w:hAnsi="Times New Roman" w:eastAsia="仿宋_GB2312" w:cs="Wingdings"/>
          <w:sz w:val="32"/>
          <w:szCs w:val="32"/>
          <w:highlight w:val="yellow"/>
        </w:rPr>
      </w:pPr>
    </w:p>
    <w:p>
      <w:pPr>
        <w:adjustRightInd w:val="0"/>
        <w:snapToGrid w:val="0"/>
        <w:spacing w:line="600" w:lineRule="exact"/>
        <w:ind w:firstLine="640" w:firstLineChars="200"/>
        <w:rPr>
          <w:rFonts w:ascii="仿宋_GB2312" w:hAnsi="Times New Roman" w:eastAsia="仿宋_GB2312" w:cs="Wingdings"/>
          <w:sz w:val="32"/>
          <w:szCs w:val="32"/>
          <w:highlight w:val="yellow"/>
        </w:rPr>
      </w:pPr>
    </w:p>
    <w:p>
      <w:pPr>
        <w:adjustRightInd w:val="0"/>
        <w:snapToGrid w:val="0"/>
        <w:spacing w:line="600" w:lineRule="exact"/>
        <w:ind w:firstLine="640" w:firstLineChars="200"/>
        <w:rPr>
          <w:rFonts w:ascii="仿宋_GB2312" w:hAnsi="Times New Roman" w:eastAsia="仿宋_GB2312" w:cs="Wingdings"/>
          <w:sz w:val="32"/>
          <w:szCs w:val="32"/>
          <w:highlight w:val="yellow"/>
        </w:rPr>
      </w:pPr>
    </w:p>
    <w:p>
      <w:pPr>
        <w:adjustRightInd w:val="0"/>
        <w:snapToGrid w:val="0"/>
        <w:spacing w:line="600" w:lineRule="exact"/>
        <w:ind w:firstLine="420" w:firstLineChars="200"/>
        <w:rPr>
          <w:rFonts w:ascii="仿宋_GB2312" w:hAnsi="Times New Roman" w:eastAsia="仿宋_GB2312" w:cs="Wingdings"/>
          <w:sz w:val="32"/>
          <w:szCs w:val="32"/>
          <w:highlight w:val="yellow"/>
        </w:rPr>
      </w:pPr>
      <w:r>
        <w:drawing>
          <wp:anchor distT="0" distB="0" distL="114300" distR="114300" simplePos="0" relativeHeight="251671552" behindDoc="0" locked="0" layoutInCell="1" allowOverlap="1">
            <wp:simplePos x="0" y="0"/>
            <wp:positionH relativeFrom="column">
              <wp:posOffset>271145</wp:posOffset>
            </wp:positionH>
            <wp:positionV relativeFrom="paragraph">
              <wp:posOffset>-2453005</wp:posOffset>
            </wp:positionV>
            <wp:extent cx="4572000" cy="2743200"/>
            <wp:effectExtent l="4445" t="4445" r="14605" b="14605"/>
            <wp:wrapNone/>
            <wp:docPr id="8"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pPr>
        <w:adjustRightInd w:val="0"/>
        <w:snapToGrid w:val="0"/>
        <w:spacing w:line="600" w:lineRule="exact"/>
        <w:ind w:firstLine="640" w:firstLineChars="200"/>
        <w:rPr>
          <w:rFonts w:ascii="仿宋_GB2312" w:hAnsi="Times New Roman" w:eastAsia="仿宋_GB2312" w:cs="Wingdings"/>
          <w:sz w:val="32"/>
          <w:szCs w:val="32"/>
          <w:highlight w:val="yellow"/>
        </w:rPr>
      </w:pPr>
    </w:p>
    <w:p>
      <w:pPr>
        <w:numPr>
          <w:ilvl w:val="0"/>
          <w:numId w:val="3"/>
        </w:numPr>
        <w:adjustRightInd w:val="0"/>
        <w:snapToGrid w:val="0"/>
        <w:spacing w:line="600" w:lineRule="exact"/>
        <w:ind w:left="420" w:leftChars="200"/>
        <w:rPr>
          <w:rFonts w:ascii="楷体_GB2312" w:hAnsi="Times New Roman" w:eastAsia="楷体_GB2312" w:cs="Mongolian Baiti"/>
          <w:b/>
          <w:bCs/>
          <w:sz w:val="32"/>
          <w:szCs w:val="32"/>
        </w:rPr>
      </w:pPr>
      <w:r>
        <w:rPr>
          <w:rFonts w:hint="eastAsia" w:ascii="楷体_GB2312" w:hAnsi="Times New Roman" w:eastAsia="楷体_GB2312" w:cs="Mongolian Baiti"/>
          <w:b/>
          <w:bCs/>
          <w:sz w:val="32"/>
          <w:szCs w:val="32"/>
        </w:rPr>
        <w:t>财政拨款支出决算结构情况。</w:t>
      </w:r>
    </w:p>
    <w:p>
      <w:pPr>
        <w:adjustRightInd w:val="0"/>
        <w:snapToGrid w:val="0"/>
        <w:spacing w:line="600" w:lineRule="exact"/>
        <w:ind w:firstLine="640" w:firstLineChars="200"/>
        <w:rPr>
          <w:rFonts w:ascii="仿宋_GB2312" w:hAnsi="Times New Roman" w:eastAsia="仿宋_GB2312" w:cs="Wingdings"/>
          <w:sz w:val="32"/>
          <w:szCs w:val="32"/>
        </w:rPr>
      </w:pPr>
      <w:r>
        <w:rPr>
          <w:rFonts w:hint="eastAsia" w:ascii="仿宋_GB2312" w:hAnsi="Times New Roman" w:eastAsia="仿宋_GB2312" w:cs="Wingdings"/>
          <w:sz w:val="32"/>
          <w:szCs w:val="32"/>
        </w:rPr>
        <w:t>2020 年度财政拨款支出</w:t>
      </w:r>
      <w:r>
        <w:rPr>
          <w:rFonts w:hint="eastAsia" w:ascii="仿宋_GB2312" w:hAnsi="Times New Roman" w:eastAsia="仿宋_GB2312" w:cs="Wingdings"/>
          <w:sz w:val="32"/>
          <w:szCs w:val="32"/>
          <w:lang w:val="en-US" w:eastAsia="zh-CN"/>
        </w:rPr>
        <w:t>11717.74</w:t>
      </w:r>
      <w:r>
        <w:rPr>
          <w:rFonts w:hint="eastAsia" w:ascii="仿宋_GB2312" w:hAnsi="Times New Roman" w:eastAsia="仿宋_GB2312" w:cs="Wingdings"/>
          <w:sz w:val="32"/>
          <w:szCs w:val="32"/>
        </w:rPr>
        <w:t>万元，主要用于以下方面（按本部门支出的功能分类大类进行列举，可对各类支出用途进行概括说明）：比如：一般公共服务（类）支出</w:t>
      </w:r>
      <w:r>
        <w:rPr>
          <w:rFonts w:hint="eastAsia" w:ascii="仿宋_GB2312" w:hAnsi="Times New Roman" w:eastAsia="仿宋_GB2312" w:cs="Wingdings"/>
          <w:sz w:val="32"/>
          <w:szCs w:val="32"/>
          <w:lang w:val="en-US" w:eastAsia="zh-CN"/>
        </w:rPr>
        <w:t>620.81</w:t>
      </w:r>
      <w:r>
        <w:rPr>
          <w:rFonts w:hint="eastAsia" w:ascii="仿宋_GB2312" w:hAnsi="Times New Roman" w:eastAsia="仿宋_GB2312" w:cs="Wingdings"/>
          <w:sz w:val="32"/>
          <w:szCs w:val="32"/>
        </w:rPr>
        <w:t>万元，占</w:t>
      </w:r>
      <w:r>
        <w:rPr>
          <w:rFonts w:hint="eastAsia" w:ascii="仿宋_GB2312" w:hAnsi="Times New Roman" w:eastAsia="仿宋_GB2312" w:cs="Wingdings"/>
          <w:sz w:val="32"/>
          <w:szCs w:val="32"/>
          <w:lang w:val="en-US" w:eastAsia="zh-CN"/>
        </w:rPr>
        <w:t>5.29</w:t>
      </w:r>
      <w:r>
        <w:rPr>
          <w:rFonts w:hint="eastAsia" w:ascii="仿宋_GB2312" w:hAnsi="Times New Roman" w:eastAsia="仿宋_GB2312" w:cs="Wingdings"/>
          <w:sz w:val="32"/>
          <w:szCs w:val="32"/>
        </w:rPr>
        <w:t>%，；公共安全类（类）支出</w:t>
      </w:r>
      <w:r>
        <w:rPr>
          <w:rFonts w:hint="eastAsia" w:ascii="仿宋_GB2312" w:hAnsi="Times New Roman" w:eastAsia="仿宋_GB2312" w:cs="Wingdings"/>
          <w:sz w:val="32"/>
          <w:szCs w:val="32"/>
          <w:lang w:val="en-US" w:eastAsia="zh-CN"/>
        </w:rPr>
        <w:t>0</w:t>
      </w:r>
      <w:r>
        <w:rPr>
          <w:rFonts w:hint="eastAsia" w:ascii="仿宋_GB2312" w:hAnsi="Times New Roman" w:eastAsia="仿宋_GB2312" w:cs="Wingdings"/>
          <w:sz w:val="32"/>
          <w:szCs w:val="32"/>
        </w:rPr>
        <w:t>万元，占</w:t>
      </w:r>
      <w:r>
        <w:rPr>
          <w:rFonts w:hint="eastAsia" w:ascii="仿宋_GB2312" w:hAnsi="Times New Roman" w:eastAsia="仿宋_GB2312" w:cs="Wingdings"/>
          <w:sz w:val="32"/>
          <w:szCs w:val="32"/>
          <w:lang w:val="en-US" w:eastAsia="zh-CN"/>
        </w:rPr>
        <w:t>0</w:t>
      </w:r>
      <w:r>
        <w:rPr>
          <w:rFonts w:hint="eastAsia" w:ascii="仿宋_GB2312" w:hAnsi="Times New Roman" w:eastAsia="仿宋_GB2312" w:cs="Wingdings"/>
          <w:sz w:val="32"/>
          <w:szCs w:val="32"/>
        </w:rPr>
        <w:t>%；教育（类）支出</w:t>
      </w:r>
      <w:r>
        <w:rPr>
          <w:rFonts w:hint="eastAsia" w:ascii="仿宋_GB2312" w:hAnsi="Times New Roman" w:eastAsia="仿宋_GB2312" w:cs="Wingdings"/>
          <w:sz w:val="32"/>
          <w:szCs w:val="32"/>
          <w:lang w:val="en-US" w:eastAsia="zh-CN"/>
        </w:rPr>
        <w:t>0</w:t>
      </w:r>
      <w:r>
        <w:rPr>
          <w:rFonts w:hint="eastAsia" w:ascii="仿宋_GB2312" w:hAnsi="Times New Roman" w:eastAsia="仿宋_GB2312" w:cs="Wingdings"/>
          <w:sz w:val="32"/>
          <w:szCs w:val="32"/>
        </w:rPr>
        <w:t>万元，占</w:t>
      </w:r>
      <w:r>
        <w:rPr>
          <w:rFonts w:hint="eastAsia" w:ascii="仿宋_GB2312" w:hAnsi="Times New Roman" w:eastAsia="仿宋_GB2312" w:cs="Wingdings"/>
          <w:sz w:val="32"/>
          <w:szCs w:val="32"/>
          <w:lang w:val="en-US" w:eastAsia="zh-CN"/>
        </w:rPr>
        <w:t>0</w:t>
      </w:r>
      <w:r>
        <w:rPr>
          <w:rFonts w:hint="eastAsia" w:ascii="仿宋_GB2312" w:hAnsi="Times New Roman" w:eastAsia="仿宋_GB2312" w:cs="Wingdings"/>
          <w:sz w:val="32"/>
          <w:szCs w:val="32"/>
        </w:rPr>
        <w:t>%；科学技术（类）支出</w:t>
      </w:r>
      <w:r>
        <w:rPr>
          <w:rFonts w:hint="eastAsia" w:ascii="仿宋_GB2312" w:hAnsi="Times New Roman" w:eastAsia="仿宋_GB2312" w:cs="Wingdings"/>
          <w:sz w:val="32"/>
          <w:szCs w:val="32"/>
          <w:lang w:val="en-US" w:eastAsia="zh-CN"/>
        </w:rPr>
        <w:t>0</w:t>
      </w:r>
      <w:r>
        <w:rPr>
          <w:rFonts w:hint="eastAsia" w:ascii="仿宋_GB2312" w:hAnsi="Times New Roman" w:eastAsia="仿宋_GB2312" w:cs="Wingdings"/>
          <w:sz w:val="32"/>
          <w:szCs w:val="32"/>
        </w:rPr>
        <w:t xml:space="preserve">万元，占 </w:t>
      </w:r>
      <w:r>
        <w:rPr>
          <w:rFonts w:hint="eastAsia" w:ascii="仿宋_GB2312" w:hAnsi="Times New Roman" w:eastAsia="仿宋_GB2312" w:cs="Wingdings"/>
          <w:sz w:val="32"/>
          <w:szCs w:val="32"/>
          <w:lang w:val="en-US" w:eastAsia="zh-CN"/>
        </w:rPr>
        <w:t>0</w:t>
      </w:r>
      <w:r>
        <w:rPr>
          <w:rFonts w:hint="eastAsia" w:ascii="仿宋_GB2312" w:hAnsi="Times New Roman" w:eastAsia="仿宋_GB2312" w:cs="Wingdings"/>
          <w:sz w:val="32"/>
          <w:szCs w:val="32"/>
        </w:rPr>
        <w:t xml:space="preserve">%；社会保障和就业（类）支出 </w:t>
      </w:r>
      <w:r>
        <w:rPr>
          <w:rFonts w:hint="eastAsia" w:ascii="仿宋_GB2312" w:hAnsi="Times New Roman" w:eastAsia="仿宋_GB2312" w:cs="Wingdings"/>
          <w:sz w:val="32"/>
          <w:szCs w:val="32"/>
          <w:lang w:val="en-US" w:eastAsia="zh-CN"/>
        </w:rPr>
        <w:t>76.62</w:t>
      </w:r>
      <w:r>
        <w:rPr>
          <w:rFonts w:hint="eastAsia" w:ascii="仿宋_GB2312" w:hAnsi="Times New Roman" w:eastAsia="仿宋_GB2312" w:cs="Wingdings"/>
          <w:sz w:val="32"/>
          <w:szCs w:val="32"/>
        </w:rPr>
        <w:t>万元，占</w:t>
      </w:r>
      <w:r>
        <w:rPr>
          <w:rFonts w:hint="eastAsia" w:ascii="仿宋_GB2312" w:hAnsi="Times New Roman" w:eastAsia="仿宋_GB2312" w:cs="Wingdings"/>
          <w:sz w:val="32"/>
          <w:szCs w:val="32"/>
          <w:lang w:val="en-US" w:eastAsia="zh-CN"/>
        </w:rPr>
        <w:t>0.6</w:t>
      </w:r>
      <w:r>
        <w:rPr>
          <w:rFonts w:hint="eastAsia" w:ascii="仿宋_GB2312" w:hAnsi="Times New Roman" w:eastAsia="仿宋_GB2312" w:cs="Wingdings"/>
          <w:sz w:val="32"/>
          <w:szCs w:val="32"/>
        </w:rPr>
        <w:t>%；</w:t>
      </w:r>
      <w:r>
        <w:rPr>
          <w:rFonts w:hint="eastAsia" w:ascii="仿宋_GB2312" w:hAnsi="Times New Roman" w:eastAsia="仿宋_GB2312" w:cs="Wingdings"/>
          <w:sz w:val="32"/>
          <w:szCs w:val="32"/>
          <w:lang w:eastAsia="zh-CN"/>
        </w:rPr>
        <w:t>卫生健康支出</w:t>
      </w:r>
      <w:r>
        <w:rPr>
          <w:rFonts w:hint="eastAsia" w:ascii="仿宋_GB2312" w:hAnsi="Times New Roman" w:eastAsia="仿宋_GB2312" w:cs="Wingdings"/>
          <w:sz w:val="32"/>
          <w:szCs w:val="32"/>
          <w:lang w:val="en-US" w:eastAsia="zh-CN"/>
        </w:rPr>
        <w:t>93.20万元，占0.7%；节能环保支出94.78万元，占0.8%；城乡社区支出10629.04万元，占90.71%；农林水支出147.64万元，占1.26%；</w:t>
      </w:r>
      <w:r>
        <w:rPr>
          <w:rFonts w:hint="eastAsia" w:ascii="仿宋_GB2312" w:hAnsi="Times New Roman" w:eastAsia="仿宋_GB2312" w:cs="Wingdings"/>
          <w:sz w:val="32"/>
          <w:szCs w:val="32"/>
        </w:rPr>
        <w:t>住房保障（类）支出</w:t>
      </w:r>
      <w:r>
        <w:rPr>
          <w:rFonts w:hint="eastAsia" w:ascii="仿宋_GB2312" w:hAnsi="Times New Roman" w:eastAsia="仿宋_GB2312" w:cs="Wingdings"/>
          <w:sz w:val="32"/>
          <w:szCs w:val="32"/>
          <w:lang w:val="en-US" w:eastAsia="zh-CN"/>
        </w:rPr>
        <w:t>55.65</w:t>
      </w:r>
      <w:r>
        <w:rPr>
          <w:rFonts w:hint="eastAsia" w:ascii="仿宋_GB2312" w:hAnsi="Times New Roman" w:eastAsia="仿宋_GB2312" w:cs="Wingdings"/>
          <w:sz w:val="32"/>
          <w:szCs w:val="32"/>
        </w:rPr>
        <w:t xml:space="preserve">万元，占 </w:t>
      </w:r>
      <w:r>
        <w:rPr>
          <w:rFonts w:hint="eastAsia" w:ascii="仿宋_GB2312" w:hAnsi="Times New Roman" w:eastAsia="仿宋_GB2312" w:cs="Wingdings"/>
          <w:sz w:val="32"/>
          <w:szCs w:val="32"/>
          <w:lang w:val="en-US" w:eastAsia="zh-CN"/>
        </w:rPr>
        <w:t>0.4</w:t>
      </w:r>
      <w:r>
        <w:rPr>
          <w:rFonts w:hint="eastAsia" w:ascii="仿宋_GB2312" w:hAnsi="Times New Roman" w:eastAsia="仿宋_GB2312" w:cs="Wingdings"/>
          <w:sz w:val="32"/>
          <w:szCs w:val="32"/>
        </w:rPr>
        <w:t>%。</w:t>
      </w:r>
    </w:p>
    <w:p>
      <w:pPr>
        <w:adjustRightInd w:val="0"/>
        <w:snapToGrid w:val="0"/>
        <w:spacing w:line="600" w:lineRule="exact"/>
        <w:rPr>
          <w:rFonts w:hint="eastAsia" w:ascii="楷体_GB2312" w:hAnsi="Times New Roman" w:eastAsia="楷体_GB2312" w:cs="Mongolian Baiti"/>
          <w:b w:val="0"/>
          <w:bCs w:val="0"/>
          <w:sz w:val="32"/>
          <w:szCs w:val="32"/>
          <w:lang w:eastAsia="zh-CN"/>
        </w:rPr>
      </w:pPr>
      <w:r>
        <w:rPr>
          <w:rFonts w:hint="eastAsia" w:ascii="楷体_GB2312" w:hAnsi="Times New Roman" w:eastAsia="楷体_GB2312" w:cs="Mongolian Baiti"/>
          <w:b w:val="0"/>
          <w:bCs w:val="0"/>
          <w:sz w:val="32"/>
          <w:szCs w:val="32"/>
          <w:lang w:eastAsia="zh-CN"/>
        </w:rPr>
        <w:t>如图所示：</w:t>
      </w:r>
    </w:p>
    <w:p>
      <w:pPr>
        <w:adjustRightInd w:val="0"/>
        <w:snapToGrid w:val="0"/>
        <w:spacing w:line="600" w:lineRule="exact"/>
        <w:rPr>
          <w:rFonts w:ascii="楷体_GB2312" w:hAnsi="Times New Roman" w:eastAsia="楷体_GB2312" w:cs="Mongolian Baiti"/>
          <w:b/>
          <w:bCs/>
          <w:sz w:val="32"/>
          <w:szCs w:val="32"/>
        </w:rPr>
      </w:pPr>
    </w:p>
    <w:p>
      <w:pPr>
        <w:adjustRightInd w:val="0"/>
        <w:snapToGrid w:val="0"/>
        <w:spacing w:line="600" w:lineRule="exact"/>
        <w:rPr>
          <w:rFonts w:ascii="楷体_GB2312" w:hAnsi="Times New Roman" w:eastAsia="楷体_GB2312" w:cs="Mongolian Baiti"/>
          <w:b/>
          <w:bCs/>
          <w:sz w:val="32"/>
          <w:szCs w:val="32"/>
        </w:rPr>
      </w:pPr>
    </w:p>
    <w:p>
      <w:pPr>
        <w:adjustRightInd w:val="0"/>
        <w:snapToGrid w:val="0"/>
        <w:spacing w:line="600" w:lineRule="exact"/>
        <w:rPr>
          <w:rFonts w:ascii="楷体_GB2312" w:hAnsi="Times New Roman" w:eastAsia="楷体_GB2312" w:cs="Mongolian Baiti"/>
          <w:b/>
          <w:bCs/>
          <w:sz w:val="32"/>
          <w:szCs w:val="32"/>
        </w:rPr>
      </w:pPr>
    </w:p>
    <w:p>
      <w:pPr>
        <w:adjustRightInd w:val="0"/>
        <w:snapToGrid w:val="0"/>
        <w:spacing w:line="600" w:lineRule="exact"/>
        <w:rPr>
          <w:rFonts w:ascii="楷体_GB2312" w:hAnsi="Times New Roman" w:eastAsia="楷体_GB2312" w:cs="Mongolian Baiti"/>
          <w:b/>
          <w:bCs/>
          <w:sz w:val="32"/>
          <w:szCs w:val="32"/>
        </w:rPr>
      </w:pPr>
      <w:r>
        <w:drawing>
          <wp:anchor distT="0" distB="0" distL="114300" distR="114300" simplePos="0" relativeHeight="251672576" behindDoc="0" locked="0" layoutInCell="1" allowOverlap="1">
            <wp:simplePos x="0" y="0"/>
            <wp:positionH relativeFrom="column">
              <wp:posOffset>442595</wp:posOffset>
            </wp:positionH>
            <wp:positionV relativeFrom="paragraph">
              <wp:posOffset>-1304290</wp:posOffset>
            </wp:positionV>
            <wp:extent cx="4543425" cy="3286760"/>
            <wp:effectExtent l="4445" t="4445" r="5080" b="23495"/>
            <wp:wrapNone/>
            <wp:docPr id="104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pPr>
        <w:adjustRightInd w:val="0"/>
        <w:snapToGrid w:val="0"/>
        <w:spacing w:line="600" w:lineRule="exact"/>
        <w:rPr>
          <w:rFonts w:ascii="楷体_GB2312" w:hAnsi="Times New Roman" w:eastAsia="楷体_GB2312" w:cs="Mongolian Baiti"/>
          <w:b/>
          <w:bCs/>
          <w:sz w:val="32"/>
          <w:szCs w:val="32"/>
        </w:rPr>
      </w:pPr>
    </w:p>
    <w:p>
      <w:pPr>
        <w:adjustRightInd w:val="0"/>
        <w:snapToGrid w:val="0"/>
        <w:spacing w:line="600" w:lineRule="exact"/>
        <w:rPr>
          <w:rFonts w:ascii="楷体_GB2312" w:hAnsi="Times New Roman" w:eastAsia="楷体_GB2312" w:cs="Mongolian Baiti"/>
          <w:b/>
          <w:bCs/>
          <w:sz w:val="32"/>
          <w:szCs w:val="32"/>
        </w:rPr>
      </w:pPr>
    </w:p>
    <w:p>
      <w:pPr>
        <w:adjustRightInd w:val="0"/>
        <w:snapToGrid w:val="0"/>
        <w:spacing w:line="600" w:lineRule="exact"/>
        <w:rPr>
          <w:rFonts w:ascii="楷体_GB2312" w:hAnsi="Times New Roman" w:eastAsia="楷体_GB2312" w:cs="Mongolian Baiti"/>
          <w:b/>
          <w:bCs/>
          <w:sz w:val="32"/>
          <w:szCs w:val="32"/>
        </w:rPr>
      </w:pPr>
    </w:p>
    <w:p>
      <w:pPr>
        <w:adjustRightInd w:val="0"/>
        <w:snapToGrid w:val="0"/>
        <w:spacing w:line="600" w:lineRule="exact"/>
        <w:rPr>
          <w:rFonts w:ascii="楷体_GB2312" w:hAnsi="Times New Roman" w:eastAsia="楷体_GB2312" w:cs="Mongolian Baiti"/>
          <w:b/>
          <w:bCs/>
          <w:sz w:val="32"/>
          <w:szCs w:val="32"/>
        </w:rPr>
      </w:pPr>
    </w:p>
    <w:p>
      <w:pPr>
        <w:adjustRightInd w:val="0"/>
        <w:snapToGrid w:val="0"/>
        <w:spacing w:line="600" w:lineRule="exact"/>
        <w:rPr>
          <w:rFonts w:ascii="楷体_GB2312" w:hAnsi="Times New Roman" w:eastAsia="楷体_GB2312" w:cs="Mongolian Baiti"/>
          <w:b/>
          <w:bCs/>
          <w:sz w:val="32"/>
          <w:szCs w:val="32"/>
        </w:rPr>
      </w:pPr>
      <w:r>
        <w:rPr>
          <w:sz w:val="32"/>
        </w:rPr>
        <mc:AlternateContent>
          <mc:Choice Requires="wps">
            <w:drawing>
              <wp:anchor distT="0" distB="0" distL="114300" distR="114300" simplePos="0" relativeHeight="251662336" behindDoc="1" locked="0" layoutInCell="1" allowOverlap="1">
                <wp:simplePos x="0" y="0"/>
                <wp:positionH relativeFrom="column">
                  <wp:posOffset>828675</wp:posOffset>
                </wp:positionH>
                <wp:positionV relativeFrom="paragraph">
                  <wp:posOffset>347980</wp:posOffset>
                </wp:positionV>
                <wp:extent cx="3576320" cy="391795"/>
                <wp:effectExtent l="0" t="0" r="5080" b="8255"/>
                <wp:wrapNone/>
                <wp:docPr id="164" name="文本框 32"/>
                <wp:cNvGraphicFramePr/>
                <a:graphic xmlns:a="http://schemas.openxmlformats.org/drawingml/2006/main">
                  <a:graphicData uri="http://schemas.microsoft.com/office/word/2010/wordprocessingShape">
                    <wps:wsp>
                      <wps:cNvSpPr txBox="1"/>
                      <wps:spPr>
                        <a:xfrm>
                          <a:off x="1953260" y="9837420"/>
                          <a:ext cx="3576320" cy="391795"/>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adjustRightInd w:val="0"/>
                              <w:snapToGrid w:val="0"/>
                              <w:spacing w:after="160" w:line="560" w:lineRule="exact"/>
                              <w:jc w:val="center"/>
                              <w:rPr>
                                <w:rFonts w:ascii="仿宋_GB2312" w:hAnsi="Times New Roman" w:eastAsia="仿宋_GB2312" w:cs="Wingdings"/>
                                <w:sz w:val="28"/>
                                <w:szCs w:val="28"/>
                              </w:rPr>
                            </w:pPr>
                            <w:r>
                              <w:rPr>
                                <w:rFonts w:hint="eastAsia" w:ascii="仿宋_GB2312" w:hAnsi="Times New Roman" w:eastAsia="仿宋_GB2312" w:cs="Wingdings"/>
                                <w:sz w:val="28"/>
                                <w:szCs w:val="28"/>
                              </w:rPr>
                              <w:t>图：财政拨款支出决算结构（按功能分类）</w:t>
                            </w:r>
                          </w:p>
                          <w:p>
                            <w:pPr>
                              <w:spacing w:after="160" w:line="480" w:lineRule="auto"/>
                              <w:rPr>
                                <w:rFonts w:ascii="Times New Roman" w:hAnsi="Times New Roman" w:eastAsia="宋体" w:cs="Times New Roman"/>
                                <w:sz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32" o:spid="_x0000_s1026" o:spt="202" type="#_x0000_t202" style="position:absolute;left:0pt;margin-left:65.25pt;margin-top:27.4pt;height:30.85pt;width:281.6pt;z-index:-251654144;mso-width-relative:page;mso-height-relative:page;" fillcolor="#FFFFFF" filled="t" stroked="f" coordsize="21600,21600" o:gfxdata="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o3aaAdQAAAAKAQAADwAAAAAAAAABACAAAAAiAAAAZHJzL2Rvd25yZXYueG1sUEsBAhQAFAAAAAgA&#10;h07iQO0DxsRiAgAArAQAAA4AAAAAAAAAAQAgAAAAIwEAAGRycy9lMm9Eb2MueG1sUEsFBgAAAAAG&#10;AAYAWQEAAPcFAAAAAA==&#10;">
                <v:fill on="t" focussize="0,0"/>
                <v:stroke on="f" weight="0.5pt"/>
                <v:imagedata o:title=""/>
                <o:lock v:ext="edit" aspectratio="f"/>
                <v:textbox>
                  <w:txbxContent>
                    <w:p>
                      <w:pPr>
                        <w:adjustRightInd w:val="0"/>
                        <w:snapToGrid w:val="0"/>
                        <w:spacing w:after="160" w:line="560" w:lineRule="exact"/>
                        <w:jc w:val="center"/>
                        <w:rPr>
                          <w:rFonts w:ascii="仿宋_GB2312" w:hAnsi="Times New Roman" w:eastAsia="仿宋_GB2312" w:cs="Wingdings"/>
                          <w:sz w:val="28"/>
                          <w:szCs w:val="28"/>
                        </w:rPr>
                      </w:pPr>
                      <w:r>
                        <w:rPr>
                          <w:rFonts w:hint="eastAsia" w:ascii="仿宋_GB2312" w:hAnsi="Times New Roman" w:eastAsia="仿宋_GB2312" w:cs="Wingdings"/>
                          <w:sz w:val="28"/>
                          <w:szCs w:val="28"/>
                        </w:rPr>
                        <w:t>图：财政拨款支出决算结构（按功能分类）</w:t>
                      </w:r>
                    </w:p>
                    <w:p>
                      <w:pPr>
                        <w:spacing w:after="160" w:line="480" w:lineRule="auto"/>
                        <w:rPr>
                          <w:rFonts w:ascii="Times New Roman" w:hAnsi="Times New Roman" w:eastAsia="宋体" w:cs="Times New Roman"/>
                          <w:sz w:val="20"/>
                        </w:rPr>
                      </w:pPr>
                    </w:p>
                  </w:txbxContent>
                </v:textbox>
              </v:shape>
            </w:pict>
          </mc:Fallback>
        </mc:AlternateContent>
      </w:r>
    </w:p>
    <w:p>
      <w:pPr>
        <w:adjustRightInd w:val="0"/>
        <w:snapToGrid w:val="0"/>
        <w:spacing w:line="600" w:lineRule="exact"/>
        <w:rPr>
          <w:rFonts w:ascii="楷体_GB2312" w:hAnsi="Times New Roman" w:eastAsia="楷体_GB2312" w:cs="Mongolian Baiti"/>
          <w:b/>
          <w:bCs/>
          <w:sz w:val="32"/>
          <w:szCs w:val="32"/>
        </w:rPr>
      </w:pPr>
    </w:p>
    <w:p>
      <w:pPr>
        <w:adjustRightInd w:val="0"/>
        <w:snapToGrid w:val="0"/>
        <w:spacing w:line="600" w:lineRule="exact"/>
        <w:rPr>
          <w:rFonts w:ascii="楷体_GB2312" w:hAnsi="Times New Roman" w:eastAsia="楷体_GB2312" w:cs="Mongolian Baiti"/>
          <w:b/>
          <w:bCs/>
          <w:sz w:val="32"/>
          <w:szCs w:val="32"/>
        </w:rPr>
      </w:pPr>
    </w:p>
    <w:p>
      <w:pPr>
        <w:numPr>
          <w:ilvl w:val="0"/>
          <w:numId w:val="3"/>
        </w:numPr>
        <w:adjustRightInd w:val="0"/>
        <w:snapToGrid w:val="0"/>
        <w:spacing w:line="600" w:lineRule="exact"/>
        <w:ind w:left="420" w:leftChars="200" w:firstLine="0" w:firstLineChars="0"/>
        <w:rPr>
          <w:rFonts w:hint="eastAsia" w:ascii="楷体_GB2312" w:hAnsi="Times New Roman" w:eastAsia="楷体_GB2312" w:cs="Mongolian Baiti"/>
          <w:b/>
          <w:bCs/>
          <w:sz w:val="32"/>
          <w:szCs w:val="32"/>
        </w:rPr>
      </w:pPr>
      <w:r>
        <w:rPr>
          <w:rFonts w:hint="eastAsia" w:ascii="楷体_GB2312" w:hAnsi="Times New Roman" w:eastAsia="楷体_GB2312" w:cs="Mongolian Baiti"/>
          <w:b/>
          <w:bCs/>
          <w:sz w:val="32"/>
          <w:szCs w:val="32"/>
        </w:rPr>
        <w:t>一般公共预算基本支出决算情况说明</w:t>
      </w:r>
    </w:p>
    <w:p>
      <w:pPr>
        <w:adjustRightInd w:val="0"/>
        <w:snapToGrid w:val="0"/>
        <w:spacing w:line="600" w:lineRule="exact"/>
        <w:ind w:firstLine="640" w:firstLineChars="200"/>
        <w:rPr>
          <w:rFonts w:ascii="仿宋_GB2312" w:hAnsi="Times New Roman" w:eastAsia="仿宋_GB2312" w:cs="Wingdings"/>
          <w:sz w:val="32"/>
          <w:szCs w:val="32"/>
        </w:rPr>
      </w:pPr>
      <w:r>
        <w:rPr>
          <w:rFonts w:hint="eastAsia" w:ascii="仿宋_GB2312" w:hAnsi="Times New Roman" w:eastAsia="仿宋_GB2312" w:cs="Wingdings"/>
          <w:sz w:val="32"/>
          <w:szCs w:val="32"/>
        </w:rPr>
        <w:t>2020 年度财政拨款基本支出</w:t>
      </w:r>
      <w:r>
        <w:rPr>
          <w:rFonts w:hint="eastAsia" w:ascii="仿宋_GB2312" w:hAnsi="Times New Roman" w:eastAsia="仿宋_GB2312" w:cs="Wingdings"/>
          <w:sz w:val="32"/>
          <w:szCs w:val="32"/>
          <w:lang w:val="en-US" w:eastAsia="zh-CN"/>
        </w:rPr>
        <w:t>779.53</w:t>
      </w:r>
      <w:r>
        <w:rPr>
          <w:rFonts w:hint="eastAsia" w:ascii="仿宋_GB2312" w:hAnsi="Times New Roman" w:eastAsia="仿宋_GB2312" w:cs="Wingdings"/>
          <w:sz w:val="32"/>
          <w:szCs w:val="32"/>
        </w:rPr>
        <w:t xml:space="preserve">万元，其中：人员经费 </w:t>
      </w:r>
      <w:r>
        <w:rPr>
          <w:rFonts w:hint="eastAsia" w:ascii="仿宋_GB2312" w:hAnsi="Times New Roman" w:eastAsia="仿宋_GB2312" w:cs="Wingdings"/>
          <w:sz w:val="32"/>
          <w:szCs w:val="32"/>
          <w:lang w:val="en-US" w:eastAsia="zh-CN"/>
        </w:rPr>
        <w:t>507.04</w:t>
      </w:r>
      <w:r>
        <w:rPr>
          <w:rFonts w:hint="eastAsia" w:ascii="仿宋_GB2312" w:hAnsi="Times New Roman" w:eastAsia="仿宋_GB2312" w:cs="Wingdings"/>
          <w:sz w:val="32"/>
          <w:szCs w:val="32"/>
        </w:rPr>
        <w:t>万元，主要包括基本工资、津贴补贴、奖金、伙食补助费、绩效工资、机关事业单位基本养老保险缴费、职业年金缴费、职工基本医疗保险缴费、公务员医疗补助缴费、住房公积金、医疗费、其他社会保障缴费、其他工资福利支出、离休费、退休费、抚恤金、生活补助、医疗费补助、奖励金、其他对个人和家庭的补助支出；公用经费</w:t>
      </w:r>
      <w:r>
        <w:rPr>
          <w:rFonts w:hint="eastAsia" w:ascii="仿宋_GB2312" w:hAnsi="Times New Roman" w:eastAsia="仿宋_GB2312" w:cs="Wingdings"/>
          <w:sz w:val="32"/>
          <w:szCs w:val="32"/>
          <w:lang w:val="en-US" w:eastAsia="zh-CN"/>
        </w:rPr>
        <w:t>272.50</w:t>
      </w:r>
      <w:r>
        <w:rPr>
          <w:rFonts w:hint="eastAsia" w:ascii="仿宋_GB2312" w:hAnsi="Times New Roman" w:eastAsia="仿宋_GB2312" w:cs="Wingdings"/>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pPr>
        <w:keepNext/>
        <w:keepLines/>
        <w:snapToGrid w:val="0"/>
        <w:spacing w:line="600" w:lineRule="exact"/>
        <w:ind w:firstLine="640" w:firstLineChars="200"/>
        <w:outlineLvl w:val="1"/>
        <w:rPr>
          <w:rFonts w:ascii="黑体" w:hAnsi="Calibri" w:eastAsia="黑体" w:cs="Times New Roman"/>
          <w:sz w:val="32"/>
          <w:szCs w:val="32"/>
        </w:rPr>
      </w:pPr>
      <w:r>
        <w:rPr>
          <w:rFonts w:hint="eastAsia" w:ascii="黑体" w:hAnsi="Calibri" w:eastAsia="黑体" w:cs="Times New Roman"/>
          <w:sz w:val="32"/>
          <w:szCs w:val="32"/>
        </w:rPr>
        <w:t>五、一般公共预算“三公” 经费支出决算情况说明</w:t>
      </w:r>
    </w:p>
    <w:p>
      <w:pPr>
        <w:adjustRightInd w:val="0"/>
        <w:snapToGrid w:val="0"/>
        <w:spacing w:line="600" w:lineRule="exact"/>
        <w:ind w:firstLine="643" w:firstLineChars="200"/>
        <w:rPr>
          <w:rFonts w:ascii="楷体_GB2312" w:hAnsi="Times New Roman" w:eastAsia="楷体_GB2312" w:cs="Mongolian Baiti"/>
          <w:b/>
          <w:bCs/>
          <w:sz w:val="32"/>
          <w:szCs w:val="32"/>
        </w:rPr>
      </w:pPr>
      <w:r>
        <w:rPr>
          <w:rFonts w:hint="eastAsia" w:ascii="楷体_GB2312" w:hAnsi="Times New Roman" w:eastAsia="楷体_GB2312" w:cs="Mongolian Baiti"/>
          <w:b/>
          <w:bCs/>
          <w:sz w:val="32"/>
          <w:szCs w:val="32"/>
        </w:rPr>
        <w:t>（一）“三公”经费财政拨款支出决算总体情况说明</w:t>
      </w:r>
    </w:p>
    <w:p>
      <w:pPr>
        <w:adjustRightInd w:val="0"/>
        <w:snapToGrid w:val="0"/>
        <w:spacing w:line="600" w:lineRule="exact"/>
        <w:ind w:firstLine="640" w:firstLineChars="200"/>
        <w:rPr>
          <w:rFonts w:ascii="仿宋_GB2312" w:hAnsi="Times New Roman" w:eastAsia="仿宋_GB2312" w:cs="Wingdings"/>
          <w:sz w:val="32"/>
          <w:szCs w:val="32"/>
        </w:rPr>
      </w:pPr>
      <w:r>
        <w:rPr>
          <w:rFonts w:hint="eastAsia" w:ascii="仿宋_GB2312" w:hAnsi="Times New Roman" w:eastAsia="仿宋_GB2312" w:cs="Wingdings"/>
          <w:sz w:val="32"/>
          <w:szCs w:val="32"/>
        </w:rPr>
        <w:t>本部门2020年度“三公”经费财政拨款支出预算为</w:t>
      </w:r>
      <w:r>
        <w:rPr>
          <w:rFonts w:hint="eastAsia" w:ascii="仿宋_GB2312" w:hAnsi="Times New Roman" w:eastAsia="仿宋_GB2312" w:cs="Wingdings"/>
          <w:sz w:val="32"/>
          <w:szCs w:val="32"/>
          <w:lang w:val="en-US" w:eastAsia="zh-CN"/>
        </w:rPr>
        <w:t>1.5</w:t>
      </w:r>
      <w:r>
        <w:rPr>
          <w:rFonts w:hint="eastAsia" w:ascii="仿宋_GB2312" w:hAnsi="Times New Roman" w:eastAsia="仿宋_GB2312" w:cs="Wingdings"/>
          <w:sz w:val="32"/>
          <w:szCs w:val="32"/>
        </w:rPr>
        <w:t>万元，支出决算为</w:t>
      </w:r>
      <w:r>
        <w:rPr>
          <w:rFonts w:hint="eastAsia" w:ascii="仿宋_GB2312" w:hAnsi="Times New Roman" w:eastAsia="仿宋_GB2312" w:cs="Wingdings"/>
          <w:sz w:val="32"/>
          <w:szCs w:val="32"/>
          <w:lang w:val="en-US" w:eastAsia="zh-CN"/>
        </w:rPr>
        <w:t>1.5</w:t>
      </w:r>
      <w:r>
        <w:rPr>
          <w:rFonts w:hint="eastAsia" w:ascii="仿宋_GB2312" w:hAnsi="Times New Roman" w:eastAsia="仿宋_GB2312" w:cs="Wingdings"/>
          <w:sz w:val="32"/>
          <w:szCs w:val="32"/>
        </w:rPr>
        <w:t>元，完成预算的</w:t>
      </w:r>
      <w:r>
        <w:rPr>
          <w:rFonts w:hint="eastAsia" w:ascii="仿宋_GB2312" w:hAnsi="Times New Roman" w:eastAsia="仿宋_GB2312" w:cs="Wingdings"/>
          <w:sz w:val="32"/>
          <w:szCs w:val="32"/>
          <w:lang w:val="en-US" w:eastAsia="zh-CN"/>
        </w:rPr>
        <w:t>100</w:t>
      </w:r>
      <w:r>
        <w:rPr>
          <w:rFonts w:hint="eastAsia" w:ascii="仿宋_GB2312" w:hAnsi="Times New Roman" w:eastAsia="仿宋_GB2312" w:cs="Wingdings"/>
          <w:sz w:val="32"/>
          <w:szCs w:val="32"/>
        </w:rPr>
        <w:t>%,较预算</w:t>
      </w:r>
      <w:r>
        <w:rPr>
          <w:rFonts w:hint="eastAsia" w:ascii="仿宋_GB2312" w:hAnsi="Times New Roman" w:eastAsia="仿宋_GB2312" w:cs="Wingdings"/>
          <w:sz w:val="32"/>
          <w:szCs w:val="32"/>
          <w:lang w:eastAsia="zh-CN"/>
        </w:rPr>
        <w:t>持平</w:t>
      </w:r>
      <w:r>
        <w:rPr>
          <w:rFonts w:hint="eastAsia" w:ascii="仿宋_GB2312" w:hAnsi="Times New Roman" w:eastAsia="仿宋_GB2312" w:cs="Wingdings"/>
          <w:sz w:val="32"/>
          <w:szCs w:val="32"/>
        </w:rPr>
        <w:t>，主要是</w:t>
      </w:r>
      <w:r>
        <w:rPr>
          <w:rFonts w:hint="eastAsia" w:ascii="仿宋_GB2312" w:hAnsi="Times New Roman" w:eastAsia="仿宋_GB2312" w:cs="DengXian-Regular"/>
          <w:sz w:val="32"/>
          <w:szCs w:val="32"/>
          <w:lang w:val="en-US" w:eastAsia="zh-CN"/>
        </w:rPr>
        <w:t>严格执行中央八项规定，严控开支</w:t>
      </w:r>
      <w:r>
        <w:rPr>
          <w:rFonts w:hint="eastAsia" w:ascii="仿宋_GB2312" w:hAnsi="Times New Roman" w:eastAsia="仿宋_GB2312" w:cs="Wingdings"/>
          <w:sz w:val="32"/>
          <w:szCs w:val="32"/>
        </w:rPr>
        <w:t>；较2019年度减少</w:t>
      </w:r>
      <w:r>
        <w:rPr>
          <w:rFonts w:hint="eastAsia" w:ascii="仿宋_GB2312" w:hAnsi="Times New Roman" w:eastAsia="仿宋_GB2312" w:cs="Wingdings"/>
          <w:sz w:val="32"/>
          <w:szCs w:val="32"/>
          <w:lang w:val="en-US" w:eastAsia="zh-CN"/>
        </w:rPr>
        <w:t>2.1</w:t>
      </w:r>
      <w:r>
        <w:rPr>
          <w:rFonts w:hint="eastAsia" w:ascii="仿宋_GB2312" w:hAnsi="Times New Roman" w:eastAsia="仿宋_GB2312" w:cs="Wingdings"/>
          <w:sz w:val="32"/>
          <w:szCs w:val="32"/>
        </w:rPr>
        <w:t>万元，降低</w:t>
      </w:r>
      <w:r>
        <w:rPr>
          <w:rFonts w:hint="eastAsia" w:ascii="仿宋_GB2312" w:hAnsi="Times New Roman" w:eastAsia="仿宋_GB2312" w:cs="Wingdings"/>
          <w:sz w:val="32"/>
          <w:szCs w:val="32"/>
          <w:lang w:val="en-US" w:eastAsia="zh-CN"/>
        </w:rPr>
        <w:t>58.33</w:t>
      </w:r>
      <w:r>
        <w:rPr>
          <w:rFonts w:hint="eastAsia" w:ascii="仿宋_GB2312" w:hAnsi="Times New Roman" w:eastAsia="仿宋_GB2312" w:cs="Wingdings"/>
          <w:sz w:val="32"/>
          <w:szCs w:val="32"/>
        </w:rPr>
        <w:t>%，主要是</w:t>
      </w:r>
      <w:r>
        <w:rPr>
          <w:rFonts w:hint="eastAsia" w:ascii="仿宋_GB2312" w:hAnsi="Times New Roman" w:eastAsia="仿宋_GB2312" w:cs="DengXian-Regular"/>
          <w:sz w:val="32"/>
          <w:szCs w:val="32"/>
          <w:lang w:val="en-US" w:eastAsia="zh-CN"/>
        </w:rPr>
        <w:t>主要原因是严格执行中央八项规定，严控开支，积极采取有效措施，压缩、取消出国团组，加强公务用车管理，规范公务接待活动，促使三公经费支出下降</w:t>
      </w:r>
      <w:r>
        <w:rPr>
          <w:rFonts w:hint="eastAsia" w:ascii="仿宋_GB2312" w:hAnsi="Times New Roman" w:eastAsia="仿宋_GB2312" w:cs="Wingdings"/>
          <w:sz w:val="32"/>
          <w:szCs w:val="32"/>
        </w:rPr>
        <w:t>。</w:t>
      </w:r>
    </w:p>
    <w:p>
      <w:pPr>
        <w:adjustRightInd w:val="0"/>
        <w:snapToGrid w:val="0"/>
        <w:spacing w:line="600" w:lineRule="exact"/>
        <w:ind w:firstLine="643" w:firstLineChars="200"/>
        <w:rPr>
          <w:rFonts w:ascii="楷体_GB2312" w:hAnsi="Times New Roman" w:eastAsia="楷体_GB2312" w:cs="Mongolian Baiti"/>
          <w:b/>
          <w:bCs/>
          <w:sz w:val="32"/>
          <w:szCs w:val="32"/>
        </w:rPr>
      </w:pPr>
      <w:r>
        <w:rPr>
          <w:rFonts w:hint="eastAsia" w:ascii="楷体_GB2312" w:hAnsi="Times New Roman" w:eastAsia="楷体_GB2312" w:cs="Mongolian Baiti"/>
          <w:b/>
          <w:bCs/>
          <w:sz w:val="32"/>
          <w:szCs w:val="32"/>
        </w:rPr>
        <w:t>（二）“三公”经费财政拨款支出决算具体情况说明</w:t>
      </w:r>
    </w:p>
    <w:p>
      <w:pPr>
        <w:adjustRightInd w:val="0"/>
        <w:snapToGrid w:val="0"/>
        <w:spacing w:line="580" w:lineRule="exact"/>
        <w:ind w:firstLine="643" w:firstLineChars="200"/>
        <w:rPr>
          <w:rFonts w:ascii="仿宋_GB2312" w:hAnsi="Times New Roman" w:eastAsia="仿宋_GB2312" w:cs="DengXian-Regular"/>
          <w:sz w:val="32"/>
          <w:szCs w:val="32"/>
        </w:rPr>
      </w:pPr>
      <w:r>
        <w:rPr>
          <w:rFonts w:hint="eastAsia" w:ascii="楷体_GB2312" w:hAnsi="Times New Roman" w:eastAsia="楷体_GB2312" w:cs="Mongolian Baiti"/>
          <w:b/>
          <w:bCs/>
          <w:sz w:val="32"/>
          <w:szCs w:val="32"/>
        </w:rPr>
        <w:t>1.因公出国（境）费。</w:t>
      </w:r>
      <w:r>
        <w:rPr>
          <w:rFonts w:hint="eastAsia" w:ascii="仿宋_GB2312" w:hAnsi="仿宋_GB2312" w:eastAsia="仿宋_GB2312" w:cs="仿宋_GB2312"/>
          <w:sz w:val="32"/>
          <w:szCs w:val="32"/>
        </w:rPr>
        <w:t>本部门2020年因公出国（境）费支出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r>
        <w:rPr>
          <w:rFonts w:hint="eastAsia" w:ascii="仿宋_GB2312" w:hAnsi="Times New Roman" w:eastAsia="仿宋_GB2312" w:cs="Wingdings"/>
          <w:sz w:val="32"/>
          <w:szCs w:val="32"/>
        </w:rPr>
        <w:t>因公出国（境）团组</w:t>
      </w:r>
      <w:r>
        <w:rPr>
          <w:rFonts w:hint="eastAsia" w:ascii="仿宋_GB2312" w:hAnsi="Times New Roman" w:eastAsia="仿宋_GB2312" w:cs="Wingdings"/>
          <w:sz w:val="32"/>
          <w:szCs w:val="32"/>
          <w:lang w:val="en-US" w:eastAsia="zh-CN"/>
        </w:rPr>
        <w:t>0</w:t>
      </w:r>
      <w:r>
        <w:rPr>
          <w:rFonts w:hint="eastAsia" w:ascii="仿宋_GB2312" w:hAnsi="Times New Roman" w:eastAsia="仿宋_GB2312" w:cs="Wingdings"/>
          <w:sz w:val="32"/>
          <w:szCs w:val="32"/>
        </w:rPr>
        <w:t>个、共</w:t>
      </w:r>
      <w:r>
        <w:rPr>
          <w:rFonts w:hint="eastAsia" w:ascii="仿宋_GB2312" w:hAnsi="Times New Roman" w:eastAsia="仿宋_GB2312" w:cs="Wingdings"/>
          <w:sz w:val="32"/>
          <w:szCs w:val="32"/>
          <w:lang w:val="en-US" w:eastAsia="zh-CN"/>
        </w:rPr>
        <w:t>0</w:t>
      </w:r>
      <w:r>
        <w:rPr>
          <w:rFonts w:hint="eastAsia" w:ascii="仿宋_GB2312" w:hAnsi="Times New Roman" w:eastAsia="仿宋_GB2312" w:cs="Wingdings"/>
          <w:sz w:val="32"/>
          <w:szCs w:val="32"/>
        </w:rPr>
        <w:t>人、参加其他单位组织的因公出国（境）团组</w:t>
      </w:r>
      <w:r>
        <w:rPr>
          <w:rFonts w:hint="eastAsia" w:ascii="仿宋_GB2312" w:hAnsi="Times New Roman" w:eastAsia="仿宋_GB2312" w:cs="Wingdings"/>
          <w:sz w:val="32"/>
          <w:szCs w:val="32"/>
          <w:lang w:val="en-US" w:eastAsia="zh-CN"/>
        </w:rPr>
        <w:t>0</w:t>
      </w:r>
      <w:r>
        <w:rPr>
          <w:rFonts w:hint="eastAsia" w:ascii="仿宋_GB2312" w:hAnsi="Times New Roman" w:eastAsia="仿宋_GB2312" w:cs="Wingdings"/>
          <w:sz w:val="32"/>
          <w:szCs w:val="32"/>
        </w:rPr>
        <w:t>个、共</w:t>
      </w:r>
      <w:r>
        <w:rPr>
          <w:rFonts w:hint="eastAsia" w:ascii="仿宋_GB2312" w:hAnsi="Times New Roman" w:eastAsia="仿宋_GB2312" w:cs="Wingdings"/>
          <w:sz w:val="32"/>
          <w:szCs w:val="32"/>
          <w:lang w:val="en-US" w:eastAsia="zh-CN"/>
        </w:rPr>
        <w:t>0</w:t>
      </w:r>
      <w:r>
        <w:rPr>
          <w:rFonts w:hint="eastAsia" w:ascii="仿宋_GB2312" w:hAnsi="Times New Roman" w:eastAsia="仿宋_GB2312" w:cs="Wingdings"/>
          <w:sz w:val="32"/>
          <w:szCs w:val="32"/>
        </w:rPr>
        <w:t>人。</w:t>
      </w:r>
      <w:r>
        <w:rPr>
          <w:rFonts w:hint="eastAsia" w:ascii="仿宋_GB2312" w:hAnsi="Times New Roman" w:eastAsia="仿宋_GB2312" w:cs="DengXian-Regular"/>
          <w:sz w:val="32"/>
          <w:szCs w:val="32"/>
        </w:rPr>
        <w:t>因公出国（境）费支出较预算</w:t>
      </w:r>
      <w:r>
        <w:rPr>
          <w:rFonts w:hint="eastAsia" w:ascii="仿宋_GB2312" w:hAnsi="Times New Roman" w:eastAsia="仿宋_GB2312" w:cs="DengXian-Regular"/>
          <w:sz w:val="32"/>
          <w:szCs w:val="32"/>
          <w:lang w:eastAsia="zh-CN"/>
        </w:rPr>
        <w:t>持平</w:t>
      </w:r>
      <w:r>
        <w:rPr>
          <w:rFonts w:hint="eastAsia" w:ascii="仿宋_GB2312" w:hAnsi="Times New Roman" w:eastAsia="仿宋_GB2312" w:cs="DengXian-Regular"/>
          <w:sz w:val="32"/>
          <w:szCs w:val="32"/>
        </w:rPr>
        <w:t>,；较上年</w:t>
      </w:r>
      <w:r>
        <w:rPr>
          <w:rFonts w:hint="eastAsia" w:ascii="仿宋_GB2312" w:hAnsi="Times New Roman" w:eastAsia="仿宋_GB2312" w:cs="DengXian-Regular"/>
          <w:sz w:val="32"/>
          <w:szCs w:val="32"/>
          <w:lang w:eastAsia="zh-CN"/>
        </w:rPr>
        <w:t>决算持平</w:t>
      </w:r>
      <w:r>
        <w:rPr>
          <w:rFonts w:hint="eastAsia" w:ascii="仿宋_GB2312" w:hAnsi="Times New Roman" w:eastAsia="仿宋_GB2312" w:cs="DengXian-Regular"/>
          <w:sz w:val="32"/>
          <w:szCs w:val="32"/>
        </w:rPr>
        <w:t>，未发生因公出国费用。</w:t>
      </w:r>
      <w:r>
        <w:rPr>
          <w:rFonts w:hint="eastAsia" w:ascii="仿宋_GB2312" w:hAnsi="Times New Roman" w:eastAsia="仿宋_GB2312" w:cs="DengXian-Regular"/>
          <w:sz w:val="32"/>
          <w:szCs w:val="32"/>
          <w:lang w:val="en-US" w:eastAsia="zh-CN"/>
        </w:rPr>
        <w:t>主要原因是严格执行中央八项规定，严控开支，积极采取有效措施，压缩、取消出国团组。</w:t>
      </w:r>
    </w:p>
    <w:p>
      <w:pPr>
        <w:adjustRightInd w:val="0"/>
        <w:snapToGrid w:val="0"/>
        <w:spacing w:line="600" w:lineRule="exact"/>
        <w:ind w:firstLine="643" w:firstLineChars="200"/>
        <w:rPr>
          <w:rFonts w:hint="eastAsia" w:ascii="仿宋_GB2312" w:hAnsi="Times New Roman" w:eastAsia="仿宋_GB2312" w:cs="Wingdings"/>
          <w:sz w:val="32"/>
          <w:szCs w:val="32"/>
        </w:rPr>
      </w:pPr>
      <w:r>
        <w:rPr>
          <w:rFonts w:hint="eastAsia" w:ascii="楷体_GB2312" w:hAnsi="Times New Roman" w:eastAsia="楷体_GB2312" w:cs="Mongolian Baiti"/>
          <w:b/>
          <w:bCs/>
          <w:sz w:val="32"/>
          <w:szCs w:val="32"/>
        </w:rPr>
        <w:t>2.公务用车购置及运行维护费。</w:t>
      </w:r>
      <w:r>
        <w:rPr>
          <w:rFonts w:hint="eastAsia" w:ascii="仿宋_GB2312" w:hAnsi="仿宋_GB2312" w:eastAsia="仿宋_GB2312" w:cs="仿宋_GB2312"/>
          <w:sz w:val="32"/>
          <w:szCs w:val="32"/>
        </w:rPr>
        <w:t>本部门2020年公务用车购置及运行维护费支出</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Times New Roman" w:eastAsia="仿宋_GB2312" w:cs="Wingdings"/>
          <w:sz w:val="32"/>
          <w:szCs w:val="32"/>
        </w:rPr>
        <w:t>较预算</w:t>
      </w:r>
      <w:r>
        <w:rPr>
          <w:rFonts w:hint="eastAsia" w:ascii="仿宋_GB2312" w:hAnsi="Times New Roman" w:eastAsia="仿宋_GB2312" w:cs="DengXian-Regular"/>
          <w:sz w:val="32"/>
          <w:szCs w:val="32"/>
        </w:rPr>
        <w:t>较预算</w:t>
      </w:r>
      <w:r>
        <w:rPr>
          <w:rFonts w:hint="eastAsia" w:ascii="仿宋_GB2312" w:hAnsi="Times New Roman" w:eastAsia="仿宋_GB2312" w:cs="DengXian-Regular"/>
          <w:sz w:val="32"/>
          <w:szCs w:val="32"/>
          <w:lang w:eastAsia="zh-CN"/>
        </w:rPr>
        <w:t>持平</w:t>
      </w:r>
      <w:r>
        <w:rPr>
          <w:rFonts w:hint="eastAsia" w:ascii="仿宋_GB2312" w:hAnsi="Times New Roman" w:eastAsia="仿宋_GB2312" w:cs="DengXian-Regular"/>
          <w:sz w:val="32"/>
          <w:szCs w:val="32"/>
        </w:rPr>
        <w:t>,；较上年</w:t>
      </w:r>
      <w:r>
        <w:rPr>
          <w:rFonts w:hint="eastAsia" w:ascii="仿宋_GB2312" w:hAnsi="Times New Roman" w:eastAsia="仿宋_GB2312" w:cs="DengXian-Regular"/>
          <w:sz w:val="32"/>
          <w:szCs w:val="32"/>
          <w:lang w:eastAsia="zh-CN"/>
        </w:rPr>
        <w:t>决算持平；主要原因</w:t>
      </w:r>
      <w:r>
        <w:rPr>
          <w:rFonts w:hint="eastAsia" w:ascii="仿宋_GB2312" w:hAnsi="Times New Roman" w:eastAsia="仿宋_GB2312" w:cs="DengXian-Regular"/>
          <w:sz w:val="32"/>
          <w:szCs w:val="32"/>
          <w:lang w:val="en-US" w:eastAsia="zh-CN"/>
        </w:rPr>
        <w:t>严格执行中央八项规定，严控开支。</w:t>
      </w:r>
    </w:p>
    <w:p>
      <w:pPr>
        <w:adjustRightInd w:val="0"/>
        <w:snapToGrid w:val="0"/>
        <w:spacing w:line="580" w:lineRule="exact"/>
        <w:ind w:firstLine="643" w:firstLineChars="200"/>
        <w:rPr>
          <w:rFonts w:ascii="仿宋_GB2312" w:hAnsi="Times New Roman" w:eastAsia="仿宋_GB2312" w:cs="Wingdings"/>
          <w:sz w:val="32"/>
          <w:szCs w:val="32"/>
        </w:rPr>
      </w:pPr>
      <w:r>
        <w:rPr>
          <w:rFonts w:hint="eastAsia" w:ascii="仿宋_GB2312" w:hAnsi="Times New Roman" w:eastAsia="仿宋_GB2312" w:cs="Mongolian Baiti"/>
          <w:b/>
          <w:bCs/>
          <w:sz w:val="32"/>
          <w:szCs w:val="32"/>
        </w:rPr>
        <w:t>其中：</w:t>
      </w:r>
      <w:r>
        <w:rPr>
          <w:rFonts w:hint="eastAsia" w:ascii="仿宋_GB2312" w:hAnsi="Times New Roman" w:eastAsia="仿宋_GB2312" w:cs="Wingdings"/>
          <w:b/>
          <w:sz w:val="32"/>
          <w:szCs w:val="32"/>
        </w:rPr>
        <w:t>公务用车购置费支出：</w:t>
      </w:r>
      <w:r>
        <w:rPr>
          <w:rFonts w:hint="eastAsia" w:ascii="仿宋_GB2312" w:hAnsi="Times New Roman" w:eastAsia="仿宋_GB2312" w:cs="Wingdings"/>
          <w:sz w:val="32"/>
          <w:szCs w:val="32"/>
        </w:rPr>
        <w:t>本部门2020年度公务用车购置量</w:t>
      </w:r>
      <w:r>
        <w:rPr>
          <w:rFonts w:hint="eastAsia" w:ascii="仿宋_GB2312" w:hAnsi="Times New Roman" w:eastAsia="仿宋_GB2312" w:cs="Wingdings"/>
          <w:sz w:val="32"/>
          <w:szCs w:val="32"/>
          <w:lang w:val="en-US" w:eastAsia="zh-CN"/>
        </w:rPr>
        <w:t>0</w:t>
      </w:r>
      <w:r>
        <w:rPr>
          <w:rFonts w:hint="eastAsia" w:ascii="仿宋_GB2312" w:hAnsi="Times New Roman" w:eastAsia="仿宋_GB2312" w:cs="Wingdings"/>
          <w:sz w:val="32"/>
          <w:szCs w:val="32"/>
        </w:rPr>
        <w:t>辆，发生“公务用车购置”经费支出</w:t>
      </w:r>
      <w:r>
        <w:rPr>
          <w:rFonts w:hint="eastAsia" w:ascii="仿宋_GB2312" w:hAnsi="Times New Roman" w:eastAsia="仿宋_GB2312" w:cs="Wingdings"/>
          <w:sz w:val="32"/>
          <w:szCs w:val="32"/>
          <w:lang w:val="en-US" w:eastAsia="zh-CN"/>
        </w:rPr>
        <w:t>0</w:t>
      </w:r>
      <w:r>
        <w:rPr>
          <w:rFonts w:hint="eastAsia" w:ascii="仿宋_GB2312" w:hAnsi="Times New Roman" w:eastAsia="仿宋_GB2312" w:cs="Wingdings"/>
          <w:sz w:val="32"/>
          <w:szCs w:val="32"/>
        </w:rPr>
        <w:t>万元。公务用车购置费支出较预算</w:t>
      </w:r>
      <w:r>
        <w:rPr>
          <w:rFonts w:hint="eastAsia" w:ascii="仿宋_GB2312" w:hAnsi="Times New Roman" w:eastAsia="仿宋_GB2312" w:cs="Wingdings"/>
          <w:sz w:val="32"/>
          <w:szCs w:val="32"/>
          <w:lang w:eastAsia="zh-CN"/>
        </w:rPr>
        <w:t>持平</w:t>
      </w:r>
      <w:r>
        <w:rPr>
          <w:rFonts w:hint="eastAsia" w:ascii="仿宋_GB2312" w:hAnsi="Times New Roman" w:eastAsia="仿宋_GB2312" w:cs="Wingdings"/>
          <w:sz w:val="32"/>
          <w:szCs w:val="32"/>
        </w:rPr>
        <w:t>，较上年</w:t>
      </w:r>
      <w:r>
        <w:rPr>
          <w:rFonts w:hint="eastAsia" w:ascii="仿宋_GB2312" w:hAnsi="Times New Roman" w:eastAsia="仿宋_GB2312" w:cs="Wingdings"/>
          <w:sz w:val="32"/>
          <w:szCs w:val="32"/>
          <w:lang w:eastAsia="zh-CN"/>
        </w:rPr>
        <w:t>决算持平</w:t>
      </w:r>
      <w:r>
        <w:rPr>
          <w:rFonts w:hint="eastAsia" w:ascii="仿宋_GB2312" w:hAnsi="Times New Roman" w:eastAsia="仿宋_GB2312" w:cs="Wingdings"/>
          <w:sz w:val="32"/>
          <w:szCs w:val="32"/>
        </w:rPr>
        <w:t>，</w:t>
      </w:r>
      <w:r>
        <w:rPr>
          <w:rFonts w:hint="eastAsia" w:ascii="仿宋_GB2312" w:hAnsi="Times New Roman" w:eastAsia="仿宋_GB2312" w:cs="DengXian-Regular"/>
          <w:sz w:val="32"/>
          <w:szCs w:val="32"/>
          <w:lang w:eastAsia="zh-CN"/>
        </w:rPr>
        <w:t>主要原因</w:t>
      </w:r>
      <w:r>
        <w:rPr>
          <w:rFonts w:hint="eastAsia" w:ascii="仿宋_GB2312" w:hAnsi="Times New Roman" w:eastAsia="仿宋_GB2312" w:cs="DengXian-Regular"/>
          <w:sz w:val="32"/>
          <w:szCs w:val="32"/>
          <w:lang w:val="en-US" w:eastAsia="zh-CN"/>
        </w:rPr>
        <w:t>严格执行中央八项规定，严控开支。</w:t>
      </w:r>
    </w:p>
    <w:p>
      <w:pPr>
        <w:adjustRightInd w:val="0"/>
        <w:snapToGrid w:val="0"/>
        <w:spacing w:line="600" w:lineRule="exact"/>
        <w:ind w:firstLine="643" w:firstLineChars="200"/>
        <w:rPr>
          <w:rFonts w:ascii="仿宋_GB2312" w:hAnsi="Times New Roman" w:eastAsia="仿宋_GB2312" w:cs="Wingdings"/>
          <w:sz w:val="32"/>
          <w:szCs w:val="32"/>
        </w:rPr>
      </w:pPr>
      <w:r>
        <w:rPr>
          <w:rFonts w:hint="eastAsia" w:ascii="仿宋_GB2312" w:hAnsi="Times New Roman" w:eastAsia="仿宋_GB2312" w:cs="Wingdings"/>
          <w:b/>
          <w:sz w:val="32"/>
          <w:szCs w:val="32"/>
        </w:rPr>
        <w:t>公务用车运行维护费支出：</w:t>
      </w:r>
      <w:r>
        <w:rPr>
          <w:rFonts w:hint="eastAsia" w:ascii="仿宋_GB2312" w:hAnsi="Times New Roman" w:eastAsia="仿宋_GB2312" w:cs="Wingdings"/>
          <w:sz w:val="32"/>
          <w:szCs w:val="32"/>
        </w:rPr>
        <w:t>本部门2020年度单位公务用车保有量</w:t>
      </w:r>
      <w:r>
        <w:rPr>
          <w:rFonts w:hint="eastAsia" w:ascii="仿宋_GB2312" w:hAnsi="Times New Roman" w:eastAsia="仿宋_GB2312" w:cs="Wingdings"/>
          <w:sz w:val="32"/>
          <w:szCs w:val="32"/>
          <w:lang w:val="en-US" w:eastAsia="zh-CN"/>
        </w:rPr>
        <w:t>2</w:t>
      </w:r>
      <w:r>
        <w:rPr>
          <w:rFonts w:hint="eastAsia" w:ascii="仿宋_GB2312" w:hAnsi="Times New Roman" w:eastAsia="仿宋_GB2312" w:cs="Wingdings"/>
          <w:sz w:val="32"/>
          <w:szCs w:val="32"/>
        </w:rPr>
        <w:t>辆,发生运行维护费支出</w:t>
      </w:r>
      <w:r>
        <w:rPr>
          <w:rFonts w:hint="eastAsia" w:ascii="仿宋_GB2312" w:hAnsi="Times New Roman" w:eastAsia="仿宋_GB2312" w:cs="Wingdings"/>
          <w:sz w:val="32"/>
          <w:szCs w:val="32"/>
          <w:lang w:val="en-US" w:eastAsia="zh-CN"/>
        </w:rPr>
        <w:t>1.5</w:t>
      </w:r>
      <w:r>
        <w:rPr>
          <w:rFonts w:hint="eastAsia" w:ascii="仿宋_GB2312" w:hAnsi="Times New Roman" w:eastAsia="仿宋_GB2312" w:cs="Wingdings"/>
          <w:sz w:val="32"/>
          <w:szCs w:val="32"/>
        </w:rPr>
        <w:t>万元。公车运行维护费支出较预算</w:t>
      </w:r>
      <w:r>
        <w:rPr>
          <w:rFonts w:hint="eastAsia" w:ascii="仿宋_GB2312" w:hAnsi="Times New Roman" w:eastAsia="仿宋_GB2312" w:cs="Wingdings"/>
          <w:sz w:val="32"/>
          <w:szCs w:val="32"/>
          <w:lang w:eastAsia="zh-CN"/>
        </w:rPr>
        <w:t>持平</w:t>
      </w:r>
      <w:r>
        <w:rPr>
          <w:rFonts w:hint="eastAsia" w:ascii="仿宋_GB2312" w:hAnsi="Times New Roman" w:eastAsia="仿宋_GB2312" w:cs="Wingdings"/>
          <w:sz w:val="32"/>
          <w:szCs w:val="32"/>
        </w:rPr>
        <w:t>；较上年</w:t>
      </w:r>
      <w:r>
        <w:rPr>
          <w:rFonts w:hint="eastAsia" w:ascii="仿宋_GB2312" w:hAnsi="Times New Roman" w:eastAsia="仿宋_GB2312" w:cs="Wingdings"/>
          <w:sz w:val="32"/>
          <w:szCs w:val="32"/>
          <w:lang w:eastAsia="zh-CN"/>
        </w:rPr>
        <w:t>决算减少</w:t>
      </w:r>
      <w:r>
        <w:rPr>
          <w:rFonts w:hint="eastAsia" w:ascii="仿宋_GB2312" w:hAnsi="Times New Roman" w:eastAsia="仿宋_GB2312" w:cs="Wingdings"/>
          <w:sz w:val="32"/>
          <w:szCs w:val="32"/>
          <w:lang w:val="en-US" w:eastAsia="zh-CN"/>
        </w:rPr>
        <w:t>2.1</w:t>
      </w:r>
      <w:r>
        <w:rPr>
          <w:rFonts w:hint="eastAsia" w:ascii="仿宋_GB2312" w:hAnsi="Times New Roman" w:eastAsia="仿宋_GB2312" w:cs="Wingdings"/>
          <w:sz w:val="32"/>
          <w:szCs w:val="32"/>
        </w:rPr>
        <w:t>万元，降低</w:t>
      </w:r>
      <w:r>
        <w:rPr>
          <w:rFonts w:hint="eastAsia" w:ascii="仿宋_GB2312" w:hAnsi="Times New Roman" w:eastAsia="仿宋_GB2312" w:cs="Wingdings"/>
          <w:sz w:val="32"/>
          <w:szCs w:val="32"/>
          <w:lang w:val="en-US" w:eastAsia="zh-CN"/>
        </w:rPr>
        <w:t>58.33</w:t>
      </w:r>
      <w:r>
        <w:rPr>
          <w:rFonts w:hint="eastAsia" w:ascii="仿宋_GB2312" w:hAnsi="Times New Roman" w:eastAsia="仿宋_GB2312" w:cs="Wingdings"/>
          <w:sz w:val="32"/>
          <w:szCs w:val="32"/>
        </w:rPr>
        <w:t>%，主要是</w:t>
      </w:r>
      <w:r>
        <w:rPr>
          <w:rFonts w:hint="eastAsia" w:ascii="仿宋_GB2312" w:hAnsi="Times New Roman" w:eastAsia="仿宋_GB2312" w:cs="DengXian-Regular"/>
          <w:sz w:val="32"/>
          <w:szCs w:val="32"/>
          <w:lang w:val="en-US" w:eastAsia="zh-CN"/>
        </w:rPr>
        <w:t>主要原因是严格执行中央八项规定，严控开支，加强公务用车管理，促使公车运行费支出下降</w:t>
      </w:r>
      <w:r>
        <w:rPr>
          <w:rFonts w:hint="eastAsia" w:ascii="仿宋_GB2312" w:hAnsi="Times New Roman" w:eastAsia="仿宋_GB2312" w:cs="Wingdings"/>
          <w:sz w:val="32"/>
          <w:szCs w:val="32"/>
        </w:rPr>
        <w:t>。</w:t>
      </w:r>
    </w:p>
    <w:p>
      <w:pPr>
        <w:adjustRightInd w:val="0"/>
        <w:snapToGrid w:val="0"/>
        <w:spacing w:line="580" w:lineRule="exact"/>
        <w:ind w:firstLine="643" w:firstLineChars="200"/>
        <w:rPr>
          <w:rFonts w:ascii="仿宋_GB2312" w:hAnsi="Times New Roman" w:eastAsia="仿宋_GB2312" w:cs="DengXian-Regular"/>
          <w:sz w:val="32"/>
          <w:szCs w:val="32"/>
        </w:rPr>
      </w:pPr>
      <w:r>
        <w:rPr>
          <w:rFonts w:hint="eastAsia" w:ascii="楷体_GB2312" w:hAnsi="Times New Roman" w:eastAsia="楷体_GB2312" w:cs="Mongolian Baiti"/>
          <w:b/>
          <w:bCs/>
          <w:sz w:val="32"/>
          <w:szCs w:val="32"/>
        </w:rPr>
        <w:t>3.公务接待费。</w:t>
      </w:r>
      <w:r>
        <w:rPr>
          <w:rFonts w:hint="eastAsia" w:ascii="仿宋_GB2312" w:hAnsi="Times New Roman" w:eastAsia="仿宋_GB2312" w:cs="DengXian-Regular"/>
          <w:sz w:val="32"/>
          <w:szCs w:val="32"/>
        </w:rPr>
        <w:t>本部门</w:t>
      </w:r>
      <w:r>
        <w:rPr>
          <w:rFonts w:hint="eastAsia" w:ascii="仿宋_GB2312" w:hAnsi="Times New Roman" w:eastAsia="仿宋_GB2312" w:cs="DengXian-Regular"/>
          <w:sz w:val="32"/>
          <w:szCs w:val="32"/>
          <w:lang w:val="en-US" w:eastAsia="zh-CN"/>
        </w:rPr>
        <w:t>2020</w:t>
      </w:r>
      <w:r>
        <w:rPr>
          <w:rFonts w:hint="eastAsia" w:ascii="仿宋_GB2312" w:hAnsi="Times New Roman" w:eastAsia="仿宋_GB2312" w:cs="DengXian-Regular"/>
          <w:sz w:val="32"/>
          <w:szCs w:val="32"/>
        </w:rPr>
        <w:t>年度公务接</w:t>
      </w:r>
      <w:r>
        <w:rPr>
          <w:rFonts w:hint="eastAsia" w:ascii="仿宋_GB2312" w:hAnsi="Times New Roman" w:eastAsia="仿宋_GB2312" w:cs="DengXian-Regular"/>
          <w:sz w:val="32"/>
          <w:szCs w:val="32"/>
          <w:lang w:eastAsia="zh-CN"/>
        </w:rPr>
        <w:t>费支出</w:t>
      </w:r>
      <w:r>
        <w:rPr>
          <w:rFonts w:hint="eastAsia" w:ascii="仿宋_GB2312" w:hAnsi="Times New Roman" w:eastAsia="仿宋_GB2312" w:cs="DengXian-Regular"/>
          <w:sz w:val="32"/>
          <w:szCs w:val="32"/>
          <w:lang w:val="en-US" w:eastAsia="zh-CN"/>
        </w:rPr>
        <w:t>0万元，完成预算的100%，发生公务接</w:t>
      </w:r>
      <w:r>
        <w:rPr>
          <w:rFonts w:hint="eastAsia" w:ascii="仿宋_GB2312" w:hAnsi="Times New Roman" w:eastAsia="仿宋_GB2312" w:cs="DengXian-Regular"/>
          <w:sz w:val="32"/>
          <w:szCs w:val="32"/>
        </w:rPr>
        <w:t>待共0批次、0人次。</w:t>
      </w:r>
      <w:r>
        <w:rPr>
          <w:rFonts w:hint="eastAsia" w:ascii="仿宋_GB2312" w:hAnsi="Times New Roman" w:eastAsia="仿宋_GB2312" w:cs="DengXian-Regular"/>
          <w:sz w:val="32"/>
          <w:szCs w:val="32"/>
          <w:lang w:eastAsia="zh-CN"/>
        </w:rPr>
        <w:t>较</w:t>
      </w:r>
      <w:r>
        <w:rPr>
          <w:rFonts w:hint="eastAsia" w:ascii="仿宋_GB2312" w:hAnsi="Times New Roman" w:eastAsia="仿宋_GB2312" w:cs="Wingdings"/>
          <w:sz w:val="32"/>
          <w:szCs w:val="32"/>
        </w:rPr>
        <w:t>预算</w:t>
      </w:r>
      <w:r>
        <w:rPr>
          <w:rFonts w:hint="eastAsia" w:ascii="仿宋_GB2312" w:hAnsi="Times New Roman" w:eastAsia="仿宋_GB2312" w:cs="Wingdings"/>
          <w:sz w:val="32"/>
          <w:szCs w:val="32"/>
          <w:lang w:eastAsia="zh-CN"/>
        </w:rPr>
        <w:t>持平</w:t>
      </w:r>
      <w:r>
        <w:rPr>
          <w:rFonts w:hint="eastAsia" w:ascii="仿宋_GB2312" w:hAnsi="Times New Roman" w:eastAsia="仿宋_GB2312" w:cs="Wingdings"/>
          <w:sz w:val="32"/>
          <w:szCs w:val="32"/>
        </w:rPr>
        <w:t>,</w:t>
      </w:r>
      <w:r>
        <w:rPr>
          <w:rFonts w:hint="eastAsia" w:ascii="仿宋_GB2312" w:hAnsi="Times New Roman" w:eastAsia="仿宋_GB2312" w:cs="DengXian-Regular"/>
          <w:sz w:val="32"/>
          <w:szCs w:val="32"/>
        </w:rPr>
        <w:t>主要是未发生公务接待费支出；较上年度</w:t>
      </w:r>
      <w:r>
        <w:rPr>
          <w:rFonts w:hint="eastAsia" w:ascii="仿宋_GB2312" w:hAnsi="Times New Roman" w:eastAsia="仿宋_GB2312" w:cs="DengXian-Regular"/>
          <w:sz w:val="32"/>
          <w:szCs w:val="32"/>
          <w:lang w:eastAsia="zh-CN"/>
        </w:rPr>
        <w:t>决算持平</w:t>
      </w:r>
      <w:r>
        <w:rPr>
          <w:rFonts w:hint="eastAsia" w:ascii="仿宋_GB2312" w:hAnsi="Times New Roman" w:eastAsia="仿宋_GB2312" w:cs="DengXian-Regular"/>
          <w:sz w:val="32"/>
          <w:szCs w:val="32"/>
        </w:rPr>
        <w:t>,主要是未发生公务接待费支出。</w:t>
      </w:r>
      <w:r>
        <w:rPr>
          <w:rFonts w:hint="eastAsia" w:ascii="仿宋_GB2312" w:hAnsi="Times New Roman" w:eastAsia="仿宋_GB2312" w:cs="DengXian-Regular"/>
          <w:sz w:val="32"/>
          <w:szCs w:val="32"/>
          <w:lang w:eastAsia="zh-CN"/>
        </w:rPr>
        <w:t>主要原因</w:t>
      </w:r>
      <w:r>
        <w:rPr>
          <w:rFonts w:hint="eastAsia" w:ascii="仿宋_GB2312" w:hAnsi="Times New Roman" w:eastAsia="仿宋_GB2312" w:cs="DengXian-Regular"/>
          <w:sz w:val="32"/>
          <w:szCs w:val="32"/>
          <w:lang w:val="en-US" w:eastAsia="zh-CN"/>
        </w:rPr>
        <w:t>严格执行中央八项规定，严控开支。</w:t>
      </w:r>
    </w:p>
    <w:p>
      <w:pPr>
        <w:adjustRightInd w:val="0"/>
        <w:snapToGrid w:val="0"/>
        <w:spacing w:line="600" w:lineRule="exact"/>
        <w:ind w:firstLine="640" w:firstLineChars="200"/>
        <w:rPr>
          <w:rFonts w:ascii="黑体" w:hAnsi="Times New Roman" w:eastAsia="黑体" w:cs="Times New Roman"/>
          <w:sz w:val="32"/>
          <w:szCs w:val="40"/>
        </w:rPr>
      </w:pPr>
      <w:r>
        <w:rPr>
          <w:rFonts w:hint="eastAsia" w:ascii="黑体" w:hAnsi="Times New Roman" w:eastAsia="黑体" w:cs="Times New Roman"/>
          <w:sz w:val="32"/>
          <w:szCs w:val="40"/>
        </w:rPr>
        <w:t>六、预算绩效情况说明</w:t>
      </w:r>
    </w:p>
    <w:p>
      <w:pPr>
        <w:adjustRightInd w:val="0"/>
        <w:snapToGrid w:val="0"/>
        <w:spacing w:line="60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（一）预算绩效管理工作开展情况</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根据预算绩效管理要求，本部门组织对2020年度项目支出全面开展绩效自评，其中，一般公共预算项目</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个，共涉及资金</w:t>
      </w:r>
      <w:r>
        <w:rPr>
          <w:rFonts w:hint="eastAsia" w:ascii="仿宋_GB2312" w:hAnsi="仿宋_GB2312" w:eastAsia="仿宋_GB2312" w:cs="仿宋_GB2312"/>
          <w:sz w:val="32"/>
          <w:szCs w:val="32"/>
          <w:lang w:val="en-US" w:eastAsia="zh-CN"/>
        </w:rPr>
        <w:t>2630.82</w:t>
      </w:r>
      <w:r>
        <w:rPr>
          <w:rFonts w:hint="eastAsia" w:ascii="仿宋_GB2312" w:hAnsi="仿宋_GB2312" w:eastAsia="仿宋_GB2312" w:cs="仿宋_GB2312"/>
          <w:sz w:val="32"/>
          <w:szCs w:val="32"/>
        </w:rPr>
        <w:t>万元，占一般公共预算项目支出总额的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%；政府性基金预算项目</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个,共涉及资金</w:t>
      </w:r>
      <w:r>
        <w:rPr>
          <w:rFonts w:hint="eastAsia" w:ascii="仿宋_GB2312" w:hAnsi="仿宋_GB2312" w:eastAsia="仿宋_GB2312" w:cs="仿宋_GB2312"/>
          <w:sz w:val="32"/>
          <w:szCs w:val="32"/>
          <w:lang w:val="en-US" w:eastAsia="zh-CN"/>
        </w:rPr>
        <w:t>8606.86</w:t>
      </w:r>
      <w:r>
        <w:rPr>
          <w:rFonts w:hint="eastAsia" w:ascii="仿宋_GB2312" w:hAnsi="仿宋_GB2312" w:eastAsia="仿宋_GB2312" w:cs="仿宋_GB2312"/>
          <w:sz w:val="32"/>
          <w:szCs w:val="32"/>
        </w:rPr>
        <w:t>万元，占政府性基金预算项目支出总额的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pPr>
        <w:adjustRightInd w:val="0"/>
        <w:snapToGrid w:val="0"/>
        <w:spacing w:line="60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 部门决算中项目绩效自评结果</w:t>
      </w:r>
    </w:p>
    <w:p>
      <w:pPr>
        <w:adjustRightInd w:val="0"/>
        <w:snapToGrid w:val="0"/>
        <w:spacing w:line="600" w:lineRule="exact"/>
        <w:ind w:firstLine="640" w:firstLineChars="200"/>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rPr>
        <w:t>组织对“</w:t>
      </w:r>
      <w:r>
        <w:rPr>
          <w:rFonts w:hint="eastAsia" w:ascii="仿宋" w:hAnsi="仿宋" w:eastAsia="仿宋"/>
          <w:sz w:val="28"/>
          <w:szCs w:val="28"/>
        </w:rPr>
        <w:t>离任村“两委”正职生活补贴项目</w:t>
      </w:r>
      <w:r>
        <w:rPr>
          <w:rFonts w:hint="eastAsia" w:ascii="仿宋_GB2312" w:hAnsi="仿宋_GB2312" w:eastAsia="仿宋_GB2312" w:cs="仿宋_GB2312"/>
          <w:sz w:val="32"/>
          <w:szCs w:val="32"/>
        </w:rPr>
        <w:t>”等项目开展了部门重点评价，涉及一般公共预算支出</w:t>
      </w:r>
      <w:r>
        <w:rPr>
          <w:rFonts w:hint="eastAsia" w:ascii="仿宋_GB2312" w:hAnsi="仿宋_GB2312" w:eastAsia="仿宋_GB2312" w:cs="仿宋_GB2312"/>
          <w:sz w:val="32"/>
          <w:szCs w:val="32"/>
          <w:lang w:val="en-US" w:eastAsia="zh-CN"/>
        </w:rPr>
        <w:t>21.66</w:t>
      </w:r>
      <w:r>
        <w:rPr>
          <w:rFonts w:hint="eastAsia" w:ascii="仿宋_GB2312" w:hAnsi="仿宋_GB2312" w:eastAsia="仿宋_GB2312" w:cs="仿宋_GB2312"/>
          <w:sz w:val="32"/>
          <w:szCs w:val="32"/>
        </w:rPr>
        <w:t>万元</w:t>
      </w:r>
    </w:p>
    <w:p>
      <w:pPr>
        <w:adjustRightInd w:val="0"/>
        <w:snapToGrid w:val="0"/>
        <w:spacing w:line="360" w:lineRule="auto"/>
        <w:ind w:firstLine="560" w:firstLineChars="200"/>
        <w:rPr>
          <w:rFonts w:hint="eastAsia" w:ascii="仿宋" w:hAnsi="仿宋" w:eastAsia="仿宋" w:cs="仿宋"/>
          <w:sz w:val="32"/>
          <w:szCs w:val="32"/>
        </w:rPr>
      </w:pPr>
      <w:r>
        <w:rPr>
          <w:rFonts w:hint="eastAsia" w:ascii="仿宋" w:hAnsi="仿宋" w:eastAsia="仿宋"/>
          <w:sz w:val="28"/>
          <w:szCs w:val="28"/>
        </w:rPr>
        <w:t>离任村“两委”正职生活补贴</w:t>
      </w:r>
      <w:r>
        <w:rPr>
          <w:rFonts w:hint="eastAsia" w:ascii="仿宋_GB2312" w:hAnsi="仿宋_GB2312" w:eastAsia="仿宋_GB2312" w:cs="仿宋_GB2312"/>
          <w:sz w:val="32"/>
          <w:szCs w:val="32"/>
        </w:rPr>
        <w:t>项目绩效自评综述：根据年初设定的绩效目标，</w:t>
      </w:r>
      <w:r>
        <w:rPr>
          <w:rFonts w:hint="eastAsia" w:ascii="仿宋" w:hAnsi="仿宋" w:eastAsia="仿宋"/>
          <w:sz w:val="28"/>
          <w:szCs w:val="28"/>
        </w:rPr>
        <w:t>离任村“两委”正职生活补贴</w:t>
      </w:r>
      <w:r>
        <w:rPr>
          <w:rFonts w:hint="eastAsia" w:ascii="仿宋_GB2312" w:hAnsi="仿宋_GB2312" w:eastAsia="仿宋_GB2312" w:cs="仿宋_GB2312"/>
          <w:sz w:val="32"/>
          <w:szCs w:val="32"/>
        </w:rPr>
        <w:t>项目绩效自评得分为</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分（绩效自评表附后）。全年预算数为</w:t>
      </w:r>
      <w:r>
        <w:rPr>
          <w:rFonts w:hint="eastAsia" w:ascii="仿宋_GB2312" w:hAnsi="仿宋_GB2312" w:eastAsia="仿宋_GB2312" w:cs="仿宋_GB2312"/>
          <w:sz w:val="32"/>
          <w:szCs w:val="32"/>
          <w:lang w:val="en-US" w:eastAsia="zh-CN"/>
        </w:rPr>
        <w:t>21.66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21.66</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。项目绩效目标完成情况：</w:t>
      </w:r>
      <w:r>
        <w:rPr>
          <w:rFonts w:hint="eastAsia" w:ascii="仿宋" w:hAnsi="仿宋" w:eastAsia="仿宋" w:cs="仿宋"/>
          <w:sz w:val="32"/>
          <w:szCs w:val="32"/>
        </w:rPr>
        <w:t>通过项目的实施，实现村“两委”干有所酬，退有所养，不断激发村干部的工作热情，充分调动村干部的工作积极性、主动性和创造性；进一步加强和规范正常离任村“两委”正职生活补贴资金管理，为稳定基层干部队伍，切实维护社会稳定，促进社会和谐起到积极作用。</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发现的主要问题及原因：一是在物价水平不断升高的背景下，对比行政事业单位退休人员待遇，正常离任村“两委”正职生活补贴仍然偏低，对没有生活来源的离任村干部，仅凭补贴很难维持正常生活。</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下一步改进措施：除县级财政资金外，乡镇财政要安排更多的资金向正常离任村“两委”正职生活补贴倾斜，提高补贴标准，真正实现村“两委”干部干有所酬，退有所养。</w:t>
      </w:r>
    </w:p>
    <w:p>
      <w:pPr>
        <w:spacing w:line="360" w:lineRule="auto"/>
        <w:ind w:firstLine="640" w:firstLineChars="200"/>
        <w:rPr>
          <w:rFonts w:hint="eastAsia" w:ascii="仿宋" w:hAnsi="仿宋" w:eastAsia="仿宋" w:cs="仿宋"/>
          <w:sz w:val="32"/>
          <w:szCs w:val="32"/>
        </w:rPr>
      </w:pPr>
    </w:p>
    <w:p>
      <w:pPr>
        <w:spacing w:line="360" w:lineRule="auto"/>
        <w:ind w:firstLine="640" w:firstLineChars="200"/>
        <w:rPr>
          <w:rFonts w:hint="eastAsia" w:ascii="仿宋" w:hAnsi="仿宋" w:eastAsia="仿宋" w:cs="仿宋"/>
          <w:sz w:val="32"/>
          <w:szCs w:val="32"/>
        </w:rPr>
      </w:pPr>
    </w:p>
    <w:tbl>
      <w:tblPr>
        <w:tblStyle w:val="6"/>
        <w:tblW w:w="10260" w:type="dxa"/>
        <w:tblInd w:w="0" w:type="dxa"/>
        <w:shd w:val="clear" w:color="auto" w:fill="auto"/>
        <w:tblLayout w:type="autofit"/>
        <w:tblCellMar>
          <w:top w:w="0" w:type="dxa"/>
          <w:left w:w="0" w:type="dxa"/>
          <w:bottom w:w="0" w:type="dxa"/>
          <w:right w:w="0" w:type="dxa"/>
        </w:tblCellMar>
      </w:tblPr>
      <w:tblGrid>
        <w:gridCol w:w="1215"/>
        <w:gridCol w:w="1080"/>
        <w:gridCol w:w="1080"/>
        <w:gridCol w:w="1245"/>
        <w:gridCol w:w="1410"/>
        <w:gridCol w:w="1080"/>
        <w:gridCol w:w="1080"/>
        <w:gridCol w:w="2070"/>
      </w:tblGrid>
      <w:tr>
        <w:tblPrEx>
          <w:shd w:val="clear" w:color="auto" w:fill="auto"/>
          <w:tblCellMar>
            <w:top w:w="0" w:type="dxa"/>
            <w:left w:w="0" w:type="dxa"/>
            <w:bottom w:w="0" w:type="dxa"/>
            <w:right w:w="0" w:type="dxa"/>
          </w:tblCellMar>
        </w:tblPrEx>
        <w:trPr>
          <w:trHeight w:val="510" w:hRule="atLeast"/>
        </w:trPr>
        <w:tc>
          <w:tcPr>
            <w:tcW w:w="10260"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方正小标宋_GBK" w:hAnsi="方正小标宋_GBK" w:eastAsia="方正小标宋_GBK" w:cs="方正小标宋_GBK"/>
                <w:i w:val="0"/>
                <w:color w:val="000000"/>
                <w:sz w:val="40"/>
                <w:szCs w:val="40"/>
                <w:u w:val="none"/>
              </w:rPr>
            </w:pPr>
            <w:r>
              <w:rPr>
                <w:rFonts w:hint="default" w:ascii="方正小标宋_GBK" w:hAnsi="方正小标宋_GBK" w:eastAsia="方正小标宋_GBK" w:cs="方正小标宋_GBK"/>
                <w:i w:val="0"/>
                <w:color w:val="000000"/>
                <w:kern w:val="0"/>
                <w:sz w:val="40"/>
                <w:szCs w:val="40"/>
                <w:u w:val="none"/>
                <w:lang w:val="en-US" w:eastAsia="zh-CN" w:bidi="ar"/>
              </w:rPr>
              <w:t>县级部门预算项目绩效自评表</w:t>
            </w:r>
          </w:p>
        </w:tc>
      </w:tr>
      <w:tr>
        <w:tblPrEx>
          <w:shd w:val="clear" w:color="auto" w:fill="auto"/>
          <w:tblCellMar>
            <w:top w:w="0" w:type="dxa"/>
            <w:left w:w="0" w:type="dxa"/>
            <w:bottom w:w="0" w:type="dxa"/>
            <w:right w:w="0" w:type="dxa"/>
          </w:tblCellMar>
        </w:tblPrEx>
        <w:trPr>
          <w:trHeight w:val="300" w:hRule="atLeast"/>
        </w:trPr>
        <w:tc>
          <w:tcPr>
            <w:tcW w:w="0" w:type="auto"/>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2020 年度）</w:t>
            </w:r>
          </w:p>
        </w:tc>
      </w:tr>
      <w:tr>
        <w:tblPrEx>
          <w:shd w:val="clear" w:color="auto" w:fill="auto"/>
          <w:tblCellMar>
            <w:top w:w="0" w:type="dxa"/>
            <w:left w:w="0" w:type="dxa"/>
            <w:bottom w:w="0" w:type="dxa"/>
            <w:right w:w="0" w:type="dxa"/>
          </w:tblCellMar>
        </w:tblPrEx>
        <w:trPr>
          <w:trHeight w:val="360" w:hRule="atLeast"/>
        </w:trPr>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填报单位：</w:t>
            </w:r>
          </w:p>
        </w:tc>
        <w:tc>
          <w:tcPr>
            <w:tcW w:w="0" w:type="auto"/>
            <w:gridSpan w:val="3"/>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高邑县富村镇人民政府</w:t>
            </w: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金额单位：万元</w:t>
            </w:r>
          </w:p>
        </w:tc>
      </w:tr>
      <w:tr>
        <w:tblPrEx>
          <w:shd w:val="clear" w:color="auto" w:fill="auto"/>
          <w:tblCellMar>
            <w:top w:w="0" w:type="dxa"/>
            <w:left w:w="0" w:type="dxa"/>
            <w:bottom w:w="0" w:type="dxa"/>
            <w:right w:w="0" w:type="dxa"/>
          </w:tblCellMar>
        </w:tblPrEx>
        <w:trPr>
          <w:trHeight w:val="495" w:hRule="atLeast"/>
        </w:trPr>
        <w:tc>
          <w:tcPr>
            <w:tcW w:w="121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Style w:val="11"/>
                <w:lang w:val="en-US" w:eastAsia="zh-CN" w:bidi="ar"/>
              </w:rPr>
              <w:t>一、</w:t>
            </w:r>
            <w:r>
              <w:rPr>
                <w:rStyle w:val="12"/>
                <w:rFonts w:eastAsia="宋体"/>
                <w:lang w:val="en-US" w:eastAsia="zh-CN" w:bidi="ar"/>
              </w:rPr>
              <w:t xml:space="preserve"> </w:t>
            </w:r>
            <w:r>
              <w:rPr>
                <w:rStyle w:val="11"/>
                <w:lang w:val="en-US" w:eastAsia="zh-CN" w:bidi="ar"/>
              </w:rPr>
              <w:t>基本情况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23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离任农村党组织书记生活补贴</w:t>
            </w:r>
          </w:p>
        </w:tc>
        <w:tc>
          <w:tcPr>
            <w:tcW w:w="1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实施(主管）单位</w:t>
            </w:r>
          </w:p>
        </w:tc>
        <w:tc>
          <w:tcPr>
            <w:tcW w:w="42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高邑县富村镇人民政府</w:t>
            </w:r>
          </w:p>
        </w:tc>
      </w:tr>
      <w:tr>
        <w:tblPrEx>
          <w:shd w:val="clear" w:color="auto" w:fill="auto"/>
          <w:tblCellMar>
            <w:top w:w="0" w:type="dxa"/>
            <w:left w:w="0" w:type="dxa"/>
            <w:bottom w:w="0" w:type="dxa"/>
            <w:right w:w="0" w:type="dxa"/>
          </w:tblCellMar>
        </w:tblPrEx>
        <w:trPr>
          <w:trHeight w:val="270" w:hRule="atLeast"/>
        </w:trPr>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二、预算执行情况</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预算安排情况（调整后）</w:t>
            </w:r>
          </w:p>
        </w:tc>
        <w:tc>
          <w:tcPr>
            <w:tcW w:w="26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资金到位情况</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资金执行情况</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预算执行进度</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21.66</w:t>
            </w: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到位数：</w:t>
            </w:r>
          </w:p>
        </w:tc>
        <w:tc>
          <w:tcPr>
            <w:tcW w:w="1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21.66</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21.66</w:t>
            </w:r>
          </w:p>
        </w:tc>
        <w:tc>
          <w:tcPr>
            <w:tcW w:w="207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tblPrEx>
          <w:tblCellMar>
            <w:top w:w="0" w:type="dxa"/>
            <w:left w:w="0" w:type="dxa"/>
            <w:bottom w:w="0" w:type="dxa"/>
            <w:right w:w="0" w:type="dxa"/>
          </w:tblCellMar>
        </w:tblPrEx>
        <w:trPr>
          <w:trHeight w:val="462"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21.66</w:t>
            </w: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21.66</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21.66</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285"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default" w:ascii="Calibri" w:hAnsi="Calibri" w:eastAsia="宋体" w:cs="Calibri"/>
                <w:i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270" w:hRule="atLeast"/>
        </w:trPr>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三、目标完成情况</w:t>
            </w:r>
          </w:p>
        </w:tc>
        <w:tc>
          <w:tcPr>
            <w:tcW w:w="34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年度预期目标</w:t>
            </w:r>
          </w:p>
        </w:tc>
        <w:tc>
          <w:tcPr>
            <w:tcW w:w="35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具体完成情况</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总体完成率</w:t>
            </w:r>
          </w:p>
        </w:tc>
      </w:tr>
      <w:tr>
        <w:tblPrEx>
          <w:shd w:val="clear" w:color="auto" w:fill="auto"/>
          <w:tblCellMar>
            <w:top w:w="0" w:type="dxa"/>
            <w:left w:w="0" w:type="dxa"/>
            <w:bottom w:w="0" w:type="dxa"/>
            <w:right w:w="0" w:type="dxa"/>
          </w:tblCellMar>
        </w:tblPrEx>
        <w:trPr>
          <w:trHeight w:val="12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40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改善补助人们的生活水平，提高生活质量，使个人得到应有的补偿</w:t>
            </w:r>
          </w:p>
        </w:tc>
        <w:tc>
          <w:tcPr>
            <w:tcW w:w="357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完成</w:t>
            </w:r>
          </w:p>
        </w:tc>
        <w:tc>
          <w:tcPr>
            <w:tcW w:w="207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tblPrEx>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40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57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135"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40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57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270" w:hRule="atLeast"/>
        </w:trPr>
        <w:tc>
          <w:tcPr>
            <w:tcW w:w="1215" w:type="dxa"/>
            <w:vMerge w:val="restar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Style w:val="11"/>
                <w:lang w:val="en-US" w:eastAsia="zh-CN" w:bidi="ar"/>
              </w:rPr>
              <w:t>四、</w:t>
            </w:r>
            <w:r>
              <w:rPr>
                <w:rStyle w:val="12"/>
                <w:rFonts w:eastAsia="宋体"/>
                <w:lang w:val="en-US" w:eastAsia="zh-CN" w:bidi="ar"/>
              </w:rPr>
              <w:t xml:space="preserve"> </w:t>
            </w:r>
            <w:r>
              <w:rPr>
                <w:rStyle w:val="11"/>
                <w:lang w:val="en-US" w:eastAsia="zh-CN" w:bidi="ar"/>
              </w:rPr>
              <w:t>年度绩效指标完成情况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26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预期指标值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实际完成值</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自评得分</w:t>
            </w:r>
          </w:p>
        </w:tc>
      </w:tr>
      <w:tr>
        <w:tblPrEx>
          <w:shd w:val="clear" w:color="auto" w:fill="auto"/>
          <w:tblCellMar>
            <w:top w:w="0" w:type="dxa"/>
            <w:left w:w="0" w:type="dxa"/>
            <w:bottom w:w="0" w:type="dxa"/>
            <w:right w:w="0" w:type="dxa"/>
          </w:tblCellMar>
        </w:tblPrEx>
        <w:trPr>
          <w:trHeight w:val="642"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产出指标（40）</w:t>
            </w:r>
          </w:p>
        </w:tc>
        <w:tc>
          <w:tcPr>
            <w:tcW w:w="108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26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补贴人数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85人</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85人</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26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行政村覆盖率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质量指标</w:t>
            </w:r>
          </w:p>
        </w:tc>
        <w:tc>
          <w:tcPr>
            <w:tcW w:w="26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支付工作完成率（%）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r>
      <w:tr>
        <w:tblPrEx>
          <w:shd w:val="clear" w:color="auto" w:fill="auto"/>
          <w:tblCellMar>
            <w:top w:w="0" w:type="dxa"/>
            <w:left w:w="0" w:type="dxa"/>
            <w:bottom w:w="0" w:type="dxa"/>
            <w:right w:w="0" w:type="dxa"/>
          </w:tblCellMar>
        </w:tblPrEx>
        <w:trPr>
          <w:trHeight w:val="42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26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补贴合规率（%）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r>
      <w:tr>
        <w:tblPrEx>
          <w:shd w:val="clear" w:color="auto" w:fill="auto"/>
          <w:tblCellMar>
            <w:top w:w="0" w:type="dxa"/>
            <w:left w:w="0" w:type="dxa"/>
            <w:bottom w:w="0" w:type="dxa"/>
            <w:right w:w="0" w:type="dxa"/>
          </w:tblCellMar>
        </w:tblPrEx>
        <w:trPr>
          <w:trHeight w:val="465"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时效指标</w:t>
            </w:r>
          </w:p>
        </w:tc>
        <w:tc>
          <w:tcPr>
            <w:tcW w:w="26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补贴发放及时率（%）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tblPrEx>
          <w:shd w:val="clear" w:color="auto" w:fill="auto"/>
          <w:tblCellMar>
            <w:top w:w="0" w:type="dxa"/>
            <w:left w:w="0" w:type="dxa"/>
            <w:bottom w:w="0" w:type="dxa"/>
            <w:right w:w="0" w:type="dxa"/>
          </w:tblCellMar>
        </w:tblPrEx>
        <w:trPr>
          <w:trHeight w:val="702"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0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26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tblPrEx>
          <w:shd w:val="clear" w:color="auto" w:fill="auto"/>
          <w:tblCellMar>
            <w:top w:w="0" w:type="dxa"/>
            <w:left w:w="0" w:type="dxa"/>
            <w:bottom w:w="0" w:type="dxa"/>
            <w:right w:w="0" w:type="dxa"/>
          </w:tblCellMar>
        </w:tblPrEx>
        <w:trPr>
          <w:trHeight w:val="57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效果指标（40)</w:t>
            </w:r>
          </w:p>
        </w:tc>
        <w:tc>
          <w:tcPr>
            <w:tcW w:w="108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26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补贴人群生活改善情况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优</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良</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38</w:t>
            </w:r>
          </w:p>
        </w:tc>
      </w:tr>
      <w:tr>
        <w:tblPrEx>
          <w:shd w:val="clear" w:color="auto" w:fill="auto"/>
          <w:tblCellMar>
            <w:top w:w="0" w:type="dxa"/>
            <w:left w:w="0" w:type="dxa"/>
            <w:bottom w:w="0" w:type="dxa"/>
            <w:right w:w="0" w:type="dxa"/>
          </w:tblCellMar>
        </w:tblPrEx>
        <w:trPr>
          <w:trHeight w:val="66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08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p>
        </w:tc>
        <w:tc>
          <w:tcPr>
            <w:tcW w:w="26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补贴对象满意度（%）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697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98</w:t>
            </w:r>
          </w:p>
        </w:tc>
      </w:tr>
      <w:tr>
        <w:tblPrEx>
          <w:shd w:val="clear" w:color="auto" w:fill="auto"/>
          <w:tblCellMar>
            <w:top w:w="0" w:type="dxa"/>
            <w:left w:w="0" w:type="dxa"/>
            <w:bottom w:w="0" w:type="dxa"/>
            <w:right w:w="0" w:type="dxa"/>
          </w:tblCellMar>
        </w:tblPrEx>
        <w:trPr>
          <w:trHeight w:val="735" w:hRule="atLeast"/>
        </w:trPr>
        <w:tc>
          <w:tcPr>
            <w:tcW w:w="121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五、</w:t>
            </w:r>
            <w:r>
              <w:rPr>
                <w:rStyle w:val="12"/>
                <w:rFonts w:eastAsia="宋体"/>
                <w:lang w:val="en-US" w:eastAsia="zh-CN" w:bidi="ar"/>
              </w:rPr>
              <w:t xml:space="preserve"> </w:t>
            </w:r>
            <w:r>
              <w:rPr>
                <w:rStyle w:val="11"/>
                <w:lang w:val="en-US" w:eastAsia="zh-CN" w:bidi="ar"/>
              </w:rPr>
              <w:t>存在问题、原因及下一步整改措施</w:t>
            </w:r>
          </w:p>
        </w:tc>
        <w:tc>
          <w:tcPr>
            <w:tcW w:w="904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存在问题：补贴标准偏低，受益人群生活改善情况不明显。</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建议：需进一步加大补贴力度</w:t>
            </w:r>
          </w:p>
        </w:tc>
      </w:tr>
    </w:tbl>
    <w:p>
      <w:pPr>
        <w:spacing w:line="360" w:lineRule="auto"/>
        <w:ind w:firstLine="640" w:firstLineChars="200"/>
        <w:rPr>
          <w:rFonts w:hint="eastAsia" w:ascii="仿宋" w:hAnsi="仿宋" w:eastAsia="仿宋" w:cs="仿宋"/>
          <w:sz w:val="32"/>
          <w:szCs w:val="32"/>
        </w:rPr>
      </w:pPr>
    </w:p>
    <w:p>
      <w:pPr>
        <w:spacing w:line="360" w:lineRule="auto"/>
        <w:ind w:firstLine="640" w:firstLineChars="200"/>
        <w:rPr>
          <w:rFonts w:hint="eastAsia" w:ascii="仿宋" w:hAnsi="仿宋" w:eastAsia="仿宋" w:cs="仿宋"/>
          <w:sz w:val="32"/>
          <w:szCs w:val="32"/>
        </w:rPr>
      </w:pPr>
    </w:p>
    <w:p>
      <w:pPr>
        <w:spacing w:line="360" w:lineRule="auto"/>
        <w:ind w:firstLine="640" w:firstLineChars="200"/>
        <w:rPr>
          <w:rFonts w:hint="eastAsia" w:ascii="仿宋" w:hAnsi="仿宋" w:eastAsia="仿宋" w:cs="仿宋"/>
          <w:sz w:val="32"/>
          <w:szCs w:val="32"/>
        </w:rPr>
      </w:pPr>
    </w:p>
    <w:p>
      <w:pPr>
        <w:spacing w:line="360" w:lineRule="auto"/>
        <w:ind w:firstLine="640" w:firstLineChars="200"/>
        <w:rPr>
          <w:rFonts w:hint="eastAsia" w:ascii="仿宋" w:hAnsi="仿宋" w:eastAsia="仿宋" w:cs="仿宋"/>
          <w:sz w:val="32"/>
          <w:szCs w:val="32"/>
        </w:rPr>
      </w:pPr>
    </w:p>
    <w:p>
      <w:pPr>
        <w:spacing w:line="360" w:lineRule="auto"/>
        <w:ind w:firstLine="640" w:firstLineChars="200"/>
        <w:rPr>
          <w:rFonts w:hint="eastAsia" w:ascii="仿宋" w:hAnsi="仿宋" w:eastAsia="仿宋" w:cs="仿宋"/>
          <w:sz w:val="32"/>
          <w:szCs w:val="32"/>
        </w:rPr>
      </w:pPr>
    </w:p>
    <w:p>
      <w:pPr>
        <w:spacing w:line="360" w:lineRule="auto"/>
        <w:ind w:firstLine="640" w:firstLineChars="200"/>
        <w:rPr>
          <w:rFonts w:hint="eastAsia" w:ascii="仿宋" w:hAnsi="仿宋" w:eastAsia="仿宋" w:cs="仿宋"/>
          <w:sz w:val="32"/>
          <w:szCs w:val="32"/>
        </w:rPr>
      </w:pPr>
    </w:p>
    <w:p>
      <w:pPr>
        <w:spacing w:line="360" w:lineRule="auto"/>
        <w:rPr>
          <w:rFonts w:hint="eastAsia" w:ascii="仿宋" w:hAnsi="仿宋" w:eastAsia="仿宋" w:cs="仿宋"/>
          <w:sz w:val="32"/>
          <w:szCs w:val="32"/>
        </w:rPr>
      </w:pPr>
    </w:p>
    <w:tbl>
      <w:tblPr>
        <w:tblStyle w:val="6"/>
        <w:tblW w:w="0" w:type="auto"/>
        <w:tblInd w:w="-475" w:type="dxa"/>
        <w:shd w:val="clear" w:color="auto" w:fill="auto"/>
        <w:tblLayout w:type="autofit"/>
        <w:tblCellMar>
          <w:top w:w="0" w:type="dxa"/>
          <w:left w:w="0" w:type="dxa"/>
          <w:bottom w:w="0" w:type="dxa"/>
          <w:right w:w="0" w:type="dxa"/>
        </w:tblCellMar>
      </w:tblPr>
      <w:tblGrid>
        <w:gridCol w:w="2578"/>
        <w:gridCol w:w="910"/>
        <w:gridCol w:w="856"/>
        <w:gridCol w:w="1020"/>
        <w:gridCol w:w="1053"/>
        <w:gridCol w:w="763"/>
        <w:gridCol w:w="894"/>
        <w:gridCol w:w="1239"/>
        <w:gridCol w:w="18"/>
        <w:gridCol w:w="18"/>
      </w:tblGrid>
      <w:tr>
        <w:tblPrEx>
          <w:shd w:val="clear" w:color="auto" w:fill="auto"/>
          <w:tblCellMar>
            <w:top w:w="0" w:type="dxa"/>
            <w:left w:w="0" w:type="dxa"/>
            <w:bottom w:w="0" w:type="dxa"/>
            <w:right w:w="0" w:type="dxa"/>
          </w:tblCellMar>
        </w:tblPrEx>
        <w:trPr>
          <w:trHeight w:val="510" w:hRule="atLeast"/>
        </w:trPr>
        <w:tc>
          <w:tcPr>
            <w:tcW w:w="0" w:type="auto"/>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方正小标宋_GBK" w:hAnsi="方正小标宋_GBK" w:eastAsia="方正小标宋_GBK" w:cs="方正小标宋_GBK"/>
                <w:i w:val="0"/>
                <w:color w:val="000000"/>
                <w:sz w:val="40"/>
                <w:szCs w:val="40"/>
                <w:u w:val="none"/>
                <w:lang w:val="en-US"/>
              </w:rPr>
            </w:pPr>
          </w:p>
        </w:tc>
        <w:tc>
          <w:tcPr>
            <w:tcW w:w="0" w:type="auto"/>
            <w:gridSpan w:val="2"/>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方正小标宋_GBK" w:hAnsi="方正小标宋_GBK" w:eastAsia="方正小标宋_GBK" w:cs="方正小标宋_GBK"/>
                <w:i w:val="0"/>
                <w:color w:val="000000"/>
                <w:kern w:val="0"/>
                <w:sz w:val="40"/>
                <w:szCs w:val="40"/>
                <w:u w:val="none"/>
                <w:lang w:val="en-US" w:eastAsia="zh-CN" w:bidi="ar"/>
              </w:rPr>
            </w:pPr>
          </w:p>
        </w:tc>
      </w:tr>
      <w:tr>
        <w:tblPrEx>
          <w:shd w:val="clear" w:color="auto" w:fill="auto"/>
          <w:tblCellMar>
            <w:top w:w="0" w:type="dxa"/>
            <w:left w:w="0" w:type="dxa"/>
            <w:bottom w:w="0" w:type="dxa"/>
            <w:right w:w="0" w:type="dxa"/>
          </w:tblCellMar>
        </w:tblPrEx>
        <w:trPr>
          <w:trHeight w:val="300" w:hRule="atLeast"/>
        </w:trPr>
        <w:tc>
          <w:tcPr>
            <w:tcW w:w="0" w:type="auto"/>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2020  年度）</w:t>
            </w:r>
          </w:p>
        </w:tc>
        <w:tc>
          <w:tcPr>
            <w:tcW w:w="0" w:type="auto"/>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kern w:val="0"/>
                <w:sz w:val="20"/>
                <w:szCs w:val="20"/>
                <w:u w:val="none"/>
                <w:lang w:val="en-US" w:eastAsia="zh-CN" w:bidi="ar"/>
              </w:rPr>
            </w:pPr>
          </w:p>
        </w:tc>
      </w:tr>
      <w:tr>
        <w:tblPrEx>
          <w:shd w:val="clear" w:color="auto" w:fill="auto"/>
          <w:tblCellMar>
            <w:top w:w="0" w:type="dxa"/>
            <w:left w:w="0" w:type="dxa"/>
            <w:bottom w:w="0" w:type="dxa"/>
            <w:right w:w="0" w:type="dxa"/>
          </w:tblCellMar>
        </w:tblPrEx>
        <w:trPr>
          <w:trHeight w:val="360" w:hRule="atLeast"/>
        </w:trPr>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填报单位：</w:t>
            </w:r>
          </w:p>
        </w:tc>
        <w:tc>
          <w:tcPr>
            <w:tcW w:w="0" w:type="auto"/>
            <w:gridSpan w:val="3"/>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高邑县富村镇人民政府</w:t>
            </w: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金额单位：万元</w:t>
            </w:r>
          </w:p>
        </w:tc>
        <w:tc>
          <w:tcPr>
            <w:tcW w:w="0" w:type="auto"/>
            <w:gridSpan w:val="2"/>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6"/>
                <w:szCs w:val="16"/>
                <w:u w:val="none"/>
                <w:lang w:val="en-US" w:eastAsia="zh-CN" w:bidi="ar"/>
              </w:rPr>
            </w:pPr>
          </w:p>
        </w:tc>
      </w:tr>
      <w:tr>
        <w:tblPrEx>
          <w:shd w:val="clear" w:color="auto" w:fill="auto"/>
          <w:tblCellMar>
            <w:top w:w="0" w:type="dxa"/>
            <w:left w:w="0" w:type="dxa"/>
            <w:bottom w:w="0" w:type="dxa"/>
            <w:right w:w="0" w:type="dxa"/>
          </w:tblCellMar>
        </w:tblPrEx>
        <w:trPr>
          <w:trHeight w:val="495" w:hRule="atLeast"/>
        </w:trPr>
        <w:tc>
          <w:tcPr>
            <w:tcW w:w="0" w:type="auto"/>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Style w:val="13"/>
                <w:lang w:val="en-US" w:eastAsia="zh-CN" w:bidi="ar"/>
              </w:rPr>
              <w:t>一、</w:t>
            </w:r>
            <w:r>
              <w:rPr>
                <w:rStyle w:val="14"/>
                <w:rFonts w:eastAsia="宋体"/>
                <w:lang w:val="en-US" w:eastAsia="zh-CN" w:bidi="ar"/>
              </w:rPr>
              <w:t xml:space="preserve"> </w:t>
            </w:r>
            <w:r>
              <w:rPr>
                <w:rStyle w:val="13"/>
                <w:lang w:val="en-US" w:eastAsia="zh-CN" w:bidi="ar"/>
              </w:rPr>
              <w:t>基本情况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疫情防控一线工作人员补助资金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实施(主管）单位</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高邑县富村镇人民政府</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6"/>
                <w:szCs w:val="16"/>
                <w:u w:val="none"/>
                <w:lang w:val="en-US" w:eastAsia="zh-CN" w:bidi="ar"/>
              </w:rPr>
            </w:pPr>
          </w:p>
        </w:tc>
      </w:tr>
      <w:tr>
        <w:tblPrEx>
          <w:shd w:val="clear" w:color="auto" w:fill="auto"/>
          <w:tblCellMar>
            <w:top w:w="0" w:type="dxa"/>
            <w:left w:w="0" w:type="dxa"/>
            <w:bottom w:w="0" w:type="dxa"/>
            <w:right w:w="0"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二、预算执行情况</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预算安排情况（调整后）</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资金到位情况</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资金执行情况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预算执行进度</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6"/>
                <w:szCs w:val="16"/>
                <w:u w:val="none"/>
                <w:lang w:val="en-US" w:eastAsia="zh-CN" w:bidi="ar"/>
              </w:rPr>
            </w:pPr>
          </w:p>
        </w:tc>
      </w:tr>
      <w:tr>
        <w:tblPrEx>
          <w:shd w:val="clear" w:color="auto" w:fill="auto"/>
          <w:tblCellMar>
            <w:top w:w="0" w:type="dxa"/>
            <w:left w:w="0" w:type="dxa"/>
            <w:bottom w:w="0" w:type="dxa"/>
            <w:right w:w="0"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到位数：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default" w:ascii="Calibri" w:hAnsi="Calibri" w:eastAsia="宋体" w:cs="Calibri"/>
                <w:i w:val="0"/>
                <w:color w:val="000000"/>
                <w:sz w:val="21"/>
                <w:szCs w:val="21"/>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6"/>
                <w:szCs w:val="16"/>
                <w:u w:val="none"/>
                <w:lang w:val="en-US" w:eastAsia="zh-CN" w:bidi="ar"/>
              </w:rPr>
            </w:pPr>
          </w:p>
        </w:tc>
      </w:tr>
      <w:tr>
        <w:tblPrEx>
          <w:shd w:val="clear" w:color="auto" w:fill="auto"/>
          <w:tblCellMar>
            <w:top w:w="0" w:type="dxa"/>
            <w:left w:w="0" w:type="dxa"/>
            <w:bottom w:w="0" w:type="dxa"/>
            <w:right w:w="0" w:type="dxa"/>
          </w:tblCellMar>
        </w:tblPrEx>
        <w:trPr>
          <w:trHeight w:val="46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66.75</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66.75</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66.75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66.75</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66.75</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66.75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三、目标完成情况</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年度预期目标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具体完成情况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总体完成率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6"/>
                <w:szCs w:val="16"/>
                <w:u w:val="none"/>
                <w:lang w:val="en-US" w:eastAsia="zh-CN" w:bidi="ar"/>
              </w:rPr>
            </w:pPr>
          </w:p>
        </w:tc>
      </w:tr>
      <w:tr>
        <w:tblPrEx>
          <w:shd w:val="clear" w:color="auto" w:fill="auto"/>
          <w:tblCellMar>
            <w:top w:w="0" w:type="dxa"/>
            <w:left w:w="0" w:type="dxa"/>
            <w:bottom w:w="0" w:type="dxa"/>
            <w:right w:w="0" w:type="dxa"/>
          </w:tblCellMar>
        </w:tblPrEx>
        <w:trPr>
          <w:trHeight w:val="1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保障疫情防控一线工作人员得到应有的补偿</w:t>
            </w:r>
          </w:p>
        </w:tc>
        <w:tc>
          <w:tcPr>
            <w:tcW w:w="0" w:type="auto"/>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完成</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6"/>
                <w:szCs w:val="16"/>
                <w:u w:val="none"/>
                <w:lang w:val="en-US" w:eastAsia="zh-CN" w:bidi="ar"/>
              </w:rPr>
            </w:pPr>
          </w:p>
        </w:tc>
      </w:tr>
      <w:tr>
        <w:tblPrEx>
          <w:shd w:val="clear" w:color="auto" w:fill="auto"/>
          <w:tblCellMar>
            <w:top w:w="0" w:type="dxa"/>
            <w:left w:w="0" w:type="dxa"/>
            <w:bottom w:w="0" w:type="dxa"/>
            <w:right w:w="0"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13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270" w:hRule="atLeast"/>
        </w:trPr>
        <w:tc>
          <w:tcPr>
            <w:tcW w:w="0" w:type="auto"/>
            <w:vMerge w:val="restar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Style w:val="13"/>
                <w:lang w:val="en-US" w:eastAsia="zh-CN" w:bidi="ar"/>
              </w:rPr>
              <w:t>四、</w:t>
            </w:r>
            <w:r>
              <w:rPr>
                <w:rStyle w:val="14"/>
                <w:rFonts w:eastAsia="宋体"/>
                <w:lang w:val="en-US" w:eastAsia="zh-CN" w:bidi="ar"/>
              </w:rPr>
              <w:t xml:space="preserve"> </w:t>
            </w:r>
            <w:r>
              <w:rPr>
                <w:rStyle w:val="13"/>
                <w:lang w:val="en-US" w:eastAsia="zh-CN" w:bidi="ar"/>
              </w:rPr>
              <w:t>年度绩效指标完成情况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自评得分</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6"/>
                <w:szCs w:val="16"/>
                <w:u w:val="none"/>
                <w:lang w:val="en-US" w:eastAsia="zh-CN" w:bidi="ar"/>
              </w:rPr>
            </w:pPr>
          </w:p>
        </w:tc>
      </w:tr>
      <w:tr>
        <w:tblPrEx>
          <w:shd w:val="clear" w:color="auto" w:fill="auto"/>
          <w:tblCellMar>
            <w:top w:w="0" w:type="dxa"/>
            <w:left w:w="0" w:type="dxa"/>
            <w:bottom w:w="0" w:type="dxa"/>
            <w:right w:w="0" w:type="dxa"/>
          </w:tblCellMar>
        </w:tblPrEx>
        <w:trPr>
          <w:trHeight w:val="642" w:hRule="atLeast"/>
        </w:trPr>
        <w:tc>
          <w:tcPr>
            <w:tcW w:w="0" w:type="auto"/>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产出指标（40）</w:t>
            </w:r>
          </w:p>
        </w:tc>
        <w:tc>
          <w:tcPr>
            <w:tcW w:w="0" w:type="auto"/>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疫情防控人数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399人</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399人</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6"/>
                <w:szCs w:val="16"/>
                <w:u w:val="none"/>
                <w:lang w:val="en-US" w:eastAsia="zh-CN" w:bidi="ar"/>
              </w:rPr>
            </w:pPr>
          </w:p>
        </w:tc>
      </w:tr>
      <w:tr>
        <w:tblPrEx>
          <w:shd w:val="clear" w:color="auto" w:fill="auto"/>
          <w:tblCellMar>
            <w:top w:w="0" w:type="dxa"/>
            <w:left w:w="0" w:type="dxa"/>
            <w:bottom w:w="0" w:type="dxa"/>
            <w:right w:w="0" w:type="dxa"/>
          </w:tblCellMar>
        </w:tblPrEx>
        <w:trPr>
          <w:trHeight w:val="270" w:hRule="atLeast"/>
        </w:trPr>
        <w:tc>
          <w:tcPr>
            <w:tcW w:w="0" w:type="auto"/>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疫情防控的天数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9535天</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9535天</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kern w:val="0"/>
                <w:sz w:val="16"/>
                <w:szCs w:val="16"/>
                <w:u w:val="none"/>
                <w:lang w:val="en-US" w:eastAsia="zh-CN" w:bidi="ar"/>
              </w:rPr>
            </w:pPr>
          </w:p>
        </w:tc>
      </w:tr>
      <w:tr>
        <w:tblPrEx>
          <w:shd w:val="clear" w:color="auto" w:fill="auto"/>
          <w:tblCellMar>
            <w:top w:w="0" w:type="dxa"/>
            <w:left w:w="0" w:type="dxa"/>
            <w:bottom w:w="0" w:type="dxa"/>
            <w:right w:w="0" w:type="dxa"/>
          </w:tblCellMar>
        </w:tblPrEx>
        <w:trPr>
          <w:trHeight w:val="270" w:hRule="atLeast"/>
        </w:trPr>
        <w:tc>
          <w:tcPr>
            <w:tcW w:w="0" w:type="auto"/>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质量指标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补贴合规率（%）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kern w:val="0"/>
                <w:sz w:val="16"/>
                <w:szCs w:val="16"/>
                <w:u w:val="none"/>
                <w:lang w:val="en-US" w:eastAsia="zh-CN" w:bidi="ar"/>
              </w:rPr>
            </w:pPr>
          </w:p>
        </w:tc>
      </w:tr>
      <w:tr>
        <w:tblPrEx>
          <w:shd w:val="clear" w:color="auto" w:fill="auto"/>
          <w:tblCellMar>
            <w:top w:w="0" w:type="dxa"/>
            <w:left w:w="0" w:type="dxa"/>
            <w:bottom w:w="0" w:type="dxa"/>
            <w:right w:w="0" w:type="dxa"/>
          </w:tblCellMar>
        </w:tblPrEx>
        <w:trPr>
          <w:trHeight w:val="270" w:hRule="atLeast"/>
        </w:trPr>
        <w:tc>
          <w:tcPr>
            <w:tcW w:w="0" w:type="auto"/>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时效指标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补贴发放及时率（%）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kern w:val="0"/>
                <w:sz w:val="16"/>
                <w:szCs w:val="16"/>
                <w:u w:val="none"/>
                <w:lang w:val="en-US" w:eastAsia="zh-CN" w:bidi="ar"/>
              </w:rPr>
            </w:pPr>
          </w:p>
        </w:tc>
      </w:tr>
      <w:tr>
        <w:tblPrEx>
          <w:shd w:val="clear" w:color="auto" w:fill="auto"/>
          <w:tblCellMar>
            <w:top w:w="0" w:type="dxa"/>
            <w:left w:w="0" w:type="dxa"/>
            <w:bottom w:w="0" w:type="dxa"/>
            <w:right w:w="0" w:type="dxa"/>
          </w:tblCellMar>
        </w:tblPrEx>
        <w:trPr>
          <w:trHeight w:val="270" w:hRule="atLeast"/>
        </w:trPr>
        <w:tc>
          <w:tcPr>
            <w:tcW w:w="0" w:type="auto"/>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成本指标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发放补贴的成本</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66.75</w:t>
            </w:r>
            <w:r>
              <w:rPr>
                <w:rStyle w:val="13"/>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66.75</w:t>
            </w:r>
            <w:r>
              <w:rPr>
                <w:rStyle w:val="13"/>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kern w:val="0"/>
                <w:sz w:val="16"/>
                <w:szCs w:val="16"/>
                <w:u w:val="none"/>
                <w:lang w:val="en-US" w:eastAsia="zh-CN" w:bidi="ar"/>
              </w:rPr>
            </w:pPr>
          </w:p>
        </w:tc>
      </w:tr>
      <w:tr>
        <w:tblPrEx>
          <w:shd w:val="clear" w:color="auto" w:fill="auto"/>
          <w:tblCellMar>
            <w:top w:w="0" w:type="dxa"/>
            <w:left w:w="0" w:type="dxa"/>
            <w:bottom w:w="0" w:type="dxa"/>
            <w:right w:w="0" w:type="dxa"/>
          </w:tblCellMar>
        </w:tblPrEx>
        <w:trPr>
          <w:trHeight w:val="702" w:hRule="atLeast"/>
        </w:trPr>
        <w:tc>
          <w:tcPr>
            <w:tcW w:w="0" w:type="auto"/>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kern w:val="0"/>
                <w:sz w:val="16"/>
                <w:szCs w:val="16"/>
                <w:u w:val="none"/>
                <w:lang w:val="en-US" w:eastAsia="zh-CN" w:bidi="ar"/>
              </w:rPr>
            </w:pPr>
          </w:p>
        </w:tc>
      </w:tr>
      <w:tr>
        <w:tblPrEx>
          <w:shd w:val="clear" w:color="auto" w:fill="auto"/>
          <w:tblCellMar>
            <w:top w:w="0" w:type="dxa"/>
            <w:left w:w="0" w:type="dxa"/>
            <w:bottom w:w="0" w:type="dxa"/>
            <w:right w:w="0" w:type="dxa"/>
          </w:tblCellMar>
        </w:tblPrEx>
        <w:trPr>
          <w:trHeight w:val="270" w:hRule="atLeast"/>
        </w:trPr>
        <w:tc>
          <w:tcPr>
            <w:tcW w:w="0" w:type="auto"/>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vMerge w:val="restart"/>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效益指标（40）</w:t>
            </w:r>
          </w:p>
        </w:tc>
        <w:tc>
          <w:tcPr>
            <w:tcW w:w="0" w:type="auto"/>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经济效益指标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由于疫情带来的经济效益</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Style w:val="13"/>
                <w:lang w:val="en-US" w:eastAsia="zh-CN" w:bidi="ar"/>
              </w:rPr>
              <w:t>≥</w:t>
            </w:r>
            <w:r>
              <w:rPr>
                <w:rStyle w:val="14"/>
                <w:rFonts w:eastAsia="宋体"/>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Style w:val="13"/>
                <w:lang w:val="en-US" w:eastAsia="zh-CN" w:bidi="ar"/>
              </w:rPr>
              <w:t>≥</w:t>
            </w:r>
            <w:r>
              <w:rPr>
                <w:rStyle w:val="14"/>
                <w:rFonts w:eastAsia="宋体"/>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8</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kern w:val="0"/>
                <w:sz w:val="16"/>
                <w:szCs w:val="16"/>
                <w:u w:val="none"/>
                <w:lang w:val="en-US" w:eastAsia="zh-CN" w:bidi="ar"/>
              </w:rPr>
            </w:pPr>
          </w:p>
        </w:tc>
      </w:tr>
      <w:tr>
        <w:tblPrEx>
          <w:shd w:val="clear" w:color="auto" w:fill="auto"/>
          <w:tblCellMar>
            <w:top w:w="0" w:type="dxa"/>
            <w:left w:w="0" w:type="dxa"/>
            <w:bottom w:w="0" w:type="dxa"/>
            <w:right w:w="0" w:type="dxa"/>
          </w:tblCellMar>
        </w:tblPrEx>
        <w:trPr>
          <w:trHeight w:val="465" w:hRule="atLeast"/>
        </w:trPr>
        <w:tc>
          <w:tcPr>
            <w:tcW w:w="0" w:type="auto"/>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通过疫情防控促进社会稳定，保障人民生命安全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Calibri" w:hAnsi="Calibri" w:eastAsia="宋体" w:cs="Calibri"/>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Calibri" w:hAnsi="Calibri" w:eastAsia="宋体" w:cs="Calibri"/>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kern w:val="0"/>
                <w:sz w:val="16"/>
                <w:szCs w:val="16"/>
                <w:u w:val="none"/>
                <w:lang w:val="en-US" w:eastAsia="zh-CN" w:bidi="ar"/>
              </w:rPr>
            </w:pPr>
          </w:p>
        </w:tc>
      </w:tr>
      <w:tr>
        <w:tblPrEx>
          <w:shd w:val="clear" w:color="auto" w:fill="auto"/>
          <w:tblCellMar>
            <w:top w:w="0" w:type="dxa"/>
            <w:left w:w="0" w:type="dxa"/>
            <w:bottom w:w="0" w:type="dxa"/>
            <w:right w:w="0" w:type="dxa"/>
          </w:tblCellMar>
        </w:tblPrEx>
        <w:trPr>
          <w:trHeight w:val="435" w:hRule="atLeast"/>
        </w:trPr>
        <w:tc>
          <w:tcPr>
            <w:tcW w:w="0" w:type="auto"/>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可持续影响指标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反映我镇基本公共卫生服务的能力和效果</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kern w:val="0"/>
                <w:sz w:val="16"/>
                <w:szCs w:val="16"/>
                <w:u w:val="none"/>
                <w:lang w:val="en-US" w:eastAsia="zh-CN" w:bidi="ar"/>
              </w:rPr>
            </w:pPr>
          </w:p>
        </w:tc>
      </w:tr>
      <w:tr>
        <w:tblPrEx>
          <w:shd w:val="clear" w:color="auto" w:fill="auto"/>
          <w:tblCellMar>
            <w:top w:w="0" w:type="dxa"/>
            <w:left w:w="0" w:type="dxa"/>
            <w:bottom w:w="0" w:type="dxa"/>
            <w:right w:w="0" w:type="dxa"/>
          </w:tblCellMar>
        </w:tblPrEx>
        <w:trPr>
          <w:trHeight w:val="270" w:hRule="atLeast"/>
        </w:trPr>
        <w:tc>
          <w:tcPr>
            <w:tcW w:w="0" w:type="auto"/>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0" w:type="auto"/>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群众对疫情防控工作的整体满意度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kern w:val="0"/>
                <w:sz w:val="16"/>
                <w:szCs w:val="16"/>
                <w:u w:val="none"/>
                <w:lang w:val="en-US" w:eastAsia="zh-CN" w:bidi="ar"/>
              </w:rPr>
            </w:pPr>
          </w:p>
        </w:tc>
      </w:tr>
      <w:tr>
        <w:tblPrEx>
          <w:shd w:val="clear" w:color="auto" w:fill="auto"/>
          <w:tblCellMar>
            <w:top w:w="0" w:type="dxa"/>
            <w:left w:w="0" w:type="dxa"/>
            <w:bottom w:w="0" w:type="dxa"/>
            <w:right w:w="0" w:type="dxa"/>
          </w:tblCellMar>
        </w:tblPrEx>
        <w:trPr>
          <w:trHeight w:val="285" w:hRule="atLeast"/>
        </w:trPr>
        <w:tc>
          <w:tcPr>
            <w:tcW w:w="0" w:type="auto"/>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21"/>
                <w:szCs w:val="21"/>
                <w:u w:val="none"/>
              </w:rPr>
            </w:pPr>
            <w:r>
              <w:rPr>
                <w:rFonts w:hint="default" w:ascii="Calibri" w:hAnsi="Calibri" w:eastAsia="宋体" w:cs="Calibri"/>
                <w:i w:val="0"/>
                <w:color w:val="000000"/>
                <w:kern w:val="0"/>
                <w:sz w:val="21"/>
                <w:szCs w:val="21"/>
                <w:u w:val="none"/>
                <w:lang w:val="en-US" w:eastAsia="zh-CN" w:bidi="ar"/>
              </w:rPr>
              <w:t>98</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p>
        </w:tc>
      </w:tr>
      <w:tr>
        <w:tblPrEx>
          <w:shd w:val="clear" w:color="auto" w:fill="auto"/>
          <w:tblCellMar>
            <w:top w:w="0" w:type="dxa"/>
            <w:left w:w="0" w:type="dxa"/>
            <w:bottom w:w="0" w:type="dxa"/>
            <w:right w:w="0" w:type="dxa"/>
          </w:tblCellMar>
        </w:tblPrEx>
        <w:trPr>
          <w:trHeight w:val="735" w:hRule="atLeast"/>
        </w:trPr>
        <w:tc>
          <w:tcPr>
            <w:tcW w:w="0" w:type="auto"/>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五、</w:t>
            </w:r>
            <w:r>
              <w:rPr>
                <w:rStyle w:val="14"/>
                <w:rFonts w:eastAsia="宋体"/>
                <w:lang w:val="en-US" w:eastAsia="zh-CN" w:bidi="ar"/>
              </w:rPr>
              <w:t xml:space="preserve"> </w:t>
            </w:r>
            <w:r>
              <w:rPr>
                <w:rStyle w:val="13"/>
                <w:lang w:val="en-US" w:eastAsia="zh-CN" w:bidi="ar"/>
              </w:rPr>
              <w:t>存在问题、原因及下一步整改措施</w:t>
            </w:r>
          </w:p>
        </w:tc>
        <w:tc>
          <w:tcPr>
            <w:tcW w:w="0" w:type="auto"/>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存在问题：补贴标准偏低，收益人群生活改善不明显。                                                         建议：需进一步加大补贴标准。</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p>
        </w:tc>
      </w:tr>
      <w:tr>
        <w:tblPrEx>
          <w:shd w:val="clear" w:color="auto" w:fill="auto"/>
          <w:tblCellMar>
            <w:top w:w="0" w:type="dxa"/>
            <w:left w:w="0" w:type="dxa"/>
            <w:bottom w:w="0" w:type="dxa"/>
            <w:right w:w="0" w:type="dxa"/>
          </w:tblCellMar>
        </w:tblPrEx>
        <w:trPr>
          <w:trHeight w:val="270" w:hRule="atLeast"/>
        </w:trPr>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填报人：</w:t>
            </w:r>
          </w:p>
        </w:tc>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崔俊爱</w:t>
            </w: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联系电话：</w:t>
            </w:r>
          </w:p>
        </w:tc>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13739718133</w:t>
            </w:r>
          </w:p>
        </w:tc>
        <w:tc>
          <w:tcPr>
            <w:tcW w:w="0" w:type="auto"/>
            <w:gridSpan w:val="2"/>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6"/>
                <w:szCs w:val="16"/>
                <w:u w:val="none"/>
                <w:lang w:val="en-US" w:eastAsia="zh-CN" w:bidi="ar"/>
              </w:rPr>
            </w:pPr>
          </w:p>
        </w:tc>
      </w:tr>
      <w:tr>
        <w:tblPrEx>
          <w:shd w:val="clear" w:color="auto" w:fill="auto"/>
          <w:tblCellMar>
            <w:top w:w="0" w:type="dxa"/>
            <w:left w:w="0" w:type="dxa"/>
            <w:bottom w:w="0" w:type="dxa"/>
            <w:right w:w="0" w:type="dxa"/>
          </w:tblCellMar>
        </w:tblPrEx>
        <w:trPr>
          <w:gridAfter w:val="1"/>
          <w:wAfter w:w="0" w:type="auto"/>
          <w:trHeight w:val="2218" w:hRule="atLeast"/>
        </w:trPr>
        <w:tc>
          <w:tcPr>
            <w:tcW w:w="0" w:type="auto"/>
            <w:gridSpan w:val="9"/>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方正小标宋_GBK" w:hAnsi="方正小标宋_GBK" w:eastAsia="方正小标宋_GBK" w:cs="方正小标宋_GBK"/>
                <w:i w:val="0"/>
                <w:color w:val="000000"/>
                <w:sz w:val="40"/>
                <w:szCs w:val="40"/>
                <w:u w:val="none"/>
              </w:rPr>
            </w:pPr>
            <w:r>
              <w:rPr>
                <w:rFonts w:hint="default" w:ascii="方正小标宋_GBK" w:hAnsi="方正小标宋_GBK" w:eastAsia="方正小标宋_GBK" w:cs="方正小标宋_GBK"/>
                <w:i w:val="0"/>
                <w:color w:val="000000"/>
                <w:kern w:val="0"/>
                <w:sz w:val="40"/>
                <w:szCs w:val="40"/>
                <w:u w:val="none"/>
                <w:lang w:val="en-US" w:eastAsia="zh-CN" w:bidi="ar"/>
              </w:rPr>
              <w:t>县级部门预算项目绩效自评表</w:t>
            </w:r>
          </w:p>
        </w:tc>
      </w:tr>
      <w:tr>
        <w:tblPrEx>
          <w:shd w:val="clear" w:color="auto" w:fill="auto"/>
          <w:tblCellMar>
            <w:top w:w="0" w:type="dxa"/>
            <w:left w:w="0" w:type="dxa"/>
            <w:bottom w:w="0" w:type="dxa"/>
            <w:right w:w="0" w:type="dxa"/>
          </w:tblCellMar>
        </w:tblPrEx>
        <w:trPr>
          <w:gridAfter w:val="1"/>
          <w:wAfter w:w="0" w:type="auto"/>
          <w:trHeight w:val="300" w:hRule="atLeast"/>
        </w:trPr>
        <w:tc>
          <w:tcPr>
            <w:tcW w:w="0" w:type="auto"/>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2020   年度）</w:t>
            </w:r>
          </w:p>
        </w:tc>
      </w:tr>
      <w:tr>
        <w:tblPrEx>
          <w:shd w:val="clear" w:color="auto" w:fill="auto"/>
          <w:tblCellMar>
            <w:top w:w="0" w:type="dxa"/>
            <w:left w:w="0" w:type="dxa"/>
            <w:bottom w:w="0" w:type="dxa"/>
            <w:right w:w="0" w:type="dxa"/>
          </w:tblCellMar>
        </w:tblPrEx>
        <w:trPr>
          <w:gridAfter w:val="1"/>
          <w:wAfter w:w="0" w:type="auto"/>
          <w:trHeight w:val="360" w:hRule="atLeast"/>
        </w:trPr>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填报单位：高邑县富村镇人民政府</w:t>
            </w: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gridSpan w:val="2"/>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金额单位：万元</w:t>
            </w:r>
          </w:p>
        </w:tc>
      </w:tr>
      <w:tr>
        <w:tblPrEx>
          <w:shd w:val="clear" w:color="auto" w:fill="auto"/>
          <w:tblCellMar>
            <w:top w:w="0" w:type="dxa"/>
            <w:left w:w="0" w:type="dxa"/>
            <w:bottom w:w="0" w:type="dxa"/>
            <w:right w:w="0" w:type="dxa"/>
          </w:tblCellMar>
        </w:tblPrEx>
        <w:trPr>
          <w:gridAfter w:val="1"/>
          <w:wAfter w:w="0" w:type="auto"/>
          <w:trHeight w:val="495" w:hRule="atLeast"/>
        </w:trPr>
        <w:tc>
          <w:tcPr>
            <w:tcW w:w="0" w:type="auto"/>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Style w:val="15"/>
                <w:lang w:val="en-US" w:eastAsia="zh-CN" w:bidi="ar"/>
              </w:rPr>
              <w:t>一、</w:t>
            </w:r>
            <w:r>
              <w:rPr>
                <w:rFonts w:ascii="Calibri" w:hAnsi="Calibri" w:eastAsia="宋体" w:cs="Calibri"/>
                <w:i w:val="0"/>
                <w:color w:val="000000"/>
                <w:kern w:val="0"/>
                <w:sz w:val="16"/>
                <w:szCs w:val="16"/>
                <w:u w:val="none"/>
                <w:lang w:val="en-US" w:eastAsia="zh-CN" w:bidi="ar"/>
              </w:rPr>
              <w:t xml:space="preserve"> </w:t>
            </w:r>
            <w:r>
              <w:rPr>
                <w:rStyle w:val="15"/>
                <w:lang w:val="en-US" w:eastAsia="zh-CN" w:bidi="ar"/>
              </w:rPr>
              <w:t>基本情况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实施(主管）单位</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高邑县富村镇人民政府</w:t>
            </w:r>
          </w:p>
        </w:tc>
      </w:tr>
      <w:tr>
        <w:tblPrEx>
          <w:shd w:val="clear" w:color="auto" w:fill="auto"/>
          <w:tblCellMar>
            <w:top w:w="0" w:type="dxa"/>
            <w:left w:w="0" w:type="dxa"/>
            <w:bottom w:w="0" w:type="dxa"/>
            <w:right w:w="0" w:type="dxa"/>
          </w:tblCellMar>
        </w:tblPrEx>
        <w:trPr>
          <w:gridAfter w:val="1"/>
          <w:wAfter w:w="0" w:type="auto"/>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二、预算执行情况</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预算安排情况（调整后）</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资金到位情况</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资金执行情况</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预算执行进度</w:t>
            </w:r>
          </w:p>
        </w:tc>
      </w:tr>
      <w:tr>
        <w:tblPrEx>
          <w:shd w:val="clear" w:color="auto" w:fill="auto"/>
          <w:tblCellMar>
            <w:top w:w="0" w:type="dxa"/>
            <w:left w:w="0" w:type="dxa"/>
            <w:bottom w:w="0" w:type="dxa"/>
            <w:right w:w="0" w:type="dxa"/>
          </w:tblCellMar>
        </w:tblPrEx>
        <w:trPr>
          <w:gridAfter w:val="1"/>
          <w:wAfter w:w="0" w:type="auto"/>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到位数：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40</w:t>
            </w: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tblPrEx>
          <w:shd w:val="clear" w:color="auto" w:fill="auto"/>
          <w:tblCellMar>
            <w:top w:w="0" w:type="dxa"/>
            <w:left w:w="0" w:type="dxa"/>
            <w:bottom w:w="0" w:type="dxa"/>
            <w:right w:w="0" w:type="dxa"/>
          </w:tblCellMar>
        </w:tblPrEx>
        <w:trPr>
          <w:gridAfter w:val="1"/>
          <w:wAfter w:w="0" w:type="auto"/>
          <w:trHeight w:val="46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40</w:t>
            </w: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gridAfter w:val="1"/>
          <w:wAfter w:w="0" w:type="auto"/>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default" w:ascii="Calibri" w:hAnsi="Calibri" w:eastAsia="宋体" w:cs="Calibri"/>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gridAfter w:val="1"/>
          <w:wAfter w:w="0" w:type="auto"/>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三、目标完成情况</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年度预期目标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具体完成情况</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总体完成率</w:t>
            </w:r>
          </w:p>
        </w:tc>
      </w:tr>
      <w:tr>
        <w:tblPrEx>
          <w:shd w:val="clear" w:color="auto" w:fill="auto"/>
          <w:tblCellMar>
            <w:top w:w="0" w:type="dxa"/>
            <w:left w:w="0" w:type="dxa"/>
            <w:bottom w:w="0" w:type="dxa"/>
            <w:right w:w="0" w:type="dxa"/>
          </w:tblCellMar>
        </w:tblPrEx>
        <w:trPr>
          <w:gridAfter w:val="1"/>
          <w:wAfter w:w="0" w:type="auto"/>
          <w:trHeight w:val="1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加强鞋业小镇基础设施建设</w:t>
            </w:r>
          </w:p>
        </w:tc>
        <w:tc>
          <w:tcPr>
            <w:tcW w:w="0" w:type="auto"/>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完成情况一般</w:t>
            </w: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82%</w:t>
            </w:r>
          </w:p>
        </w:tc>
      </w:tr>
      <w:tr>
        <w:tblPrEx>
          <w:shd w:val="clear" w:color="auto" w:fill="auto"/>
          <w:tblCellMar>
            <w:top w:w="0" w:type="dxa"/>
            <w:left w:w="0" w:type="dxa"/>
            <w:bottom w:w="0" w:type="dxa"/>
            <w:right w:w="0" w:type="dxa"/>
          </w:tblCellMar>
        </w:tblPrEx>
        <w:trPr>
          <w:gridAfter w:val="1"/>
          <w:wAfter w:w="0" w:type="auto"/>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gridAfter w:val="1"/>
          <w:wAfter w:w="0" w:type="auto"/>
          <w:trHeight w:val="13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gridAfter w:val="1"/>
          <w:wAfter w:w="0" w:type="auto"/>
          <w:trHeight w:val="270" w:hRule="atLeast"/>
        </w:trPr>
        <w:tc>
          <w:tcPr>
            <w:tcW w:w="0" w:type="auto"/>
            <w:vMerge w:val="restar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Style w:val="15"/>
                <w:lang w:val="en-US" w:eastAsia="zh-CN" w:bidi="ar"/>
              </w:rPr>
              <w:t>四、</w:t>
            </w:r>
            <w:r>
              <w:rPr>
                <w:rFonts w:ascii="Calibri" w:hAnsi="Calibri" w:eastAsia="宋体" w:cs="Calibri"/>
                <w:i w:val="0"/>
                <w:color w:val="000000"/>
                <w:kern w:val="0"/>
                <w:sz w:val="16"/>
                <w:szCs w:val="16"/>
                <w:u w:val="none"/>
                <w:lang w:val="en-US" w:eastAsia="zh-CN" w:bidi="ar"/>
              </w:rPr>
              <w:t xml:space="preserve"> </w:t>
            </w:r>
            <w:r>
              <w:rPr>
                <w:rStyle w:val="15"/>
                <w:lang w:val="en-US" w:eastAsia="zh-CN" w:bidi="ar"/>
              </w:rPr>
              <w:t>年度绩效指标完成情况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0" w:type="auto"/>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实际完成值</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自评得分</w:t>
            </w:r>
          </w:p>
        </w:tc>
      </w:tr>
      <w:tr>
        <w:tblPrEx>
          <w:shd w:val="clear" w:color="auto" w:fill="auto"/>
          <w:tblCellMar>
            <w:top w:w="0" w:type="dxa"/>
            <w:left w:w="0" w:type="dxa"/>
            <w:bottom w:w="0" w:type="dxa"/>
            <w:right w:w="0" w:type="dxa"/>
          </w:tblCellMar>
        </w:tblPrEx>
        <w:trPr>
          <w:gridAfter w:val="1"/>
          <w:wAfter w:w="0" w:type="auto"/>
          <w:trHeight w:val="642" w:hRule="atLeast"/>
        </w:trPr>
        <w:tc>
          <w:tcPr>
            <w:tcW w:w="0" w:type="auto"/>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vMerge w:val="restart"/>
            <w:tcBorders>
              <w:top w:val="single" w:color="000000" w:sz="4" w:space="0"/>
              <w:left w:val="single" w:color="000000" w:sz="4" w:space="0"/>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产出指标（40）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0" w:type="auto"/>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覆盖鞋业小镇的个数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w:t>
            </w:r>
          </w:p>
        </w:tc>
      </w:tr>
      <w:tr>
        <w:tblPrEx>
          <w:shd w:val="clear" w:color="auto" w:fill="auto"/>
          <w:tblCellMar>
            <w:top w:w="0" w:type="dxa"/>
            <w:left w:w="0" w:type="dxa"/>
            <w:bottom w:w="0" w:type="dxa"/>
            <w:right w:w="0" w:type="dxa"/>
          </w:tblCellMar>
        </w:tblPrEx>
        <w:trPr>
          <w:gridAfter w:val="1"/>
          <w:wAfter w:w="0" w:type="auto"/>
          <w:trHeight w:val="499" w:hRule="atLeast"/>
        </w:trPr>
        <w:tc>
          <w:tcPr>
            <w:tcW w:w="0" w:type="auto"/>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vMerge w:val="continue"/>
            <w:tcBorders>
              <w:top w:val="single" w:color="000000" w:sz="4" w:space="0"/>
              <w:left w:val="single" w:color="000000" w:sz="4" w:space="0"/>
              <w:bottom w:val="nil"/>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质量指标</w:t>
            </w:r>
          </w:p>
        </w:tc>
        <w:tc>
          <w:tcPr>
            <w:tcW w:w="0" w:type="auto"/>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基础设施完成率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70%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17</w:t>
            </w:r>
          </w:p>
        </w:tc>
      </w:tr>
      <w:tr>
        <w:tblPrEx>
          <w:shd w:val="clear" w:color="auto" w:fill="auto"/>
          <w:tblCellMar>
            <w:top w:w="0" w:type="dxa"/>
            <w:left w:w="0" w:type="dxa"/>
            <w:bottom w:w="0" w:type="dxa"/>
            <w:right w:w="0" w:type="dxa"/>
          </w:tblCellMar>
        </w:tblPrEx>
        <w:trPr>
          <w:gridAfter w:val="1"/>
          <w:wAfter w:w="0" w:type="auto"/>
          <w:trHeight w:val="702" w:hRule="atLeast"/>
        </w:trPr>
        <w:tc>
          <w:tcPr>
            <w:tcW w:w="0" w:type="auto"/>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0" w:type="auto"/>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w:t>
            </w:r>
          </w:p>
        </w:tc>
      </w:tr>
      <w:tr>
        <w:tblPrEx>
          <w:shd w:val="clear" w:color="auto" w:fill="auto"/>
          <w:tblCellMar>
            <w:top w:w="0" w:type="dxa"/>
            <w:left w:w="0" w:type="dxa"/>
            <w:bottom w:w="0" w:type="dxa"/>
            <w:right w:w="0" w:type="dxa"/>
          </w:tblCellMar>
        </w:tblPrEx>
        <w:trPr>
          <w:gridAfter w:val="1"/>
          <w:wAfter w:w="0" w:type="auto"/>
          <w:trHeight w:val="822" w:hRule="atLeast"/>
        </w:trPr>
        <w:tc>
          <w:tcPr>
            <w:tcW w:w="0" w:type="auto"/>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vMerge w:val="restart"/>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效益指标（40）</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改善农村生活环境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优</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良</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20</w:t>
            </w:r>
          </w:p>
        </w:tc>
      </w:tr>
      <w:tr>
        <w:tblPrEx>
          <w:shd w:val="clear" w:color="auto" w:fill="auto"/>
          <w:tblCellMar>
            <w:top w:w="0" w:type="dxa"/>
            <w:left w:w="0" w:type="dxa"/>
            <w:bottom w:w="0" w:type="dxa"/>
            <w:right w:w="0" w:type="dxa"/>
          </w:tblCellMar>
        </w:tblPrEx>
        <w:trPr>
          <w:gridAfter w:val="1"/>
          <w:wAfter w:w="0" w:type="auto"/>
          <w:trHeight w:val="822" w:hRule="atLeast"/>
        </w:trPr>
        <w:tc>
          <w:tcPr>
            <w:tcW w:w="0" w:type="auto"/>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经济效益指标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促进农村经济发展情况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优</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良</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20</w:t>
            </w:r>
          </w:p>
        </w:tc>
      </w:tr>
      <w:tr>
        <w:tblPrEx>
          <w:shd w:val="clear" w:color="auto" w:fill="auto"/>
          <w:tblCellMar>
            <w:top w:w="0" w:type="dxa"/>
            <w:left w:w="0" w:type="dxa"/>
            <w:bottom w:w="0" w:type="dxa"/>
            <w:right w:w="0" w:type="dxa"/>
          </w:tblCellMar>
        </w:tblPrEx>
        <w:trPr>
          <w:gridAfter w:val="1"/>
          <w:wAfter w:w="0" w:type="auto"/>
          <w:trHeight w:val="900" w:hRule="atLeast"/>
        </w:trPr>
        <w:tc>
          <w:tcPr>
            <w:tcW w:w="0" w:type="auto"/>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0" w:type="auto"/>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受益群众满意度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60%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9</w:t>
            </w:r>
          </w:p>
        </w:tc>
      </w:tr>
      <w:tr>
        <w:tblPrEx>
          <w:tblCellMar>
            <w:top w:w="0" w:type="dxa"/>
            <w:left w:w="0" w:type="dxa"/>
            <w:bottom w:w="0" w:type="dxa"/>
            <w:right w:w="0" w:type="dxa"/>
          </w:tblCellMar>
        </w:tblPrEx>
        <w:trPr>
          <w:gridAfter w:val="1"/>
          <w:wAfter w:w="0" w:type="auto"/>
          <w:trHeight w:val="270" w:hRule="atLeast"/>
        </w:trPr>
        <w:tc>
          <w:tcPr>
            <w:tcW w:w="0" w:type="auto"/>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96</w:t>
            </w:r>
          </w:p>
        </w:tc>
      </w:tr>
      <w:tr>
        <w:tblPrEx>
          <w:shd w:val="clear" w:color="auto" w:fill="auto"/>
          <w:tblCellMar>
            <w:top w:w="0" w:type="dxa"/>
            <w:left w:w="0" w:type="dxa"/>
            <w:bottom w:w="0" w:type="dxa"/>
            <w:right w:w="0" w:type="dxa"/>
          </w:tblCellMar>
        </w:tblPrEx>
        <w:trPr>
          <w:gridAfter w:val="1"/>
          <w:wAfter w:w="0" w:type="auto"/>
          <w:trHeight w:val="735" w:hRule="atLeast"/>
        </w:trPr>
        <w:tc>
          <w:tcPr>
            <w:tcW w:w="0" w:type="auto"/>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五、</w:t>
            </w:r>
            <w:r>
              <w:rPr>
                <w:rFonts w:ascii="Calibri" w:hAnsi="Calibri" w:eastAsia="宋体" w:cs="Calibri"/>
                <w:i w:val="0"/>
                <w:color w:val="000000"/>
                <w:kern w:val="0"/>
                <w:sz w:val="16"/>
                <w:szCs w:val="16"/>
                <w:u w:val="none"/>
                <w:lang w:val="en-US" w:eastAsia="zh-CN" w:bidi="ar"/>
              </w:rPr>
              <w:t xml:space="preserve"> </w:t>
            </w:r>
            <w:r>
              <w:rPr>
                <w:rStyle w:val="15"/>
                <w:lang w:val="en-US" w:eastAsia="zh-CN" w:bidi="ar"/>
              </w:rPr>
              <w:t>存在问题、原因及下一步整改措施</w:t>
            </w:r>
          </w:p>
        </w:tc>
        <w:tc>
          <w:tcPr>
            <w:tcW w:w="0" w:type="auto"/>
            <w:gridSpan w:val="8"/>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基础设施建设未按照预期完成</w:t>
            </w:r>
          </w:p>
        </w:tc>
      </w:tr>
      <w:tr>
        <w:tblPrEx>
          <w:shd w:val="clear" w:color="auto" w:fill="auto"/>
          <w:tblCellMar>
            <w:top w:w="0" w:type="dxa"/>
            <w:left w:w="0" w:type="dxa"/>
            <w:bottom w:w="0" w:type="dxa"/>
            <w:right w:w="0" w:type="dxa"/>
          </w:tblCellMar>
        </w:tblPrEx>
        <w:trPr>
          <w:gridAfter w:val="1"/>
          <w:wAfter w:w="0" w:type="auto"/>
          <w:trHeight w:val="270" w:hRule="atLeast"/>
        </w:trPr>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填报人：</w:t>
            </w:r>
          </w:p>
        </w:tc>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崔俊爱</w:t>
            </w: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联系电话：</w:t>
            </w:r>
          </w:p>
        </w:tc>
        <w:tc>
          <w:tcPr>
            <w:tcW w:w="0" w:type="auto"/>
            <w:gridSpan w:val="2"/>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13739718133</w:t>
            </w:r>
          </w:p>
        </w:tc>
      </w:tr>
    </w:tbl>
    <w:p>
      <w:pPr>
        <w:spacing w:line="360" w:lineRule="auto"/>
        <w:rPr>
          <w:rFonts w:hint="eastAsia" w:ascii="仿宋" w:hAnsi="仿宋" w:eastAsia="仿宋" w:cs="仿宋"/>
          <w:sz w:val="32"/>
          <w:szCs w:val="32"/>
        </w:rPr>
      </w:pPr>
    </w:p>
    <w:p>
      <w:pPr>
        <w:spacing w:line="360" w:lineRule="auto"/>
        <w:ind w:firstLine="640" w:firstLineChars="200"/>
        <w:rPr>
          <w:rFonts w:hint="eastAsia" w:ascii="仿宋" w:hAnsi="仿宋" w:eastAsia="仿宋" w:cs="仿宋"/>
          <w:sz w:val="32"/>
          <w:szCs w:val="32"/>
        </w:rPr>
      </w:pPr>
    </w:p>
    <w:p>
      <w:pPr>
        <w:spacing w:line="360" w:lineRule="auto"/>
        <w:ind w:firstLine="640" w:firstLineChars="200"/>
        <w:rPr>
          <w:rFonts w:hint="eastAsia" w:ascii="仿宋" w:hAnsi="仿宋" w:eastAsia="仿宋" w:cs="仿宋"/>
          <w:sz w:val="32"/>
          <w:szCs w:val="32"/>
        </w:rPr>
      </w:pPr>
    </w:p>
    <w:tbl>
      <w:tblPr>
        <w:tblStyle w:val="6"/>
        <w:tblW w:w="9255" w:type="dxa"/>
        <w:tblInd w:w="0" w:type="dxa"/>
        <w:shd w:val="clear" w:color="auto" w:fill="auto"/>
        <w:tblLayout w:type="autofit"/>
        <w:tblCellMar>
          <w:top w:w="0" w:type="dxa"/>
          <w:left w:w="0" w:type="dxa"/>
          <w:bottom w:w="0" w:type="dxa"/>
          <w:right w:w="0" w:type="dxa"/>
        </w:tblCellMar>
      </w:tblPr>
      <w:tblGrid>
        <w:gridCol w:w="1215"/>
        <w:gridCol w:w="1080"/>
        <w:gridCol w:w="1080"/>
        <w:gridCol w:w="1245"/>
        <w:gridCol w:w="960"/>
        <w:gridCol w:w="1080"/>
        <w:gridCol w:w="1080"/>
        <w:gridCol w:w="1515"/>
      </w:tblGrid>
      <w:tr>
        <w:tblPrEx>
          <w:shd w:val="clear" w:color="auto" w:fill="auto"/>
          <w:tblCellMar>
            <w:top w:w="0" w:type="dxa"/>
            <w:left w:w="0" w:type="dxa"/>
            <w:bottom w:w="0" w:type="dxa"/>
            <w:right w:w="0" w:type="dxa"/>
          </w:tblCellMar>
        </w:tblPrEx>
        <w:trPr>
          <w:trHeight w:val="510" w:hRule="atLeast"/>
        </w:trPr>
        <w:tc>
          <w:tcPr>
            <w:tcW w:w="9255"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方正小标宋_GBK" w:hAnsi="方正小标宋_GBK" w:eastAsia="方正小标宋_GBK" w:cs="方正小标宋_GBK"/>
                <w:i w:val="0"/>
                <w:color w:val="000000"/>
                <w:sz w:val="40"/>
                <w:szCs w:val="40"/>
                <w:u w:val="none"/>
              </w:rPr>
            </w:pPr>
            <w:r>
              <w:rPr>
                <w:rFonts w:hint="default" w:ascii="方正小标宋_GBK" w:hAnsi="方正小标宋_GBK" w:eastAsia="方正小标宋_GBK" w:cs="方正小标宋_GBK"/>
                <w:i w:val="0"/>
                <w:color w:val="000000"/>
                <w:kern w:val="0"/>
                <w:sz w:val="40"/>
                <w:szCs w:val="40"/>
                <w:u w:val="none"/>
                <w:lang w:val="en-US" w:eastAsia="zh-CN" w:bidi="ar"/>
              </w:rPr>
              <w:t>县级部门预算项目绩效自评表</w:t>
            </w:r>
          </w:p>
        </w:tc>
      </w:tr>
      <w:tr>
        <w:tblPrEx>
          <w:shd w:val="clear" w:color="auto" w:fill="auto"/>
          <w:tblCellMar>
            <w:top w:w="0" w:type="dxa"/>
            <w:left w:w="0" w:type="dxa"/>
            <w:bottom w:w="0" w:type="dxa"/>
            <w:right w:w="0" w:type="dxa"/>
          </w:tblCellMar>
        </w:tblPrEx>
        <w:trPr>
          <w:trHeight w:val="300" w:hRule="atLeast"/>
        </w:trPr>
        <w:tc>
          <w:tcPr>
            <w:tcW w:w="0" w:type="auto"/>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2020 年度）</w:t>
            </w:r>
          </w:p>
        </w:tc>
      </w:tr>
      <w:tr>
        <w:tblPrEx>
          <w:shd w:val="clear" w:color="auto" w:fill="auto"/>
          <w:tblCellMar>
            <w:top w:w="0" w:type="dxa"/>
            <w:left w:w="0" w:type="dxa"/>
            <w:bottom w:w="0" w:type="dxa"/>
            <w:right w:w="0" w:type="dxa"/>
          </w:tblCellMar>
        </w:tblPrEx>
        <w:trPr>
          <w:trHeight w:val="360" w:hRule="atLeast"/>
        </w:trPr>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填报单位：</w:t>
            </w:r>
          </w:p>
        </w:tc>
        <w:tc>
          <w:tcPr>
            <w:tcW w:w="0" w:type="auto"/>
            <w:gridSpan w:val="3"/>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高邑县富村镇人民政府</w:t>
            </w: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金额单位：万元</w:t>
            </w:r>
          </w:p>
        </w:tc>
      </w:tr>
      <w:tr>
        <w:tblPrEx>
          <w:shd w:val="clear" w:color="auto" w:fill="auto"/>
          <w:tblCellMar>
            <w:top w:w="0" w:type="dxa"/>
            <w:left w:w="0" w:type="dxa"/>
            <w:bottom w:w="0" w:type="dxa"/>
            <w:right w:w="0" w:type="dxa"/>
          </w:tblCellMar>
        </w:tblPrEx>
        <w:trPr>
          <w:trHeight w:val="495" w:hRule="atLeast"/>
        </w:trPr>
        <w:tc>
          <w:tcPr>
            <w:tcW w:w="121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基本情况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23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土地卫片整治</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实施(主管）单位</w:t>
            </w:r>
          </w:p>
        </w:tc>
        <w:tc>
          <w:tcPr>
            <w:tcW w:w="36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高邑县富村镇人民政府</w:t>
            </w:r>
          </w:p>
        </w:tc>
      </w:tr>
      <w:tr>
        <w:tblPrEx>
          <w:shd w:val="clear" w:color="auto" w:fill="auto"/>
          <w:tblCellMar>
            <w:top w:w="0" w:type="dxa"/>
            <w:left w:w="0" w:type="dxa"/>
            <w:bottom w:w="0" w:type="dxa"/>
            <w:right w:w="0" w:type="dxa"/>
          </w:tblCellMar>
        </w:tblPrEx>
        <w:trPr>
          <w:trHeight w:val="270" w:hRule="atLeast"/>
        </w:trPr>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二、预算执行情况</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预算安排情况（调整后）</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资金到位情况</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资金执行情况</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预算执行进度</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70</w:t>
            </w: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到位数：</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70</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tblPrEx>
          <w:tblCellMar>
            <w:top w:w="0" w:type="dxa"/>
            <w:left w:w="0" w:type="dxa"/>
            <w:bottom w:w="0" w:type="dxa"/>
            <w:right w:w="0" w:type="dxa"/>
          </w:tblCellMar>
        </w:tblPrEx>
        <w:trPr>
          <w:trHeight w:val="462"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70</w:t>
            </w: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70</w:t>
            </w: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285"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default" w:ascii="Calibri" w:hAnsi="Calibri" w:eastAsia="宋体" w:cs="Calibri"/>
                <w:i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270" w:hRule="atLeast"/>
        </w:trPr>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三、目标完成情况</w:t>
            </w:r>
          </w:p>
        </w:tc>
        <w:tc>
          <w:tcPr>
            <w:tcW w:w="34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年度预期目标</w:t>
            </w:r>
          </w:p>
        </w:tc>
        <w:tc>
          <w:tcPr>
            <w:tcW w:w="312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具体完成情况</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总体完成率</w:t>
            </w:r>
          </w:p>
        </w:tc>
      </w:tr>
      <w:tr>
        <w:tblPrEx>
          <w:shd w:val="clear" w:color="auto" w:fill="auto"/>
          <w:tblCellMar>
            <w:top w:w="0" w:type="dxa"/>
            <w:left w:w="0" w:type="dxa"/>
            <w:bottom w:w="0" w:type="dxa"/>
            <w:right w:w="0" w:type="dxa"/>
          </w:tblCellMar>
        </w:tblPrEx>
        <w:trPr>
          <w:trHeight w:val="12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40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1.加强我镇城镇建设</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2.积极完成上级安排的工作.</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3.使我镇工作能够正常运</w:t>
            </w:r>
          </w:p>
        </w:tc>
        <w:tc>
          <w:tcPr>
            <w:tcW w:w="312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完成</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40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12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255"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40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12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270" w:hRule="atLeast"/>
        </w:trPr>
        <w:tc>
          <w:tcPr>
            <w:tcW w:w="1215" w:type="dxa"/>
            <w:vMerge w:val="restar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四、</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年度绩效指标完成情况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预期指标值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实际完成值</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自评得分</w:t>
            </w:r>
          </w:p>
        </w:tc>
      </w:tr>
      <w:tr>
        <w:tblPrEx>
          <w:tblCellMar>
            <w:top w:w="0" w:type="dxa"/>
            <w:left w:w="0" w:type="dxa"/>
            <w:bottom w:w="0" w:type="dxa"/>
            <w:right w:w="0" w:type="dxa"/>
          </w:tblCellMar>
        </w:tblPrEx>
        <w:trPr>
          <w:trHeight w:val="642"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产出指标（40）</w:t>
            </w:r>
          </w:p>
        </w:tc>
        <w:tc>
          <w:tcPr>
            <w:tcW w:w="108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生态综合治理面积（万亩）</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12.94亩</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12.94亩</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施工完成率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质量指标</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重点污染治理工程数量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12宗</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12宗</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w:t>
            </w:r>
          </w:p>
        </w:tc>
      </w:tr>
      <w:tr>
        <w:tblPrEx>
          <w:shd w:val="clear" w:color="auto" w:fill="auto"/>
          <w:tblCellMar>
            <w:top w:w="0" w:type="dxa"/>
            <w:left w:w="0" w:type="dxa"/>
            <w:bottom w:w="0" w:type="dxa"/>
            <w:right w:w="0" w:type="dxa"/>
          </w:tblCellMar>
        </w:tblPrEx>
        <w:trPr>
          <w:trHeight w:val="702"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0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tblPrEx>
          <w:shd w:val="clear" w:color="auto" w:fill="auto"/>
          <w:tblCellMar>
            <w:top w:w="0" w:type="dxa"/>
            <w:left w:w="0" w:type="dxa"/>
            <w:bottom w:w="0" w:type="dxa"/>
            <w:right w:w="0" w:type="dxa"/>
          </w:tblCellMar>
        </w:tblPrEx>
        <w:trPr>
          <w:trHeight w:val="735"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效益指标 （40分）</w:t>
            </w:r>
          </w:p>
        </w:tc>
        <w:tc>
          <w:tcPr>
            <w:tcW w:w="108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对生活环境的影响</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优</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优</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40</w:t>
            </w:r>
          </w:p>
        </w:tc>
      </w:tr>
      <w:tr>
        <w:tblPrEx>
          <w:shd w:val="clear" w:color="auto" w:fill="auto"/>
          <w:tblCellMar>
            <w:top w:w="0" w:type="dxa"/>
            <w:left w:w="0" w:type="dxa"/>
            <w:bottom w:w="0" w:type="dxa"/>
            <w:right w:w="0" w:type="dxa"/>
          </w:tblCellMar>
        </w:tblPrEx>
        <w:trPr>
          <w:trHeight w:val="585"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08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群众满意度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652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98</w:t>
            </w:r>
          </w:p>
        </w:tc>
      </w:tr>
      <w:tr>
        <w:tblPrEx>
          <w:shd w:val="clear" w:color="auto" w:fill="auto"/>
          <w:tblCellMar>
            <w:top w:w="0" w:type="dxa"/>
            <w:left w:w="0" w:type="dxa"/>
            <w:bottom w:w="0" w:type="dxa"/>
            <w:right w:w="0" w:type="dxa"/>
          </w:tblCellMar>
        </w:tblPrEx>
        <w:trPr>
          <w:trHeight w:val="735" w:hRule="atLeast"/>
        </w:trPr>
        <w:tc>
          <w:tcPr>
            <w:tcW w:w="121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五、</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存在问题、原因及下一步整改措施</w:t>
            </w:r>
          </w:p>
        </w:tc>
        <w:tc>
          <w:tcPr>
            <w:tcW w:w="804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无</w:t>
            </w:r>
          </w:p>
        </w:tc>
      </w:tr>
      <w:tr>
        <w:tblPrEx>
          <w:shd w:val="clear" w:color="auto" w:fill="auto"/>
          <w:tblCellMar>
            <w:top w:w="0" w:type="dxa"/>
            <w:left w:w="0" w:type="dxa"/>
            <w:bottom w:w="0" w:type="dxa"/>
            <w:right w:w="0" w:type="dxa"/>
          </w:tblCellMar>
        </w:tblPrEx>
        <w:trPr>
          <w:trHeight w:val="270" w:hRule="atLeast"/>
        </w:trPr>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填报人：</w:t>
            </w:r>
          </w:p>
        </w:tc>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崔俊爱</w:t>
            </w: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联系电话：</w:t>
            </w:r>
          </w:p>
        </w:tc>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13739718133</w:t>
            </w:r>
          </w:p>
        </w:tc>
      </w:tr>
    </w:tbl>
    <w:p>
      <w:pPr>
        <w:spacing w:line="360" w:lineRule="auto"/>
        <w:ind w:firstLine="640" w:firstLineChars="200"/>
        <w:rPr>
          <w:rFonts w:hint="eastAsia" w:ascii="仿宋" w:hAnsi="仿宋" w:eastAsia="仿宋" w:cs="仿宋"/>
          <w:sz w:val="32"/>
          <w:szCs w:val="32"/>
        </w:rPr>
      </w:pPr>
    </w:p>
    <w:p>
      <w:pPr>
        <w:spacing w:line="360" w:lineRule="auto"/>
        <w:ind w:firstLine="640" w:firstLineChars="200"/>
        <w:rPr>
          <w:rFonts w:hint="eastAsia" w:ascii="仿宋" w:hAnsi="仿宋" w:eastAsia="仿宋" w:cs="仿宋"/>
          <w:sz w:val="32"/>
          <w:szCs w:val="32"/>
        </w:rPr>
      </w:pPr>
    </w:p>
    <w:tbl>
      <w:tblPr>
        <w:tblStyle w:val="6"/>
        <w:tblW w:w="9030" w:type="dxa"/>
        <w:tblInd w:w="0" w:type="dxa"/>
        <w:shd w:val="clear" w:color="auto" w:fill="auto"/>
        <w:tblLayout w:type="autofit"/>
        <w:tblCellMar>
          <w:top w:w="0" w:type="dxa"/>
          <w:left w:w="0" w:type="dxa"/>
          <w:bottom w:w="0" w:type="dxa"/>
          <w:right w:w="0" w:type="dxa"/>
        </w:tblCellMar>
      </w:tblPr>
      <w:tblGrid>
        <w:gridCol w:w="1215"/>
        <w:gridCol w:w="1080"/>
        <w:gridCol w:w="1080"/>
        <w:gridCol w:w="1245"/>
        <w:gridCol w:w="900"/>
        <w:gridCol w:w="1080"/>
        <w:gridCol w:w="1080"/>
        <w:gridCol w:w="1350"/>
      </w:tblGrid>
      <w:tr>
        <w:tblPrEx>
          <w:shd w:val="clear" w:color="auto" w:fill="auto"/>
          <w:tblCellMar>
            <w:top w:w="0" w:type="dxa"/>
            <w:left w:w="0" w:type="dxa"/>
            <w:bottom w:w="0" w:type="dxa"/>
            <w:right w:w="0" w:type="dxa"/>
          </w:tblCellMar>
        </w:tblPrEx>
        <w:trPr>
          <w:trHeight w:val="510" w:hRule="atLeast"/>
        </w:trPr>
        <w:tc>
          <w:tcPr>
            <w:tcW w:w="9030"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方正小标宋_GBK" w:hAnsi="方正小标宋_GBK" w:eastAsia="方正小标宋_GBK" w:cs="方正小标宋_GBK"/>
                <w:i w:val="0"/>
                <w:color w:val="000000"/>
                <w:sz w:val="40"/>
                <w:szCs w:val="40"/>
                <w:u w:val="none"/>
              </w:rPr>
            </w:pPr>
            <w:r>
              <w:rPr>
                <w:rFonts w:hint="default" w:ascii="方正小标宋_GBK" w:hAnsi="方正小标宋_GBK" w:eastAsia="方正小标宋_GBK" w:cs="方正小标宋_GBK"/>
                <w:i w:val="0"/>
                <w:color w:val="000000"/>
                <w:kern w:val="0"/>
                <w:sz w:val="40"/>
                <w:szCs w:val="40"/>
                <w:u w:val="none"/>
                <w:lang w:val="en-US" w:eastAsia="zh-CN" w:bidi="ar"/>
              </w:rPr>
              <w:t>县级部门预算项目绩效自评表</w:t>
            </w:r>
          </w:p>
        </w:tc>
      </w:tr>
      <w:tr>
        <w:tblPrEx>
          <w:shd w:val="clear" w:color="auto" w:fill="auto"/>
          <w:tblCellMar>
            <w:top w:w="0" w:type="dxa"/>
            <w:left w:w="0" w:type="dxa"/>
            <w:bottom w:w="0" w:type="dxa"/>
            <w:right w:w="0" w:type="dxa"/>
          </w:tblCellMar>
        </w:tblPrEx>
        <w:trPr>
          <w:trHeight w:val="300" w:hRule="atLeast"/>
        </w:trPr>
        <w:tc>
          <w:tcPr>
            <w:tcW w:w="0" w:type="auto"/>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2020 年度）</w:t>
            </w:r>
          </w:p>
        </w:tc>
      </w:tr>
      <w:tr>
        <w:tblPrEx>
          <w:shd w:val="clear" w:color="auto" w:fill="auto"/>
          <w:tblCellMar>
            <w:top w:w="0" w:type="dxa"/>
            <w:left w:w="0" w:type="dxa"/>
            <w:bottom w:w="0" w:type="dxa"/>
            <w:right w:w="0" w:type="dxa"/>
          </w:tblCellMar>
        </w:tblPrEx>
        <w:trPr>
          <w:trHeight w:val="360" w:hRule="atLeast"/>
        </w:trPr>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填报单位：</w:t>
            </w:r>
          </w:p>
        </w:tc>
        <w:tc>
          <w:tcPr>
            <w:tcW w:w="0" w:type="auto"/>
            <w:gridSpan w:val="3"/>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高邑县富村镇人民政府</w:t>
            </w: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金额单位：万元</w:t>
            </w:r>
          </w:p>
        </w:tc>
      </w:tr>
      <w:tr>
        <w:tblPrEx>
          <w:shd w:val="clear" w:color="auto" w:fill="auto"/>
          <w:tblCellMar>
            <w:top w:w="0" w:type="dxa"/>
            <w:left w:w="0" w:type="dxa"/>
            <w:bottom w:w="0" w:type="dxa"/>
            <w:right w:w="0" w:type="dxa"/>
          </w:tblCellMar>
        </w:tblPrEx>
        <w:trPr>
          <w:trHeight w:val="495" w:hRule="atLeast"/>
        </w:trPr>
        <w:tc>
          <w:tcPr>
            <w:tcW w:w="121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基本情况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23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散煤回收补贴款</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实施(主管）单位</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高邑县富村镇人民政府</w:t>
            </w:r>
          </w:p>
        </w:tc>
      </w:tr>
      <w:tr>
        <w:tblPrEx>
          <w:shd w:val="clear" w:color="auto" w:fill="auto"/>
          <w:tblCellMar>
            <w:top w:w="0" w:type="dxa"/>
            <w:left w:w="0" w:type="dxa"/>
            <w:bottom w:w="0" w:type="dxa"/>
            <w:right w:w="0" w:type="dxa"/>
          </w:tblCellMar>
        </w:tblPrEx>
        <w:trPr>
          <w:trHeight w:val="270" w:hRule="atLeast"/>
        </w:trPr>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二、预算执行情况</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预算安排情况（调整后）</w:t>
            </w:r>
          </w:p>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资金到位情况</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资金执行情况</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预算执行进度</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84.78</w:t>
            </w: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到位数：</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84.78</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84.78</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tblPrEx>
          <w:shd w:val="clear" w:color="auto" w:fill="auto"/>
          <w:tblCellMar>
            <w:top w:w="0" w:type="dxa"/>
            <w:left w:w="0" w:type="dxa"/>
            <w:bottom w:w="0" w:type="dxa"/>
            <w:right w:w="0" w:type="dxa"/>
          </w:tblCellMar>
        </w:tblPrEx>
        <w:trPr>
          <w:trHeight w:val="462"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84.78</w:t>
            </w: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84.78</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84.78</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285"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default" w:ascii="Calibri" w:hAnsi="Calibri" w:eastAsia="宋体" w:cs="Calibri"/>
                <w:i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270" w:hRule="atLeast"/>
        </w:trPr>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三、目标完成情况</w:t>
            </w:r>
          </w:p>
        </w:tc>
        <w:tc>
          <w:tcPr>
            <w:tcW w:w="34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年度预期目标</w:t>
            </w:r>
          </w:p>
        </w:tc>
        <w:tc>
          <w:tcPr>
            <w:tcW w:w="30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具体完成情况</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总体完成率</w:t>
            </w:r>
          </w:p>
        </w:tc>
      </w:tr>
      <w:tr>
        <w:tblPrEx>
          <w:shd w:val="clear" w:color="auto" w:fill="auto"/>
          <w:tblCellMar>
            <w:top w:w="0" w:type="dxa"/>
            <w:left w:w="0" w:type="dxa"/>
            <w:bottom w:w="0" w:type="dxa"/>
            <w:right w:w="0" w:type="dxa"/>
          </w:tblCellMar>
        </w:tblPrEx>
        <w:trPr>
          <w:trHeight w:val="12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40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资金发放到位，使农户得到应有的补偿款。杜绝使用散煤，提升我镇人民生活质量及生态环境。</w:t>
            </w:r>
          </w:p>
        </w:tc>
        <w:tc>
          <w:tcPr>
            <w:tcW w:w="306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完成</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40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06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285"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40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06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270" w:hRule="atLeast"/>
        </w:trPr>
        <w:tc>
          <w:tcPr>
            <w:tcW w:w="1215" w:type="dxa"/>
            <w:vMerge w:val="restart"/>
            <w:tcBorders>
              <w:top w:val="single" w:color="000000" w:sz="4" w:space="0"/>
              <w:left w:val="single" w:color="000000" w:sz="4" w:space="0"/>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四、</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年度绩效指标完成情况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预期指标值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实际完成值</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自评得分</w:t>
            </w:r>
          </w:p>
        </w:tc>
      </w:tr>
      <w:tr>
        <w:tblPrEx>
          <w:shd w:val="clear" w:color="auto" w:fill="auto"/>
          <w:tblCellMar>
            <w:top w:w="0" w:type="dxa"/>
            <w:left w:w="0" w:type="dxa"/>
            <w:bottom w:w="0" w:type="dxa"/>
            <w:right w:w="0" w:type="dxa"/>
          </w:tblCellMar>
        </w:tblPrEx>
        <w:trPr>
          <w:trHeight w:val="285" w:hRule="atLeast"/>
        </w:trPr>
        <w:tc>
          <w:tcPr>
            <w:tcW w:w="1215" w:type="dxa"/>
            <w:vMerge w:val="continue"/>
            <w:tcBorders>
              <w:top w:val="single" w:color="000000" w:sz="4" w:space="0"/>
              <w:left w:val="single" w:color="000000" w:sz="4" w:space="0"/>
              <w:bottom w:val="nil"/>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restart"/>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产出指标（40）</w:t>
            </w:r>
          </w:p>
        </w:tc>
        <w:tc>
          <w:tcPr>
            <w:tcW w:w="1080" w:type="dxa"/>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散煤回收的吨数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1821.64吨</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1821.64吨</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w:t>
            </w:r>
          </w:p>
        </w:tc>
      </w:tr>
      <w:tr>
        <w:tblPrEx>
          <w:shd w:val="clear" w:color="auto" w:fill="auto"/>
          <w:tblCellMar>
            <w:top w:w="0" w:type="dxa"/>
            <w:left w:w="0" w:type="dxa"/>
            <w:bottom w:w="0" w:type="dxa"/>
            <w:right w:w="0" w:type="dxa"/>
          </w:tblCellMar>
        </w:tblPrEx>
        <w:trPr>
          <w:trHeight w:val="285" w:hRule="atLeast"/>
        </w:trPr>
        <w:tc>
          <w:tcPr>
            <w:tcW w:w="1215" w:type="dxa"/>
            <w:vMerge w:val="continue"/>
            <w:tcBorders>
              <w:top w:val="single" w:color="000000" w:sz="4" w:space="0"/>
              <w:left w:val="single" w:color="000000" w:sz="4" w:space="0"/>
              <w:bottom w:val="nil"/>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质量指标</w:t>
            </w:r>
          </w:p>
        </w:tc>
        <w:tc>
          <w:tcPr>
            <w:tcW w:w="2145"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散煤回收率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w:t>
            </w:r>
          </w:p>
        </w:tc>
      </w:tr>
      <w:tr>
        <w:tblPrEx>
          <w:shd w:val="clear" w:color="auto" w:fill="auto"/>
          <w:tblCellMar>
            <w:top w:w="0" w:type="dxa"/>
            <w:left w:w="0" w:type="dxa"/>
            <w:bottom w:w="0" w:type="dxa"/>
            <w:right w:w="0" w:type="dxa"/>
          </w:tblCellMar>
        </w:tblPrEx>
        <w:trPr>
          <w:trHeight w:val="702" w:hRule="atLeast"/>
        </w:trPr>
        <w:tc>
          <w:tcPr>
            <w:tcW w:w="1215" w:type="dxa"/>
            <w:vMerge w:val="continue"/>
            <w:tcBorders>
              <w:top w:val="single" w:color="000000" w:sz="4" w:space="0"/>
              <w:left w:val="single" w:color="000000" w:sz="4" w:space="0"/>
              <w:bottom w:val="nil"/>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0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tblPrEx>
          <w:shd w:val="clear" w:color="auto" w:fill="auto"/>
          <w:tblCellMar>
            <w:top w:w="0" w:type="dxa"/>
            <w:left w:w="0" w:type="dxa"/>
            <w:bottom w:w="0" w:type="dxa"/>
            <w:right w:w="0" w:type="dxa"/>
          </w:tblCellMar>
        </w:tblPrEx>
        <w:trPr>
          <w:trHeight w:val="765" w:hRule="atLeast"/>
        </w:trPr>
        <w:tc>
          <w:tcPr>
            <w:tcW w:w="1215" w:type="dxa"/>
            <w:vMerge w:val="continue"/>
            <w:tcBorders>
              <w:top w:val="single" w:color="000000" w:sz="4" w:space="0"/>
              <w:left w:val="single" w:color="000000" w:sz="4" w:space="0"/>
              <w:bottom w:val="nil"/>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效益指标（40）</w:t>
            </w:r>
          </w:p>
        </w:tc>
        <w:tc>
          <w:tcPr>
            <w:tcW w:w="108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农村生态水平</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优</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优</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39</w:t>
            </w:r>
          </w:p>
        </w:tc>
      </w:tr>
      <w:tr>
        <w:tblPrEx>
          <w:tblCellMar>
            <w:top w:w="0" w:type="dxa"/>
            <w:left w:w="0" w:type="dxa"/>
            <w:bottom w:w="0" w:type="dxa"/>
            <w:right w:w="0" w:type="dxa"/>
          </w:tblCellMar>
        </w:tblPrEx>
        <w:trPr>
          <w:trHeight w:val="465" w:hRule="atLeast"/>
        </w:trPr>
        <w:tc>
          <w:tcPr>
            <w:tcW w:w="1215" w:type="dxa"/>
            <w:vMerge w:val="continue"/>
            <w:tcBorders>
              <w:top w:val="single" w:color="000000" w:sz="4" w:space="0"/>
              <w:left w:val="single" w:color="000000" w:sz="4" w:space="0"/>
              <w:bottom w:val="nil"/>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08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p>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群众满意度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21"/>
                <w:szCs w:val="21"/>
                <w:u w:val="none"/>
              </w:rPr>
            </w:pPr>
            <w:r>
              <w:rPr>
                <w:rFonts w:hint="default" w:ascii="Calibri" w:hAnsi="Calibri" w:eastAsia="宋体" w:cs="Calibri"/>
                <w:i w:val="0"/>
                <w:color w:val="000000"/>
                <w:kern w:val="0"/>
                <w:sz w:val="21"/>
                <w:szCs w:val="21"/>
                <w:u w:val="none"/>
                <w:lang w:val="en-US" w:eastAsia="zh-CN" w:bidi="ar"/>
              </w:rPr>
              <w:t>≥85%</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w:t>
            </w:r>
          </w:p>
        </w:tc>
      </w:tr>
      <w:tr>
        <w:tblPrEx>
          <w:tblCellMar>
            <w:top w:w="0" w:type="dxa"/>
            <w:left w:w="0" w:type="dxa"/>
            <w:bottom w:w="0" w:type="dxa"/>
            <w:right w:w="0" w:type="dxa"/>
          </w:tblCellMar>
        </w:tblPrEx>
        <w:trPr>
          <w:trHeight w:val="270" w:hRule="atLeast"/>
        </w:trPr>
        <w:tc>
          <w:tcPr>
            <w:tcW w:w="1215" w:type="dxa"/>
            <w:tcBorders>
              <w:top w:val="nil"/>
              <w:left w:val="single" w:color="000000" w:sz="4" w:space="0"/>
              <w:bottom w:val="single" w:color="000000"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646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97</w:t>
            </w:r>
          </w:p>
        </w:tc>
      </w:tr>
      <w:tr>
        <w:tblPrEx>
          <w:shd w:val="clear" w:color="auto" w:fill="auto"/>
          <w:tblCellMar>
            <w:top w:w="0" w:type="dxa"/>
            <w:left w:w="0" w:type="dxa"/>
            <w:bottom w:w="0" w:type="dxa"/>
            <w:right w:w="0" w:type="dxa"/>
          </w:tblCellMar>
        </w:tblPrEx>
        <w:trPr>
          <w:trHeight w:val="735" w:hRule="atLeast"/>
        </w:trPr>
        <w:tc>
          <w:tcPr>
            <w:tcW w:w="121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五、</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存在问题、原因及下一步整改措施</w:t>
            </w:r>
          </w:p>
        </w:tc>
        <w:tc>
          <w:tcPr>
            <w:tcW w:w="781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无</w:t>
            </w:r>
          </w:p>
        </w:tc>
      </w:tr>
    </w:tbl>
    <w:p>
      <w:pPr>
        <w:spacing w:line="360" w:lineRule="auto"/>
        <w:ind w:firstLine="640" w:firstLineChars="200"/>
        <w:rPr>
          <w:rFonts w:hint="eastAsia" w:ascii="仿宋" w:hAnsi="仿宋" w:eastAsia="仿宋" w:cs="仿宋"/>
          <w:sz w:val="32"/>
          <w:szCs w:val="32"/>
        </w:rPr>
      </w:pPr>
    </w:p>
    <w:p>
      <w:pPr>
        <w:spacing w:line="360" w:lineRule="auto"/>
        <w:ind w:firstLine="640" w:firstLineChars="200"/>
        <w:rPr>
          <w:rFonts w:hint="eastAsia" w:ascii="仿宋" w:hAnsi="仿宋" w:eastAsia="仿宋" w:cs="仿宋"/>
          <w:sz w:val="32"/>
          <w:szCs w:val="32"/>
        </w:rPr>
      </w:pPr>
    </w:p>
    <w:tbl>
      <w:tblPr>
        <w:tblStyle w:val="6"/>
        <w:tblW w:w="8805" w:type="dxa"/>
        <w:tblInd w:w="0" w:type="dxa"/>
        <w:shd w:val="clear" w:color="auto" w:fill="auto"/>
        <w:tblLayout w:type="autofit"/>
        <w:tblCellMar>
          <w:top w:w="0" w:type="dxa"/>
          <w:left w:w="0" w:type="dxa"/>
          <w:bottom w:w="0" w:type="dxa"/>
          <w:right w:w="0" w:type="dxa"/>
        </w:tblCellMar>
      </w:tblPr>
      <w:tblGrid>
        <w:gridCol w:w="1215"/>
        <w:gridCol w:w="1080"/>
        <w:gridCol w:w="1080"/>
        <w:gridCol w:w="1245"/>
        <w:gridCol w:w="630"/>
        <w:gridCol w:w="1080"/>
        <w:gridCol w:w="1080"/>
        <w:gridCol w:w="1395"/>
      </w:tblGrid>
      <w:tr>
        <w:tblPrEx>
          <w:shd w:val="clear" w:color="auto" w:fill="auto"/>
        </w:tblPrEx>
        <w:trPr>
          <w:trHeight w:val="510" w:hRule="atLeast"/>
        </w:trPr>
        <w:tc>
          <w:tcPr>
            <w:tcW w:w="8805"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方正小标宋_GBK" w:hAnsi="方正小标宋_GBK" w:eastAsia="方正小标宋_GBK" w:cs="方正小标宋_GBK"/>
                <w:i w:val="0"/>
                <w:color w:val="000000"/>
                <w:sz w:val="40"/>
                <w:szCs w:val="40"/>
                <w:u w:val="none"/>
              </w:rPr>
            </w:pPr>
            <w:r>
              <w:rPr>
                <w:rFonts w:hint="default" w:ascii="方正小标宋_GBK" w:hAnsi="方正小标宋_GBK" w:eastAsia="方正小标宋_GBK" w:cs="方正小标宋_GBK"/>
                <w:i w:val="0"/>
                <w:color w:val="000000"/>
                <w:kern w:val="0"/>
                <w:sz w:val="40"/>
                <w:szCs w:val="40"/>
                <w:u w:val="none"/>
                <w:lang w:val="en-US" w:eastAsia="zh-CN" w:bidi="ar"/>
              </w:rPr>
              <w:t>县级部门预算项目绩效自评表</w:t>
            </w:r>
          </w:p>
        </w:tc>
      </w:tr>
      <w:tr>
        <w:tblPrEx>
          <w:shd w:val="clear" w:color="auto" w:fill="auto"/>
          <w:tblCellMar>
            <w:top w:w="0" w:type="dxa"/>
            <w:left w:w="0" w:type="dxa"/>
            <w:bottom w:w="0" w:type="dxa"/>
            <w:right w:w="0" w:type="dxa"/>
          </w:tblCellMar>
        </w:tblPrEx>
        <w:trPr>
          <w:trHeight w:val="300" w:hRule="atLeast"/>
        </w:trPr>
        <w:tc>
          <w:tcPr>
            <w:tcW w:w="0" w:type="auto"/>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2020   年度）</w:t>
            </w:r>
          </w:p>
        </w:tc>
      </w:tr>
      <w:tr>
        <w:tblPrEx>
          <w:tblCellMar>
            <w:top w:w="0" w:type="dxa"/>
            <w:left w:w="0" w:type="dxa"/>
            <w:bottom w:w="0" w:type="dxa"/>
            <w:right w:w="0" w:type="dxa"/>
          </w:tblCellMar>
        </w:tblPrEx>
        <w:trPr>
          <w:trHeight w:val="360" w:hRule="atLeast"/>
        </w:trPr>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填报单位：</w:t>
            </w:r>
          </w:p>
        </w:tc>
        <w:tc>
          <w:tcPr>
            <w:tcW w:w="0" w:type="auto"/>
            <w:gridSpan w:val="3"/>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高邑县富村镇人民政府</w:t>
            </w: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金额单位：万元</w:t>
            </w:r>
          </w:p>
        </w:tc>
      </w:tr>
      <w:tr>
        <w:tblPrEx>
          <w:shd w:val="clear" w:color="auto" w:fill="auto"/>
          <w:tblCellMar>
            <w:top w:w="0" w:type="dxa"/>
            <w:left w:w="0" w:type="dxa"/>
            <w:bottom w:w="0" w:type="dxa"/>
            <w:right w:w="0" w:type="dxa"/>
          </w:tblCellMar>
        </w:tblPrEx>
        <w:trPr>
          <w:trHeight w:val="495" w:hRule="atLeast"/>
        </w:trPr>
        <w:tc>
          <w:tcPr>
            <w:tcW w:w="121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基本情况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23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散煤管控点执勤费用</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实施(主管）单位</w:t>
            </w:r>
          </w:p>
        </w:tc>
        <w:tc>
          <w:tcPr>
            <w:tcW w:w="35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高邑县富村镇人民政府</w:t>
            </w:r>
          </w:p>
        </w:tc>
      </w:tr>
      <w:tr>
        <w:tblPrEx>
          <w:shd w:val="clear" w:color="auto" w:fill="auto"/>
          <w:tblCellMar>
            <w:top w:w="0" w:type="dxa"/>
            <w:left w:w="0" w:type="dxa"/>
            <w:bottom w:w="0" w:type="dxa"/>
            <w:right w:w="0" w:type="dxa"/>
          </w:tblCellMar>
        </w:tblPrEx>
        <w:trPr>
          <w:trHeight w:val="270" w:hRule="atLeast"/>
        </w:trPr>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二、预算执行情况</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预算安排情况（调整后）</w:t>
            </w: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资金到位情况</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资金执行情况</w:t>
            </w: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预算执行进度</w:t>
            </w:r>
          </w:p>
        </w:tc>
      </w:tr>
      <w:tr>
        <w:tblPrEx>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到位数：</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tblPrEx>
          <w:shd w:val="clear" w:color="auto" w:fill="auto"/>
          <w:tblCellMar>
            <w:top w:w="0" w:type="dxa"/>
            <w:left w:w="0" w:type="dxa"/>
            <w:bottom w:w="0" w:type="dxa"/>
            <w:right w:w="0" w:type="dxa"/>
          </w:tblCellMar>
        </w:tblPrEx>
        <w:trPr>
          <w:trHeight w:val="462"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285"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default" w:ascii="Calibri" w:hAnsi="Calibri" w:eastAsia="宋体" w:cs="Calibri"/>
                <w:i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270" w:hRule="atLeast"/>
        </w:trPr>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三、目标完成情况</w:t>
            </w:r>
          </w:p>
        </w:tc>
        <w:tc>
          <w:tcPr>
            <w:tcW w:w="34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年度预期目标</w:t>
            </w:r>
          </w:p>
        </w:tc>
        <w:tc>
          <w:tcPr>
            <w:tcW w:w="279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具体完成情况</w:t>
            </w: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总体完成率</w:t>
            </w:r>
          </w:p>
        </w:tc>
      </w:tr>
      <w:tr>
        <w:tblPrEx>
          <w:shd w:val="clear" w:color="auto" w:fill="auto"/>
          <w:tblCellMar>
            <w:top w:w="0" w:type="dxa"/>
            <w:left w:w="0" w:type="dxa"/>
            <w:bottom w:w="0" w:type="dxa"/>
            <w:right w:w="0" w:type="dxa"/>
          </w:tblCellMar>
        </w:tblPrEx>
        <w:trPr>
          <w:trHeight w:val="12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40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使农户充分享受政策补贴，改善村集体经济。</w:t>
            </w:r>
          </w:p>
        </w:tc>
        <w:tc>
          <w:tcPr>
            <w:tcW w:w="27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完成</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40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27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135"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40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27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270" w:hRule="atLeast"/>
        </w:trPr>
        <w:tc>
          <w:tcPr>
            <w:tcW w:w="1215" w:type="dxa"/>
            <w:vMerge w:val="restar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四、</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年度绩效指标完成情况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预期指标值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实际完成值</w:t>
            </w: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自评得分</w:t>
            </w:r>
          </w:p>
        </w:tc>
      </w:tr>
      <w:tr>
        <w:tblPrEx>
          <w:shd w:val="clear" w:color="auto" w:fill="auto"/>
          <w:tblCellMar>
            <w:top w:w="0" w:type="dxa"/>
            <w:left w:w="0" w:type="dxa"/>
            <w:bottom w:w="0" w:type="dxa"/>
            <w:right w:w="0" w:type="dxa"/>
          </w:tblCellMar>
        </w:tblPrEx>
        <w:trPr>
          <w:trHeight w:val="642"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产出指标（40）</w:t>
            </w:r>
          </w:p>
        </w:tc>
        <w:tc>
          <w:tcPr>
            <w:tcW w:w="108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补贴天数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77天</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77天</w:t>
            </w: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质量指标</w:t>
            </w: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支付工作完成率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时效指标</w:t>
            </w: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补贴发放及时率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成本指标</w:t>
            </w: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发放金额</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w:t>
            </w:r>
            <w:r>
              <w:rPr>
                <w:rFonts w:hint="eastAsia" w:ascii="宋体" w:hAnsi="宋体" w:eastAsia="宋体" w:cs="宋体"/>
                <w:i w:val="0"/>
                <w:color w:val="000000"/>
                <w:kern w:val="0"/>
                <w:sz w:val="16"/>
                <w:szCs w:val="16"/>
                <w:u w:val="none"/>
                <w:lang w:val="en-US" w:eastAsia="zh-CN" w:bidi="ar"/>
              </w:rPr>
              <w:t>万元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w:t>
            </w:r>
            <w:r>
              <w:rPr>
                <w:rFonts w:hint="eastAsia" w:ascii="宋体" w:hAnsi="宋体" w:eastAsia="宋体" w:cs="宋体"/>
                <w:i w:val="0"/>
                <w:color w:val="000000"/>
                <w:kern w:val="0"/>
                <w:sz w:val="16"/>
                <w:szCs w:val="16"/>
                <w:u w:val="none"/>
                <w:lang w:val="en-US" w:eastAsia="zh-CN" w:bidi="ar"/>
              </w:rPr>
              <w:t>万元</w:t>
            </w: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w:t>
            </w:r>
          </w:p>
        </w:tc>
      </w:tr>
      <w:tr>
        <w:tblPrEx>
          <w:shd w:val="clear" w:color="auto" w:fill="auto"/>
          <w:tblCellMar>
            <w:top w:w="0" w:type="dxa"/>
            <w:left w:w="0" w:type="dxa"/>
            <w:bottom w:w="0" w:type="dxa"/>
            <w:right w:w="0" w:type="dxa"/>
          </w:tblCellMar>
        </w:tblPrEx>
        <w:trPr>
          <w:trHeight w:val="702"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0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w:t>
            </w:r>
          </w:p>
        </w:tc>
      </w:tr>
      <w:tr>
        <w:tblPrEx>
          <w:shd w:val="clear" w:color="auto" w:fill="auto"/>
        </w:tblPrEx>
        <w:trPr>
          <w:trHeight w:val="27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restart"/>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效益指标（40）</w:t>
            </w:r>
          </w:p>
        </w:tc>
        <w:tc>
          <w:tcPr>
            <w:tcW w:w="108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受益群众生活改善情况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优</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良</w:t>
            </w: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20</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生态效益指标</w:t>
            </w: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各村改善生态环境情况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优</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良</w:t>
            </w: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18</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08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受益群众满意度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w:t>
            </w:r>
          </w:p>
        </w:tc>
      </w:tr>
      <w:tr>
        <w:tblPrEx>
          <w:shd w:val="clear" w:color="auto" w:fill="auto"/>
          <w:tblCellMar>
            <w:top w:w="0" w:type="dxa"/>
            <w:left w:w="0" w:type="dxa"/>
            <w:bottom w:w="0" w:type="dxa"/>
            <w:right w:w="0" w:type="dxa"/>
          </w:tblCellMar>
        </w:tblPrEx>
        <w:trPr>
          <w:trHeight w:val="285"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619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21"/>
                <w:szCs w:val="21"/>
                <w:u w:val="none"/>
              </w:rPr>
            </w:pPr>
            <w:r>
              <w:rPr>
                <w:rFonts w:hint="default" w:ascii="Calibri" w:hAnsi="Calibri" w:eastAsia="宋体" w:cs="Calibri"/>
                <w:i w:val="0"/>
                <w:color w:val="000000"/>
                <w:kern w:val="0"/>
                <w:sz w:val="21"/>
                <w:szCs w:val="21"/>
                <w:u w:val="none"/>
                <w:lang w:val="en-US" w:eastAsia="zh-CN" w:bidi="ar"/>
              </w:rPr>
              <w:t>98</w:t>
            </w:r>
          </w:p>
        </w:tc>
      </w:tr>
      <w:tr>
        <w:tblPrEx>
          <w:shd w:val="clear" w:color="auto" w:fill="auto"/>
          <w:tblCellMar>
            <w:top w:w="0" w:type="dxa"/>
            <w:left w:w="0" w:type="dxa"/>
            <w:bottom w:w="0" w:type="dxa"/>
            <w:right w:w="0" w:type="dxa"/>
          </w:tblCellMar>
        </w:tblPrEx>
        <w:trPr>
          <w:trHeight w:val="735" w:hRule="atLeast"/>
        </w:trPr>
        <w:tc>
          <w:tcPr>
            <w:tcW w:w="121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五、</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存在问题、原因及下一步整改措施</w:t>
            </w:r>
          </w:p>
        </w:tc>
        <w:tc>
          <w:tcPr>
            <w:tcW w:w="759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无</w:t>
            </w:r>
          </w:p>
        </w:tc>
      </w:tr>
    </w:tbl>
    <w:p>
      <w:pPr>
        <w:spacing w:line="360" w:lineRule="auto"/>
        <w:ind w:firstLine="640" w:firstLineChars="200"/>
        <w:rPr>
          <w:rFonts w:hint="eastAsia" w:ascii="仿宋" w:hAnsi="仿宋" w:eastAsia="仿宋" w:cs="仿宋"/>
          <w:sz w:val="32"/>
          <w:szCs w:val="32"/>
        </w:rPr>
      </w:pPr>
    </w:p>
    <w:tbl>
      <w:tblPr>
        <w:tblStyle w:val="6"/>
        <w:tblW w:w="8940" w:type="dxa"/>
        <w:tblInd w:w="0" w:type="dxa"/>
        <w:shd w:val="clear" w:color="auto" w:fill="auto"/>
        <w:tblLayout w:type="autofit"/>
        <w:tblCellMar>
          <w:top w:w="0" w:type="dxa"/>
          <w:left w:w="0" w:type="dxa"/>
          <w:bottom w:w="0" w:type="dxa"/>
          <w:right w:w="0" w:type="dxa"/>
        </w:tblCellMar>
      </w:tblPr>
      <w:tblGrid>
        <w:gridCol w:w="1215"/>
        <w:gridCol w:w="1080"/>
        <w:gridCol w:w="1080"/>
        <w:gridCol w:w="1245"/>
        <w:gridCol w:w="675"/>
        <w:gridCol w:w="1080"/>
        <w:gridCol w:w="1080"/>
        <w:gridCol w:w="1485"/>
      </w:tblGrid>
      <w:tr>
        <w:tblPrEx>
          <w:shd w:val="clear" w:color="auto" w:fill="auto"/>
          <w:tblCellMar>
            <w:top w:w="0" w:type="dxa"/>
            <w:left w:w="0" w:type="dxa"/>
            <w:bottom w:w="0" w:type="dxa"/>
            <w:right w:w="0" w:type="dxa"/>
          </w:tblCellMar>
        </w:tblPrEx>
        <w:trPr>
          <w:trHeight w:val="510" w:hRule="atLeast"/>
        </w:trPr>
        <w:tc>
          <w:tcPr>
            <w:tcW w:w="8940"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方正小标宋_GBK" w:hAnsi="方正小标宋_GBK" w:eastAsia="方正小标宋_GBK" w:cs="方正小标宋_GBK"/>
                <w:i w:val="0"/>
                <w:color w:val="000000"/>
                <w:sz w:val="40"/>
                <w:szCs w:val="40"/>
                <w:u w:val="none"/>
              </w:rPr>
            </w:pPr>
            <w:r>
              <w:rPr>
                <w:rFonts w:hint="default" w:ascii="方正小标宋_GBK" w:hAnsi="方正小标宋_GBK" w:eastAsia="方正小标宋_GBK" w:cs="方正小标宋_GBK"/>
                <w:i w:val="0"/>
                <w:color w:val="000000"/>
                <w:kern w:val="0"/>
                <w:sz w:val="40"/>
                <w:szCs w:val="40"/>
                <w:u w:val="none"/>
                <w:lang w:val="en-US" w:eastAsia="zh-CN" w:bidi="ar"/>
              </w:rPr>
              <w:t>县级部门预算项目绩效自评表</w:t>
            </w:r>
          </w:p>
        </w:tc>
      </w:tr>
      <w:tr>
        <w:tblPrEx>
          <w:shd w:val="clear" w:color="auto" w:fill="auto"/>
          <w:tblCellMar>
            <w:top w:w="0" w:type="dxa"/>
            <w:left w:w="0" w:type="dxa"/>
            <w:bottom w:w="0" w:type="dxa"/>
            <w:right w:w="0" w:type="dxa"/>
          </w:tblCellMar>
        </w:tblPrEx>
        <w:trPr>
          <w:trHeight w:val="300" w:hRule="atLeast"/>
        </w:trPr>
        <w:tc>
          <w:tcPr>
            <w:tcW w:w="0" w:type="auto"/>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2020 年度）</w:t>
            </w:r>
          </w:p>
        </w:tc>
      </w:tr>
      <w:tr>
        <w:tblPrEx>
          <w:shd w:val="clear" w:color="auto" w:fill="auto"/>
          <w:tblCellMar>
            <w:top w:w="0" w:type="dxa"/>
            <w:left w:w="0" w:type="dxa"/>
            <w:bottom w:w="0" w:type="dxa"/>
            <w:right w:w="0" w:type="dxa"/>
          </w:tblCellMar>
        </w:tblPrEx>
        <w:trPr>
          <w:trHeight w:val="360" w:hRule="atLeast"/>
        </w:trPr>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填报单位：</w:t>
            </w:r>
          </w:p>
        </w:tc>
        <w:tc>
          <w:tcPr>
            <w:tcW w:w="0" w:type="auto"/>
            <w:gridSpan w:val="3"/>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高邑县富村镇人民政府</w:t>
            </w: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金额单位：万元</w:t>
            </w:r>
          </w:p>
        </w:tc>
      </w:tr>
      <w:tr>
        <w:tblPrEx>
          <w:shd w:val="clear" w:color="auto" w:fill="auto"/>
          <w:tblCellMar>
            <w:top w:w="0" w:type="dxa"/>
            <w:left w:w="0" w:type="dxa"/>
            <w:bottom w:w="0" w:type="dxa"/>
            <w:right w:w="0" w:type="dxa"/>
          </w:tblCellMar>
        </w:tblPrEx>
        <w:trPr>
          <w:trHeight w:val="495" w:hRule="atLeast"/>
        </w:trPr>
        <w:tc>
          <w:tcPr>
            <w:tcW w:w="121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基本情况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23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片林绿化占地补偿</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实施(主管）单位</w:t>
            </w:r>
          </w:p>
        </w:tc>
        <w:tc>
          <w:tcPr>
            <w:tcW w:w="36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高邑县富村镇人民政府</w:t>
            </w:r>
          </w:p>
        </w:tc>
      </w:tr>
      <w:tr>
        <w:tblPrEx>
          <w:shd w:val="clear" w:color="auto" w:fill="auto"/>
          <w:tblCellMar>
            <w:top w:w="0" w:type="dxa"/>
            <w:left w:w="0" w:type="dxa"/>
            <w:bottom w:w="0" w:type="dxa"/>
            <w:right w:w="0" w:type="dxa"/>
          </w:tblCellMar>
        </w:tblPrEx>
        <w:trPr>
          <w:trHeight w:val="270" w:hRule="atLeast"/>
        </w:trPr>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二、预算执行情况</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预算安排情况（调整后）</w:t>
            </w: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资金到位情况</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资金执行情况</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预算执行进度</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20.32</w:t>
            </w: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到位数：</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20.32</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20.32</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tblPrEx>
          <w:shd w:val="clear" w:color="auto" w:fill="auto"/>
          <w:tblCellMar>
            <w:top w:w="0" w:type="dxa"/>
            <w:left w:w="0" w:type="dxa"/>
            <w:bottom w:w="0" w:type="dxa"/>
            <w:right w:w="0" w:type="dxa"/>
          </w:tblCellMar>
        </w:tblPrEx>
        <w:trPr>
          <w:trHeight w:val="462"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20.32</w:t>
            </w: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20.32</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20.32</w:t>
            </w: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285"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default" w:ascii="Calibri" w:hAnsi="Calibri" w:eastAsia="宋体" w:cs="Calibri"/>
                <w:i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270" w:hRule="atLeast"/>
        </w:trPr>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三、目标完成情况</w:t>
            </w:r>
          </w:p>
        </w:tc>
        <w:tc>
          <w:tcPr>
            <w:tcW w:w="34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年度预期目标</w:t>
            </w:r>
          </w:p>
        </w:tc>
        <w:tc>
          <w:tcPr>
            <w:tcW w:w="28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具体完成情况</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总体完成率</w:t>
            </w:r>
          </w:p>
        </w:tc>
      </w:tr>
      <w:tr>
        <w:tblPrEx>
          <w:shd w:val="clear" w:color="auto" w:fill="auto"/>
          <w:tblCellMar>
            <w:top w:w="0" w:type="dxa"/>
            <w:left w:w="0" w:type="dxa"/>
            <w:bottom w:w="0" w:type="dxa"/>
            <w:right w:w="0" w:type="dxa"/>
          </w:tblCellMar>
        </w:tblPrEx>
        <w:trPr>
          <w:trHeight w:val="12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40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资金发放到位，使农户得到应有的补偿款。促进我镇经济的发展。</w:t>
            </w:r>
          </w:p>
        </w:tc>
        <w:tc>
          <w:tcPr>
            <w:tcW w:w="283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完成</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tblPrEx>
          <w:shd w:val="clear" w:color="auto" w:fill="auto"/>
        </w:tblPrEx>
        <w:trPr>
          <w:trHeight w:val="27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40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283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135"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40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283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270" w:hRule="atLeast"/>
        </w:trPr>
        <w:tc>
          <w:tcPr>
            <w:tcW w:w="1215" w:type="dxa"/>
            <w:vMerge w:val="restar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四、</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年度绩效指标完成情况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预期指标值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实际完成值</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自评得分</w:t>
            </w:r>
          </w:p>
        </w:tc>
      </w:tr>
      <w:tr>
        <w:tblPrEx>
          <w:shd w:val="clear" w:color="auto" w:fill="auto"/>
          <w:tblCellMar>
            <w:top w:w="0" w:type="dxa"/>
            <w:left w:w="0" w:type="dxa"/>
            <w:bottom w:w="0" w:type="dxa"/>
            <w:right w:w="0" w:type="dxa"/>
          </w:tblCellMar>
        </w:tblPrEx>
        <w:trPr>
          <w:trHeight w:val="642"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产出指标（40）</w:t>
            </w:r>
          </w:p>
        </w:tc>
        <w:tc>
          <w:tcPr>
            <w:tcW w:w="108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占地亩数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168.37亩</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168.37亩</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w:t>
            </w:r>
          </w:p>
        </w:tc>
      </w:tr>
      <w:tr>
        <w:tblPrEx>
          <w:shd w:val="clear" w:color="auto" w:fill="auto"/>
          <w:tblCellMar>
            <w:top w:w="0" w:type="dxa"/>
            <w:left w:w="0" w:type="dxa"/>
            <w:bottom w:w="0" w:type="dxa"/>
            <w:right w:w="0" w:type="dxa"/>
          </w:tblCellMar>
        </w:tblPrEx>
        <w:trPr>
          <w:trHeight w:val="285"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补偿款发放率(%)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21"/>
                <w:szCs w:val="21"/>
                <w:u w:val="none"/>
              </w:rPr>
            </w:pPr>
            <w:r>
              <w:rPr>
                <w:rFonts w:hint="default" w:ascii="Calibri" w:hAnsi="Calibri" w:eastAsia="宋体" w:cs="Calibri"/>
                <w:i w:val="0"/>
                <w:color w:val="000000"/>
                <w:kern w:val="0"/>
                <w:sz w:val="21"/>
                <w:szCs w:val="21"/>
                <w:u w:val="none"/>
                <w:lang w:val="en-US" w:eastAsia="zh-CN" w:bidi="ar"/>
              </w:rPr>
              <w:t>≥95%</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w:t>
            </w:r>
          </w:p>
        </w:tc>
      </w:tr>
      <w:tr>
        <w:trPr>
          <w:trHeight w:val="702"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192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tblPrEx>
          <w:tblCellMar>
            <w:top w:w="0" w:type="dxa"/>
            <w:left w:w="0" w:type="dxa"/>
            <w:bottom w:w="0" w:type="dxa"/>
            <w:right w:w="0" w:type="dxa"/>
          </w:tblCellMar>
        </w:tblPrEx>
        <w:trPr>
          <w:trHeight w:val="555"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效果指标（40）</w:t>
            </w:r>
          </w:p>
        </w:tc>
        <w:tc>
          <w:tcPr>
            <w:tcW w:w="10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补助人群生活改善情况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优</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优</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38</w:t>
            </w:r>
          </w:p>
        </w:tc>
      </w:tr>
      <w:tr>
        <w:tblPrEx>
          <w:shd w:val="clear" w:color="auto" w:fill="auto"/>
          <w:tblCellMar>
            <w:top w:w="0" w:type="dxa"/>
            <w:left w:w="0" w:type="dxa"/>
            <w:bottom w:w="0" w:type="dxa"/>
            <w:right w:w="0" w:type="dxa"/>
          </w:tblCellMar>
        </w:tblPrEx>
        <w:trPr>
          <w:trHeight w:val="495"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08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群众满意度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≥95%</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≥95%</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tblPrEx>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624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98</w:t>
            </w:r>
          </w:p>
        </w:tc>
      </w:tr>
      <w:tr>
        <w:tblPrEx>
          <w:tblCellMar>
            <w:top w:w="0" w:type="dxa"/>
            <w:left w:w="0" w:type="dxa"/>
            <w:bottom w:w="0" w:type="dxa"/>
            <w:right w:w="0" w:type="dxa"/>
          </w:tblCellMar>
        </w:tblPrEx>
        <w:trPr>
          <w:trHeight w:val="735" w:hRule="atLeast"/>
        </w:trPr>
        <w:tc>
          <w:tcPr>
            <w:tcW w:w="121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五、</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存在问题、原因及下一步整改措施</w:t>
            </w:r>
          </w:p>
        </w:tc>
        <w:tc>
          <w:tcPr>
            <w:tcW w:w="772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无</w:t>
            </w:r>
          </w:p>
        </w:tc>
      </w:tr>
    </w:tbl>
    <w:p>
      <w:pPr>
        <w:spacing w:line="360" w:lineRule="auto"/>
        <w:ind w:firstLine="640" w:firstLineChars="200"/>
        <w:rPr>
          <w:rFonts w:hint="eastAsia" w:ascii="仿宋" w:hAnsi="仿宋" w:eastAsia="仿宋" w:cs="仿宋"/>
          <w:sz w:val="32"/>
          <w:szCs w:val="32"/>
        </w:rPr>
      </w:pPr>
    </w:p>
    <w:tbl>
      <w:tblPr>
        <w:tblStyle w:val="6"/>
        <w:tblW w:w="8835" w:type="dxa"/>
        <w:tblInd w:w="0" w:type="dxa"/>
        <w:shd w:val="clear" w:color="auto" w:fill="auto"/>
        <w:tblLayout w:type="autofit"/>
        <w:tblCellMar>
          <w:top w:w="0" w:type="dxa"/>
          <w:left w:w="0" w:type="dxa"/>
          <w:bottom w:w="0" w:type="dxa"/>
          <w:right w:w="0" w:type="dxa"/>
        </w:tblCellMar>
      </w:tblPr>
      <w:tblGrid>
        <w:gridCol w:w="2430"/>
        <w:gridCol w:w="901"/>
        <w:gridCol w:w="1000"/>
        <w:gridCol w:w="742"/>
        <w:gridCol w:w="630"/>
        <w:gridCol w:w="748"/>
        <w:gridCol w:w="959"/>
        <w:gridCol w:w="1425"/>
      </w:tblGrid>
      <w:tr>
        <w:tblPrEx>
          <w:tblCellMar>
            <w:top w:w="0" w:type="dxa"/>
            <w:left w:w="0" w:type="dxa"/>
            <w:bottom w:w="0" w:type="dxa"/>
            <w:right w:w="0" w:type="dxa"/>
          </w:tblCellMar>
        </w:tblPrEx>
        <w:trPr>
          <w:trHeight w:val="510" w:hRule="atLeast"/>
        </w:trPr>
        <w:tc>
          <w:tcPr>
            <w:tcW w:w="8835"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方正小标宋_GBK" w:hAnsi="方正小标宋_GBK" w:eastAsia="方正小标宋_GBK" w:cs="方正小标宋_GBK"/>
                <w:i w:val="0"/>
                <w:color w:val="000000"/>
                <w:sz w:val="40"/>
                <w:szCs w:val="40"/>
                <w:u w:val="none"/>
              </w:rPr>
            </w:pPr>
            <w:r>
              <w:rPr>
                <w:rFonts w:hint="default" w:ascii="方正小标宋_GBK" w:hAnsi="方正小标宋_GBK" w:eastAsia="方正小标宋_GBK" w:cs="方正小标宋_GBK"/>
                <w:i w:val="0"/>
                <w:color w:val="000000"/>
                <w:kern w:val="0"/>
                <w:sz w:val="40"/>
                <w:szCs w:val="40"/>
                <w:u w:val="none"/>
                <w:lang w:val="en-US" w:eastAsia="zh-CN" w:bidi="ar"/>
              </w:rPr>
              <w:t>县级部门预算项目绩效自评表</w:t>
            </w:r>
          </w:p>
        </w:tc>
      </w:tr>
      <w:tr>
        <w:tblPrEx>
          <w:shd w:val="clear" w:color="auto" w:fill="auto"/>
          <w:tblCellMar>
            <w:top w:w="0" w:type="dxa"/>
            <w:left w:w="0" w:type="dxa"/>
            <w:bottom w:w="0" w:type="dxa"/>
            <w:right w:w="0" w:type="dxa"/>
          </w:tblCellMar>
        </w:tblPrEx>
        <w:trPr>
          <w:trHeight w:val="300" w:hRule="atLeast"/>
        </w:trPr>
        <w:tc>
          <w:tcPr>
            <w:tcW w:w="0" w:type="auto"/>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2020   年度）</w:t>
            </w:r>
          </w:p>
        </w:tc>
      </w:tr>
      <w:tr>
        <w:tblPrEx>
          <w:shd w:val="clear" w:color="auto" w:fill="auto"/>
          <w:tblCellMar>
            <w:top w:w="0" w:type="dxa"/>
            <w:left w:w="0" w:type="dxa"/>
            <w:bottom w:w="0" w:type="dxa"/>
            <w:right w:w="0" w:type="dxa"/>
          </w:tblCellMar>
        </w:tblPrEx>
        <w:trPr>
          <w:trHeight w:val="360" w:hRule="atLeast"/>
        </w:trPr>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填报单位：高邑县富村镇人民政府</w:t>
            </w: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金额单位：万元</w:t>
            </w:r>
          </w:p>
        </w:tc>
      </w:tr>
      <w:tr>
        <w:tblPrEx>
          <w:shd w:val="clear" w:color="auto" w:fill="auto"/>
          <w:tblCellMar>
            <w:top w:w="0" w:type="dxa"/>
            <w:left w:w="0" w:type="dxa"/>
            <w:bottom w:w="0" w:type="dxa"/>
            <w:right w:w="0" w:type="dxa"/>
          </w:tblCellMar>
        </w:tblPrEx>
        <w:trPr>
          <w:trHeight w:val="495" w:hRule="atLeast"/>
        </w:trPr>
        <w:tc>
          <w:tcPr>
            <w:tcW w:w="121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基本情况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23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基础设施建设</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实施(主管）单位</w:t>
            </w:r>
          </w:p>
        </w:tc>
        <w:tc>
          <w:tcPr>
            <w:tcW w:w="358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高邑县富村镇人民政府</w:t>
            </w:r>
          </w:p>
        </w:tc>
      </w:tr>
      <w:tr>
        <w:tblPrEx>
          <w:shd w:val="clear" w:color="auto" w:fill="auto"/>
          <w:tblCellMar>
            <w:top w:w="0" w:type="dxa"/>
            <w:left w:w="0" w:type="dxa"/>
            <w:bottom w:w="0" w:type="dxa"/>
            <w:right w:w="0" w:type="dxa"/>
          </w:tblCellMar>
        </w:tblPrEx>
        <w:trPr>
          <w:trHeight w:val="270" w:hRule="atLeast"/>
        </w:trPr>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二、预算执行情况</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预算安排情况（调整后）</w:t>
            </w: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资金到位情况</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资金执行情况</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预算执行进度</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1952.18</w:t>
            </w: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到位数：</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1952.18</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1952.18</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tblPrEx>
          <w:shd w:val="clear" w:color="auto" w:fill="auto"/>
          <w:tblCellMar>
            <w:top w:w="0" w:type="dxa"/>
            <w:left w:w="0" w:type="dxa"/>
            <w:bottom w:w="0" w:type="dxa"/>
            <w:right w:w="0" w:type="dxa"/>
          </w:tblCellMar>
        </w:tblPrEx>
        <w:trPr>
          <w:trHeight w:val="462"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1952.18</w:t>
            </w: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1952.18</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1952.18</w:t>
            </w: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285"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default" w:ascii="Calibri" w:hAnsi="Calibri" w:eastAsia="宋体" w:cs="Calibri"/>
                <w:i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270" w:hRule="atLeast"/>
        </w:trPr>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三、目标完成情况</w:t>
            </w:r>
          </w:p>
        </w:tc>
        <w:tc>
          <w:tcPr>
            <w:tcW w:w="34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年度预期目标</w:t>
            </w:r>
          </w:p>
        </w:tc>
        <w:tc>
          <w:tcPr>
            <w:tcW w:w="279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具体完成情况</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总体完成率</w:t>
            </w:r>
          </w:p>
        </w:tc>
      </w:tr>
      <w:tr>
        <w:tblPrEx>
          <w:shd w:val="clear" w:color="auto" w:fill="auto"/>
          <w:tblCellMar>
            <w:top w:w="0" w:type="dxa"/>
            <w:left w:w="0" w:type="dxa"/>
            <w:bottom w:w="0" w:type="dxa"/>
            <w:right w:w="0" w:type="dxa"/>
          </w:tblCellMar>
        </w:tblPrEx>
        <w:trPr>
          <w:trHeight w:val="12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40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加强农村基础设施建设</w:t>
            </w:r>
          </w:p>
        </w:tc>
        <w:tc>
          <w:tcPr>
            <w:tcW w:w="27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完成情况一般</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82%</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40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27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135"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40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27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270" w:hRule="atLeast"/>
        </w:trPr>
        <w:tc>
          <w:tcPr>
            <w:tcW w:w="1215" w:type="dxa"/>
            <w:vMerge w:val="restar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四、</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年度绩效指标完成情况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108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预期指标值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实际完成值</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自评得分</w:t>
            </w:r>
          </w:p>
        </w:tc>
      </w:tr>
      <w:tr>
        <w:tblPrEx>
          <w:shd w:val="clear" w:color="auto" w:fill="auto"/>
          <w:tblCellMar>
            <w:top w:w="0" w:type="dxa"/>
            <w:left w:w="0" w:type="dxa"/>
            <w:bottom w:w="0" w:type="dxa"/>
            <w:right w:w="0" w:type="dxa"/>
          </w:tblCellMar>
        </w:tblPrEx>
        <w:trPr>
          <w:trHeight w:val="642"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restart"/>
            <w:tcBorders>
              <w:top w:val="single" w:color="000000" w:sz="4" w:space="0"/>
              <w:left w:val="single" w:color="000000" w:sz="4" w:space="0"/>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产出指标（40）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1875"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覆盖村庄数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w:t>
            </w:r>
          </w:p>
        </w:tc>
      </w:tr>
      <w:tr>
        <w:tblPrEx>
          <w:shd w:val="clear" w:color="auto" w:fill="auto"/>
          <w:tblCellMar>
            <w:top w:w="0" w:type="dxa"/>
            <w:left w:w="0" w:type="dxa"/>
            <w:bottom w:w="0" w:type="dxa"/>
            <w:right w:w="0" w:type="dxa"/>
          </w:tblCellMar>
        </w:tblPrEx>
        <w:trPr>
          <w:trHeight w:val="499"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continue"/>
            <w:tcBorders>
              <w:top w:val="single" w:color="000000" w:sz="4" w:space="0"/>
              <w:left w:val="single" w:color="000000" w:sz="4" w:space="0"/>
              <w:bottom w:val="nil"/>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质量指标</w:t>
            </w:r>
          </w:p>
        </w:tc>
        <w:tc>
          <w:tcPr>
            <w:tcW w:w="1875"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基础设施完成率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70%</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17</w:t>
            </w:r>
          </w:p>
        </w:tc>
      </w:tr>
      <w:tr>
        <w:tblPrEx>
          <w:shd w:val="clear" w:color="auto" w:fill="auto"/>
          <w:tblCellMar>
            <w:top w:w="0" w:type="dxa"/>
            <w:left w:w="0" w:type="dxa"/>
            <w:bottom w:w="0" w:type="dxa"/>
            <w:right w:w="0" w:type="dxa"/>
          </w:tblCellMar>
        </w:tblPrEx>
        <w:trPr>
          <w:trHeight w:val="702"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1875"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w:t>
            </w:r>
          </w:p>
        </w:tc>
      </w:tr>
      <w:tr>
        <w:tblPrEx>
          <w:shd w:val="clear" w:color="auto" w:fill="auto"/>
          <w:tblCellMar>
            <w:top w:w="0" w:type="dxa"/>
            <w:left w:w="0" w:type="dxa"/>
            <w:bottom w:w="0" w:type="dxa"/>
            <w:right w:w="0" w:type="dxa"/>
          </w:tblCellMar>
        </w:tblPrEx>
        <w:trPr>
          <w:trHeight w:val="822"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restart"/>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效益指标（40）</w:t>
            </w:r>
          </w:p>
        </w:tc>
        <w:tc>
          <w:tcPr>
            <w:tcW w:w="10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改善农村生活环境</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优</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良</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20</w:t>
            </w:r>
          </w:p>
        </w:tc>
      </w:tr>
      <w:tr>
        <w:tblPrEx>
          <w:shd w:val="clear" w:color="auto" w:fill="auto"/>
          <w:tblCellMar>
            <w:top w:w="0" w:type="dxa"/>
            <w:left w:w="0" w:type="dxa"/>
            <w:bottom w:w="0" w:type="dxa"/>
            <w:right w:w="0" w:type="dxa"/>
          </w:tblCellMar>
        </w:tblPrEx>
        <w:trPr>
          <w:trHeight w:val="822"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经济效益指标</w:t>
            </w: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促进农村经济发展情况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优</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良</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20</w:t>
            </w:r>
          </w:p>
        </w:tc>
      </w:tr>
      <w:tr>
        <w:tblPrEx>
          <w:tblCellMar>
            <w:top w:w="0" w:type="dxa"/>
            <w:left w:w="0" w:type="dxa"/>
            <w:bottom w:w="0" w:type="dxa"/>
            <w:right w:w="0" w:type="dxa"/>
          </w:tblCellMar>
        </w:tblPrEx>
        <w:trPr>
          <w:trHeight w:val="90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08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受益群众满意度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90%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60%</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9</w:t>
            </w:r>
          </w:p>
        </w:tc>
      </w:tr>
      <w:tr>
        <w:tblPrEx>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619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96</w:t>
            </w:r>
          </w:p>
        </w:tc>
      </w:tr>
      <w:tr>
        <w:tblPrEx>
          <w:tblCellMar>
            <w:top w:w="0" w:type="dxa"/>
            <w:left w:w="0" w:type="dxa"/>
            <w:bottom w:w="0" w:type="dxa"/>
            <w:right w:w="0" w:type="dxa"/>
          </w:tblCellMar>
        </w:tblPrEx>
        <w:trPr>
          <w:trHeight w:val="735" w:hRule="atLeast"/>
        </w:trPr>
        <w:tc>
          <w:tcPr>
            <w:tcW w:w="121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五、</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存在问题、原因及下一步整改措施</w:t>
            </w:r>
          </w:p>
        </w:tc>
        <w:tc>
          <w:tcPr>
            <w:tcW w:w="7620" w:type="dxa"/>
            <w:gridSpan w:val="7"/>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基础设施建设未按照预期完成</w:t>
            </w:r>
          </w:p>
        </w:tc>
      </w:tr>
    </w:tbl>
    <w:p>
      <w:pPr>
        <w:spacing w:line="360" w:lineRule="auto"/>
        <w:ind w:firstLine="640" w:firstLineChars="200"/>
        <w:rPr>
          <w:rFonts w:hint="eastAsia" w:ascii="仿宋" w:hAnsi="仿宋" w:eastAsia="仿宋" w:cs="仿宋"/>
          <w:sz w:val="32"/>
          <w:szCs w:val="32"/>
        </w:rPr>
      </w:pPr>
    </w:p>
    <w:tbl>
      <w:tblPr>
        <w:tblStyle w:val="6"/>
        <w:tblW w:w="8745" w:type="dxa"/>
        <w:tblInd w:w="0" w:type="dxa"/>
        <w:shd w:val="clear" w:color="auto" w:fill="auto"/>
        <w:tblLayout w:type="autofit"/>
        <w:tblCellMar>
          <w:top w:w="0" w:type="dxa"/>
          <w:left w:w="0" w:type="dxa"/>
          <w:bottom w:w="0" w:type="dxa"/>
          <w:right w:w="0" w:type="dxa"/>
        </w:tblCellMar>
      </w:tblPr>
      <w:tblGrid>
        <w:gridCol w:w="1215"/>
        <w:gridCol w:w="1080"/>
        <w:gridCol w:w="1080"/>
        <w:gridCol w:w="1395"/>
        <w:gridCol w:w="735"/>
        <w:gridCol w:w="1005"/>
        <w:gridCol w:w="945"/>
        <w:gridCol w:w="1290"/>
      </w:tblGrid>
      <w:tr>
        <w:tblPrEx>
          <w:shd w:val="clear" w:color="auto" w:fill="auto"/>
          <w:tblCellMar>
            <w:top w:w="0" w:type="dxa"/>
            <w:left w:w="0" w:type="dxa"/>
            <w:bottom w:w="0" w:type="dxa"/>
            <w:right w:w="0" w:type="dxa"/>
          </w:tblCellMar>
        </w:tblPrEx>
        <w:trPr>
          <w:trHeight w:val="510" w:hRule="atLeast"/>
        </w:trPr>
        <w:tc>
          <w:tcPr>
            <w:tcW w:w="8745"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方正小标宋_GBK" w:hAnsi="方正小标宋_GBK" w:eastAsia="方正小标宋_GBK" w:cs="方正小标宋_GBK"/>
                <w:i w:val="0"/>
                <w:color w:val="000000"/>
                <w:sz w:val="40"/>
                <w:szCs w:val="40"/>
                <w:u w:val="none"/>
              </w:rPr>
            </w:pPr>
            <w:r>
              <w:rPr>
                <w:rFonts w:hint="default" w:ascii="方正小标宋_GBK" w:hAnsi="方正小标宋_GBK" w:eastAsia="方正小标宋_GBK" w:cs="方正小标宋_GBK"/>
                <w:i w:val="0"/>
                <w:color w:val="000000"/>
                <w:kern w:val="0"/>
                <w:sz w:val="40"/>
                <w:szCs w:val="40"/>
                <w:u w:val="none"/>
                <w:lang w:val="en-US" w:eastAsia="zh-CN" w:bidi="ar"/>
              </w:rPr>
              <w:t>县级部门预算项目绩效自评表</w:t>
            </w:r>
          </w:p>
        </w:tc>
      </w:tr>
      <w:tr>
        <w:tblPrEx>
          <w:shd w:val="clear" w:color="auto" w:fill="auto"/>
          <w:tblCellMar>
            <w:top w:w="0" w:type="dxa"/>
            <w:left w:w="0" w:type="dxa"/>
            <w:bottom w:w="0" w:type="dxa"/>
            <w:right w:w="0" w:type="dxa"/>
          </w:tblCellMar>
        </w:tblPrEx>
        <w:trPr>
          <w:trHeight w:val="300" w:hRule="atLeast"/>
        </w:trPr>
        <w:tc>
          <w:tcPr>
            <w:tcW w:w="0" w:type="auto"/>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2020  年度）</w:t>
            </w:r>
          </w:p>
        </w:tc>
      </w:tr>
      <w:tr>
        <w:tblPrEx>
          <w:shd w:val="clear" w:color="auto" w:fill="auto"/>
          <w:tblCellMar>
            <w:top w:w="0" w:type="dxa"/>
            <w:left w:w="0" w:type="dxa"/>
            <w:bottom w:w="0" w:type="dxa"/>
            <w:right w:w="0" w:type="dxa"/>
          </w:tblCellMar>
        </w:tblPrEx>
        <w:trPr>
          <w:trHeight w:val="360" w:hRule="atLeast"/>
        </w:trPr>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填报单位：</w:t>
            </w:r>
          </w:p>
        </w:tc>
        <w:tc>
          <w:tcPr>
            <w:tcW w:w="0" w:type="auto"/>
            <w:gridSpan w:val="3"/>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高邑县富村镇人民政府</w:t>
            </w: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金额单位：万元</w:t>
            </w:r>
          </w:p>
        </w:tc>
      </w:tr>
      <w:tr>
        <w:tblPrEx>
          <w:shd w:val="clear" w:color="auto" w:fill="auto"/>
          <w:tblCellMar>
            <w:top w:w="0" w:type="dxa"/>
            <w:left w:w="0" w:type="dxa"/>
            <w:bottom w:w="0" w:type="dxa"/>
            <w:right w:w="0" w:type="dxa"/>
          </w:tblCellMar>
        </w:tblPrEx>
        <w:trPr>
          <w:trHeight w:val="495" w:hRule="atLeast"/>
        </w:trPr>
        <w:tc>
          <w:tcPr>
            <w:tcW w:w="121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基本情况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工作经费</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实施(主管）单位</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高邑县富村镇人民政府</w:t>
            </w:r>
          </w:p>
        </w:tc>
      </w:tr>
      <w:tr>
        <w:tblPrEx>
          <w:shd w:val="clear" w:color="auto" w:fill="auto"/>
          <w:tblCellMar>
            <w:top w:w="0" w:type="dxa"/>
            <w:left w:w="0" w:type="dxa"/>
            <w:bottom w:w="0" w:type="dxa"/>
            <w:right w:w="0" w:type="dxa"/>
          </w:tblCellMar>
        </w:tblPrEx>
        <w:trPr>
          <w:trHeight w:val="270" w:hRule="atLeast"/>
        </w:trPr>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二、预算执行情况</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预算安排情况（调整后）</w:t>
            </w: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资金到位情况</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资金执行情况</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预算执行进度</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299.48</w:t>
            </w: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到位数：</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299.48</w:t>
            </w: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执行数：</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299.48</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tblPrEx>
          <w:shd w:val="clear" w:color="auto" w:fill="auto"/>
          <w:tblCellMar>
            <w:top w:w="0" w:type="dxa"/>
            <w:left w:w="0" w:type="dxa"/>
            <w:bottom w:w="0" w:type="dxa"/>
            <w:right w:w="0" w:type="dxa"/>
          </w:tblCellMar>
        </w:tblPrEx>
        <w:trPr>
          <w:trHeight w:val="462"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299.48</w:t>
            </w: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299.48</w:t>
            </w: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299.48</w:t>
            </w: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285"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default" w:ascii="Calibri" w:hAnsi="Calibri" w:eastAsia="宋体" w:cs="Calibri"/>
                <w:i w:val="0"/>
                <w:color w:val="000000"/>
                <w:sz w:val="21"/>
                <w:szCs w:val="21"/>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270" w:hRule="atLeast"/>
        </w:trPr>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三、目标完成情况</w:t>
            </w:r>
          </w:p>
        </w:tc>
        <w:tc>
          <w:tcPr>
            <w:tcW w:w="35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年度预期目标</w:t>
            </w:r>
          </w:p>
        </w:tc>
        <w:tc>
          <w:tcPr>
            <w:tcW w:w="268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具体完成情况</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总体完成率</w:t>
            </w:r>
          </w:p>
        </w:tc>
      </w:tr>
      <w:tr>
        <w:tblPrEx>
          <w:shd w:val="clear" w:color="auto" w:fill="auto"/>
          <w:tblCellMar>
            <w:top w:w="0" w:type="dxa"/>
            <w:left w:w="0" w:type="dxa"/>
            <w:bottom w:w="0" w:type="dxa"/>
            <w:right w:w="0" w:type="dxa"/>
          </w:tblCellMar>
        </w:tblPrEx>
        <w:trPr>
          <w:trHeight w:val="12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55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确保各项工作正常进行。促进我镇经济的发展。</w:t>
            </w:r>
          </w:p>
        </w:tc>
        <w:tc>
          <w:tcPr>
            <w:tcW w:w="268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完成</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55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268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135"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55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268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270" w:hRule="atLeast"/>
        </w:trPr>
        <w:tc>
          <w:tcPr>
            <w:tcW w:w="1215" w:type="dxa"/>
            <w:vMerge w:val="restar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四、</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年度绩效指标完成情况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预期指标值</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实际完成值</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自评得分</w:t>
            </w:r>
          </w:p>
        </w:tc>
      </w:tr>
      <w:tr>
        <w:tblPrEx>
          <w:shd w:val="clear" w:color="auto" w:fill="auto"/>
          <w:tblCellMar>
            <w:top w:w="0" w:type="dxa"/>
            <w:left w:w="0" w:type="dxa"/>
            <w:bottom w:w="0" w:type="dxa"/>
            <w:right w:w="0" w:type="dxa"/>
          </w:tblCellMar>
        </w:tblPrEx>
        <w:trPr>
          <w:trHeight w:val="642"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产出指标（40）</w:t>
            </w:r>
          </w:p>
        </w:tc>
        <w:tc>
          <w:tcPr>
            <w:tcW w:w="108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隐患排查率</w:t>
            </w: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垃圾处理率</w:t>
            </w: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w:t>
            </w:r>
          </w:p>
        </w:tc>
      </w:tr>
      <w:tr>
        <w:tblPrEx>
          <w:shd w:val="clear" w:color="auto" w:fill="auto"/>
          <w:tblCellMar>
            <w:top w:w="0" w:type="dxa"/>
            <w:left w:w="0" w:type="dxa"/>
            <w:bottom w:w="0" w:type="dxa"/>
            <w:right w:w="0" w:type="dxa"/>
          </w:tblCellMar>
        </w:tblPrEx>
        <w:trPr>
          <w:trHeight w:val="702"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0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tblPrEx>
          <w:shd w:val="clear" w:color="auto" w:fill="auto"/>
          <w:tblCellMar>
            <w:top w:w="0" w:type="dxa"/>
            <w:left w:w="0" w:type="dxa"/>
            <w:bottom w:w="0" w:type="dxa"/>
            <w:right w:w="0" w:type="dxa"/>
          </w:tblCellMar>
        </w:tblPrEx>
        <w:trPr>
          <w:trHeight w:val="60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效果指标(40分）</w:t>
            </w:r>
          </w:p>
        </w:tc>
        <w:tc>
          <w:tcPr>
            <w:tcW w:w="108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公共服务水平情况</w:t>
            </w: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优</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38</w:t>
            </w:r>
          </w:p>
        </w:tc>
      </w:tr>
      <w:tr>
        <w:tblPrEx>
          <w:shd w:val="clear" w:color="auto" w:fill="auto"/>
          <w:tblCellMar>
            <w:top w:w="0" w:type="dxa"/>
            <w:left w:w="0" w:type="dxa"/>
            <w:bottom w:w="0" w:type="dxa"/>
            <w:right w:w="0" w:type="dxa"/>
          </w:tblCellMar>
        </w:tblPrEx>
        <w:trPr>
          <w:trHeight w:val="51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08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群众满意度</w:t>
            </w: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624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98</w:t>
            </w:r>
          </w:p>
        </w:tc>
      </w:tr>
      <w:tr>
        <w:tblPrEx>
          <w:shd w:val="clear" w:color="auto" w:fill="auto"/>
          <w:tblCellMar>
            <w:top w:w="0" w:type="dxa"/>
            <w:left w:w="0" w:type="dxa"/>
            <w:bottom w:w="0" w:type="dxa"/>
            <w:right w:w="0" w:type="dxa"/>
          </w:tblCellMar>
        </w:tblPrEx>
        <w:trPr>
          <w:trHeight w:val="735" w:hRule="atLeast"/>
        </w:trPr>
        <w:tc>
          <w:tcPr>
            <w:tcW w:w="121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五、</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存在问题、原因及下一步整改措施</w:t>
            </w:r>
          </w:p>
        </w:tc>
        <w:tc>
          <w:tcPr>
            <w:tcW w:w="753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无</w:t>
            </w:r>
          </w:p>
        </w:tc>
      </w:tr>
    </w:tbl>
    <w:p>
      <w:pPr>
        <w:spacing w:line="360" w:lineRule="auto"/>
        <w:ind w:firstLine="640" w:firstLineChars="200"/>
        <w:rPr>
          <w:rFonts w:hint="eastAsia" w:ascii="仿宋" w:hAnsi="仿宋" w:eastAsia="仿宋" w:cs="仿宋"/>
          <w:sz w:val="32"/>
          <w:szCs w:val="32"/>
        </w:rPr>
      </w:pPr>
    </w:p>
    <w:p>
      <w:pPr>
        <w:spacing w:line="360" w:lineRule="auto"/>
        <w:ind w:firstLine="640" w:firstLineChars="200"/>
        <w:rPr>
          <w:rFonts w:hint="eastAsia" w:ascii="仿宋" w:hAnsi="仿宋" w:eastAsia="仿宋" w:cs="仿宋"/>
          <w:sz w:val="32"/>
          <w:szCs w:val="32"/>
        </w:rPr>
      </w:pPr>
    </w:p>
    <w:tbl>
      <w:tblPr>
        <w:tblStyle w:val="6"/>
        <w:tblW w:w="8925" w:type="dxa"/>
        <w:tblInd w:w="0" w:type="dxa"/>
        <w:shd w:val="clear" w:color="auto" w:fill="auto"/>
        <w:tblLayout w:type="autofit"/>
        <w:tblCellMar>
          <w:top w:w="0" w:type="dxa"/>
          <w:left w:w="0" w:type="dxa"/>
          <w:bottom w:w="0" w:type="dxa"/>
          <w:right w:w="0" w:type="dxa"/>
        </w:tblCellMar>
      </w:tblPr>
      <w:tblGrid>
        <w:gridCol w:w="1215"/>
        <w:gridCol w:w="1080"/>
        <w:gridCol w:w="1080"/>
        <w:gridCol w:w="1245"/>
        <w:gridCol w:w="765"/>
        <w:gridCol w:w="1080"/>
        <w:gridCol w:w="1080"/>
        <w:gridCol w:w="1380"/>
      </w:tblGrid>
      <w:tr>
        <w:tblPrEx>
          <w:shd w:val="clear" w:color="auto" w:fill="auto"/>
        </w:tblPrEx>
        <w:trPr>
          <w:trHeight w:val="510" w:hRule="atLeast"/>
        </w:trPr>
        <w:tc>
          <w:tcPr>
            <w:tcW w:w="8925"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方正小标宋_GBK" w:hAnsi="方正小标宋_GBK" w:eastAsia="方正小标宋_GBK" w:cs="方正小标宋_GBK"/>
                <w:i w:val="0"/>
                <w:color w:val="000000"/>
                <w:sz w:val="40"/>
                <w:szCs w:val="40"/>
                <w:u w:val="none"/>
              </w:rPr>
            </w:pPr>
            <w:r>
              <w:rPr>
                <w:rFonts w:hint="default" w:ascii="方正小标宋_GBK" w:hAnsi="方正小标宋_GBK" w:eastAsia="方正小标宋_GBK" w:cs="方正小标宋_GBK"/>
                <w:i w:val="0"/>
                <w:color w:val="000000"/>
                <w:kern w:val="0"/>
                <w:sz w:val="40"/>
                <w:szCs w:val="40"/>
                <w:u w:val="none"/>
                <w:lang w:val="en-US" w:eastAsia="zh-CN" w:bidi="ar"/>
              </w:rPr>
              <w:t>县级部门预算项目绩效自评表</w:t>
            </w:r>
          </w:p>
        </w:tc>
      </w:tr>
      <w:tr>
        <w:tblPrEx>
          <w:shd w:val="clear" w:color="auto" w:fill="auto"/>
          <w:tblCellMar>
            <w:top w:w="0" w:type="dxa"/>
            <w:left w:w="0" w:type="dxa"/>
            <w:bottom w:w="0" w:type="dxa"/>
            <w:right w:w="0" w:type="dxa"/>
          </w:tblCellMar>
        </w:tblPrEx>
        <w:trPr>
          <w:trHeight w:val="300" w:hRule="atLeast"/>
        </w:trPr>
        <w:tc>
          <w:tcPr>
            <w:tcW w:w="0" w:type="auto"/>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2020   年度）</w:t>
            </w:r>
          </w:p>
        </w:tc>
      </w:tr>
      <w:tr>
        <w:tblPrEx>
          <w:shd w:val="clear" w:color="auto" w:fill="auto"/>
          <w:tblCellMar>
            <w:top w:w="0" w:type="dxa"/>
            <w:left w:w="0" w:type="dxa"/>
            <w:bottom w:w="0" w:type="dxa"/>
            <w:right w:w="0" w:type="dxa"/>
          </w:tblCellMar>
        </w:tblPrEx>
        <w:trPr>
          <w:trHeight w:val="360" w:hRule="atLeast"/>
        </w:trPr>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填报单位：</w:t>
            </w:r>
          </w:p>
        </w:tc>
        <w:tc>
          <w:tcPr>
            <w:tcW w:w="0" w:type="auto"/>
            <w:gridSpan w:val="3"/>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高邑县富村镇人民政府</w:t>
            </w: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金额单位：万元</w:t>
            </w:r>
          </w:p>
        </w:tc>
      </w:tr>
      <w:tr>
        <w:tblPrEx>
          <w:shd w:val="clear" w:color="auto" w:fill="auto"/>
          <w:tblCellMar>
            <w:top w:w="0" w:type="dxa"/>
            <w:left w:w="0" w:type="dxa"/>
            <w:bottom w:w="0" w:type="dxa"/>
            <w:right w:w="0" w:type="dxa"/>
          </w:tblCellMar>
        </w:tblPrEx>
        <w:trPr>
          <w:trHeight w:val="495" w:hRule="atLeast"/>
        </w:trPr>
        <w:tc>
          <w:tcPr>
            <w:tcW w:w="121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基本情况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23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服务群众专项经费</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实施(主管）单位</w:t>
            </w:r>
          </w:p>
        </w:tc>
        <w:tc>
          <w:tcPr>
            <w:tcW w:w="35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高邑县富村镇人民政府</w:t>
            </w:r>
          </w:p>
        </w:tc>
      </w:tr>
      <w:tr>
        <w:tblPrEx>
          <w:shd w:val="clear" w:color="auto" w:fill="auto"/>
          <w:tblCellMar>
            <w:top w:w="0" w:type="dxa"/>
            <w:left w:w="0" w:type="dxa"/>
            <w:bottom w:w="0" w:type="dxa"/>
            <w:right w:w="0" w:type="dxa"/>
          </w:tblCellMar>
        </w:tblPrEx>
        <w:trPr>
          <w:trHeight w:val="270" w:hRule="atLeast"/>
        </w:trPr>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二、预算执行情况</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预算安排情况（调整后）</w:t>
            </w:r>
          </w:p>
        </w:tc>
        <w:tc>
          <w:tcPr>
            <w:tcW w:w="20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资金到位情况</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资金执行情况</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预算执行进度</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到位数：</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tblPrEx>
          <w:shd w:val="clear" w:color="auto" w:fill="auto"/>
          <w:tblCellMar>
            <w:top w:w="0" w:type="dxa"/>
            <w:left w:w="0" w:type="dxa"/>
            <w:bottom w:w="0" w:type="dxa"/>
            <w:right w:w="0" w:type="dxa"/>
          </w:tblCellMar>
        </w:tblPrEx>
        <w:trPr>
          <w:trHeight w:val="462"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285"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default" w:ascii="Calibri" w:hAnsi="Calibri" w:eastAsia="宋体" w:cs="Calibri"/>
                <w:i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270" w:hRule="atLeast"/>
        </w:trPr>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三、目标完成情况</w:t>
            </w:r>
          </w:p>
        </w:tc>
        <w:tc>
          <w:tcPr>
            <w:tcW w:w="34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年度预期目标</w:t>
            </w:r>
          </w:p>
        </w:tc>
        <w:tc>
          <w:tcPr>
            <w:tcW w:w="29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具体完成情况</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总体完成率</w:t>
            </w:r>
          </w:p>
        </w:tc>
      </w:tr>
      <w:tr>
        <w:tblPrEx>
          <w:shd w:val="clear" w:color="auto" w:fill="auto"/>
          <w:tblCellMar>
            <w:top w:w="0" w:type="dxa"/>
            <w:left w:w="0" w:type="dxa"/>
            <w:bottom w:w="0" w:type="dxa"/>
            <w:right w:w="0" w:type="dxa"/>
          </w:tblCellMar>
        </w:tblPrEx>
        <w:trPr>
          <w:trHeight w:val="12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40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使农户充分享受政策补贴，改善村集体经济。</w:t>
            </w:r>
          </w:p>
        </w:tc>
        <w:tc>
          <w:tcPr>
            <w:tcW w:w="292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完成</w:t>
            </w: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40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292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135"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40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292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270" w:hRule="atLeast"/>
        </w:trPr>
        <w:tc>
          <w:tcPr>
            <w:tcW w:w="1215" w:type="dxa"/>
            <w:vMerge w:val="restar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四、</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年度绩效指标完成情况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20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预期指标值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实际完成值</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自评得分</w:t>
            </w:r>
          </w:p>
        </w:tc>
      </w:tr>
      <w:tr>
        <w:tblPrEx>
          <w:shd w:val="clear" w:color="auto" w:fill="auto"/>
          <w:tblCellMar>
            <w:top w:w="0" w:type="dxa"/>
            <w:left w:w="0" w:type="dxa"/>
            <w:bottom w:w="0" w:type="dxa"/>
            <w:right w:w="0" w:type="dxa"/>
          </w:tblCellMar>
        </w:tblPrEx>
        <w:trPr>
          <w:trHeight w:val="642"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产出指标（40）</w:t>
            </w:r>
          </w:p>
        </w:tc>
        <w:tc>
          <w:tcPr>
            <w:tcW w:w="108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20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补贴村数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20个</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20个</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质量指标</w:t>
            </w:r>
          </w:p>
        </w:tc>
        <w:tc>
          <w:tcPr>
            <w:tcW w:w="20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支付工作完成率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时效指标</w:t>
            </w:r>
          </w:p>
        </w:tc>
        <w:tc>
          <w:tcPr>
            <w:tcW w:w="20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补贴发放及时率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成本指标</w:t>
            </w:r>
          </w:p>
        </w:tc>
        <w:tc>
          <w:tcPr>
            <w:tcW w:w="20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发放金额</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r>
              <w:rPr>
                <w:rFonts w:hint="eastAsia" w:ascii="宋体" w:hAnsi="宋体" w:eastAsia="宋体" w:cs="宋体"/>
                <w:i w:val="0"/>
                <w:color w:val="000000"/>
                <w:kern w:val="0"/>
                <w:sz w:val="16"/>
                <w:szCs w:val="16"/>
                <w:u w:val="none"/>
                <w:lang w:val="en-US" w:eastAsia="zh-CN" w:bidi="ar"/>
              </w:rPr>
              <w:t>万元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r>
              <w:rPr>
                <w:rFonts w:hint="eastAsia" w:ascii="宋体" w:hAnsi="宋体" w:eastAsia="宋体" w:cs="宋体"/>
                <w:i w:val="0"/>
                <w:color w:val="000000"/>
                <w:kern w:val="0"/>
                <w:sz w:val="16"/>
                <w:szCs w:val="16"/>
                <w:u w:val="none"/>
                <w:lang w:val="en-US" w:eastAsia="zh-CN" w:bidi="ar"/>
              </w:rPr>
              <w:t>万元</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w:t>
            </w:r>
          </w:p>
        </w:tc>
      </w:tr>
      <w:tr>
        <w:tblPrEx>
          <w:shd w:val="clear" w:color="auto" w:fill="auto"/>
          <w:tblCellMar>
            <w:top w:w="0" w:type="dxa"/>
            <w:left w:w="0" w:type="dxa"/>
            <w:bottom w:w="0" w:type="dxa"/>
            <w:right w:w="0" w:type="dxa"/>
          </w:tblCellMar>
        </w:tblPrEx>
        <w:trPr>
          <w:trHeight w:val="702"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0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20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restart"/>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效益指标（40）</w:t>
            </w:r>
          </w:p>
        </w:tc>
        <w:tc>
          <w:tcPr>
            <w:tcW w:w="108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经济效益指标</w:t>
            </w:r>
          </w:p>
        </w:tc>
        <w:tc>
          <w:tcPr>
            <w:tcW w:w="20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村集体经济增长率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r>
              <w:rPr>
                <w:rFonts w:ascii="Calibri" w:hAnsi="Calibri" w:eastAsia="宋体" w:cs="Calibri"/>
                <w:i w:val="0"/>
                <w:color w:val="000000"/>
                <w:kern w:val="0"/>
                <w:sz w:val="16"/>
                <w:szCs w:val="16"/>
                <w:u w:val="none"/>
                <w:lang w:val="en-US" w:eastAsia="zh-CN" w:bidi="ar"/>
              </w:rPr>
              <w:t>5%</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7</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20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受益群众生活改善情况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优</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良</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15</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生态效益指标</w:t>
            </w:r>
          </w:p>
        </w:tc>
        <w:tc>
          <w:tcPr>
            <w:tcW w:w="20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各村改善生态环境情况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优</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良</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15</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可持续影响指标</w:t>
            </w:r>
          </w:p>
        </w:tc>
        <w:tc>
          <w:tcPr>
            <w:tcW w:w="20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Calibri" w:hAnsi="Calibri" w:eastAsia="宋体" w:cs="Calibri"/>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Calibri" w:hAnsi="Calibri" w:eastAsia="宋体" w:cs="Calibri"/>
                <w:i w:val="0"/>
                <w:color w:val="000000"/>
                <w:sz w:val="16"/>
                <w:szCs w:val="16"/>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Calibri" w:hAnsi="Calibri" w:eastAsia="宋体" w:cs="Calibri"/>
                <w:i w:val="0"/>
                <w:color w:val="000000"/>
                <w:sz w:val="16"/>
                <w:szCs w:val="16"/>
                <w:u w:val="none"/>
              </w:rPr>
            </w:pPr>
          </w:p>
        </w:tc>
      </w:tr>
      <w:tr>
        <w:tblPrEx>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08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p>
        </w:tc>
        <w:tc>
          <w:tcPr>
            <w:tcW w:w="20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受益群众满意度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100%</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w:t>
            </w:r>
          </w:p>
        </w:tc>
      </w:tr>
      <w:tr>
        <w:tblPrEx>
          <w:shd w:val="clear" w:color="auto" w:fill="auto"/>
          <w:tblCellMar>
            <w:top w:w="0" w:type="dxa"/>
            <w:left w:w="0" w:type="dxa"/>
            <w:bottom w:w="0" w:type="dxa"/>
            <w:right w:w="0" w:type="dxa"/>
          </w:tblCellMar>
        </w:tblPrEx>
        <w:trPr>
          <w:trHeight w:val="285"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633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sz w:val="21"/>
                <w:szCs w:val="21"/>
                <w:u w:val="none"/>
              </w:rPr>
            </w:pPr>
            <w:r>
              <w:rPr>
                <w:rFonts w:hint="default" w:ascii="Calibri" w:hAnsi="Calibri" w:eastAsia="宋体" w:cs="Calibri"/>
                <w:i w:val="0"/>
                <w:color w:val="000000"/>
                <w:kern w:val="0"/>
                <w:sz w:val="21"/>
                <w:szCs w:val="21"/>
                <w:u w:val="none"/>
                <w:lang w:val="en-US" w:eastAsia="zh-CN" w:bidi="ar"/>
              </w:rPr>
              <w:t>97</w:t>
            </w:r>
          </w:p>
        </w:tc>
      </w:tr>
      <w:tr>
        <w:tblPrEx>
          <w:tblCellMar>
            <w:top w:w="0" w:type="dxa"/>
            <w:left w:w="0" w:type="dxa"/>
            <w:bottom w:w="0" w:type="dxa"/>
            <w:right w:w="0" w:type="dxa"/>
          </w:tblCellMar>
        </w:tblPrEx>
        <w:trPr>
          <w:trHeight w:val="735" w:hRule="atLeast"/>
        </w:trPr>
        <w:tc>
          <w:tcPr>
            <w:tcW w:w="121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五、</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存在问题、原因及下一步整改措施</w:t>
            </w:r>
          </w:p>
        </w:tc>
        <w:tc>
          <w:tcPr>
            <w:tcW w:w="771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存在问题：补贴标准偏低，收益人群生活改善不明显。                                                         建议：需进一步加大补贴标准。</w:t>
            </w:r>
          </w:p>
        </w:tc>
      </w:tr>
    </w:tbl>
    <w:p>
      <w:pPr>
        <w:spacing w:line="360" w:lineRule="auto"/>
        <w:ind w:firstLine="640" w:firstLineChars="200"/>
        <w:rPr>
          <w:rFonts w:hint="eastAsia" w:ascii="仿宋" w:hAnsi="仿宋" w:eastAsia="仿宋" w:cs="仿宋"/>
          <w:sz w:val="32"/>
          <w:szCs w:val="32"/>
        </w:rPr>
      </w:pPr>
    </w:p>
    <w:p>
      <w:pPr>
        <w:spacing w:line="360" w:lineRule="auto"/>
        <w:ind w:firstLine="640" w:firstLineChars="200"/>
        <w:rPr>
          <w:rFonts w:hint="eastAsia" w:ascii="仿宋" w:hAnsi="仿宋" w:eastAsia="仿宋" w:cs="仿宋"/>
          <w:sz w:val="32"/>
          <w:szCs w:val="32"/>
        </w:rPr>
      </w:pPr>
    </w:p>
    <w:tbl>
      <w:tblPr>
        <w:tblStyle w:val="6"/>
        <w:tblW w:w="9000" w:type="dxa"/>
        <w:tblInd w:w="0" w:type="dxa"/>
        <w:shd w:val="clear" w:color="auto" w:fill="auto"/>
        <w:tblLayout w:type="autofit"/>
        <w:tblCellMar>
          <w:top w:w="0" w:type="dxa"/>
          <w:left w:w="0" w:type="dxa"/>
          <w:bottom w:w="0" w:type="dxa"/>
          <w:right w:w="0" w:type="dxa"/>
        </w:tblCellMar>
      </w:tblPr>
      <w:tblGrid>
        <w:gridCol w:w="1215"/>
        <w:gridCol w:w="1080"/>
        <w:gridCol w:w="1080"/>
        <w:gridCol w:w="1245"/>
        <w:gridCol w:w="855"/>
        <w:gridCol w:w="1080"/>
        <w:gridCol w:w="1080"/>
        <w:gridCol w:w="1365"/>
      </w:tblGrid>
      <w:tr>
        <w:tblPrEx>
          <w:tblCellMar>
            <w:top w:w="0" w:type="dxa"/>
            <w:left w:w="0" w:type="dxa"/>
            <w:bottom w:w="0" w:type="dxa"/>
            <w:right w:w="0" w:type="dxa"/>
          </w:tblCellMar>
        </w:tblPrEx>
        <w:trPr>
          <w:trHeight w:val="510" w:hRule="atLeast"/>
        </w:trPr>
        <w:tc>
          <w:tcPr>
            <w:tcW w:w="9000"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方正小标宋_GBK" w:hAnsi="方正小标宋_GBK" w:eastAsia="方正小标宋_GBK" w:cs="方正小标宋_GBK"/>
                <w:i w:val="0"/>
                <w:color w:val="000000"/>
                <w:sz w:val="40"/>
                <w:szCs w:val="40"/>
                <w:u w:val="none"/>
              </w:rPr>
            </w:pPr>
            <w:r>
              <w:rPr>
                <w:rFonts w:hint="default" w:ascii="方正小标宋_GBK" w:hAnsi="方正小标宋_GBK" w:eastAsia="方正小标宋_GBK" w:cs="方正小标宋_GBK"/>
                <w:i w:val="0"/>
                <w:color w:val="000000"/>
                <w:kern w:val="0"/>
                <w:sz w:val="40"/>
                <w:szCs w:val="40"/>
                <w:u w:val="none"/>
                <w:lang w:val="en-US" w:eastAsia="zh-CN" w:bidi="ar"/>
              </w:rPr>
              <w:t>县级部门预算项目绩效自评表</w:t>
            </w:r>
          </w:p>
        </w:tc>
      </w:tr>
      <w:tr>
        <w:tblPrEx>
          <w:shd w:val="clear" w:color="auto" w:fill="auto"/>
          <w:tblCellMar>
            <w:top w:w="0" w:type="dxa"/>
            <w:left w:w="0" w:type="dxa"/>
            <w:bottom w:w="0" w:type="dxa"/>
            <w:right w:w="0" w:type="dxa"/>
          </w:tblCellMar>
        </w:tblPrEx>
        <w:trPr>
          <w:trHeight w:val="300" w:hRule="atLeast"/>
        </w:trPr>
        <w:tc>
          <w:tcPr>
            <w:tcW w:w="0" w:type="auto"/>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2020  年度）</w:t>
            </w:r>
          </w:p>
        </w:tc>
      </w:tr>
      <w:tr>
        <w:tblPrEx>
          <w:shd w:val="clear" w:color="auto" w:fill="auto"/>
          <w:tblCellMar>
            <w:top w:w="0" w:type="dxa"/>
            <w:left w:w="0" w:type="dxa"/>
            <w:bottom w:w="0" w:type="dxa"/>
            <w:right w:w="0" w:type="dxa"/>
          </w:tblCellMar>
        </w:tblPrEx>
        <w:trPr>
          <w:trHeight w:val="360" w:hRule="atLeast"/>
        </w:trPr>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填报单位：</w:t>
            </w:r>
          </w:p>
        </w:tc>
        <w:tc>
          <w:tcPr>
            <w:tcW w:w="0" w:type="auto"/>
            <w:gridSpan w:val="3"/>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高邑县富村镇人民政府</w:t>
            </w: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金额单位：万元</w:t>
            </w:r>
          </w:p>
        </w:tc>
      </w:tr>
      <w:tr>
        <w:tblPrEx>
          <w:shd w:val="clear" w:color="auto" w:fill="auto"/>
        </w:tblPrEx>
        <w:trPr>
          <w:trHeight w:val="495" w:hRule="atLeast"/>
        </w:trPr>
        <w:tc>
          <w:tcPr>
            <w:tcW w:w="121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基本情况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23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村党组织活动经费</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实施(主管）单位</w:t>
            </w:r>
          </w:p>
        </w:tc>
        <w:tc>
          <w:tcPr>
            <w:tcW w:w="35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高邑县富村镇人民政府</w:t>
            </w:r>
          </w:p>
        </w:tc>
      </w:tr>
      <w:tr>
        <w:tblPrEx>
          <w:shd w:val="clear" w:color="auto" w:fill="auto"/>
          <w:tblCellMar>
            <w:top w:w="0" w:type="dxa"/>
            <w:left w:w="0" w:type="dxa"/>
            <w:bottom w:w="0" w:type="dxa"/>
            <w:right w:w="0" w:type="dxa"/>
          </w:tblCellMar>
        </w:tblPrEx>
        <w:trPr>
          <w:trHeight w:val="270" w:hRule="atLeast"/>
        </w:trPr>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二、预算执行情况</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预算安排情况（调整后）</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资金到位情况</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资金执行情况</w:t>
            </w:r>
          </w:p>
        </w:tc>
        <w:tc>
          <w:tcPr>
            <w:tcW w:w="1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预算执行进度</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25.98</w:t>
            </w: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到位数：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25.98</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25.98</w:t>
            </w: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tblPrEx>
          <w:shd w:val="clear" w:color="auto" w:fill="auto"/>
          <w:tblCellMar>
            <w:top w:w="0" w:type="dxa"/>
            <w:left w:w="0" w:type="dxa"/>
            <w:bottom w:w="0" w:type="dxa"/>
            <w:right w:w="0" w:type="dxa"/>
          </w:tblCellMar>
        </w:tblPrEx>
        <w:trPr>
          <w:trHeight w:val="462"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25.95</w:t>
            </w: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25.98</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25.98</w:t>
            </w: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285"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default" w:ascii="Calibri" w:hAnsi="Calibri" w:eastAsia="宋体" w:cs="Calibri"/>
                <w:i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PrEx>
        <w:trPr>
          <w:trHeight w:val="270" w:hRule="atLeast"/>
        </w:trPr>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三、目标完成情况</w:t>
            </w:r>
          </w:p>
        </w:tc>
        <w:tc>
          <w:tcPr>
            <w:tcW w:w="34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年度预期目标</w:t>
            </w:r>
          </w:p>
        </w:tc>
        <w:tc>
          <w:tcPr>
            <w:tcW w:w="301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具体完成情况</w:t>
            </w:r>
          </w:p>
        </w:tc>
        <w:tc>
          <w:tcPr>
            <w:tcW w:w="1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总体完成率</w:t>
            </w:r>
          </w:p>
        </w:tc>
      </w:tr>
      <w:tr>
        <w:tblPrEx>
          <w:shd w:val="clear" w:color="auto" w:fill="auto"/>
          <w:tblCellMar>
            <w:top w:w="0" w:type="dxa"/>
            <w:left w:w="0" w:type="dxa"/>
            <w:bottom w:w="0" w:type="dxa"/>
            <w:right w:w="0" w:type="dxa"/>
          </w:tblCellMar>
        </w:tblPrEx>
        <w:trPr>
          <w:trHeight w:val="12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40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县财政根据乡镇上报发放名册，将资金下拨至乡镇，由乡镇协调银行将补贴发放到村委会。</w:t>
            </w:r>
          </w:p>
        </w:tc>
        <w:tc>
          <w:tcPr>
            <w:tcW w:w="301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完成</w:t>
            </w: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40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0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135"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40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30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tblCellMar>
            <w:top w:w="0" w:type="dxa"/>
            <w:left w:w="0" w:type="dxa"/>
            <w:bottom w:w="0" w:type="dxa"/>
            <w:right w:w="0" w:type="dxa"/>
          </w:tblCellMar>
        </w:tblPrEx>
        <w:trPr>
          <w:trHeight w:val="270" w:hRule="atLeast"/>
        </w:trPr>
        <w:tc>
          <w:tcPr>
            <w:tcW w:w="1215" w:type="dxa"/>
            <w:vMerge w:val="restar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四、</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年度绩效指标完成情况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预期指标值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实际完成值</w:t>
            </w:r>
          </w:p>
        </w:tc>
        <w:tc>
          <w:tcPr>
            <w:tcW w:w="1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自评得分</w:t>
            </w:r>
          </w:p>
        </w:tc>
      </w:tr>
      <w:tr>
        <w:tblPrEx>
          <w:shd w:val="clear" w:color="auto" w:fill="auto"/>
          <w:tblCellMar>
            <w:top w:w="0" w:type="dxa"/>
            <w:left w:w="0" w:type="dxa"/>
            <w:bottom w:w="0" w:type="dxa"/>
            <w:right w:w="0" w:type="dxa"/>
          </w:tblCellMar>
        </w:tblPrEx>
        <w:trPr>
          <w:trHeight w:val="642"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产出指标（40）</w:t>
            </w:r>
          </w:p>
        </w:tc>
        <w:tc>
          <w:tcPr>
            <w:tcW w:w="108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补助的人数或户数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党员1215个人</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党员1215个人</w:t>
            </w:r>
          </w:p>
        </w:tc>
        <w:tc>
          <w:tcPr>
            <w:tcW w:w="1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tblPrEx>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质量指标</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支付完成率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w:t>
            </w:r>
          </w:p>
        </w:tc>
      </w:tr>
      <w:tr>
        <w:tblPrEx>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时效指标</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补助覆盖率(%)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tblPrEx>
          <w:shd w:val="clear" w:color="auto" w:fill="auto"/>
          <w:tblCellMar>
            <w:top w:w="0" w:type="dxa"/>
            <w:left w:w="0" w:type="dxa"/>
            <w:bottom w:w="0" w:type="dxa"/>
            <w:right w:w="0" w:type="dxa"/>
          </w:tblCellMar>
        </w:tblPrEx>
        <w:trPr>
          <w:trHeight w:val="702"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0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tblPrEx>
          <w:tblCellMar>
            <w:top w:w="0" w:type="dxa"/>
            <w:left w:w="0" w:type="dxa"/>
            <w:bottom w:w="0" w:type="dxa"/>
            <w:right w:w="0" w:type="dxa"/>
          </w:tblCellMar>
        </w:tblPrEx>
        <w:trPr>
          <w:trHeight w:val="42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效果指标（40）</w:t>
            </w:r>
          </w:p>
        </w:tc>
        <w:tc>
          <w:tcPr>
            <w:tcW w:w="108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凝聚党员群众情况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优</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优</w:t>
            </w:r>
          </w:p>
        </w:tc>
        <w:tc>
          <w:tcPr>
            <w:tcW w:w="1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38</w:t>
            </w:r>
          </w:p>
        </w:tc>
      </w:tr>
      <w:tr>
        <w:tblPrEx>
          <w:shd w:val="clear" w:color="auto" w:fill="auto"/>
          <w:tblCellMar>
            <w:top w:w="0" w:type="dxa"/>
            <w:left w:w="0" w:type="dxa"/>
            <w:bottom w:w="0" w:type="dxa"/>
            <w:right w:w="0" w:type="dxa"/>
          </w:tblCellMar>
        </w:tblPrEx>
        <w:trPr>
          <w:trHeight w:val="465"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08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涉及党员、群众满意度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w:t>
            </w:r>
          </w:p>
        </w:tc>
        <w:tc>
          <w:tcPr>
            <w:tcW w:w="1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tblPrEx>
          <w:shd w:val="clear" w:color="auto" w:fill="auto"/>
          <w:tblCellMar>
            <w:top w:w="0" w:type="dxa"/>
            <w:left w:w="0" w:type="dxa"/>
            <w:bottom w:w="0" w:type="dxa"/>
            <w:right w:w="0" w:type="dxa"/>
          </w:tblCellMar>
        </w:tblPrEx>
        <w:trPr>
          <w:trHeight w:val="270" w:hRule="atLeast"/>
        </w:trPr>
        <w:tc>
          <w:tcPr>
            <w:tcW w:w="12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642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1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98</w:t>
            </w:r>
          </w:p>
        </w:tc>
      </w:tr>
      <w:tr>
        <w:tblPrEx>
          <w:shd w:val="clear" w:color="auto" w:fill="auto"/>
          <w:tblCellMar>
            <w:top w:w="0" w:type="dxa"/>
            <w:left w:w="0" w:type="dxa"/>
            <w:bottom w:w="0" w:type="dxa"/>
            <w:right w:w="0" w:type="dxa"/>
          </w:tblCellMar>
        </w:tblPrEx>
        <w:trPr>
          <w:trHeight w:val="735" w:hRule="atLeast"/>
        </w:trPr>
        <w:tc>
          <w:tcPr>
            <w:tcW w:w="121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五、</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存在问题、原因及下一步整改措施</w:t>
            </w:r>
          </w:p>
        </w:tc>
        <w:tc>
          <w:tcPr>
            <w:tcW w:w="778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无</w:t>
            </w:r>
          </w:p>
        </w:tc>
      </w:tr>
    </w:tbl>
    <w:p>
      <w:pPr>
        <w:spacing w:line="360" w:lineRule="auto"/>
        <w:ind w:firstLine="640" w:firstLineChars="200"/>
        <w:rPr>
          <w:rFonts w:hint="eastAsia" w:ascii="仿宋" w:hAnsi="仿宋" w:eastAsia="仿宋" w:cs="仿宋"/>
          <w:sz w:val="32"/>
          <w:szCs w:val="32"/>
        </w:rPr>
      </w:pPr>
    </w:p>
    <w:p>
      <w:pPr>
        <w:spacing w:line="360" w:lineRule="auto"/>
        <w:ind w:firstLine="640" w:firstLineChars="200"/>
        <w:rPr>
          <w:rFonts w:hint="eastAsia" w:ascii="仿宋" w:hAnsi="仿宋" w:eastAsia="仿宋" w:cs="仿宋"/>
          <w:sz w:val="32"/>
          <w:szCs w:val="32"/>
        </w:rPr>
      </w:pPr>
    </w:p>
    <w:p>
      <w:pPr>
        <w:spacing w:line="360" w:lineRule="auto"/>
        <w:ind w:firstLine="640" w:firstLineChars="200"/>
        <w:rPr>
          <w:rFonts w:hint="eastAsia" w:ascii="仿宋" w:hAnsi="仿宋" w:eastAsia="仿宋" w:cs="仿宋"/>
          <w:sz w:val="32"/>
          <w:szCs w:val="32"/>
        </w:rPr>
      </w:pPr>
    </w:p>
    <w:tbl>
      <w:tblPr>
        <w:tblStyle w:val="6"/>
        <w:tblW w:w="86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16"/>
        <w:gridCol w:w="950"/>
        <w:gridCol w:w="584"/>
        <w:gridCol w:w="767"/>
        <w:gridCol w:w="767"/>
        <w:gridCol w:w="810"/>
        <w:gridCol w:w="810"/>
        <w:gridCol w:w="13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640"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0"/>
                <w:szCs w:val="40"/>
                <w:u w:val="none"/>
              </w:rPr>
            </w:pPr>
            <w:r>
              <w:rPr>
                <w:rFonts w:hint="default" w:ascii="方正小标宋_GBK" w:hAnsi="方正小标宋_GBK" w:eastAsia="方正小标宋_GBK" w:cs="方正小标宋_GBK"/>
                <w:i w:val="0"/>
                <w:iCs w:val="0"/>
                <w:color w:val="000000"/>
                <w:kern w:val="0"/>
                <w:sz w:val="40"/>
                <w:szCs w:val="40"/>
                <w:u w:val="none"/>
                <w:lang w:val="en-US" w:eastAsia="zh-CN" w:bidi="ar"/>
              </w:rPr>
              <w:t>县级部门预算项目绩效自评表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8"/>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2020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填报单位：高邑县富村镇人民政府</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08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w:t>
            </w:r>
            <w:r>
              <w:rPr>
                <w:rFonts w:ascii="Calibri" w:hAnsi="Calibri" w:eastAsia="宋体" w:cs="Calibri"/>
                <w:i w:val="0"/>
                <w:iCs w:val="0"/>
                <w:color w:val="000000"/>
                <w:kern w:val="0"/>
                <w:sz w:val="16"/>
                <w:szCs w:val="16"/>
                <w:u w:val="none"/>
                <w:lang w:val="en-US" w:eastAsia="zh-CN" w:bidi="ar"/>
              </w:rPr>
              <w:t xml:space="preserve"> </w:t>
            </w:r>
            <w:r>
              <w:rPr>
                <w:rFonts w:hint="eastAsia" w:ascii="宋体" w:hAnsi="宋体" w:eastAsia="宋体" w:cs="宋体"/>
                <w:i w:val="0"/>
                <w:iCs w:val="0"/>
                <w:color w:val="000000"/>
                <w:kern w:val="0"/>
                <w:sz w:val="16"/>
                <w:szCs w:val="16"/>
                <w:u w:val="none"/>
                <w:lang w:val="en-US" w:eastAsia="zh-CN" w:bidi="ar"/>
              </w:rPr>
              <w:t>基本情况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项目名称</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鞋业小镇基础设施建设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实施(主管）单位</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高邑县富村镇人民政府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二、预算执行情况</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预算安排情况（调整后）</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资金到位情况</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资金执行情况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预算执行进度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预算数：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到位数：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执行数：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40</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其中：财政资金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其中：财政资金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其中：财政资金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40</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Calibri" w:hAnsi="Calibri" w:eastAsia="宋体" w:cs="Calibri"/>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三、目标完成情况</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年度预期目标</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具体完成情况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总体完成率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324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加强鞋业小镇基础设施建设</w:t>
            </w:r>
          </w:p>
        </w:tc>
        <w:tc>
          <w:tcPr>
            <w:tcW w:w="324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完成情况一般</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324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324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324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324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四、</w:t>
            </w:r>
            <w:r>
              <w:rPr>
                <w:rFonts w:ascii="Calibri" w:hAnsi="Calibri" w:eastAsia="宋体" w:cs="Calibri"/>
                <w:i w:val="0"/>
                <w:iCs w:val="0"/>
                <w:color w:val="000000"/>
                <w:kern w:val="0"/>
                <w:sz w:val="16"/>
                <w:szCs w:val="16"/>
                <w:u w:val="none"/>
                <w:lang w:val="en-US" w:eastAsia="zh-CN" w:bidi="ar"/>
              </w:rPr>
              <w:t xml:space="preserve"> </w:t>
            </w:r>
            <w:r>
              <w:rPr>
                <w:rFonts w:hint="eastAsia" w:ascii="宋体" w:hAnsi="宋体" w:eastAsia="宋体" w:cs="宋体"/>
                <w:i w:val="0"/>
                <w:iCs w:val="0"/>
                <w:color w:val="000000"/>
                <w:kern w:val="0"/>
                <w:sz w:val="16"/>
                <w:szCs w:val="16"/>
                <w:u w:val="none"/>
                <w:lang w:val="en-US" w:eastAsia="zh-CN" w:bidi="ar"/>
              </w:rPr>
              <w:t>年度绩效指标完成情况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一级指标</w:t>
            </w:r>
          </w:p>
        </w:tc>
        <w:tc>
          <w:tcPr>
            <w:tcW w:w="108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二级指标</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预期指标值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实际完成值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自评得分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1080"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80" w:type="dxa"/>
            <w:vMerge w:val="restar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产出指标（40）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数量指标</w:t>
            </w:r>
          </w:p>
        </w:tc>
        <w:tc>
          <w:tcPr>
            <w:tcW w:w="2160"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覆盖鞋业小镇的个数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080"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80" w:type="dxa"/>
            <w:vMerge w:val="continue"/>
            <w:tcBorders>
              <w:top w:val="single" w:color="000000" w:sz="4" w:space="0"/>
              <w:left w:val="single" w:color="000000" w:sz="4" w:space="0"/>
              <w:bottom w:val="nil"/>
              <w:right w:val="nil"/>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质量指标</w:t>
            </w:r>
          </w:p>
        </w:tc>
        <w:tc>
          <w:tcPr>
            <w:tcW w:w="2160"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基础设施完成率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70%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080"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80" w:type="dxa"/>
            <w:vMerge w:val="continue"/>
            <w:tcBorders>
              <w:top w:val="single" w:color="000000" w:sz="4" w:space="0"/>
              <w:left w:val="single" w:color="000000" w:sz="4" w:space="0"/>
              <w:bottom w:val="nil"/>
              <w:right w:val="nil"/>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时效指标</w:t>
            </w:r>
          </w:p>
        </w:tc>
        <w:tc>
          <w:tcPr>
            <w:tcW w:w="2160"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项目完成及时率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2" w:hRule="atLeast"/>
        </w:trPr>
        <w:tc>
          <w:tcPr>
            <w:tcW w:w="1080"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8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预算执行率指标</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（10分）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预算执行率</w:t>
            </w:r>
          </w:p>
        </w:tc>
        <w:tc>
          <w:tcPr>
            <w:tcW w:w="2160"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预算执行率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080"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80" w:type="dxa"/>
            <w:vMerge w:val="restar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效益指标（40）</w:t>
            </w:r>
          </w:p>
        </w:tc>
        <w:tc>
          <w:tcPr>
            <w:tcW w:w="108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社会效益指标</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改善农村生活环境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有所改善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有所改善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080"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8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8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经济效益指标</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促进农村经济发展情况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有所改善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有所改善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080"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满意度指标</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（10分）</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满意度指标</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受益群众满意度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90%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60%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4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总分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108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五、</w:t>
            </w:r>
            <w:r>
              <w:rPr>
                <w:rFonts w:ascii="Calibri" w:hAnsi="Calibri" w:eastAsia="宋体" w:cs="Calibri"/>
                <w:i w:val="0"/>
                <w:iCs w:val="0"/>
                <w:color w:val="000000"/>
                <w:kern w:val="0"/>
                <w:sz w:val="16"/>
                <w:szCs w:val="16"/>
                <w:u w:val="none"/>
                <w:lang w:val="en-US" w:eastAsia="zh-CN" w:bidi="ar"/>
              </w:rPr>
              <w:t xml:space="preserve"> </w:t>
            </w:r>
            <w:r>
              <w:rPr>
                <w:rFonts w:hint="eastAsia" w:ascii="宋体" w:hAnsi="宋体" w:eastAsia="宋体" w:cs="宋体"/>
                <w:i w:val="0"/>
                <w:iCs w:val="0"/>
                <w:color w:val="000000"/>
                <w:kern w:val="0"/>
                <w:sz w:val="16"/>
                <w:szCs w:val="16"/>
                <w:u w:val="none"/>
                <w:lang w:val="en-US" w:eastAsia="zh-CN" w:bidi="ar"/>
              </w:rPr>
              <w:t>存在问题、原因及下一步整改措施</w:t>
            </w:r>
          </w:p>
        </w:tc>
        <w:tc>
          <w:tcPr>
            <w:tcW w:w="7560"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基础设施建设未按照预期完成</w:t>
            </w:r>
          </w:p>
        </w:tc>
      </w:tr>
    </w:tbl>
    <w:p>
      <w:pPr>
        <w:numPr>
          <w:ilvl w:val="0"/>
          <w:numId w:val="0"/>
        </w:numPr>
        <w:adjustRightInd w:val="0"/>
        <w:snapToGrid w:val="0"/>
        <w:spacing w:line="600" w:lineRule="exact"/>
        <w:rPr>
          <w:rFonts w:ascii="仿宋_GB2312" w:hAnsi="仿宋_GB2312" w:eastAsia="仿宋_GB2312" w:cs="仿宋_GB2312"/>
          <w:sz w:val="32"/>
          <w:szCs w:val="32"/>
        </w:rPr>
      </w:pPr>
    </w:p>
    <w:p>
      <w:pPr>
        <w:numPr>
          <w:ilvl w:val="0"/>
          <w:numId w:val="0"/>
        </w:numPr>
        <w:adjustRightInd w:val="0"/>
        <w:snapToGrid w:val="0"/>
        <w:spacing w:line="600" w:lineRule="exact"/>
        <w:rPr>
          <w:rFonts w:ascii="仿宋_GB2312" w:hAnsi="仿宋_GB2312" w:eastAsia="仿宋_GB2312" w:cs="仿宋_GB2312"/>
          <w:sz w:val="32"/>
          <w:szCs w:val="32"/>
        </w:rPr>
      </w:pPr>
    </w:p>
    <w:p>
      <w:pPr>
        <w:numPr>
          <w:ilvl w:val="0"/>
          <w:numId w:val="0"/>
        </w:numPr>
        <w:adjustRightInd w:val="0"/>
        <w:snapToGrid w:val="0"/>
        <w:spacing w:line="600" w:lineRule="exact"/>
        <w:rPr>
          <w:rFonts w:ascii="仿宋_GB2312" w:hAnsi="仿宋_GB2312" w:eastAsia="仿宋_GB2312" w:cs="仿宋_GB2312"/>
          <w:sz w:val="32"/>
          <w:szCs w:val="32"/>
        </w:rPr>
      </w:pPr>
    </w:p>
    <w:p>
      <w:pPr>
        <w:numPr>
          <w:ilvl w:val="0"/>
          <w:numId w:val="4"/>
        </w:numPr>
        <w:adjustRightInd w:val="0"/>
        <w:snapToGrid w:val="0"/>
        <w:spacing w:line="60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财政评价项目绩效评价结果</w:t>
      </w:r>
    </w:p>
    <w:p>
      <w:pPr>
        <w:numPr>
          <w:ilvl w:val="0"/>
          <w:numId w:val="0"/>
        </w:numPr>
        <w:adjustRightInd w:val="0"/>
        <w:snapToGrid w:val="0"/>
        <w:spacing w:line="600" w:lineRule="exact"/>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无</w:t>
      </w:r>
    </w:p>
    <w:p>
      <w:pPr>
        <w:keepNext/>
        <w:keepLines/>
        <w:snapToGrid w:val="0"/>
        <w:spacing w:line="600" w:lineRule="exact"/>
        <w:ind w:firstLine="640" w:firstLineChars="200"/>
        <w:outlineLvl w:val="1"/>
        <w:rPr>
          <w:rFonts w:ascii="黑体" w:hAnsi="黑体" w:eastAsia="黑体" w:cs="黑体"/>
          <w:b/>
          <w:bCs/>
          <w:sz w:val="32"/>
          <w:szCs w:val="32"/>
        </w:rPr>
      </w:pPr>
      <w:r>
        <w:rPr>
          <w:rFonts w:hint="eastAsia" w:ascii="黑体" w:hAnsi="黑体" w:eastAsia="黑体" w:cs="黑体"/>
          <w:sz w:val="32"/>
          <w:szCs w:val="32"/>
        </w:rPr>
        <w:t>七、机关运行经费情况</w:t>
      </w:r>
    </w:p>
    <w:p>
      <w:pPr>
        <w:adjustRightInd w:val="0"/>
        <w:snapToGrid w:val="0"/>
        <w:spacing w:line="600" w:lineRule="exact"/>
        <w:ind w:firstLine="640" w:firstLineChars="200"/>
        <w:rPr>
          <w:rFonts w:ascii="仿宋_GB2312" w:hAnsi="仿宋_GB2312" w:eastAsia="仿宋_GB2312" w:cs="仿宋_GB2312"/>
          <w:sz w:val="32"/>
          <w:szCs w:val="32"/>
          <w:highlight w:val="yellow"/>
        </w:rPr>
      </w:pPr>
      <w:r>
        <w:rPr>
          <w:rFonts w:hint="eastAsia" w:ascii="仿宋_GB2312" w:hAnsi="仿宋_GB2312" w:eastAsia="仿宋_GB2312" w:cs="仿宋_GB2312"/>
          <w:sz w:val="32"/>
          <w:szCs w:val="32"/>
        </w:rPr>
        <w:t>本部门2020年度机关运行经费支出</w:t>
      </w:r>
      <w:r>
        <w:rPr>
          <w:rFonts w:hint="eastAsia" w:ascii="仿宋_GB2312" w:hAnsi="仿宋_GB2312" w:eastAsia="仿宋_GB2312" w:cs="仿宋_GB2312"/>
          <w:sz w:val="32"/>
          <w:szCs w:val="32"/>
          <w:lang w:val="en-US" w:eastAsia="zh-CN"/>
        </w:rPr>
        <w:t>272.5</w:t>
      </w:r>
      <w:r>
        <w:rPr>
          <w:rFonts w:hint="eastAsia" w:ascii="仿宋_GB2312" w:hAnsi="仿宋_GB2312" w:eastAsia="仿宋_GB2312" w:cs="仿宋_GB2312"/>
          <w:sz w:val="32"/>
          <w:szCs w:val="32"/>
        </w:rPr>
        <w:t>万元，比2019年度增减</w:t>
      </w:r>
      <w:r>
        <w:rPr>
          <w:rFonts w:hint="eastAsia" w:ascii="仿宋_GB2312" w:hAnsi="仿宋_GB2312" w:eastAsia="仿宋_GB2312" w:cs="仿宋_GB2312"/>
          <w:sz w:val="32"/>
          <w:szCs w:val="32"/>
          <w:lang w:eastAsia="zh-CN"/>
        </w:rPr>
        <w:t>少</w:t>
      </w:r>
      <w:r>
        <w:rPr>
          <w:rFonts w:hint="eastAsia" w:ascii="仿宋_GB2312" w:hAnsi="仿宋_GB2312" w:eastAsia="仿宋_GB2312" w:cs="仿宋_GB2312"/>
          <w:sz w:val="32"/>
          <w:szCs w:val="32"/>
          <w:lang w:val="en-US" w:eastAsia="zh-CN"/>
        </w:rPr>
        <w:t>80</w:t>
      </w:r>
      <w:r>
        <w:rPr>
          <w:rFonts w:hint="eastAsia" w:ascii="仿宋_GB2312" w:hAnsi="仿宋_GB2312" w:eastAsia="仿宋_GB2312" w:cs="仿宋_GB2312"/>
          <w:sz w:val="32"/>
          <w:szCs w:val="32"/>
        </w:rPr>
        <w:t>万元，降低</w:t>
      </w:r>
      <w:r>
        <w:rPr>
          <w:rFonts w:hint="eastAsia" w:ascii="仿宋_GB2312" w:hAnsi="仿宋_GB2312" w:eastAsia="仿宋_GB2312" w:cs="仿宋_GB2312"/>
          <w:sz w:val="32"/>
          <w:szCs w:val="32"/>
          <w:lang w:val="en-US" w:eastAsia="zh-CN"/>
        </w:rPr>
        <w:t>22.67</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劳务费和维修费的减少</w:t>
      </w:r>
      <w:r>
        <w:rPr>
          <w:rFonts w:hint="eastAsia" w:ascii="仿宋_GB2312" w:hAnsi="仿宋_GB2312" w:eastAsia="仿宋_GB2312" w:cs="仿宋_GB2312"/>
          <w:sz w:val="32"/>
          <w:szCs w:val="32"/>
        </w:rPr>
        <w:t>。</w:t>
      </w:r>
    </w:p>
    <w:p>
      <w:pPr>
        <w:keepNext/>
        <w:keepLines/>
        <w:snapToGrid w:val="0"/>
        <w:spacing w:line="600" w:lineRule="exact"/>
        <w:ind w:firstLine="640" w:firstLineChars="200"/>
        <w:outlineLvl w:val="2"/>
        <w:rPr>
          <w:rFonts w:ascii="黑体" w:hAnsi="黑体" w:eastAsia="黑体" w:cs="黑体"/>
          <w:sz w:val="32"/>
          <w:szCs w:val="32"/>
        </w:rPr>
      </w:pPr>
      <w:r>
        <w:rPr>
          <w:rFonts w:hint="eastAsia" w:ascii="黑体" w:hAnsi="黑体" w:eastAsia="黑体" w:cs="黑体"/>
          <w:sz w:val="32"/>
          <w:szCs w:val="32"/>
        </w:rPr>
        <w:t>八、政府采购情况</w:t>
      </w:r>
    </w:p>
    <w:p>
      <w:pPr>
        <w:snapToGrid w:val="0"/>
        <w:spacing w:line="600" w:lineRule="exact"/>
        <w:ind w:firstLine="640" w:firstLineChars="200"/>
        <w:jc w:val="left"/>
        <w:rPr>
          <w:rFonts w:ascii="仿宋_GB2312" w:hAnsi="仿宋_GB2312" w:eastAsia="仿宋_GB2312" w:cs="仿宋_GB2312"/>
          <w:sz w:val="32"/>
          <w:szCs w:val="32"/>
          <w:highlight w:val="yellow"/>
        </w:rPr>
      </w:pPr>
      <w:r>
        <w:rPr>
          <w:rFonts w:hint="eastAsia" w:ascii="仿宋_GB2312" w:hAnsi="仿宋_GB2312" w:eastAsia="仿宋_GB2312" w:cs="仿宋_GB2312"/>
          <w:sz w:val="32"/>
          <w:szCs w:val="32"/>
        </w:rPr>
        <w:t>本部门2020年度政府采购支出总额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万元，从采购类型来看，</w:t>
      </w:r>
      <w:r>
        <w:rPr>
          <w:rFonts w:hint="eastAsia" w:ascii="仿宋_GB2312" w:hAnsi="仿宋_GB2312" w:eastAsia="仿宋_GB2312" w:cs="仿宋_GB2312"/>
          <w:color w:val="000000"/>
          <w:kern w:val="0"/>
          <w:sz w:val="32"/>
          <w:szCs w:val="32"/>
          <w:lang w:bidi="ar"/>
        </w:rPr>
        <w:t>政府采购货物支出</w:t>
      </w:r>
      <w:r>
        <w:rPr>
          <w:rFonts w:hint="eastAsia" w:ascii="仿宋_GB2312" w:hAnsi="仿宋_GB2312" w:eastAsia="仿宋_GB2312" w:cs="仿宋_GB2312"/>
          <w:color w:val="000000"/>
          <w:kern w:val="0"/>
          <w:sz w:val="32"/>
          <w:szCs w:val="32"/>
          <w:lang w:val="en-US" w:eastAsia="zh-CN" w:bidi="ar"/>
        </w:rPr>
        <w:t>0</w:t>
      </w:r>
      <w:r>
        <w:rPr>
          <w:rFonts w:hint="eastAsia" w:ascii="仿宋_GB2312" w:hAnsi="仿宋_GB2312" w:eastAsia="仿宋_GB2312" w:cs="仿宋_GB2312"/>
          <w:color w:val="000000"/>
          <w:kern w:val="0"/>
          <w:sz w:val="32"/>
          <w:szCs w:val="32"/>
          <w:lang w:bidi="ar"/>
        </w:rPr>
        <w:t>万元、政府采购工程支出</w:t>
      </w:r>
      <w:r>
        <w:rPr>
          <w:rFonts w:hint="eastAsia" w:ascii="仿宋_GB2312" w:hAnsi="仿宋_GB2312" w:eastAsia="仿宋_GB2312" w:cs="仿宋_GB2312"/>
          <w:color w:val="000000"/>
          <w:kern w:val="0"/>
          <w:sz w:val="32"/>
          <w:szCs w:val="32"/>
          <w:lang w:val="en-US" w:eastAsia="zh-CN" w:bidi="ar"/>
        </w:rPr>
        <w:t>0</w:t>
      </w:r>
      <w:r>
        <w:rPr>
          <w:rFonts w:hint="eastAsia" w:ascii="仿宋_GB2312" w:hAnsi="仿宋_GB2312" w:eastAsia="仿宋_GB2312" w:cs="仿宋_GB2312"/>
          <w:color w:val="000000"/>
          <w:kern w:val="0"/>
          <w:sz w:val="32"/>
          <w:szCs w:val="32"/>
          <w:lang w:bidi="ar"/>
        </w:rPr>
        <w:t xml:space="preserve">万元、政府采购服务支出 </w:t>
      </w:r>
      <w:r>
        <w:rPr>
          <w:rFonts w:hint="eastAsia" w:ascii="仿宋_GB2312" w:hAnsi="仿宋_GB2312" w:eastAsia="仿宋_GB2312" w:cs="仿宋_GB2312"/>
          <w:color w:val="000000"/>
          <w:kern w:val="0"/>
          <w:sz w:val="32"/>
          <w:szCs w:val="32"/>
          <w:lang w:val="en-US" w:eastAsia="zh-CN" w:bidi="ar"/>
        </w:rPr>
        <w:t>0</w:t>
      </w:r>
      <w:r>
        <w:rPr>
          <w:rFonts w:hint="eastAsia" w:ascii="仿宋_GB2312" w:hAnsi="仿宋_GB2312" w:eastAsia="仿宋_GB2312" w:cs="仿宋_GB2312"/>
          <w:color w:val="000000"/>
          <w:kern w:val="0"/>
          <w:sz w:val="32"/>
          <w:szCs w:val="32"/>
          <w:lang w:bidi="ar"/>
        </w:rPr>
        <w:t>万元。授予中小企业合同金</w:t>
      </w:r>
      <w:r>
        <w:rPr>
          <w:rFonts w:hint="eastAsia" w:ascii="仿宋_GB2312" w:hAnsi="仿宋_GB2312" w:eastAsia="仿宋_GB2312" w:cs="仿宋_GB2312"/>
          <w:color w:val="000000"/>
          <w:kern w:val="0"/>
          <w:sz w:val="32"/>
          <w:szCs w:val="32"/>
          <w:lang w:val="en-US" w:eastAsia="zh-CN" w:bidi="ar"/>
        </w:rPr>
        <w:t>0</w:t>
      </w:r>
      <w:r>
        <w:rPr>
          <w:rFonts w:hint="eastAsia" w:ascii="仿宋_GB2312" w:hAnsi="仿宋_GB2312" w:eastAsia="仿宋_GB2312" w:cs="仿宋_GB2312"/>
          <w:color w:val="000000"/>
          <w:kern w:val="0"/>
          <w:sz w:val="32"/>
          <w:szCs w:val="32"/>
          <w:lang w:bidi="ar"/>
        </w:rPr>
        <w:t>万元，占政府采购支出总额的</w:t>
      </w:r>
      <w:r>
        <w:rPr>
          <w:rFonts w:hint="eastAsia" w:ascii="仿宋_GB2312" w:hAnsi="仿宋_GB2312" w:eastAsia="仿宋_GB2312" w:cs="仿宋_GB2312"/>
          <w:color w:val="000000"/>
          <w:kern w:val="0"/>
          <w:sz w:val="32"/>
          <w:szCs w:val="32"/>
          <w:lang w:val="en-US" w:eastAsia="zh-CN" w:bidi="ar"/>
        </w:rPr>
        <w:t>0</w:t>
      </w:r>
      <w:r>
        <w:rPr>
          <w:rFonts w:hint="eastAsia" w:ascii="仿宋_GB2312" w:hAnsi="仿宋_GB2312" w:eastAsia="仿宋_GB2312" w:cs="仿宋_GB2312"/>
          <w:color w:val="000000"/>
          <w:kern w:val="0"/>
          <w:sz w:val="32"/>
          <w:szCs w:val="32"/>
          <w:lang w:bidi="ar"/>
        </w:rPr>
        <w:t>%，其中授予小微企业合同金额</w:t>
      </w:r>
      <w:r>
        <w:rPr>
          <w:rFonts w:hint="eastAsia" w:ascii="仿宋_GB2312" w:hAnsi="仿宋_GB2312" w:eastAsia="仿宋_GB2312" w:cs="仿宋_GB2312"/>
          <w:color w:val="000000"/>
          <w:kern w:val="0"/>
          <w:sz w:val="32"/>
          <w:szCs w:val="32"/>
          <w:lang w:val="en-US" w:eastAsia="zh-CN" w:bidi="ar"/>
        </w:rPr>
        <w:t>0</w:t>
      </w:r>
      <w:r>
        <w:rPr>
          <w:rFonts w:hint="eastAsia" w:ascii="仿宋_GB2312" w:hAnsi="仿宋_GB2312" w:eastAsia="仿宋_GB2312" w:cs="仿宋_GB2312"/>
          <w:color w:val="000000"/>
          <w:kern w:val="0"/>
          <w:sz w:val="32"/>
          <w:szCs w:val="32"/>
          <w:lang w:bidi="ar"/>
        </w:rPr>
        <w:t xml:space="preserve">万元，占政府采购支出总额的 </w:t>
      </w:r>
      <w:r>
        <w:rPr>
          <w:rFonts w:hint="eastAsia" w:ascii="仿宋_GB2312" w:hAnsi="仿宋_GB2312" w:eastAsia="仿宋_GB2312" w:cs="仿宋_GB2312"/>
          <w:color w:val="000000"/>
          <w:kern w:val="0"/>
          <w:sz w:val="32"/>
          <w:szCs w:val="32"/>
          <w:lang w:val="en-US" w:eastAsia="zh-CN" w:bidi="ar"/>
        </w:rPr>
        <w:t>0</w:t>
      </w:r>
      <w:r>
        <w:rPr>
          <w:rFonts w:hint="eastAsia" w:ascii="仿宋_GB2312" w:hAnsi="仿宋_GB2312" w:eastAsia="仿宋_GB2312" w:cs="仿宋_GB2312"/>
          <w:color w:val="000000"/>
          <w:kern w:val="0"/>
          <w:sz w:val="32"/>
          <w:szCs w:val="32"/>
          <w:lang w:bidi="ar"/>
        </w:rPr>
        <w:t>%。</w:t>
      </w:r>
    </w:p>
    <w:p>
      <w:pPr>
        <w:keepNext/>
        <w:keepLines/>
        <w:snapToGrid w:val="0"/>
        <w:spacing w:line="600" w:lineRule="exact"/>
        <w:ind w:firstLine="640" w:firstLineChars="200"/>
        <w:outlineLvl w:val="2"/>
        <w:rPr>
          <w:rFonts w:ascii="黑体" w:hAnsi="黑体" w:eastAsia="黑体" w:cs="黑体"/>
          <w:sz w:val="32"/>
          <w:szCs w:val="32"/>
        </w:rPr>
      </w:pPr>
      <w:r>
        <w:rPr>
          <w:rFonts w:hint="eastAsia" w:ascii="黑体" w:hAnsi="黑体" w:eastAsia="黑体" w:cs="黑体"/>
          <w:sz w:val="32"/>
          <w:szCs w:val="32"/>
        </w:rPr>
        <w:t>九、国有资产占用情况</w:t>
      </w:r>
    </w:p>
    <w:p>
      <w:pPr>
        <w:adjustRightInd w:val="0"/>
        <w:snapToGrid w:val="0"/>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截至2020年12月31日，本部门共有车辆</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辆，比上年</w:t>
      </w:r>
      <w:r>
        <w:rPr>
          <w:rFonts w:hint="eastAsia" w:ascii="仿宋_GB2312" w:hAnsi="仿宋_GB2312" w:eastAsia="仿宋_GB2312" w:cs="仿宋_GB2312"/>
          <w:sz w:val="32"/>
          <w:szCs w:val="32"/>
          <w:lang w:eastAsia="zh-CN"/>
        </w:rPr>
        <w:t>无变化</w:t>
      </w:r>
      <w:r>
        <w:rPr>
          <w:rFonts w:hint="eastAsia" w:ascii="仿宋_GB2312" w:hAnsi="仿宋_GB2312" w:eastAsia="仿宋_GB2312" w:cs="仿宋_GB2312"/>
          <w:sz w:val="32"/>
          <w:szCs w:val="32"/>
        </w:rPr>
        <w:t>，主要</w:t>
      </w:r>
      <w:r>
        <w:rPr>
          <w:rFonts w:hint="eastAsia" w:ascii="仿宋_GB2312" w:hAnsi="仿宋_GB2312" w:eastAsia="仿宋_GB2312" w:cs="仿宋_GB2312"/>
          <w:sz w:val="32"/>
          <w:szCs w:val="32"/>
          <w:lang w:eastAsia="zh-CN"/>
        </w:rPr>
        <w:t>原因未购买公务用车</w:t>
      </w:r>
      <w:r>
        <w:rPr>
          <w:rFonts w:hint="eastAsia" w:ascii="仿宋_GB2312" w:hAnsi="仿宋_GB2312" w:eastAsia="仿宋_GB2312" w:cs="仿宋_GB2312"/>
          <w:sz w:val="32"/>
          <w:szCs w:val="32"/>
        </w:rPr>
        <w:t>。其中，副部（省）级及以上领导用车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辆，主要领导干部用车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辆，机要通信用车</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辆，应急保障用车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辆，执法执勤用车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辆，特种专业技术用车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辆，离退休干部用车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辆，其他用车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r>
        <w:rPr>
          <w:rFonts w:hint="eastAsia" w:ascii="仿宋_GB2312" w:hAnsi="仿宋_GB2312" w:eastAsia="仿宋_GB2312" w:cs="仿宋_GB2312"/>
          <w:sz w:val="32"/>
          <w:szCs w:val="32"/>
          <w:lang w:eastAsia="zh-CN"/>
        </w:rPr>
        <w:t>。</w:t>
      </w:r>
    </w:p>
    <w:p>
      <w:pPr>
        <w:adjustRightInd w:val="0"/>
        <w:snapToGrid w:val="0"/>
        <w:spacing w:line="60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rPr>
        <w:t>单位价值50万元以上通用设备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台（套），比上年</w:t>
      </w:r>
      <w:r>
        <w:rPr>
          <w:rFonts w:hint="eastAsia" w:ascii="仿宋_GB2312" w:hAnsi="仿宋_GB2312" w:eastAsia="仿宋_GB2312" w:cs="仿宋_GB2312"/>
          <w:sz w:val="32"/>
          <w:szCs w:val="32"/>
          <w:lang w:eastAsia="zh-CN"/>
        </w:rPr>
        <w:t>无变化</w:t>
      </w:r>
      <w:r>
        <w:rPr>
          <w:rFonts w:hint="eastAsia" w:ascii="仿宋_GB2312" w:hAnsi="仿宋_GB2312" w:eastAsia="仿宋_GB2312" w:cs="仿宋_GB2312"/>
          <w:sz w:val="32"/>
          <w:szCs w:val="32"/>
        </w:rPr>
        <w:t>，单位价值100万元以上专用设备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台（套）比上年</w:t>
      </w:r>
      <w:r>
        <w:rPr>
          <w:rFonts w:hint="eastAsia" w:ascii="仿宋_GB2312" w:hAnsi="仿宋_GB2312" w:eastAsia="仿宋_GB2312" w:cs="仿宋_GB2312"/>
          <w:sz w:val="32"/>
          <w:szCs w:val="32"/>
          <w:lang w:eastAsia="zh-CN"/>
        </w:rPr>
        <w:t>无变化</w:t>
      </w:r>
      <w:r>
        <w:rPr>
          <w:rFonts w:hint="eastAsia" w:ascii="仿宋_GB2312" w:hAnsi="仿宋_GB2312" w:eastAsia="仿宋_GB2312" w:cs="仿宋_GB2312"/>
          <w:sz w:val="32"/>
          <w:szCs w:val="32"/>
        </w:rPr>
        <w:t>。</w:t>
      </w:r>
    </w:p>
    <w:p>
      <w:pPr>
        <w:keepNext/>
        <w:keepLines/>
        <w:snapToGrid w:val="0"/>
        <w:spacing w:line="600" w:lineRule="exact"/>
        <w:ind w:firstLine="640" w:firstLineChars="200"/>
        <w:outlineLvl w:val="2"/>
        <w:rPr>
          <w:rFonts w:ascii="黑体" w:hAnsi="黑体" w:eastAsia="黑体" w:cs="黑体"/>
          <w:sz w:val="32"/>
          <w:szCs w:val="32"/>
        </w:rPr>
      </w:pPr>
      <w:r>
        <w:rPr>
          <w:rFonts w:hint="eastAsia" w:ascii="黑体" w:hAnsi="黑体" w:eastAsia="黑体" w:cs="黑体"/>
          <w:sz w:val="32"/>
          <w:szCs w:val="32"/>
        </w:rPr>
        <w:t>十、其他需要说明的情况</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 本部门2020年度未发生国有资本经营预算财政拨款收支及结转结余情况，故国有资本经营预算财政拨款支出决算表以空表列示。</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 由于决算公开表格中金额数值应当保留两位小数，公开数据为四舍五入计算结果，个别数据合计项与分项之和存在小数点后差额，特此说明。</w:t>
      </w:r>
    </w:p>
    <w:p>
      <w:pPr>
        <w:rPr>
          <w:rFonts w:ascii="仿宋_GB2312" w:hAnsi="宋体" w:eastAsia="仿宋_GB2312" w:cs="Arial Black"/>
          <w:sz w:val="32"/>
          <w:szCs w:val="32"/>
        </w:rPr>
      </w:pPr>
      <w:r>
        <w:rPr>
          <w:rFonts w:ascii="仿宋_GB2312" w:hAnsi="宋体" w:eastAsia="仿宋_GB2312" w:cs="Arial Black"/>
          <w:sz w:val="32"/>
          <w:szCs w:val="32"/>
        </w:rPr>
        <w:br w:type="page"/>
      </w:r>
    </w:p>
    <w:p>
      <w:pPr>
        <w:rPr>
          <w:rFonts w:ascii="仿宋_GB2312" w:hAnsi="宋体" w:eastAsia="仿宋_GB2312" w:cs="Arial Black"/>
          <w:sz w:val="32"/>
          <w:szCs w:val="32"/>
        </w:rPr>
      </w:pPr>
    </w:p>
    <w:p>
      <w:pPr>
        <w:rPr>
          <w:rFonts w:ascii="仿宋_GB2312" w:hAnsi="宋体" w:eastAsia="仿宋_GB2312" w:cs="Arial Black"/>
          <w:sz w:val="32"/>
          <w:szCs w:val="32"/>
        </w:rPr>
      </w:pPr>
    </w:p>
    <w:p>
      <w:pPr>
        <w:rPr>
          <w:rFonts w:ascii="仿宋_GB2312" w:hAnsi="宋体" w:eastAsia="仿宋_GB2312" w:cs="Arial Black"/>
          <w:sz w:val="32"/>
          <w:szCs w:val="32"/>
        </w:rPr>
      </w:pPr>
    </w:p>
    <w:p>
      <w:pPr>
        <w:rPr>
          <w:rFonts w:ascii="仿宋_GB2312" w:hAnsi="宋体" w:eastAsia="仿宋_GB2312" w:cs="Arial Black"/>
          <w:sz w:val="32"/>
          <w:szCs w:val="32"/>
        </w:rPr>
      </w:pPr>
    </w:p>
    <w:p>
      <w:pPr>
        <w:rPr>
          <w:rFonts w:ascii="仿宋_GB2312" w:hAnsi="宋体" w:eastAsia="仿宋_GB2312" w:cs="Arial Black"/>
          <w:sz w:val="32"/>
          <w:szCs w:val="32"/>
        </w:rPr>
      </w:pPr>
    </w:p>
    <w:p>
      <w:pPr>
        <w:rPr>
          <w:rFonts w:ascii="仿宋_GB2312" w:hAnsi="宋体" w:eastAsia="仿宋_GB2312" w:cs="Arial Black"/>
          <w:sz w:val="32"/>
          <w:szCs w:val="32"/>
          <w:highlight w:val="yellow"/>
        </w:rPr>
      </w:pPr>
      <w:r>
        <w:rPr>
          <w:sz w:val="72"/>
        </w:rPr>
        <mc:AlternateContent>
          <mc:Choice Requires="wps">
            <w:drawing>
              <wp:anchor distT="0" distB="0" distL="114300" distR="114300" simplePos="0" relativeHeight="251661312" behindDoc="0" locked="0" layoutInCell="1" allowOverlap="1">
                <wp:simplePos x="0" y="0"/>
                <wp:positionH relativeFrom="column">
                  <wp:posOffset>-1040130</wp:posOffset>
                </wp:positionH>
                <wp:positionV relativeFrom="paragraph">
                  <wp:posOffset>26035</wp:posOffset>
                </wp:positionV>
                <wp:extent cx="7793355" cy="3341370"/>
                <wp:effectExtent l="4445" t="4445" r="5080" b="6985"/>
                <wp:wrapNone/>
                <wp:docPr id="188" name="文本框 188"/>
                <wp:cNvGraphicFramePr/>
                <a:graphic xmlns:a="http://schemas.openxmlformats.org/drawingml/2006/main">
                  <a:graphicData uri="http://schemas.microsoft.com/office/word/2010/wordprocessingShape">
                    <wps:wsp>
                      <wps:cNvSpPr txBox="1"/>
                      <wps:spPr>
                        <a:xfrm>
                          <a:off x="0" y="0"/>
                          <a:ext cx="7793355" cy="3341370"/>
                        </a:xfrm>
                        <a:prstGeom prst="rect">
                          <a:avLst/>
                        </a:prstGeom>
                        <a:pattFill prst="pct5">
                          <a:fgClr>
                            <a:schemeClr val="bg1">
                              <a:lumMod val="50000"/>
                            </a:schemeClr>
                          </a:fgClr>
                          <a:bgClr>
                            <a:schemeClr val="bg1"/>
                          </a:bgClr>
                        </a:pattFill>
                        <a:ln w="6350">
                          <a:solidFill>
                            <a:schemeClr val="bg1">
                              <a:lumMod val="50000"/>
                            </a:schemeClr>
                          </a:solidFill>
                        </a:ln>
                      </wps:spPr>
                      <wps:style>
                        <a:lnRef idx="0">
                          <a:schemeClr val="accent1"/>
                        </a:lnRef>
                        <a:fillRef idx="0">
                          <a:schemeClr val="accent1"/>
                        </a:fillRef>
                        <a:effectRef idx="0">
                          <a:schemeClr val="accent1"/>
                        </a:effectRef>
                        <a:fontRef idx="minor">
                          <a:schemeClr val="dk1"/>
                        </a:fontRef>
                      </wps:style>
                      <wps:txbx>
                        <w:txbxContent>
                          <w:p>
                            <w:pPr>
                              <w:widowControl/>
                              <w:jc w:val="center"/>
                              <w:rPr>
                                <w14:textOutline w14:w="9525" w14:cap="flat" w14:cmpd="sng" w14:algn="ctr">
                                  <w14:solidFill>
                                    <w14:schemeClr w14:val="tx1">
                                      <w14:lumMod w14:val="50000"/>
                                      <w14:lumOff w14:val="50000"/>
                                    </w14:schemeClr>
                                  </w14:solidFill>
                                  <w14:prstDash w14:val="solid"/>
                                  <w14:round/>
                                </w14:textOutline>
                              </w:rPr>
                            </w:pPr>
                            <w:r>
                              <w:rPr>
                                <w:rFonts w:hint="eastAsia" w:ascii="黑体" w:hAnsi="黑体" w:eastAsia="黑体" w:cs="黑体"/>
                                <w:color w:val="000000" w:themeColor="text1"/>
                                <w:sz w:val="90"/>
                                <w:szCs w:val="90"/>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第三部分 相关名词解释</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81.9pt;margin-top:2.05pt;height:263.1pt;width:613.65pt;z-index:251661312;v-text-anchor:middle;mso-width-relative:page;mso-height-relative:page;" fillcolor="#7F7F7F [1612]" filled="t" stroked="t" coordsize="21600,21600" o:gfxdata="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CXbtHtgAAAALAQAADwAA&#10;AAAAAAABACAAAAAiAAAAZHJzL2Rvd25yZXYueG1sUEsBAhQAFAAAAAgAh07iQMGdnwmIAgAATAUA&#10;AA4AAAAAAAAAAQAgAAAAJwEAAGRycy9lMm9Eb2MueG1sUEsFBgAAAAAGAAYAWQEAACEGAAAAAA==&#10;">
                <v:fill type="pattern" on="t" color2="#FFFFFF [3212]" o:title="5%" focussize="0,0" r:id="rId14"/>
                <v:stroke weight="0.5pt" color="#7F7F7F [1612]" joinstyle="round"/>
                <v:imagedata o:title=""/>
                <o:lock v:ext="edit" aspectratio="f"/>
                <v:textbox>
                  <w:txbxContent>
                    <w:p>
                      <w:pPr>
                        <w:widowControl/>
                        <w:jc w:val="center"/>
                        <w:rPr>
                          <w14:textOutline w14:w="9525" w14:cap="flat" w14:cmpd="sng" w14:algn="ctr">
                            <w14:solidFill>
                              <w14:schemeClr w14:val="tx1">
                                <w14:lumMod w14:val="50000"/>
                                <w14:lumOff w14:val="50000"/>
                              </w14:schemeClr>
                            </w14:solidFill>
                            <w14:prstDash w14:val="solid"/>
                            <w14:round/>
                          </w14:textOutline>
                        </w:rPr>
                      </w:pPr>
                      <w:r>
                        <w:rPr>
                          <w:rFonts w:hint="eastAsia" w:ascii="黑体" w:hAnsi="黑体" w:eastAsia="黑体" w:cs="黑体"/>
                          <w:color w:val="000000" w:themeColor="text1"/>
                          <w:sz w:val="90"/>
                          <w:szCs w:val="90"/>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第三部分 相关名词解释</w:t>
                      </w:r>
                    </w:p>
                  </w:txbxContent>
                </v:textbox>
              </v:shape>
            </w:pict>
          </mc:Fallback>
        </mc:AlternateContent>
      </w:r>
      <w:r>
        <w:rPr>
          <w:rFonts w:hint="eastAsia" w:ascii="仿宋_GB2312" w:hAnsi="宋体" w:eastAsia="仿宋_GB2312" w:cs="Arial Black"/>
          <w:sz w:val="32"/>
          <w:szCs w:val="32"/>
          <w:highlight w:val="yellow"/>
        </w:rPr>
        <w:br w:type="page"/>
      </w:r>
    </w:p>
    <w:p>
      <w:pPr>
        <w:widowControl/>
        <w:spacing w:line="60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（一）财政拨款收入：</w:t>
      </w:r>
      <w:r>
        <w:rPr>
          <w:rFonts w:hint="eastAsia" w:ascii="仿宋_GB2312" w:hAnsi="宋体" w:eastAsia="仿宋_GB2312" w:cs="Times New Roman"/>
          <w:color w:val="000000"/>
          <w:kern w:val="0"/>
          <w:sz w:val="32"/>
          <w:szCs w:val="32"/>
        </w:rPr>
        <w:t>本年度从本级财政部门取得的财政拨款，包括一般公共预算财政拨款和政府性基金预算财政拨款。</w:t>
      </w:r>
    </w:p>
    <w:p>
      <w:pPr>
        <w:widowControl/>
        <w:spacing w:line="60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（二）事业收入：</w:t>
      </w:r>
      <w:r>
        <w:rPr>
          <w:rFonts w:hint="eastAsia" w:ascii="仿宋_GB2312" w:hAnsi="宋体" w:eastAsia="仿宋_GB2312" w:cs="Times New Roman"/>
          <w:color w:val="000000"/>
          <w:kern w:val="0"/>
          <w:sz w:val="32"/>
          <w:szCs w:val="32"/>
        </w:rPr>
        <w:t>指事业单位开展专业业务活动及辅助活动所取得的收入。</w:t>
      </w:r>
    </w:p>
    <w:p>
      <w:pPr>
        <w:widowControl/>
        <w:spacing w:line="60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（三）其他收入：</w:t>
      </w:r>
      <w:r>
        <w:rPr>
          <w:rFonts w:hint="eastAsia" w:ascii="仿宋_GB2312" w:hAnsi="宋体" w:eastAsia="仿宋_GB2312" w:cs="Times New Roman"/>
          <w:color w:val="000000"/>
          <w:kern w:val="0"/>
          <w:sz w:val="32"/>
          <w:szCs w:val="32"/>
        </w:rPr>
        <w:t>指除上述“财政拨款收入”“事业收入”“经营收入”等以外的收入。</w:t>
      </w:r>
    </w:p>
    <w:p>
      <w:pPr>
        <w:widowControl/>
        <w:spacing w:line="60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（四）年初结转和结余：</w:t>
      </w:r>
      <w:r>
        <w:rPr>
          <w:rFonts w:hint="eastAsia" w:ascii="仿宋_GB2312" w:hAnsi="宋体" w:eastAsia="仿宋_GB2312" w:cs="Times New Roman"/>
          <w:color w:val="000000"/>
          <w:kern w:val="0"/>
          <w:sz w:val="32"/>
          <w:szCs w:val="32"/>
        </w:rPr>
        <w:t>指以前年度尚未完成、结转到本年仍按原规定用途继续使用的资金，或项目已完成等产生的结余资金。</w:t>
      </w:r>
    </w:p>
    <w:p>
      <w:pPr>
        <w:widowControl/>
        <w:spacing w:line="60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（五）结余分配：</w:t>
      </w:r>
      <w:r>
        <w:rPr>
          <w:rFonts w:hint="eastAsia" w:ascii="仿宋_GB2312" w:hAnsi="宋体" w:eastAsia="仿宋_GB2312" w:cs="Times New Roman"/>
          <w:color w:val="000000"/>
          <w:kern w:val="0"/>
          <w:sz w:val="32"/>
          <w:szCs w:val="32"/>
        </w:rPr>
        <w:t>指事业单位按照事业单位会计制度的规定从非财政补助结余中分配的事业基金和职工福利基金等。</w:t>
      </w:r>
    </w:p>
    <w:p>
      <w:pPr>
        <w:widowControl/>
        <w:spacing w:line="60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（六）年末结转和结余：</w:t>
      </w:r>
      <w:r>
        <w:rPr>
          <w:rFonts w:hint="eastAsia" w:ascii="仿宋_GB2312" w:hAnsi="宋体" w:eastAsia="仿宋_GB2312" w:cs="Times New Roman"/>
          <w:color w:val="000000"/>
          <w:kern w:val="0"/>
          <w:sz w:val="32"/>
          <w:szCs w:val="32"/>
        </w:rPr>
        <w:t>指单位按有关规定结转到下年或以后年度继续使用的资金，或项目已完成等产生的结余资金。</w:t>
      </w:r>
    </w:p>
    <w:p>
      <w:pPr>
        <w:widowControl/>
        <w:spacing w:line="60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（七）基本支出：</w:t>
      </w:r>
      <w:r>
        <w:rPr>
          <w:rFonts w:hint="eastAsia" w:ascii="仿宋_GB2312" w:hAnsi="宋体" w:eastAsia="仿宋_GB2312" w:cs="Times New Roman"/>
          <w:color w:val="000000"/>
          <w:kern w:val="0"/>
          <w:sz w:val="32"/>
          <w:szCs w:val="32"/>
        </w:rPr>
        <w:t>填列单位为保障机构正常运转、完成日常工作任务而发生的各项支出。</w:t>
      </w:r>
    </w:p>
    <w:p>
      <w:pPr>
        <w:widowControl/>
        <w:spacing w:line="60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（八）项目支出：</w:t>
      </w:r>
      <w:r>
        <w:rPr>
          <w:rFonts w:hint="eastAsia" w:ascii="仿宋_GB2312" w:hAnsi="宋体" w:eastAsia="仿宋_GB2312" w:cs="Times New Roman"/>
          <w:color w:val="000000"/>
          <w:kern w:val="0"/>
          <w:sz w:val="32"/>
          <w:szCs w:val="32"/>
        </w:rPr>
        <w:t>填列单位为完成特定的行政工作任务或事业发展目标，在基本支出之外发生的各项支出</w:t>
      </w:r>
    </w:p>
    <w:p>
      <w:pPr>
        <w:widowControl/>
        <w:spacing w:line="60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（九）基本建设支出：</w:t>
      </w:r>
      <w:r>
        <w:rPr>
          <w:rFonts w:hint="eastAsia" w:ascii="仿宋_GB2312" w:hAnsi="宋体" w:eastAsia="仿宋_GB2312" w:cs="Times New Roman"/>
          <w:color w:val="000000"/>
          <w:kern w:val="0"/>
          <w:sz w:val="32"/>
          <w:szCs w:val="32"/>
        </w:rPr>
        <w:t>填列由本级发展与改革部门集中安排的用于购置固定资产、战略性和应急性储备、土地和无形资产，以及购建基础设施、大型修缮所发生的一般公共预算财政拨款支出和政府性基金预算财政拨款支出，不包括财政专户管理资金以及各类拼盘自筹资金等。</w:t>
      </w:r>
    </w:p>
    <w:p>
      <w:pPr>
        <w:widowControl/>
        <w:spacing w:line="60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（十）其他资本性支出：</w:t>
      </w:r>
      <w:r>
        <w:rPr>
          <w:rFonts w:hint="eastAsia" w:ascii="仿宋_GB2312" w:hAnsi="宋体" w:eastAsia="仿宋_GB2312" w:cs="Times New Roman"/>
          <w:color w:val="000000"/>
          <w:kern w:val="0"/>
          <w:sz w:val="32"/>
          <w:szCs w:val="32"/>
        </w:rPr>
        <w:t>填列由各级非发展与改革部门集中安排的用于购置固定资产、战备性和应急性储备、土地和无形资产，以及购建基础设施、大型修缮和财政支持企业更新改造所发生的支出。</w:t>
      </w:r>
    </w:p>
    <w:p>
      <w:pPr>
        <w:snapToGrid w:val="0"/>
        <w:spacing w:line="60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（十一）“三公”经费：</w:t>
      </w:r>
      <w:r>
        <w:rPr>
          <w:rFonts w:hint="eastAsia" w:ascii="仿宋_GB2312" w:hAnsi="宋体" w:eastAsia="仿宋_GB2312" w:cs="Times New Roman"/>
          <w:color w:val="000000"/>
          <w:kern w:val="0"/>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按规定保留的公务用车燃料费、维修费、过桥过路费、保险费、安全奖励费用等支出；公务接待费反映单位按规定开支的各类公务接待（含外宾接待）支出。</w:t>
      </w:r>
    </w:p>
    <w:p>
      <w:pPr>
        <w:snapToGrid w:val="0"/>
        <w:spacing w:line="60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（十二）其他交通费用：</w:t>
      </w:r>
      <w:r>
        <w:rPr>
          <w:rFonts w:hint="eastAsia" w:ascii="仿宋_GB2312" w:hAnsi="宋体" w:eastAsia="仿宋_GB2312" w:cs="Times New Roman"/>
          <w:color w:val="000000"/>
          <w:kern w:val="0"/>
          <w:sz w:val="32"/>
          <w:szCs w:val="32"/>
        </w:rPr>
        <w:t>填列单位除公务用车运行维护费以外的其他交通费用。如公务交通补贴、租车费用、出租车费用，飞机、船舶等燃料费、维修费、保险费等。</w:t>
      </w:r>
    </w:p>
    <w:p>
      <w:pPr>
        <w:widowControl/>
        <w:spacing w:line="60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（十三）公务用车购置：</w:t>
      </w:r>
      <w:r>
        <w:rPr>
          <w:rFonts w:hint="eastAsia" w:ascii="仿宋_GB2312" w:hAnsi="宋体" w:eastAsia="仿宋_GB2312" w:cs="Times New Roman"/>
          <w:color w:val="000000"/>
          <w:kern w:val="0"/>
          <w:sz w:val="32"/>
          <w:szCs w:val="32"/>
        </w:rPr>
        <w:t>填列单位公务用车车辆购置支出（含车辆购置税、牌照费）。</w:t>
      </w:r>
    </w:p>
    <w:p>
      <w:pPr>
        <w:widowControl/>
        <w:spacing w:line="60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（十四）其他交通工具购置：</w:t>
      </w:r>
      <w:r>
        <w:rPr>
          <w:rFonts w:hint="eastAsia" w:ascii="仿宋_GB2312" w:hAnsi="宋体" w:eastAsia="仿宋_GB2312" w:cs="Times New Roman"/>
          <w:color w:val="000000"/>
          <w:kern w:val="0"/>
          <w:sz w:val="32"/>
          <w:szCs w:val="32"/>
        </w:rPr>
        <w:t>填列单位除公务用车外的其他各类交通工具（如船舶、飞机等）购置支出（含车辆购置税、牌照费）。</w:t>
      </w:r>
    </w:p>
    <w:p>
      <w:pPr>
        <w:widowControl/>
        <w:spacing w:line="60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（十五）机关运行经费：</w:t>
      </w:r>
      <w:r>
        <w:rPr>
          <w:rFonts w:hint="eastAsia" w:ascii="仿宋_GB2312" w:hAnsi="宋体" w:eastAsia="仿宋_GB2312" w:cs="Times New Roman"/>
          <w:color w:val="000000"/>
          <w:kern w:val="0"/>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pPr>
        <w:tabs>
          <w:tab w:val="left" w:pos="235"/>
        </w:tabs>
        <w:spacing w:line="600" w:lineRule="exact"/>
        <w:ind w:firstLine="643" w:firstLineChars="200"/>
        <w:jc w:val="left"/>
        <w:rPr>
          <w:rFonts w:ascii="仿宋_GB2312" w:hAnsi="Cambria" w:eastAsia="仿宋_GB2312" w:cs="Arial Black"/>
          <w:kern w:val="0"/>
          <w:sz w:val="32"/>
          <w:szCs w:val="32"/>
        </w:rPr>
      </w:pPr>
      <w:r>
        <w:rPr>
          <w:rFonts w:hint="eastAsia" w:ascii="仿宋_GB2312" w:hAnsi="宋体" w:eastAsia="仿宋_GB2312" w:cs="Times New Roman"/>
          <w:b/>
          <w:bCs/>
          <w:color w:val="000000"/>
          <w:kern w:val="0"/>
          <w:sz w:val="32"/>
          <w:szCs w:val="32"/>
        </w:rPr>
        <w:t>（十六）经费形式:</w:t>
      </w:r>
      <w:r>
        <w:rPr>
          <w:rFonts w:hint="eastAsia" w:ascii="仿宋_GB2312" w:hAnsi="宋体" w:eastAsia="仿宋_GB2312" w:cs="Times New Roman"/>
          <w:color w:val="000000"/>
          <w:kern w:val="0"/>
          <w:sz w:val="32"/>
          <w:szCs w:val="32"/>
        </w:rPr>
        <w:t>按照经费来源，</w:t>
      </w:r>
      <w:r>
        <w:rPr>
          <w:rFonts w:hint="eastAsia" w:ascii="仿宋_GB2312" w:hAnsi="Cambria" w:eastAsia="仿宋_GB2312" w:cs="Arial Black"/>
          <w:kern w:val="0"/>
          <w:sz w:val="32"/>
          <w:szCs w:val="32"/>
        </w:rPr>
        <w:t>可分为财政拨款、财政性资金基本保证、财政性资金定额或定项补助、财政性资金零补助四类。</w:t>
      </w:r>
    </w:p>
    <w:p>
      <w:pPr>
        <w:tabs>
          <w:tab w:val="left" w:pos="235"/>
        </w:tabs>
        <w:spacing w:line="600" w:lineRule="exact"/>
        <w:ind w:firstLine="640" w:firstLineChars="200"/>
        <w:jc w:val="left"/>
        <w:rPr>
          <w:rFonts w:ascii="仿宋_GB2312" w:hAnsi="Cambria" w:eastAsia="仿宋_GB2312" w:cs="Arial Black"/>
          <w:kern w:val="0"/>
          <w:sz w:val="32"/>
          <w:szCs w:val="32"/>
        </w:rPr>
      </w:pPr>
    </w:p>
    <w:p>
      <w:pPr>
        <w:tabs>
          <w:tab w:val="left" w:pos="235"/>
        </w:tabs>
        <w:spacing w:line="600" w:lineRule="exact"/>
        <w:ind w:firstLine="640" w:firstLineChars="200"/>
        <w:jc w:val="left"/>
        <w:rPr>
          <w:rFonts w:ascii="仿宋_GB2312" w:hAnsi="Cambria" w:eastAsia="仿宋_GB2312" w:cs="Arial Black"/>
          <w:kern w:val="0"/>
          <w:sz w:val="32"/>
          <w:szCs w:val="32"/>
        </w:rPr>
      </w:pPr>
    </w:p>
    <w:p>
      <w:pPr>
        <w:tabs>
          <w:tab w:val="left" w:pos="235"/>
        </w:tabs>
        <w:spacing w:line="600" w:lineRule="exact"/>
        <w:ind w:firstLine="640" w:firstLineChars="200"/>
        <w:jc w:val="left"/>
        <w:rPr>
          <w:rFonts w:ascii="仿宋_GB2312" w:hAnsi="Cambria" w:eastAsia="仿宋_GB2312" w:cs="Arial Black"/>
          <w:kern w:val="0"/>
          <w:sz w:val="32"/>
          <w:szCs w:val="32"/>
        </w:rPr>
      </w:pPr>
    </w:p>
    <w:p>
      <w:pPr>
        <w:tabs>
          <w:tab w:val="left" w:pos="235"/>
        </w:tabs>
        <w:spacing w:line="600" w:lineRule="exact"/>
        <w:ind w:firstLine="640" w:firstLineChars="200"/>
        <w:jc w:val="left"/>
        <w:rPr>
          <w:rFonts w:ascii="仿宋_GB2312" w:hAnsi="Cambria" w:eastAsia="仿宋_GB2312" w:cs="Arial Black"/>
          <w:kern w:val="0"/>
          <w:sz w:val="32"/>
          <w:szCs w:val="32"/>
        </w:rPr>
      </w:pPr>
    </w:p>
    <w:p>
      <w:pPr>
        <w:tabs>
          <w:tab w:val="left" w:pos="235"/>
        </w:tabs>
        <w:spacing w:line="600" w:lineRule="exact"/>
        <w:ind w:firstLine="640" w:firstLineChars="200"/>
        <w:jc w:val="left"/>
        <w:rPr>
          <w:rFonts w:ascii="仿宋_GB2312" w:hAnsi="Cambria" w:eastAsia="仿宋_GB2312" w:cs="Arial Black"/>
          <w:kern w:val="0"/>
          <w:sz w:val="32"/>
          <w:szCs w:val="32"/>
        </w:rPr>
      </w:pPr>
    </w:p>
    <w:p>
      <w:pPr>
        <w:tabs>
          <w:tab w:val="left" w:pos="235"/>
        </w:tabs>
        <w:spacing w:line="600" w:lineRule="exact"/>
        <w:ind w:firstLine="640" w:firstLineChars="200"/>
        <w:jc w:val="left"/>
        <w:rPr>
          <w:rFonts w:ascii="仿宋_GB2312" w:hAnsi="Cambria" w:eastAsia="仿宋_GB2312" w:cs="Arial Black"/>
          <w:kern w:val="0"/>
          <w:sz w:val="32"/>
          <w:szCs w:val="32"/>
        </w:rPr>
      </w:pPr>
    </w:p>
    <w:p>
      <w:pPr>
        <w:tabs>
          <w:tab w:val="left" w:pos="235"/>
        </w:tabs>
        <w:spacing w:line="600" w:lineRule="exact"/>
        <w:ind w:firstLine="640" w:firstLineChars="200"/>
        <w:jc w:val="left"/>
        <w:rPr>
          <w:rFonts w:ascii="仿宋_GB2312" w:hAnsi="Cambria" w:eastAsia="仿宋_GB2312" w:cs="Arial Black"/>
          <w:kern w:val="0"/>
          <w:sz w:val="32"/>
          <w:szCs w:val="32"/>
        </w:rPr>
      </w:pPr>
    </w:p>
    <w:p>
      <w:pPr>
        <w:tabs>
          <w:tab w:val="left" w:pos="235"/>
        </w:tabs>
        <w:spacing w:line="600" w:lineRule="exact"/>
        <w:ind w:firstLine="640" w:firstLineChars="200"/>
        <w:jc w:val="left"/>
        <w:rPr>
          <w:rFonts w:ascii="仿宋_GB2312" w:hAnsi="Cambria" w:eastAsia="仿宋_GB2312" w:cs="Arial Black"/>
          <w:kern w:val="0"/>
          <w:sz w:val="32"/>
          <w:szCs w:val="32"/>
        </w:rPr>
      </w:pPr>
    </w:p>
    <w:p>
      <w:pPr>
        <w:widowControl/>
        <w:spacing w:after="160" w:line="580" w:lineRule="exact"/>
        <w:rPr>
          <w:rFonts w:ascii="Times New Roman" w:hAnsi="Times New Roman" w:eastAsia="黑体" w:cs="Times New Roman"/>
          <w:sz w:val="32"/>
          <w:szCs w:val="32"/>
        </w:rPr>
        <w:sectPr>
          <w:headerReference r:id="rId11" w:type="default"/>
          <w:pgSz w:w="11906" w:h="16838"/>
          <w:pgMar w:top="2098" w:right="1531" w:bottom="1984" w:left="1531" w:header="851" w:footer="992" w:gutter="0"/>
          <w:pgNumType w:fmt="numberInDash"/>
          <w:cols w:space="0" w:num="1"/>
          <w:titlePg/>
          <w:docGrid w:type="lines" w:linePitch="312" w:charSpace="0"/>
        </w:sectPr>
      </w:pPr>
    </w:p>
    <w:p>
      <w:pPr>
        <w:rPr>
          <w:rFonts w:ascii="黑体" w:hAnsi="黑体" w:eastAsia="黑体" w:cs="黑体"/>
          <w:sz w:val="56"/>
          <w:szCs w:val="72"/>
        </w:rPr>
        <w:sectPr>
          <w:type w:val="continuous"/>
          <w:pgSz w:w="11906" w:h="16838"/>
          <w:pgMar w:top="2098" w:right="1531" w:bottom="1984" w:left="1531" w:header="851" w:footer="992" w:gutter="0"/>
          <w:pgNumType w:fmt="numberInDash"/>
          <w:cols w:space="0" w:num="1"/>
          <w:titlePg/>
          <w:docGrid w:type="lines" w:linePitch="312" w:charSpace="0"/>
        </w:sectPr>
      </w:pPr>
      <w:r>
        <w:rPr>
          <w:sz w:val="72"/>
        </w:rPr>
        <mc:AlternateContent>
          <mc:Choice Requires="wps">
            <w:drawing>
              <wp:anchor distT="0" distB="0" distL="114300" distR="114300" simplePos="0" relativeHeight="251667456" behindDoc="0" locked="0" layoutInCell="1" allowOverlap="1">
                <wp:simplePos x="0" y="0"/>
                <wp:positionH relativeFrom="column">
                  <wp:posOffset>-1027430</wp:posOffset>
                </wp:positionH>
                <wp:positionV relativeFrom="paragraph">
                  <wp:posOffset>1151255</wp:posOffset>
                </wp:positionV>
                <wp:extent cx="7793355" cy="3341370"/>
                <wp:effectExtent l="6350" t="6350" r="18415" b="20320"/>
                <wp:wrapNone/>
                <wp:docPr id="1" name="文本框 1"/>
                <wp:cNvGraphicFramePr/>
                <a:graphic xmlns:a="http://schemas.openxmlformats.org/drawingml/2006/main">
                  <a:graphicData uri="http://schemas.microsoft.com/office/word/2010/wordprocessingShape">
                    <wps:wsp>
                      <wps:cNvSpPr txBox="1"/>
                      <wps:spPr>
                        <a:xfrm>
                          <a:off x="0" y="0"/>
                          <a:ext cx="7793355" cy="3341370"/>
                        </a:xfrm>
                        <a:prstGeom prst="rect">
                          <a:avLst/>
                        </a:prstGeom>
                        <a:pattFill prst="pct5">
                          <a:fgClr>
                            <a:sysClr val="window" lastClr="FFFFFF">
                              <a:lumMod val="50000"/>
                            </a:sysClr>
                          </a:fgClr>
                          <a:bgClr>
                            <a:sysClr val="window" lastClr="FFFFFF"/>
                          </a:bgClr>
                        </a:pattFill>
                        <a:ln w="12700" cmpd="sng">
                          <a:solidFill>
                            <a:sysClr val="window" lastClr="FFFFFF">
                              <a:lumMod val="65000"/>
                            </a:sysClr>
                          </a:solidFill>
                          <a:prstDash val="solid"/>
                        </a:ln>
                        <a:effectLst/>
                      </wps:spPr>
                      <wps:txbx>
                        <w:txbxContent>
                          <w:p>
                            <w:pPr>
                              <w:widowControl/>
                              <w:jc w:val="center"/>
                              <w:rPr>
                                <w:rFonts w:ascii="黑体" w:hAnsi="黑体" w:eastAsia="黑体" w:cs="黑体"/>
                                <w:color w:val="000000" w:themeColor="text1"/>
                                <w:sz w:val="90"/>
                                <w:szCs w:val="90"/>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r>
                              <w:rPr>
                                <w:rFonts w:hint="eastAsia" w:ascii="黑体" w:hAnsi="黑体" w:eastAsia="黑体" w:cs="黑体"/>
                                <w:color w:val="000000" w:themeColor="text1"/>
                                <w:sz w:val="90"/>
                                <w:szCs w:val="90"/>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 xml:space="preserve">第四部分 </w:t>
                            </w:r>
                          </w:p>
                          <w:p>
                            <w:pPr>
                              <w:widowControl/>
                              <w:jc w:val="center"/>
                              <w:rPr>
                                <w14:textOutline w14:w="9525" w14:cap="flat" w14:cmpd="sng" w14:algn="ctr">
                                  <w14:solidFill>
                                    <w14:schemeClr w14:val="tx1">
                                      <w14:lumMod w14:val="50000"/>
                                      <w14:lumOff w14:val="50000"/>
                                    </w14:schemeClr>
                                  </w14:solidFill>
                                  <w14:prstDash w14:val="solid"/>
                                  <w14:round/>
                                </w14:textOutline>
                              </w:rPr>
                            </w:pPr>
                            <w:r>
                              <w:rPr>
                                <w:rFonts w:hint="eastAsia" w:ascii="黑体" w:hAnsi="黑体" w:eastAsia="黑体" w:cs="黑体"/>
                                <w:color w:val="000000" w:themeColor="text1"/>
                                <w:sz w:val="90"/>
                                <w:szCs w:val="90"/>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2020年度部门决算报表</w:t>
                            </w:r>
                          </w:p>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80.9pt;margin-top:90.65pt;height:263.1pt;width:613.65pt;z-index:251667456;v-text-anchor:middle;mso-width-relative:page;mso-height-relative:page;" fillcolor="#7F7F7F" filled="t" stroked="t" coordsize="21600,21600" o:gfxdata="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ANhBuPcAAAADQEAAA8AAAAAAAAAAQAgAAAAIgAAAGRycy9kb3du&#10;cmV2LnhtbFBLAQIUABQAAAAIAIdO4kAJY6zCpgIAAKkFAAAOAAAAAAAAAAEAIAAAACsBAABkcnMv&#10;ZTJvRG9jLnhtbFBLBQYAAAAABgAGAFkBAABDBgAAAAA=&#10;">
                <v:fill type="pattern" on="t" color2="#FFFFFF" o:title="5%" focussize="0,0" r:id="rId14"/>
                <v:stroke weight="1pt" color="#A6A6A6" joinstyle="round"/>
                <v:imagedata o:title=""/>
                <o:lock v:ext="edit" aspectratio="f"/>
                <v:textbox>
                  <w:txbxContent>
                    <w:p>
                      <w:pPr>
                        <w:widowControl/>
                        <w:jc w:val="center"/>
                        <w:rPr>
                          <w:rFonts w:ascii="黑体" w:hAnsi="黑体" w:eastAsia="黑体" w:cs="黑体"/>
                          <w:color w:val="000000" w:themeColor="text1"/>
                          <w:sz w:val="90"/>
                          <w:szCs w:val="90"/>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r>
                        <w:rPr>
                          <w:rFonts w:hint="eastAsia" w:ascii="黑体" w:hAnsi="黑体" w:eastAsia="黑体" w:cs="黑体"/>
                          <w:color w:val="000000" w:themeColor="text1"/>
                          <w:sz w:val="90"/>
                          <w:szCs w:val="90"/>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 xml:space="preserve">第四部分 </w:t>
                      </w:r>
                    </w:p>
                    <w:p>
                      <w:pPr>
                        <w:widowControl/>
                        <w:jc w:val="center"/>
                        <w:rPr>
                          <w14:textOutline w14:w="9525" w14:cap="flat" w14:cmpd="sng" w14:algn="ctr">
                            <w14:solidFill>
                              <w14:schemeClr w14:val="tx1">
                                <w14:lumMod w14:val="50000"/>
                                <w14:lumOff w14:val="50000"/>
                              </w14:schemeClr>
                            </w14:solidFill>
                            <w14:prstDash w14:val="solid"/>
                            <w14:round/>
                          </w14:textOutline>
                        </w:rPr>
                      </w:pPr>
                      <w:r>
                        <w:rPr>
                          <w:rFonts w:hint="eastAsia" w:ascii="黑体" w:hAnsi="黑体" w:eastAsia="黑体" w:cs="黑体"/>
                          <w:color w:val="000000" w:themeColor="text1"/>
                          <w:sz w:val="90"/>
                          <w:szCs w:val="90"/>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2020年度部门决算报表</w:t>
                      </w:r>
                    </w:p>
                    <w:p/>
                  </w:txbxContent>
                </v:textbox>
              </v:shape>
            </w:pict>
          </mc:Fallback>
        </mc:AlternateContent>
      </w:r>
    </w:p>
    <w:p>
      <w:pPr>
        <w:widowControl/>
        <w:jc w:val="center"/>
        <w:rPr>
          <w:rFonts w:hint="eastAsia" w:ascii="黑体" w:hAnsi="黑体" w:eastAsia="黑体" w:cs="黑体"/>
          <w:color w:val="000000" w:themeColor="text1"/>
          <w:sz w:val="52"/>
          <w:szCs w:val="52"/>
          <w14:textFill>
            <w14:solidFill>
              <w14:schemeClr w14:val="tx1"/>
            </w14:solidFill>
          </w14:textFill>
        </w:rPr>
      </w:pPr>
      <w:r>
        <w:rPr>
          <w:rFonts w:hint="eastAsia" w:ascii="黑体" w:hAnsi="黑体" w:eastAsia="黑体" w:cs="黑体"/>
          <w:color w:val="000000" w:themeColor="text1"/>
          <w:sz w:val="52"/>
          <w:szCs w:val="52"/>
          <w14:textFill>
            <w14:solidFill>
              <w14:schemeClr w14:val="tx1"/>
            </w14:solidFill>
          </w14:textFill>
        </w:rPr>
        <w:t xml:space="preserve">第四部分 </w:t>
      </w:r>
    </w:p>
    <w:p>
      <w:pPr>
        <w:widowControl/>
        <w:jc w:val="center"/>
        <w:rPr>
          <w:rFonts w:hint="eastAsia" w:ascii="黑体" w:hAnsi="黑体" w:eastAsia="黑体" w:cs="黑体"/>
          <w:color w:val="000000" w:themeColor="text1"/>
          <w:sz w:val="52"/>
          <w:szCs w:val="52"/>
          <w14:textFill>
            <w14:solidFill>
              <w14:schemeClr w14:val="tx1"/>
            </w14:solidFill>
          </w14:textFill>
        </w:rPr>
      </w:pPr>
      <w:r>
        <w:rPr>
          <w:rFonts w:hint="eastAsia" w:ascii="黑体" w:hAnsi="黑体" w:eastAsia="黑体" w:cs="黑体"/>
          <w:color w:val="000000" w:themeColor="text1"/>
          <w:sz w:val="52"/>
          <w:szCs w:val="52"/>
          <w:lang w:val="en-US" w:eastAsia="zh-CN"/>
          <w14:textFill>
            <w14:solidFill>
              <w14:schemeClr w14:val="tx1"/>
            </w14:solidFill>
          </w14:textFill>
        </w:rPr>
        <w:t>2020</w:t>
      </w:r>
      <w:r>
        <w:rPr>
          <w:rFonts w:hint="eastAsia" w:ascii="黑体" w:hAnsi="黑体" w:eastAsia="黑体" w:cs="黑体"/>
          <w:color w:val="000000" w:themeColor="text1"/>
          <w:sz w:val="52"/>
          <w:szCs w:val="52"/>
          <w14:textFill>
            <w14:solidFill>
              <w14:schemeClr w14:val="tx1"/>
            </w14:solidFill>
          </w14:textFill>
        </w:rPr>
        <w:t>年度部门决算报表</w:t>
      </w:r>
    </w:p>
    <w:p>
      <w:pPr>
        <w:rPr>
          <w:rFonts w:hint="eastAsia" w:ascii="宋体" w:hAnsi="宋体" w:eastAsia="宋体" w:cs="宋体"/>
          <w:color w:val="000000" w:themeColor="text1"/>
          <w:sz w:val="32"/>
          <w:szCs w:val="32"/>
          <w:lang w:eastAsia="zh-CN"/>
          <w14:textFill>
            <w14:solidFill>
              <w14:schemeClr w14:val="tx1"/>
            </w14:solidFill>
          </w14:textFill>
        </w:rPr>
      </w:pPr>
      <w:r>
        <w:rPr>
          <w:rFonts w:hint="eastAsia" w:ascii="宋体" w:hAnsi="宋体" w:eastAsia="宋体" w:cs="宋体"/>
          <w:color w:val="000000" w:themeColor="text1"/>
          <w:sz w:val="32"/>
          <w:szCs w:val="32"/>
          <w:lang w:eastAsia="zh-CN"/>
          <w14:textFill>
            <w14:solidFill>
              <w14:schemeClr w14:val="tx1"/>
            </w14:solidFill>
          </w14:textFill>
        </w:rPr>
        <w:t>见附表：</w:t>
      </w:r>
    </w:p>
    <w:p>
      <w:pPr>
        <w:rPr>
          <w:rFonts w:hint="eastAsia" w:ascii="宋体" w:hAnsi="宋体" w:eastAsia="宋体" w:cs="宋体"/>
          <w:color w:val="000000" w:themeColor="text1"/>
          <w:sz w:val="32"/>
          <w:szCs w:val="32"/>
          <w:lang w:eastAsia="zh-CN"/>
          <w14:textFill>
            <w14:solidFill>
              <w14:schemeClr w14:val="tx1"/>
            </w14:solidFill>
          </w14:textFill>
        </w:rPr>
      </w:pPr>
    </w:p>
    <w:p>
      <w:pPr>
        <w:numPr>
          <w:ilvl w:val="0"/>
          <w:numId w:val="5"/>
        </w:numPr>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收入支出决算总表</w:t>
      </w:r>
    </w:p>
    <w:p>
      <w:pPr>
        <w:numPr>
          <w:ilvl w:val="0"/>
          <w:numId w:val="5"/>
        </w:numPr>
        <w:jc w:val="left"/>
        <w:rPr>
          <w:rFonts w:hint="eastAsia" w:ascii="仿宋_GB2312" w:hAnsi="仿宋_GB2312" w:eastAsia="仿宋_GB2312" w:cs="仿宋_GB2312"/>
          <w:color w:val="000000"/>
          <w:kern w:val="0"/>
          <w:sz w:val="32"/>
          <w:szCs w:val="32"/>
          <w:lang w:eastAsia="zh-CN" w:bidi="ar"/>
        </w:rPr>
      </w:pPr>
      <w:r>
        <w:rPr>
          <w:rFonts w:hint="eastAsia" w:ascii="仿宋_GB2312" w:hAnsi="仿宋_GB2312" w:eastAsia="仿宋_GB2312" w:cs="仿宋_GB2312"/>
          <w:color w:val="000000"/>
          <w:kern w:val="0"/>
          <w:sz w:val="32"/>
          <w:szCs w:val="32"/>
          <w:lang w:bidi="ar"/>
        </w:rPr>
        <w:t>收入决算表</w:t>
      </w:r>
    </w:p>
    <w:p>
      <w:pPr>
        <w:numPr>
          <w:ilvl w:val="0"/>
          <w:numId w:val="5"/>
        </w:numPr>
        <w:jc w:val="left"/>
        <w:rPr>
          <w:rFonts w:hint="eastAsia" w:ascii="仿宋_GB2312" w:hAnsi="仿宋_GB2312" w:eastAsia="仿宋_GB2312" w:cs="仿宋_GB2312"/>
          <w:color w:val="000000"/>
          <w:kern w:val="0"/>
          <w:sz w:val="32"/>
          <w:szCs w:val="32"/>
          <w:lang w:eastAsia="zh-CN" w:bidi="ar"/>
        </w:rPr>
      </w:pPr>
      <w:r>
        <w:rPr>
          <w:rFonts w:hint="eastAsia" w:ascii="仿宋_GB2312" w:hAnsi="仿宋_GB2312" w:eastAsia="仿宋_GB2312" w:cs="仿宋_GB2312"/>
          <w:color w:val="000000"/>
          <w:kern w:val="0"/>
          <w:sz w:val="32"/>
          <w:szCs w:val="32"/>
          <w:lang w:bidi="ar"/>
        </w:rPr>
        <w:t>支出决算表</w:t>
      </w:r>
    </w:p>
    <w:p>
      <w:pPr>
        <w:numPr>
          <w:ilvl w:val="0"/>
          <w:numId w:val="5"/>
        </w:numPr>
        <w:jc w:val="left"/>
        <w:rPr>
          <w:rFonts w:hint="eastAsia" w:ascii="仿宋_GB2312" w:hAnsi="仿宋_GB2312" w:eastAsia="仿宋_GB2312" w:cs="仿宋_GB2312"/>
          <w:color w:val="000000"/>
          <w:kern w:val="0"/>
          <w:sz w:val="32"/>
          <w:szCs w:val="32"/>
          <w:lang w:eastAsia="zh-CN" w:bidi="ar"/>
        </w:rPr>
      </w:pPr>
      <w:r>
        <w:rPr>
          <w:rFonts w:hint="eastAsia" w:ascii="仿宋_GB2312" w:hAnsi="仿宋_GB2312" w:eastAsia="仿宋_GB2312" w:cs="仿宋_GB2312"/>
          <w:color w:val="000000"/>
          <w:kern w:val="0"/>
          <w:sz w:val="32"/>
          <w:szCs w:val="32"/>
          <w:lang w:bidi="ar"/>
        </w:rPr>
        <w:t>财政拨款收入支出决算总表</w:t>
      </w:r>
    </w:p>
    <w:p>
      <w:pPr>
        <w:numPr>
          <w:ilvl w:val="0"/>
          <w:numId w:val="5"/>
        </w:numPr>
        <w:jc w:val="left"/>
        <w:rPr>
          <w:rFonts w:hint="eastAsia" w:ascii="仿宋_GB2312" w:hAnsi="仿宋_GB2312" w:eastAsia="仿宋_GB2312" w:cs="仿宋_GB2312"/>
          <w:color w:val="000000"/>
          <w:kern w:val="0"/>
          <w:sz w:val="32"/>
          <w:szCs w:val="32"/>
          <w:lang w:eastAsia="zh-CN" w:bidi="ar"/>
        </w:rPr>
      </w:pPr>
      <w:r>
        <w:rPr>
          <w:rFonts w:hint="eastAsia" w:ascii="仿宋_GB2312" w:hAnsi="仿宋_GB2312" w:eastAsia="仿宋_GB2312" w:cs="仿宋_GB2312"/>
          <w:color w:val="000000"/>
          <w:kern w:val="0"/>
          <w:sz w:val="32"/>
          <w:szCs w:val="32"/>
          <w:lang w:bidi="ar"/>
        </w:rPr>
        <w:t>一般公共预算财政拨款支出决算表</w:t>
      </w:r>
    </w:p>
    <w:p>
      <w:pPr>
        <w:numPr>
          <w:ilvl w:val="0"/>
          <w:numId w:val="5"/>
        </w:numPr>
        <w:jc w:val="left"/>
        <w:rPr>
          <w:rFonts w:hint="eastAsia" w:ascii="仿宋_GB2312" w:hAnsi="仿宋_GB2312" w:eastAsia="仿宋_GB2312" w:cs="仿宋_GB2312"/>
          <w:color w:val="000000"/>
          <w:kern w:val="0"/>
          <w:sz w:val="32"/>
          <w:szCs w:val="32"/>
          <w:lang w:eastAsia="zh-CN" w:bidi="ar"/>
        </w:rPr>
      </w:pPr>
      <w:r>
        <w:rPr>
          <w:rFonts w:hint="eastAsia" w:ascii="仿宋_GB2312" w:hAnsi="仿宋_GB2312" w:eastAsia="仿宋_GB2312" w:cs="仿宋_GB2312"/>
          <w:color w:val="000000"/>
          <w:kern w:val="0"/>
          <w:sz w:val="32"/>
          <w:szCs w:val="32"/>
          <w:lang w:bidi="ar"/>
        </w:rPr>
        <w:t>一般公共预算财政拨款基本支出决算表</w:t>
      </w:r>
    </w:p>
    <w:p>
      <w:pPr>
        <w:numPr>
          <w:ilvl w:val="0"/>
          <w:numId w:val="5"/>
        </w:numPr>
        <w:jc w:val="left"/>
        <w:rPr>
          <w:rFonts w:hint="eastAsia" w:ascii="仿宋_GB2312" w:hAnsi="仿宋_GB2312" w:eastAsia="仿宋_GB2312" w:cs="仿宋_GB2312"/>
          <w:color w:val="000000"/>
          <w:kern w:val="0"/>
          <w:sz w:val="32"/>
          <w:szCs w:val="32"/>
          <w:lang w:eastAsia="zh-CN" w:bidi="ar"/>
        </w:rPr>
      </w:pPr>
      <w:r>
        <w:rPr>
          <w:rFonts w:hint="eastAsia" w:ascii="仿宋_GB2312" w:hAnsi="仿宋_GB2312" w:eastAsia="仿宋_GB2312" w:cs="仿宋_GB2312"/>
          <w:color w:val="000000"/>
          <w:kern w:val="0"/>
          <w:sz w:val="32"/>
          <w:szCs w:val="32"/>
          <w:lang w:bidi="ar"/>
        </w:rPr>
        <w:t>一般公共预算财政拨款“三公”经费支出决算表</w:t>
      </w:r>
    </w:p>
    <w:p>
      <w:pPr>
        <w:numPr>
          <w:ilvl w:val="0"/>
          <w:numId w:val="5"/>
        </w:numPr>
        <w:jc w:val="left"/>
        <w:rPr>
          <w:rFonts w:hint="eastAsia" w:ascii="仿宋_GB2312" w:hAnsi="仿宋_GB2312" w:eastAsia="仿宋_GB2312" w:cs="仿宋_GB2312"/>
          <w:color w:val="000000"/>
          <w:kern w:val="0"/>
          <w:sz w:val="32"/>
          <w:szCs w:val="32"/>
          <w:lang w:eastAsia="zh-CN" w:bidi="ar"/>
        </w:rPr>
      </w:pPr>
      <w:r>
        <w:rPr>
          <w:rFonts w:hint="eastAsia" w:ascii="仿宋_GB2312" w:hAnsi="仿宋_GB2312" w:eastAsia="仿宋_GB2312" w:cs="仿宋_GB2312"/>
          <w:color w:val="000000"/>
          <w:kern w:val="0"/>
          <w:sz w:val="32"/>
          <w:szCs w:val="32"/>
          <w:lang w:bidi="ar"/>
        </w:rPr>
        <w:t>政府性基金预算财政拨款收入支出决算表</w:t>
      </w:r>
    </w:p>
    <w:p>
      <w:pPr>
        <w:numPr>
          <w:ilvl w:val="0"/>
          <w:numId w:val="5"/>
        </w:numPr>
        <w:jc w:val="left"/>
        <w:rPr>
          <w:rFonts w:hint="eastAsia" w:ascii="仿宋_GB2312" w:hAnsi="仿宋_GB2312" w:eastAsia="仿宋_GB2312" w:cs="仿宋_GB2312"/>
          <w:color w:val="000000"/>
          <w:kern w:val="0"/>
          <w:sz w:val="32"/>
          <w:szCs w:val="32"/>
          <w:lang w:eastAsia="zh-CN" w:bidi="ar"/>
        </w:rPr>
      </w:pPr>
      <w:r>
        <w:rPr>
          <w:rFonts w:hint="eastAsia" w:ascii="仿宋_GB2312" w:hAnsi="仿宋_GB2312" w:eastAsia="仿宋_GB2312" w:cs="仿宋_GB2312"/>
          <w:color w:val="000000"/>
          <w:kern w:val="0"/>
          <w:sz w:val="32"/>
          <w:szCs w:val="32"/>
          <w:lang w:bidi="ar"/>
        </w:rPr>
        <w:t>国有资本经营预算财政拨款支出决算表</w:t>
      </w:r>
    </w:p>
    <w:p>
      <w:pPr>
        <w:tabs>
          <w:tab w:val="left" w:pos="235"/>
        </w:tabs>
        <w:jc w:val="left"/>
      </w:pPr>
    </w:p>
    <w:p>
      <w:pPr>
        <w:widowControl/>
        <w:jc w:val="center"/>
        <w:rPr>
          <w:rFonts w:hint="eastAsia" w:ascii="黑体" w:hAnsi="黑体" w:eastAsia="黑体" w:cs="黑体"/>
          <w:color w:val="000000" w:themeColor="text1"/>
          <w:sz w:val="90"/>
          <w:szCs w:val="90"/>
          <w14:textFill>
            <w14:solidFill>
              <w14:schemeClr w14:val="tx1"/>
            </w14:solidFill>
          </w14:textFill>
        </w:rPr>
      </w:pPr>
    </w:p>
    <w:p>
      <w:pPr>
        <w:rPr>
          <w:rFonts w:ascii="黑体" w:hAnsi="黑体" w:eastAsia="黑体" w:cs="黑体"/>
          <w:sz w:val="56"/>
          <w:szCs w:val="72"/>
        </w:rPr>
      </w:pPr>
    </w:p>
    <w:p>
      <w:pPr>
        <w:rPr>
          <w:rFonts w:ascii="黑体" w:hAnsi="黑体" w:eastAsia="黑体" w:cs="黑体"/>
          <w:sz w:val="56"/>
          <w:szCs w:val="72"/>
        </w:rPr>
      </w:pPr>
    </w:p>
    <w:p>
      <w:pPr>
        <w:rPr>
          <w:rFonts w:ascii="黑体" w:hAnsi="黑体" w:eastAsia="黑体" w:cs="黑体"/>
          <w:sz w:val="56"/>
          <w:szCs w:val="72"/>
        </w:rPr>
      </w:pPr>
    </w:p>
    <w:p>
      <w:pPr>
        <w:rPr>
          <w:rFonts w:ascii="黑体" w:hAnsi="黑体" w:eastAsia="黑体" w:cs="黑体"/>
          <w:sz w:val="56"/>
          <w:szCs w:val="72"/>
        </w:rPr>
      </w:pPr>
    </w:p>
    <w:p>
      <w:pPr>
        <w:rPr>
          <w:rFonts w:ascii="黑体" w:hAnsi="黑体" w:eastAsia="黑体" w:cs="黑体"/>
          <w:sz w:val="56"/>
          <w:szCs w:val="72"/>
        </w:rPr>
      </w:pPr>
    </w:p>
    <w:p>
      <w:pPr>
        <w:rPr>
          <w:rFonts w:ascii="黑体" w:hAnsi="黑体" w:eastAsia="黑体" w:cs="黑体"/>
          <w:sz w:val="56"/>
          <w:szCs w:val="72"/>
        </w:rPr>
      </w:pPr>
    </w:p>
    <w:p>
      <w:pPr>
        <w:rPr>
          <w:rFonts w:ascii="黑体" w:hAnsi="黑体" w:eastAsia="黑体" w:cs="黑体"/>
          <w:sz w:val="56"/>
          <w:szCs w:val="72"/>
        </w:rPr>
      </w:pPr>
    </w:p>
    <w:p>
      <w:pPr>
        <w:tabs>
          <w:tab w:val="left" w:pos="235"/>
        </w:tabs>
        <w:spacing w:line="600" w:lineRule="exact"/>
        <w:ind w:firstLine="640" w:firstLineChars="200"/>
        <w:jc w:val="left"/>
        <w:rPr>
          <w:rFonts w:ascii="仿宋_GB2312" w:hAnsi="Cambria" w:eastAsia="仿宋_GB2312" w:cs="Arial Black"/>
          <w:kern w:val="0"/>
          <w:sz w:val="32"/>
          <w:szCs w:val="32"/>
        </w:rPr>
        <w:sectPr>
          <w:pgSz w:w="11906" w:h="16838"/>
          <w:pgMar w:top="1984" w:right="1531" w:bottom="2098" w:left="1531" w:header="851" w:footer="992" w:gutter="0"/>
          <w:cols w:space="425" w:num="1"/>
          <w:docGrid w:type="lines" w:linePitch="312" w:charSpace="0"/>
        </w:sectPr>
      </w:pPr>
    </w:p>
    <w:p>
      <w:pPr>
        <w:tabs>
          <w:tab w:val="left" w:pos="235"/>
        </w:tabs>
        <w:spacing w:line="600" w:lineRule="exact"/>
        <w:ind w:firstLine="640" w:firstLineChars="200"/>
        <w:jc w:val="left"/>
        <w:rPr>
          <w:rFonts w:ascii="仿宋_GB2312" w:hAnsi="Cambria" w:eastAsia="仿宋_GB2312" w:cs="Arial Black"/>
          <w:kern w:val="0"/>
          <w:sz w:val="32"/>
          <w:szCs w:val="32"/>
        </w:rPr>
      </w:pPr>
      <w:r>
        <w:rPr>
          <w:sz w:val="32"/>
        </w:rPr>
        <mc:AlternateContent>
          <mc:Choice Requires="wps">
            <w:drawing>
              <wp:anchor distT="0" distB="0" distL="114300" distR="114300" simplePos="0" relativeHeight="251666432" behindDoc="0" locked="0" layoutInCell="1" allowOverlap="1">
                <wp:simplePos x="0" y="0"/>
                <wp:positionH relativeFrom="column">
                  <wp:posOffset>-993140</wp:posOffset>
                </wp:positionH>
                <wp:positionV relativeFrom="paragraph">
                  <wp:posOffset>-1353820</wp:posOffset>
                </wp:positionV>
                <wp:extent cx="7632700" cy="10695940"/>
                <wp:effectExtent l="0" t="0" r="2540" b="2540"/>
                <wp:wrapNone/>
                <wp:docPr id="3" name="矩形 3"/>
                <wp:cNvGraphicFramePr/>
                <a:graphic xmlns:a="http://schemas.openxmlformats.org/drawingml/2006/main">
                  <a:graphicData uri="http://schemas.microsoft.com/office/word/2010/wordprocessingShape">
                    <wps:wsp>
                      <wps:cNvSpPr/>
                      <wps:spPr>
                        <a:xfrm>
                          <a:off x="697865" y="1375410"/>
                          <a:ext cx="7632700" cy="10695940"/>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8.2pt;margin-top:-106.6pt;height:842.2pt;width:601pt;z-index:251666432;v-text-anchor:middle;mso-width-relative:page;mso-height-relative:page;" fillcolor="#BDD7EE [1300]" filled="t" stroked="f" coordsize="21600,21600" o:gfxdata="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AaR&#10;7+fcAAAADwEAAA8AAAAAAAAAAQAgAAAAIgAAAGRycy9kb3ducmV2LnhtbFBLAQIUABQAAAAIAIdO&#10;4kBIxKP9kQIAABEFAAAOAAAAAAAAAAEAIAAAACsBAABkcnMvZTJvRG9jLnhtbFBLBQYAAAAABgAG&#10;AFkBAAAuBgAAAAA=&#10;">
                <v:fill on="t" focussize="0,0"/>
                <v:stroke on="f" weight="1pt" miterlimit="8" joinstyle="miter"/>
                <v:imagedata o:title=""/>
                <o:lock v:ext="edit" aspectratio="f"/>
              </v:rect>
            </w:pict>
          </mc:Fallback>
        </mc:AlternateContent>
      </w:r>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Black">
    <w:panose1 w:val="020B0A04020102020204"/>
    <w:charset w:val="00"/>
    <w:family w:val="swiss"/>
    <w:pitch w:val="default"/>
    <w:sig w:usb0="A00002AF" w:usb1="400078FB" w:usb2="00000000" w:usb3="00000000" w:csb0="6000009F" w:csb1="DFD70000"/>
  </w:font>
  <w:font w:name="Cambria">
    <w:panose1 w:val="02040503050406030204"/>
    <w:charset w:val="00"/>
    <w:family w:val="roman"/>
    <w:pitch w:val="default"/>
    <w:sig w:usb0="E00006FF" w:usb1="420024FF" w:usb2="02000000" w:usb3="00000000" w:csb0="2000019F" w:csb1="00000000"/>
  </w:font>
  <w:font w:name="Mongolian Baiti">
    <w:panose1 w:val="03000500000000000000"/>
    <w:charset w:val="00"/>
    <w:family w:val="script"/>
    <w:pitch w:val="default"/>
    <w:sig w:usb0="80000023" w:usb1="00000000" w:usb2="00020000" w:usb3="00000000" w:csb0="00000001" w:csb1="00000000"/>
  </w:font>
  <w:font w:name="DengXian-Regular">
    <w:altName w:val="宋体"/>
    <w:panose1 w:val="00000000000000000000"/>
    <w:charset w:val="86"/>
    <w:family w:val="auto"/>
    <w:pitch w:val="default"/>
    <w:sig w:usb0="00000000" w:usb1="00000000" w:usb2="00000010" w:usb3="00000000" w:csb0="00040000" w:csb1="00000000"/>
  </w:font>
  <w:font w:name="方正小标宋_GBK">
    <w:altName w:val="微软雅黑"/>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E73492"/>
    <w:multiLevelType w:val="singleLevel"/>
    <w:tmpl w:val="9AE73492"/>
    <w:lvl w:ilvl="0" w:tentative="0">
      <w:start w:val="1"/>
      <w:numFmt w:val="chineseCounting"/>
      <w:suff w:val="nothing"/>
      <w:lvlText w:val="%1、"/>
      <w:lvlJc w:val="left"/>
      <w:rPr>
        <w:rFonts w:hint="eastAsia"/>
      </w:rPr>
    </w:lvl>
  </w:abstractNum>
  <w:abstractNum w:abstractNumId="1">
    <w:nsid w:val="DB010B76"/>
    <w:multiLevelType w:val="singleLevel"/>
    <w:tmpl w:val="DB010B76"/>
    <w:lvl w:ilvl="0" w:tentative="0">
      <w:start w:val="3"/>
      <w:numFmt w:val="chineseCounting"/>
      <w:suff w:val="nothing"/>
      <w:lvlText w:val="（%1）"/>
      <w:lvlJc w:val="left"/>
      <w:rPr>
        <w:rFonts w:hint="eastAsia"/>
      </w:rPr>
    </w:lvl>
  </w:abstractNum>
  <w:abstractNum w:abstractNumId="2">
    <w:nsid w:val="45DB9A87"/>
    <w:multiLevelType w:val="singleLevel"/>
    <w:tmpl w:val="45DB9A87"/>
    <w:lvl w:ilvl="0" w:tentative="0">
      <w:start w:val="3"/>
      <w:numFmt w:val="chineseCounting"/>
      <w:suff w:val="nothing"/>
      <w:lvlText w:val="（%1）"/>
      <w:lvlJc w:val="left"/>
      <w:rPr>
        <w:rFonts w:hint="eastAsia"/>
      </w:rPr>
    </w:lvl>
  </w:abstractNum>
  <w:abstractNum w:abstractNumId="3">
    <w:nsid w:val="59950409"/>
    <w:multiLevelType w:val="singleLevel"/>
    <w:tmpl w:val="59950409"/>
    <w:lvl w:ilvl="0" w:tentative="0">
      <w:start w:val="1"/>
      <w:numFmt w:val="decimal"/>
      <w:suff w:val="space"/>
      <w:lvlText w:val="%1."/>
      <w:lvlJc w:val="left"/>
    </w:lvl>
  </w:abstractNum>
  <w:abstractNum w:abstractNumId="4">
    <w:nsid w:val="78C1413D"/>
    <w:multiLevelType w:val="singleLevel"/>
    <w:tmpl w:val="78C1413D"/>
    <w:lvl w:ilvl="0" w:tentative="0">
      <w:start w:val="1"/>
      <w:numFmt w:val="decimal"/>
      <w:suff w:val="space"/>
      <w:lvlText w:val="%1."/>
      <w:lvlJc w:val="left"/>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C45458"/>
    <w:rsid w:val="00061A05"/>
    <w:rsid w:val="00061B93"/>
    <w:rsid w:val="00147453"/>
    <w:rsid w:val="0018668E"/>
    <w:rsid w:val="001B73D2"/>
    <w:rsid w:val="001E62BF"/>
    <w:rsid w:val="0027064E"/>
    <w:rsid w:val="00293E7B"/>
    <w:rsid w:val="002D1F4F"/>
    <w:rsid w:val="002E167A"/>
    <w:rsid w:val="002F1DA9"/>
    <w:rsid w:val="00310EBF"/>
    <w:rsid w:val="00366D90"/>
    <w:rsid w:val="003D2226"/>
    <w:rsid w:val="003D678E"/>
    <w:rsid w:val="00461FAF"/>
    <w:rsid w:val="004D1EA2"/>
    <w:rsid w:val="005E0E86"/>
    <w:rsid w:val="006C01AE"/>
    <w:rsid w:val="007620A2"/>
    <w:rsid w:val="00791C72"/>
    <w:rsid w:val="007920FC"/>
    <w:rsid w:val="007B4876"/>
    <w:rsid w:val="00801F66"/>
    <w:rsid w:val="00812C39"/>
    <w:rsid w:val="009334BF"/>
    <w:rsid w:val="00995AAE"/>
    <w:rsid w:val="009D1193"/>
    <w:rsid w:val="00A61E3E"/>
    <w:rsid w:val="00B0223F"/>
    <w:rsid w:val="00BA1219"/>
    <w:rsid w:val="00BB2584"/>
    <w:rsid w:val="00BE2400"/>
    <w:rsid w:val="00E54963"/>
    <w:rsid w:val="00EB3F98"/>
    <w:rsid w:val="00F217C2"/>
    <w:rsid w:val="00FD5E00"/>
    <w:rsid w:val="01D36A86"/>
    <w:rsid w:val="069562E1"/>
    <w:rsid w:val="0EA325C9"/>
    <w:rsid w:val="0EE17C1A"/>
    <w:rsid w:val="12E959FC"/>
    <w:rsid w:val="181800A9"/>
    <w:rsid w:val="18E05D67"/>
    <w:rsid w:val="1DC72045"/>
    <w:rsid w:val="22E46C89"/>
    <w:rsid w:val="2C4C1A02"/>
    <w:rsid w:val="31C27C9C"/>
    <w:rsid w:val="34C45458"/>
    <w:rsid w:val="35C83C42"/>
    <w:rsid w:val="37445DC3"/>
    <w:rsid w:val="37581AFE"/>
    <w:rsid w:val="3CDB44B5"/>
    <w:rsid w:val="4C6205A3"/>
    <w:rsid w:val="53393493"/>
    <w:rsid w:val="5608133D"/>
    <w:rsid w:val="58382241"/>
    <w:rsid w:val="5BF86FFC"/>
    <w:rsid w:val="60154311"/>
    <w:rsid w:val="63F724F5"/>
    <w:rsid w:val="695B26FD"/>
    <w:rsid w:val="6AF77BA8"/>
    <w:rsid w:val="73D824BD"/>
    <w:rsid w:val="764B3663"/>
    <w:rsid w:val="7C1D33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1"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0"/>
    <w:qFormat/>
    <w:uiPriority w:val="0"/>
    <w:rPr>
      <w:sz w:val="18"/>
      <w:szCs w:val="18"/>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sz w:val="18"/>
      <w:szCs w:val="18"/>
    </w:rPr>
  </w:style>
  <w:style w:type="table" w:styleId="7">
    <w:name w:val="Table Grid"/>
    <w:qFormat/>
    <w:uiPriority w:val="1"/>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styleId="9">
    <w:name w:val="List Paragraph"/>
    <w:basedOn w:val="1"/>
    <w:unhideWhenUsed/>
    <w:qFormat/>
    <w:uiPriority w:val="99"/>
    <w:pPr>
      <w:ind w:firstLine="420" w:firstLineChars="200"/>
    </w:pPr>
  </w:style>
  <w:style w:type="character" w:customStyle="1" w:styleId="10">
    <w:name w:val="批注框文本 Char"/>
    <w:basedOn w:val="8"/>
    <w:link w:val="3"/>
    <w:qFormat/>
    <w:uiPriority w:val="0"/>
    <w:rPr>
      <w:rFonts w:asciiTheme="minorHAnsi" w:hAnsiTheme="minorHAnsi" w:eastAsiaTheme="minorEastAsia" w:cstheme="minorBidi"/>
      <w:kern w:val="2"/>
      <w:sz w:val="18"/>
      <w:szCs w:val="18"/>
    </w:rPr>
  </w:style>
  <w:style w:type="character" w:customStyle="1" w:styleId="11">
    <w:name w:val="font61"/>
    <w:basedOn w:val="8"/>
    <w:uiPriority w:val="0"/>
    <w:rPr>
      <w:rFonts w:hint="eastAsia" w:ascii="宋体" w:hAnsi="宋体" w:eastAsia="宋体" w:cs="宋体"/>
      <w:color w:val="000000"/>
      <w:sz w:val="16"/>
      <w:szCs w:val="16"/>
      <w:u w:val="none"/>
    </w:rPr>
  </w:style>
  <w:style w:type="character" w:customStyle="1" w:styleId="12">
    <w:name w:val="font11"/>
    <w:basedOn w:val="8"/>
    <w:uiPriority w:val="0"/>
    <w:rPr>
      <w:rFonts w:ascii="Calibri" w:hAnsi="Calibri" w:cs="Calibri"/>
      <w:color w:val="000000"/>
      <w:sz w:val="16"/>
      <w:szCs w:val="16"/>
      <w:u w:val="none"/>
    </w:rPr>
  </w:style>
  <w:style w:type="character" w:customStyle="1" w:styleId="13">
    <w:name w:val="font01"/>
    <w:basedOn w:val="8"/>
    <w:uiPriority w:val="0"/>
    <w:rPr>
      <w:rFonts w:hint="eastAsia" w:ascii="宋体" w:hAnsi="宋体" w:eastAsia="宋体" w:cs="宋体"/>
      <w:color w:val="000000"/>
      <w:sz w:val="16"/>
      <w:szCs w:val="16"/>
      <w:u w:val="none"/>
    </w:rPr>
  </w:style>
  <w:style w:type="character" w:customStyle="1" w:styleId="14">
    <w:name w:val="font21"/>
    <w:basedOn w:val="8"/>
    <w:uiPriority w:val="0"/>
    <w:rPr>
      <w:rFonts w:ascii="Calibri" w:hAnsi="Calibri" w:cs="Calibri"/>
      <w:color w:val="000000"/>
      <w:sz w:val="16"/>
      <w:szCs w:val="16"/>
      <w:u w:val="none"/>
    </w:rPr>
  </w:style>
  <w:style w:type="character" w:customStyle="1" w:styleId="15">
    <w:name w:val="font31"/>
    <w:basedOn w:val="8"/>
    <w:uiPriority w:val="0"/>
    <w:rPr>
      <w:rFonts w:hint="eastAsia" w:ascii="宋体" w:hAnsi="宋体" w:eastAsia="宋体" w:cs="宋体"/>
      <w:color w:val="000000"/>
      <w:sz w:val="16"/>
      <w:szCs w:val="16"/>
      <w:u w:val="none"/>
    </w:rPr>
  </w:style>
  <w:style w:type="character" w:customStyle="1" w:styleId="16">
    <w:name w:val="font91"/>
    <w:basedOn w:val="8"/>
    <w:uiPriority w:val="0"/>
    <w:rPr>
      <w:rFonts w:hint="eastAsia" w:ascii="宋体" w:hAnsi="宋体" w:eastAsia="宋体" w:cs="宋体"/>
      <w:color w:val="000000"/>
      <w:sz w:val="16"/>
      <w:szCs w:val="16"/>
      <w:u w:val="none"/>
    </w:rPr>
  </w:style>
  <w:style w:type="character" w:customStyle="1" w:styleId="17">
    <w:name w:val="font81"/>
    <w:basedOn w:val="8"/>
    <w:uiPriority w:val="0"/>
    <w:rPr>
      <w:rFonts w:hint="default" w:ascii="Calibri" w:hAnsi="Calibri" w:cs="Calibri"/>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chart" Target="charts/chart5.xml"/><Relationship Id="rId2" Type="http://schemas.openxmlformats.org/officeDocument/2006/relationships/settings" Target="settings.xml"/><Relationship Id="rId19" Type="http://schemas.openxmlformats.org/officeDocument/2006/relationships/chart" Target="charts/chart4.xml"/><Relationship Id="rId18" Type="http://schemas.openxmlformats.org/officeDocument/2006/relationships/chart" Target="charts/chart3.xml"/><Relationship Id="rId17" Type="http://schemas.openxmlformats.org/officeDocument/2006/relationships/chart" Target="charts/chart2.xml"/><Relationship Id="rId16" Type="http://schemas.openxmlformats.org/officeDocument/2006/relationships/image" Target="media/image3.png"/><Relationship Id="rId15" Type="http://schemas.openxmlformats.org/officeDocument/2006/relationships/chart" Target="charts/chart1.xml"/><Relationship Id="rId14" Type="http://schemas.openxmlformats.org/officeDocument/2006/relationships/image" Target="media/image2.bmp"/><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6032;&#24314;%20XLS%20&#24037;&#20316;&#3492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XLS%20&#24037;&#20316;&#3492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6032;&#24314;%20XLS%20&#24037;&#20316;&#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26700;&#38754;&#25991;&#20214;\&#26032;&#24314;%20Microsoft%20Office%20Excel%2097-2003%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楷体_GB2312" panose="02010609030101010101" pitchFamily="3" charset="-122"/>
                <a:ea typeface="楷体_GB2312" panose="02010609030101010101" pitchFamily="3" charset="-122"/>
                <a:cs typeface="楷体_GB2312" panose="02010609030101010101" pitchFamily="3" charset="-122"/>
                <a:sym typeface="楷体_GB2312" panose="02010609030101010101" pitchFamily="3" charset="-122"/>
              </a:defRPr>
            </a:pPr>
            <a:r>
              <a:rPr lang="en-US" altLang="zh-CN">
                <a:latin typeface="楷体_GB2312" panose="02010609030101010101" pitchFamily="3" charset="-122"/>
                <a:ea typeface="楷体_GB2312" panose="02010609030101010101" pitchFamily="3" charset="-122"/>
                <a:cs typeface="楷体_GB2312" panose="02010609030101010101" pitchFamily="3" charset="-122"/>
                <a:sym typeface="楷体_GB2312" panose="02010609030101010101" pitchFamily="3" charset="-122"/>
              </a:rPr>
              <a:t>2019-2020</a:t>
            </a:r>
            <a:r>
              <a:rPr lang="zh-CN" altLang="en-US">
                <a:latin typeface="楷体_GB2312" panose="02010609030101010101" pitchFamily="3" charset="-122"/>
                <a:ea typeface="楷体_GB2312" panose="02010609030101010101" pitchFamily="3" charset="-122"/>
                <a:cs typeface="楷体_GB2312" panose="02010609030101010101" pitchFamily="3" charset="-122"/>
                <a:sym typeface="楷体_GB2312" panose="02010609030101010101" pitchFamily="3" charset="-122"/>
              </a:rPr>
              <a:t>年收支总计对比情况（图</a:t>
            </a:r>
            <a:r>
              <a:rPr lang="en-US" altLang="zh-CN">
                <a:latin typeface="楷体_GB2312" panose="02010609030101010101" pitchFamily="3" charset="-122"/>
                <a:ea typeface="楷体_GB2312" panose="02010609030101010101" pitchFamily="3" charset="-122"/>
                <a:cs typeface="楷体_GB2312" panose="02010609030101010101" pitchFamily="3" charset="-122"/>
                <a:sym typeface="楷体_GB2312" panose="02010609030101010101" pitchFamily="3" charset="-122"/>
              </a:rPr>
              <a:t>1</a:t>
            </a:r>
            <a:r>
              <a:rPr lang="zh-CN" altLang="en-US">
                <a:latin typeface="楷体_GB2312" panose="02010609030101010101" pitchFamily="3" charset="-122"/>
                <a:ea typeface="楷体_GB2312" panose="02010609030101010101" pitchFamily="3" charset="-122"/>
                <a:cs typeface="楷体_GB2312" panose="02010609030101010101" pitchFamily="3" charset="-122"/>
                <a:sym typeface="楷体_GB2312" panose="02010609030101010101" pitchFamily="3" charset="-122"/>
              </a:rPr>
              <a:t>）</a:t>
            </a:r>
            <a:endParaRPr lang="zh-CN" altLang="en-US">
              <a:latin typeface="楷体_GB2312" panose="02010609030101010101" pitchFamily="3" charset="-122"/>
              <a:ea typeface="楷体_GB2312" panose="02010609030101010101" pitchFamily="3" charset="-122"/>
              <a:cs typeface="楷体_GB2312" panose="02010609030101010101" pitchFamily="3" charset="-122"/>
              <a:sym typeface="楷体_GB2312" panose="02010609030101010101" pitchFamily="3" charset="-122"/>
            </a:endParaRPr>
          </a:p>
        </c:rich>
      </c:tx>
      <c:layout>
        <c:manualLayout>
          <c:xMode val="edge"/>
          <c:yMode val="edge"/>
          <c:x val="0.209718361608105"/>
          <c:y val="0.846648044692737"/>
        </c:manualLayout>
      </c:layout>
      <c:overlay val="0"/>
      <c:spPr>
        <a:noFill/>
        <a:ln>
          <a:noFill/>
        </a:ln>
        <a:effectLst/>
      </c:spPr>
    </c:title>
    <c:autoTitleDeleted val="0"/>
    <c:plotArea>
      <c:layout>
        <c:manualLayout>
          <c:layoutTarget val="inner"/>
          <c:xMode val="edge"/>
          <c:yMode val="edge"/>
          <c:x val="0.123946243127673"/>
          <c:y val="0.0879888268156425"/>
          <c:w val="0.778772144166158"/>
          <c:h val="0.619106145251397"/>
        </c:manualLayout>
      </c:layout>
      <c:barChart>
        <c:barDir val="col"/>
        <c:grouping val="clustered"/>
        <c:varyColors val="0"/>
        <c:ser>
          <c:idx val="0"/>
          <c:order val="0"/>
          <c:tx>
            <c:strRef>
              <c:f>Sheet1!$B$1</c:f>
              <c:strCache>
                <c:ptCount val="1"/>
                <c:pt idx="0">
                  <c:v>收支总计</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楷体_GB2312" panose="02010609030101010101" pitchFamily="3" charset="-122"/>
                        <a:ea typeface="楷体_GB2312" panose="02010609030101010101" pitchFamily="3" charset="-122"/>
                        <a:cs typeface="楷体_GB2312" panose="02010609030101010101" pitchFamily="3" charset="-122"/>
                        <a:sym typeface="楷体_GB2312" panose="02010609030101010101" pitchFamily="3" charset="-122"/>
                      </a:defRPr>
                    </a:pPr>
                    <a:r>
                      <a:rPr lang="en-US" altLang="zh-CN"/>
                      <a:t>6725.49</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楷体_GB2312" panose="02010609030101010101" pitchFamily="3" charset="-122"/>
                        <a:ea typeface="楷体_GB2312" panose="02010609030101010101" pitchFamily="3" charset="-122"/>
                        <a:cs typeface="楷体_GB2312" panose="02010609030101010101" pitchFamily="3" charset="-122"/>
                        <a:sym typeface="楷体_GB2312" panose="02010609030101010101" pitchFamily="3" charset="-122"/>
                      </a:defRPr>
                    </a:pPr>
                    <a:r>
                      <a:rPr lang="en-US" altLang="zh-CN"/>
                      <a:t>11931.56</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楷体_GB2312" panose="02010609030101010101" pitchFamily="3" charset="-122"/>
                    <a:ea typeface="楷体_GB2312" panose="02010609030101010101" pitchFamily="3" charset="-122"/>
                    <a:cs typeface="楷体_GB2312" panose="02010609030101010101" pitchFamily="3" charset="-122"/>
                    <a:sym typeface="楷体_GB2312" panose="02010609030101010101" pitchFamily="3"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2019年</c:v>
                </c:pt>
                <c:pt idx="1">
                  <c:v>2020年</c:v>
                </c:pt>
              </c:strCache>
            </c:strRef>
          </c:cat>
          <c:val>
            <c:numRef>
              <c:f>Sheet1!$B$2:$B$3</c:f>
              <c:numCache>
                <c:formatCode>General</c:formatCode>
                <c:ptCount val="2"/>
                <c:pt idx="0">
                  <c:v>6725.49</c:v>
                </c:pt>
                <c:pt idx="1">
                  <c:v>11931.56</c:v>
                </c:pt>
              </c:numCache>
            </c:numRef>
          </c:val>
        </c:ser>
        <c:dLbls>
          <c:showLegendKey val="0"/>
          <c:showVal val="1"/>
          <c:showCatName val="0"/>
          <c:showSerName val="0"/>
          <c:showPercent val="0"/>
          <c:showBubbleSize val="0"/>
        </c:dLbls>
        <c:gapWidth val="219"/>
        <c:overlap val="-27"/>
        <c:axId val="325272704"/>
        <c:axId val="325275648"/>
      </c:barChart>
      <c:catAx>
        <c:axId val="32527270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楷体_GB2312" panose="02010609030101010101" pitchFamily="3" charset="-122"/>
                <a:ea typeface="楷体_GB2312" panose="02010609030101010101" pitchFamily="3" charset="-122"/>
                <a:cs typeface="楷体_GB2312" panose="02010609030101010101" pitchFamily="3" charset="-122"/>
                <a:sym typeface="楷体_GB2312" panose="02010609030101010101" pitchFamily="3" charset="-122"/>
              </a:defRPr>
            </a:pPr>
          </a:p>
        </c:txPr>
        <c:crossAx val="325275648"/>
        <c:crosses val="autoZero"/>
        <c:auto val="1"/>
        <c:lblAlgn val="ctr"/>
        <c:lblOffset val="100"/>
        <c:noMultiLvlLbl val="0"/>
      </c:catAx>
      <c:valAx>
        <c:axId val="325275648"/>
        <c:scaling>
          <c:orientation val="minMax"/>
        </c:scaling>
        <c:delete val="0"/>
        <c:axPos val="l"/>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楷体_GB2312" panose="02010609030101010101" pitchFamily="3" charset="-122"/>
                <a:ea typeface="楷体_GB2312" panose="02010609030101010101" pitchFamily="3" charset="-122"/>
                <a:cs typeface="楷体_GB2312" panose="02010609030101010101" pitchFamily="3" charset="-122"/>
                <a:sym typeface="楷体_GB2312" panose="02010609030101010101" pitchFamily="3" charset="-122"/>
              </a:defRPr>
            </a:pPr>
          </a:p>
        </c:txPr>
        <c:crossAx val="325272704"/>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楷体_GB2312" panose="02010609030101010101" pitchFamily="3" charset="-122"/>
                <a:ea typeface="楷体_GB2312" panose="02010609030101010101" pitchFamily="3" charset="-122"/>
                <a:cs typeface="楷体_GB2312" panose="02010609030101010101" pitchFamily="3" charset="-122"/>
                <a:sym typeface="楷体_GB2312" panose="02010609030101010101" pitchFamily="3" charset="-122"/>
              </a:defRPr>
            </a:pPr>
          </a:p>
        </c:txPr>
      </c:legendEntry>
      <c:layout>
        <c:manualLayout>
          <c:xMode val="edge"/>
          <c:yMode val="edge"/>
          <c:x val="0.830312807730552"/>
          <c:y val="0.36317316982804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楷体_GB2312" panose="02010609030101010101" pitchFamily="3" charset="-122"/>
              <a:ea typeface="楷体_GB2312" panose="02010609030101010101" pitchFamily="3" charset="-122"/>
              <a:cs typeface="楷体_GB2312" panose="02010609030101010101" pitchFamily="3" charset="-122"/>
              <a:sym typeface="楷体_GB2312" panose="02010609030101010101" pitchFamily="3" charset="-122"/>
            </a:defRPr>
          </a:pPr>
        </a:p>
      </c:txPr>
    </c:legend>
    <c:plotVisOnly val="1"/>
    <c:dispBlanksAs val="gap"/>
    <c:showDLblsOverMax val="0"/>
  </c:chart>
  <c:spPr>
    <a:solidFill>
      <a:schemeClr val="bg1"/>
    </a:solidFill>
    <a:ln w="9525" cap="flat" cmpd="sng" algn="ctr">
      <a:noFill/>
      <a:prstDash val="solid"/>
      <a:round/>
    </a:ln>
    <a:effectLst/>
  </c:spPr>
  <c:txPr>
    <a:bodyPr/>
    <a:lstStyle/>
    <a:p>
      <a:pPr>
        <a:defRPr lang="zh-CN">
          <a:latin typeface="楷体_GB2312" panose="02010609030101010101" pitchFamily="3" charset="-122"/>
          <a:ea typeface="楷体_GB2312" panose="02010609030101010101" pitchFamily="3" charset="-122"/>
          <a:cs typeface="楷体_GB2312" panose="02010609030101010101" pitchFamily="3" charset="-122"/>
          <a:sym typeface="楷体_GB2312" panose="02010609030101010101" pitchFamily="3"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2020</a:t>
            </a:r>
            <a:r>
              <a:rPr altLang="en-US"/>
              <a:t>年支出</a:t>
            </a:r>
            <a:endParaRPr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'[新建 XLS 工作表.xls]Sheet1'!$A$2:$A$6</c:f>
              <c:strCache>
                <c:ptCount val="5"/>
                <c:pt idx="0">
                  <c:v>基本支出</c:v>
                </c:pt>
                <c:pt idx="1">
                  <c:v>项目支出</c:v>
                </c:pt>
                <c:pt idx="2">
                  <c:v>上缴上级支出</c:v>
                </c:pt>
                <c:pt idx="3">
                  <c:v>经营支出</c:v>
                </c:pt>
                <c:pt idx="4">
                  <c:v>对附属单位补助支出</c:v>
                </c:pt>
              </c:strCache>
            </c:strRef>
          </c:cat>
          <c:val>
            <c:numRef>
              <c:f>'[新建 XLS 工作表.xls]Sheet1'!$B$2:$B$6</c:f>
              <c:numCache>
                <c:formatCode>General</c:formatCode>
                <c:ptCount val="5"/>
                <c:pt idx="0">
                  <c:v>779.53</c:v>
                </c:pt>
                <c:pt idx="1">
                  <c:v>10938.21</c:v>
                </c:pt>
                <c:pt idx="2">
                  <c:v>0</c:v>
                </c:pt>
                <c:pt idx="3">
                  <c:v>0</c:v>
                </c:pt>
                <c:pt idx="4">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0434722222222222"/>
          <c:y val="0.91597222222222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2019</a:t>
            </a:r>
            <a:r>
              <a:rPr altLang="en-US"/>
              <a:t>年与</a:t>
            </a:r>
            <a:r>
              <a:rPr lang="en-US" altLang="zh-CN"/>
              <a:t>2020</a:t>
            </a:r>
            <a:r>
              <a:rPr altLang="en-US"/>
              <a:t>年对比</a:t>
            </a:r>
            <a:endParaRPr altLang="en-US"/>
          </a:p>
        </c:rich>
      </c:tx>
      <c:layout/>
      <c:overlay val="0"/>
      <c:spPr>
        <a:noFill/>
        <a:ln>
          <a:noFill/>
        </a:ln>
        <a:effectLst/>
      </c:spPr>
    </c:title>
    <c:autoTitleDeleted val="0"/>
    <c:plotArea>
      <c:layout/>
      <c:barChart>
        <c:barDir val="col"/>
        <c:grouping val="clustered"/>
        <c:varyColors val="0"/>
        <c:ser>
          <c:idx val="0"/>
          <c:order val="0"/>
          <c:tx>
            <c:strRef>
              <c:f>'[新建 XLS 工作表.xls]Sheet1'!$B$34</c:f>
              <c:strCache>
                <c:ptCount val="1"/>
                <c:pt idx="0">
                  <c:v>一般公共预算财政拨款收入</c:v>
                </c:pt>
              </c:strCache>
            </c:strRef>
          </c:tx>
          <c:spPr>
            <a:solidFill>
              <a:schemeClr val="accent1"/>
            </a:solidFill>
            <a:ln>
              <a:noFill/>
            </a:ln>
            <a:effectLst/>
          </c:spPr>
          <c:invertIfNegative val="0"/>
          <c:dLbls>
            <c:delete val="1"/>
          </c:dLbls>
          <c:cat>
            <c:strRef>
              <c:f>'[新建 XLS 工作表.xls]Sheet1'!$A$35:$A$38</c:f>
              <c:strCache>
                <c:ptCount val="4"/>
                <c:pt idx="0">
                  <c:v>2019年收入</c:v>
                </c:pt>
                <c:pt idx="1">
                  <c:v>2020年收入</c:v>
                </c:pt>
                <c:pt idx="2">
                  <c:v>2019年支出</c:v>
                </c:pt>
                <c:pt idx="3">
                  <c:v>2020年支出</c:v>
                </c:pt>
              </c:strCache>
            </c:strRef>
          </c:cat>
          <c:val>
            <c:numRef>
              <c:f>'[新建 XLS 工作表.xls]Sheet1'!$B$35:$B$38</c:f>
              <c:numCache>
                <c:formatCode>General</c:formatCode>
                <c:ptCount val="4"/>
                <c:pt idx="0">
                  <c:v>6198.93</c:v>
                </c:pt>
                <c:pt idx="1">
                  <c:v>3171.42</c:v>
                </c:pt>
                <c:pt idx="2">
                  <c:v>6198.93</c:v>
                </c:pt>
                <c:pt idx="3">
                  <c:v>3171.42</c:v>
                </c:pt>
              </c:numCache>
            </c:numRef>
          </c:val>
        </c:ser>
        <c:ser>
          <c:idx val="1"/>
          <c:order val="1"/>
          <c:tx>
            <c:strRef>
              <c:f>'[新建 XLS 工作表.xls]Sheet1'!$C$34</c:f>
              <c:strCache>
                <c:ptCount val="1"/>
                <c:pt idx="0">
                  <c:v>政府性基金预算财政拨款收入</c:v>
                </c:pt>
              </c:strCache>
            </c:strRef>
          </c:tx>
          <c:spPr>
            <a:solidFill>
              <a:schemeClr val="accent2"/>
            </a:solidFill>
            <a:ln>
              <a:noFill/>
            </a:ln>
            <a:effectLst/>
          </c:spPr>
          <c:invertIfNegative val="0"/>
          <c:dLbls>
            <c:delete val="1"/>
          </c:dLbls>
          <c:cat>
            <c:strRef>
              <c:f>'[新建 XLS 工作表.xls]Sheet1'!$A$35:$A$38</c:f>
              <c:strCache>
                <c:ptCount val="4"/>
                <c:pt idx="0">
                  <c:v>2019年收入</c:v>
                </c:pt>
                <c:pt idx="1">
                  <c:v>2020年收入</c:v>
                </c:pt>
                <c:pt idx="2">
                  <c:v>2019年支出</c:v>
                </c:pt>
                <c:pt idx="3">
                  <c:v>2020年支出</c:v>
                </c:pt>
              </c:strCache>
            </c:strRef>
          </c:cat>
          <c:val>
            <c:numRef>
              <c:f>'[新建 XLS 工作表.xls]Sheet1'!$C$35:$C$38</c:f>
              <c:numCache>
                <c:formatCode>General</c:formatCode>
                <c:ptCount val="4"/>
                <c:pt idx="0">
                  <c:v>526.56</c:v>
                </c:pt>
                <c:pt idx="1">
                  <c:v>8606.06</c:v>
                </c:pt>
                <c:pt idx="2">
                  <c:v>526.56</c:v>
                </c:pt>
                <c:pt idx="3">
                  <c:v>8606.06</c:v>
                </c:pt>
              </c:numCache>
            </c:numRef>
          </c:val>
        </c:ser>
        <c:dLbls>
          <c:showLegendKey val="0"/>
          <c:showVal val="0"/>
          <c:showCatName val="0"/>
          <c:showSerName val="0"/>
          <c:showPercent val="0"/>
          <c:showBubbleSize val="0"/>
        </c:dLbls>
        <c:gapWidth val="219"/>
        <c:overlap val="-27"/>
        <c:axId val="923503796"/>
        <c:axId val="415327397"/>
      </c:barChart>
      <c:catAx>
        <c:axId val="9235037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5327397"/>
        <c:crosses val="autoZero"/>
        <c:auto val="1"/>
        <c:lblAlgn val="ctr"/>
        <c:lblOffset val="100"/>
        <c:noMultiLvlLbl val="0"/>
      </c:catAx>
      <c:valAx>
        <c:axId val="41532739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350379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2019</a:t>
            </a:r>
            <a:r>
              <a:rPr altLang="en-US"/>
              <a:t>年预算收支与</a:t>
            </a:r>
            <a:r>
              <a:rPr lang="en-US" altLang="zh-CN"/>
              <a:t>2020</a:t>
            </a:r>
            <a:r>
              <a:rPr altLang="en-US"/>
              <a:t>年收支对比</a:t>
            </a:r>
            <a:endParaRPr altLang="en-US"/>
          </a:p>
        </c:rich>
      </c:tx>
      <c:layout/>
      <c:overlay val="0"/>
      <c:spPr>
        <a:noFill/>
        <a:ln>
          <a:noFill/>
        </a:ln>
        <a:effectLst/>
      </c:spPr>
    </c:title>
    <c:autoTitleDeleted val="0"/>
    <c:plotArea>
      <c:layout/>
      <c:barChart>
        <c:barDir val="col"/>
        <c:grouping val="clustered"/>
        <c:varyColors val="0"/>
        <c:ser>
          <c:idx val="0"/>
          <c:order val="0"/>
          <c:tx>
            <c:strRef>
              <c:f>'[新建 XLS 工作表.xls]Sheet1'!$B$34</c:f>
              <c:strCache>
                <c:ptCount val="1"/>
                <c:pt idx="0">
                  <c:v>一般公共预算财政拨款收入</c:v>
                </c:pt>
              </c:strCache>
            </c:strRef>
          </c:tx>
          <c:spPr>
            <a:solidFill>
              <a:schemeClr val="accent1"/>
            </a:solidFill>
            <a:ln>
              <a:noFill/>
            </a:ln>
            <a:effectLst/>
          </c:spPr>
          <c:invertIfNegative val="0"/>
          <c:dLbls>
            <c:delete val="1"/>
          </c:dLbls>
          <c:cat>
            <c:strRef>
              <c:f>'[新建 XLS 工作表.xls]Sheet1'!$A$35:$A$38</c:f>
              <c:strCache>
                <c:ptCount val="4"/>
                <c:pt idx="0">
                  <c:v>2019年预算收入</c:v>
                </c:pt>
                <c:pt idx="1">
                  <c:v>2020年财政收入</c:v>
                </c:pt>
                <c:pt idx="2">
                  <c:v>2019年预算支出</c:v>
                </c:pt>
                <c:pt idx="3">
                  <c:v>2020年财政支出</c:v>
                </c:pt>
              </c:strCache>
            </c:strRef>
          </c:cat>
          <c:val>
            <c:numRef>
              <c:f>'[新建 XLS 工作表.xls]Sheet1'!$B$35:$B$38</c:f>
              <c:numCache>
                <c:formatCode>General</c:formatCode>
                <c:ptCount val="4"/>
                <c:pt idx="0">
                  <c:v>1169.91</c:v>
                </c:pt>
                <c:pt idx="1">
                  <c:v>3171.42</c:v>
                </c:pt>
                <c:pt idx="2">
                  <c:v>1169.91</c:v>
                </c:pt>
                <c:pt idx="3">
                  <c:v>3110.88</c:v>
                </c:pt>
              </c:numCache>
            </c:numRef>
          </c:val>
        </c:ser>
        <c:ser>
          <c:idx val="1"/>
          <c:order val="1"/>
          <c:tx>
            <c:strRef>
              <c:f>'[新建 XLS 工作表.xls]Sheet1'!$C$34</c:f>
              <c:strCache>
                <c:ptCount val="1"/>
                <c:pt idx="0">
                  <c:v>政府性基金预算财政拨款收入</c:v>
                </c:pt>
              </c:strCache>
            </c:strRef>
          </c:tx>
          <c:spPr>
            <a:solidFill>
              <a:schemeClr val="accent2"/>
            </a:solidFill>
            <a:ln>
              <a:noFill/>
            </a:ln>
            <a:effectLst/>
          </c:spPr>
          <c:invertIfNegative val="0"/>
          <c:dLbls>
            <c:delete val="1"/>
          </c:dLbls>
          <c:cat>
            <c:strRef>
              <c:f>'[新建 XLS 工作表.xls]Sheet1'!$A$35:$A$38</c:f>
              <c:strCache>
                <c:ptCount val="4"/>
                <c:pt idx="0">
                  <c:v>2019年预算收入</c:v>
                </c:pt>
                <c:pt idx="1">
                  <c:v>2020年财政收入</c:v>
                </c:pt>
                <c:pt idx="2">
                  <c:v>2019年预算支出</c:v>
                </c:pt>
                <c:pt idx="3">
                  <c:v>2020年财政支出</c:v>
                </c:pt>
              </c:strCache>
            </c:strRef>
          </c:cat>
          <c:val>
            <c:numRef>
              <c:f>'[新建 XLS 工作表.xls]Sheet1'!$C$35:$C$38</c:f>
              <c:numCache>
                <c:formatCode>General</c:formatCode>
                <c:ptCount val="4"/>
                <c:pt idx="0">
                  <c:v>2606.87</c:v>
                </c:pt>
                <c:pt idx="1">
                  <c:v>8606.06</c:v>
                </c:pt>
                <c:pt idx="2">
                  <c:v>2606.87</c:v>
                </c:pt>
                <c:pt idx="3">
                  <c:v>8606.06</c:v>
                </c:pt>
              </c:numCache>
            </c:numRef>
          </c:val>
        </c:ser>
        <c:dLbls>
          <c:showLegendKey val="0"/>
          <c:showVal val="0"/>
          <c:showCatName val="0"/>
          <c:showSerName val="0"/>
          <c:showPercent val="0"/>
          <c:showBubbleSize val="0"/>
        </c:dLbls>
        <c:gapWidth val="219"/>
        <c:overlap val="-27"/>
        <c:axId val="923503796"/>
        <c:axId val="415327397"/>
      </c:barChart>
      <c:catAx>
        <c:axId val="9235037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5327397"/>
        <c:crosses val="autoZero"/>
        <c:auto val="1"/>
        <c:lblAlgn val="ctr"/>
        <c:lblOffset val="100"/>
        <c:noMultiLvlLbl val="0"/>
      </c:catAx>
      <c:valAx>
        <c:axId val="41532739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350379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391334730957372"/>
          <c:y val="0.0850077279752705"/>
          <c:w val="0.533892382948987"/>
          <c:h val="0.738021638330757"/>
        </c:manualLayout>
      </c:layout>
      <c:pieChart>
        <c:varyColors val="1"/>
        <c:ser>
          <c:idx val="0"/>
          <c:order val="0"/>
          <c:tx>
            <c:strRef>
              <c:f>'[新建 Microsoft Office Excel 97-2003 工作表.xls]Sheet1'!$B$1:$B$7</c:f>
              <c:strCache>
                <c:ptCount val="1"/>
                <c:pt idx="0">
                  <c:v>财政拨款支出决算数 620.81 76.62 93.2 94.78 10629.04 147.64</c:v>
                </c:pt>
              </c:strCache>
            </c:strRef>
          </c:tx>
          <c:explosion val="0"/>
          <c:dPt>
            <c:idx val="0"/>
            <c:bubble3D val="0"/>
            <c:explosion val="0"/>
          </c:dPt>
          <c:dPt>
            <c:idx val="1"/>
            <c:bubble3D val="0"/>
            <c:explosion val="0"/>
          </c:dPt>
          <c:dPt>
            <c:idx val="2"/>
            <c:bubble3D val="0"/>
            <c:explosion val="0"/>
          </c:dPt>
          <c:dPt>
            <c:idx val="3"/>
            <c:bubble3D val="0"/>
            <c:explosion val="0"/>
          </c:dPt>
          <c:dPt>
            <c:idx val="4"/>
            <c:bubble3D val="0"/>
            <c:explosion val="0"/>
          </c:dPt>
          <c:dPt>
            <c:idx val="5"/>
            <c:bubble3D val="0"/>
            <c:explosion val="0"/>
          </c:dPt>
          <c:dPt>
            <c:idx val="6"/>
            <c:bubble3D val="0"/>
            <c:explosion val="0"/>
          </c:dPt>
          <c:dLbls>
            <c:delete val="1"/>
          </c:dLbls>
          <c:cat>
            <c:strRef>
              <c:f>'[新建 Microsoft Office Excel 97-2003 工作表.xls]Sheet1'!$A$2:$A$8</c:f>
              <c:strCache>
                <c:ptCount val="7"/>
                <c:pt idx="0">
                  <c:v>一般公共服务（类）支出</c:v>
                </c:pt>
                <c:pt idx="1">
                  <c:v>社会保障和就业（类）支出</c:v>
                </c:pt>
                <c:pt idx="2">
                  <c:v>卫生健康（类）支出</c:v>
                </c:pt>
                <c:pt idx="3">
                  <c:v>节能环保（类）支出</c:v>
                </c:pt>
                <c:pt idx="4">
                  <c:v>城乡社区（类）支出</c:v>
                </c:pt>
                <c:pt idx="5">
                  <c:v>农林水（类）支出</c:v>
                </c:pt>
                <c:pt idx="6">
                  <c:v>住房保障（类）支出</c:v>
                </c:pt>
              </c:strCache>
            </c:strRef>
          </c:cat>
          <c:val>
            <c:numRef>
              <c:f>'[新建 Microsoft Office Excel 97-2003 工作表.xls]Sheet1'!$B$2:$B$8</c:f>
              <c:numCache>
                <c:formatCode>General</c:formatCode>
                <c:ptCount val="7"/>
                <c:pt idx="0">
                  <c:v>620.81</c:v>
                </c:pt>
                <c:pt idx="1">
                  <c:v>76.62</c:v>
                </c:pt>
                <c:pt idx="2">
                  <c:v>93.2</c:v>
                </c:pt>
                <c:pt idx="3">
                  <c:v>94.78</c:v>
                </c:pt>
                <c:pt idx="4">
                  <c:v>10629.04</c:v>
                </c:pt>
                <c:pt idx="5">
                  <c:v>147.64</c:v>
                </c:pt>
                <c:pt idx="6">
                  <c:v>55.65</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677366524153034"/>
          <c:y val="0.000358681192248229"/>
          <c:w val="0.32275"/>
          <c:h val="1.01975"/>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wrap="square"/>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39</Pages>
  <Words>1765</Words>
  <Characters>10064</Characters>
  <Lines>83</Lines>
  <Paragraphs>23</Paragraphs>
  <TotalTime>3</TotalTime>
  <ScaleCrop>false</ScaleCrop>
  <LinksUpToDate>false</LinksUpToDate>
  <CharactersWithSpaces>11806</CharactersWithSpaces>
  <Application>WPS Office_11.8.2.12316_F1E327BC-269C-435d-A152-05C5408002CA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2021-07-27T05:10:00Z</dcterms:created>
  <dc:creator>王明新TIAD</dc:creator>
  <cp:lastModifiedBy>小小</cp:lastModifiedBy>
  <cp:lastPrinted>2021-08-26T06:52:00Z</cp:lastPrinted>
  <dcterms:modified xsi:type="dcterms:W3CDTF">2026-08-20T08:37:47Z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2052-11.8.2.12316</vt:lpwstr>
  </property>
  <property fmtid="{D5CDD505-2E9C-101B-9397-08002B2CF9AE}" pid="3" name="ICV">
    <vt:lpwstr>65FA352BAB5146309CB066C800874C19</vt:lpwstr>
  </property>
</Properties>
</file>