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val="en-US" w:eastAsia="zh-CN"/>
        </w:rPr>
        <w:t>高邑县</w:t>
      </w:r>
      <w:r>
        <w:rPr>
          <w:rFonts w:hint="eastAsia" w:ascii="方正小标宋简体" w:hAnsi="方正小标宋简体" w:eastAsia="方正小标宋简体" w:cs="方正小标宋简体"/>
          <w:sz w:val="44"/>
          <w:szCs w:val="44"/>
          <w:lang w:eastAsia="zh-CN"/>
        </w:rPr>
        <w:t>教育局权责清单事项总表</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（共五类、三十</w:t>
      </w:r>
      <w:r>
        <w:rPr>
          <w:rFonts w:hint="eastAsia" w:ascii="楷体_GB2312" w:hAnsi="楷体_GB2312" w:eastAsia="楷体_GB2312" w:cs="楷体_GB2312"/>
          <w:sz w:val="32"/>
          <w:szCs w:val="32"/>
          <w:lang w:val="en-US" w:eastAsia="zh-CN"/>
        </w:rPr>
        <w:t>七</w:t>
      </w:r>
      <w:r>
        <w:rPr>
          <w:rFonts w:hint="eastAsia" w:ascii="楷体_GB2312" w:hAnsi="楷体_GB2312" w:eastAsia="楷体_GB2312" w:cs="楷体_GB2312"/>
          <w:sz w:val="32"/>
          <w:szCs w:val="32"/>
          <w:lang w:eastAsia="zh-CN"/>
        </w:rPr>
        <w:t>项）</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lang w:val="en-US" w:eastAsia="zh-CN"/>
        </w:rPr>
        <w:t>高邑县</w:t>
      </w:r>
      <w:r>
        <w:rPr>
          <w:rFonts w:hint="eastAsia" w:ascii="仿宋_GB2312" w:hAnsi="仿宋_GB2312" w:eastAsia="仿宋_GB2312" w:cs="仿宋_GB2312"/>
          <w:sz w:val="32"/>
          <w:szCs w:val="32"/>
          <w:lang w:eastAsia="zh-CN"/>
        </w:rPr>
        <w:t>教育局</w:t>
      </w:r>
    </w:p>
    <w:tbl>
      <w:tblPr>
        <w:tblStyle w:val="22"/>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77"/>
        <w:gridCol w:w="2325"/>
        <w:gridCol w:w="8415"/>
        <w:gridCol w:w="19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0" w:hRule="atLeast"/>
          <w:tblHeader/>
        </w:trPr>
        <w:tc>
          <w:tcPr>
            <w:tcW w:w="1477"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黑体" w:hAnsi="黑体" w:eastAsia="黑体" w:cs="黑体"/>
                <w:sz w:val="32"/>
                <w:szCs w:val="32"/>
                <w:vertAlign w:val="baseline"/>
                <w:lang w:eastAsia="zh-CN"/>
              </w:rPr>
            </w:pPr>
            <w:r>
              <w:rPr>
                <w:rFonts w:hint="eastAsia" w:ascii="黑体" w:hAnsi="黑体" w:eastAsia="黑体" w:cs="黑体"/>
                <w:sz w:val="32"/>
                <w:szCs w:val="32"/>
                <w:lang w:eastAsia="zh-CN"/>
              </w:rPr>
              <w:t>总序号</w:t>
            </w:r>
          </w:p>
        </w:tc>
        <w:tc>
          <w:tcPr>
            <w:tcW w:w="2325"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黑体" w:hAnsi="黑体" w:eastAsia="黑体" w:cs="黑体"/>
                <w:sz w:val="32"/>
                <w:szCs w:val="32"/>
                <w:vertAlign w:val="baseline"/>
                <w:lang w:eastAsia="zh-CN"/>
              </w:rPr>
            </w:pPr>
            <w:r>
              <w:rPr>
                <w:rFonts w:hint="eastAsia" w:ascii="黑体" w:hAnsi="黑体" w:eastAsia="黑体" w:cs="黑体"/>
                <w:sz w:val="32"/>
                <w:szCs w:val="32"/>
                <w:vertAlign w:val="baseline"/>
                <w:lang w:eastAsia="zh-CN"/>
              </w:rPr>
              <w:t>类别及序号</w:t>
            </w:r>
          </w:p>
        </w:tc>
        <w:tc>
          <w:tcPr>
            <w:tcW w:w="8415"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黑体" w:hAnsi="黑体" w:eastAsia="黑体" w:cs="黑体"/>
                <w:sz w:val="32"/>
                <w:szCs w:val="32"/>
                <w:vertAlign w:val="baseline"/>
                <w:lang w:eastAsia="zh-CN"/>
              </w:rPr>
            </w:pPr>
            <w:r>
              <w:rPr>
                <w:rFonts w:hint="eastAsia" w:ascii="黑体" w:hAnsi="黑体" w:eastAsia="黑体" w:cs="黑体"/>
                <w:sz w:val="32"/>
                <w:szCs w:val="32"/>
                <w:vertAlign w:val="baseline"/>
                <w:lang w:eastAsia="zh-CN"/>
              </w:rPr>
              <w:t>项目名称及数量</w:t>
            </w:r>
          </w:p>
        </w:tc>
        <w:tc>
          <w:tcPr>
            <w:tcW w:w="1957"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黑体" w:hAnsi="黑体" w:eastAsia="黑体" w:cs="黑体"/>
                <w:sz w:val="32"/>
                <w:szCs w:val="32"/>
                <w:vertAlign w:val="baseline"/>
                <w:lang w:eastAsia="zh-CN"/>
              </w:rPr>
            </w:pPr>
            <w:r>
              <w:rPr>
                <w:rFonts w:hint="eastAsia" w:ascii="黑体" w:hAnsi="黑体" w:eastAsia="黑体" w:cs="黑体"/>
                <w:sz w:val="32"/>
                <w:szCs w:val="32"/>
                <w:vertAlign w:val="baseline"/>
                <w:lang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77"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eastAsia="zh-CN"/>
              </w:rPr>
            </w:pPr>
          </w:p>
        </w:tc>
        <w:tc>
          <w:tcPr>
            <w:tcW w:w="2325"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一、行政处罚</w:t>
            </w:r>
          </w:p>
        </w:tc>
        <w:tc>
          <w:tcPr>
            <w:tcW w:w="8415"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共十四项</w:t>
            </w:r>
          </w:p>
        </w:tc>
        <w:tc>
          <w:tcPr>
            <w:tcW w:w="1957"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77"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1</w:t>
            </w:r>
          </w:p>
        </w:tc>
        <w:tc>
          <w:tcPr>
            <w:tcW w:w="2325"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1</w:t>
            </w:r>
          </w:p>
        </w:tc>
        <w:tc>
          <w:tcPr>
            <w:tcW w:w="8415"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i w:val="0"/>
                <w:color w:val="auto"/>
                <w:kern w:val="0"/>
                <w:sz w:val="20"/>
                <w:szCs w:val="20"/>
                <w:u w:val="none"/>
                <w:lang w:val="en-US" w:eastAsia="zh-CN" w:bidi="ar"/>
              </w:rPr>
              <w:t>对学校或其他教育机构违反国家有关规定招收学生的处罚</w:t>
            </w:r>
          </w:p>
        </w:tc>
        <w:tc>
          <w:tcPr>
            <w:tcW w:w="1957"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77"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2</w:t>
            </w:r>
          </w:p>
        </w:tc>
        <w:tc>
          <w:tcPr>
            <w:tcW w:w="2325"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2</w:t>
            </w:r>
          </w:p>
        </w:tc>
        <w:tc>
          <w:tcPr>
            <w:tcW w:w="8415"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i w:val="0"/>
                <w:color w:val="auto"/>
                <w:kern w:val="0"/>
                <w:sz w:val="20"/>
                <w:szCs w:val="20"/>
                <w:u w:val="none"/>
                <w:lang w:val="en-US" w:eastAsia="zh-CN" w:bidi="ar"/>
              </w:rPr>
              <w:t>对学校违法颁发学历证书或者其他学业证书的处罚</w:t>
            </w:r>
          </w:p>
        </w:tc>
        <w:tc>
          <w:tcPr>
            <w:tcW w:w="1957"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77"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3</w:t>
            </w:r>
          </w:p>
        </w:tc>
        <w:tc>
          <w:tcPr>
            <w:tcW w:w="2325"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3</w:t>
            </w:r>
          </w:p>
        </w:tc>
        <w:tc>
          <w:tcPr>
            <w:tcW w:w="8415"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i w:val="0"/>
                <w:color w:val="auto"/>
                <w:kern w:val="0"/>
                <w:sz w:val="20"/>
                <w:szCs w:val="20"/>
                <w:u w:val="none"/>
                <w:lang w:val="en-US" w:eastAsia="zh-CN" w:bidi="ar"/>
              </w:rPr>
              <w:t>对县管义务教育学校以向学生推销商品、服务等方式谋取利益的处罚</w:t>
            </w:r>
          </w:p>
        </w:tc>
        <w:tc>
          <w:tcPr>
            <w:tcW w:w="1957"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77"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4</w:t>
            </w:r>
          </w:p>
        </w:tc>
        <w:tc>
          <w:tcPr>
            <w:tcW w:w="2325"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4</w:t>
            </w:r>
          </w:p>
        </w:tc>
        <w:tc>
          <w:tcPr>
            <w:tcW w:w="8415"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i w:val="0"/>
                <w:color w:val="auto"/>
                <w:kern w:val="0"/>
                <w:sz w:val="20"/>
                <w:szCs w:val="20"/>
                <w:u w:val="none"/>
                <w:lang w:val="en-US" w:eastAsia="zh-CN" w:bidi="ar"/>
              </w:rPr>
              <w:t>对民办学校违反《民办教育促进法》第六十二条有关规定的处罚</w:t>
            </w:r>
          </w:p>
        </w:tc>
        <w:tc>
          <w:tcPr>
            <w:tcW w:w="1957"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77"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5</w:t>
            </w:r>
          </w:p>
        </w:tc>
        <w:tc>
          <w:tcPr>
            <w:tcW w:w="2325"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5</w:t>
            </w:r>
          </w:p>
        </w:tc>
        <w:tc>
          <w:tcPr>
            <w:tcW w:w="8415"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i w:val="0"/>
                <w:color w:val="auto"/>
                <w:kern w:val="0"/>
                <w:sz w:val="20"/>
                <w:szCs w:val="20"/>
                <w:u w:val="none"/>
                <w:lang w:val="en-US" w:eastAsia="zh-CN" w:bidi="ar"/>
              </w:rPr>
              <w:t>对违反国家有关规定擅自举办民办学校的处罚</w:t>
            </w:r>
          </w:p>
        </w:tc>
        <w:tc>
          <w:tcPr>
            <w:tcW w:w="1957"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77"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6</w:t>
            </w:r>
          </w:p>
        </w:tc>
        <w:tc>
          <w:tcPr>
            <w:tcW w:w="2325"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6</w:t>
            </w:r>
          </w:p>
        </w:tc>
        <w:tc>
          <w:tcPr>
            <w:tcW w:w="8415"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i w:val="0"/>
                <w:color w:val="auto"/>
                <w:kern w:val="0"/>
                <w:sz w:val="20"/>
                <w:szCs w:val="20"/>
                <w:u w:val="none"/>
                <w:lang w:val="en-US" w:eastAsia="zh-CN" w:bidi="ar"/>
              </w:rPr>
              <w:t>对民办学校违反《校车安全管理条例》规定，导致发生学生伤亡事故的处罚</w:t>
            </w:r>
          </w:p>
        </w:tc>
        <w:tc>
          <w:tcPr>
            <w:tcW w:w="1957"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77"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7</w:t>
            </w:r>
          </w:p>
        </w:tc>
        <w:tc>
          <w:tcPr>
            <w:tcW w:w="2325"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7</w:t>
            </w:r>
          </w:p>
        </w:tc>
        <w:tc>
          <w:tcPr>
            <w:tcW w:w="8415"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i w:val="0"/>
                <w:color w:val="auto"/>
                <w:kern w:val="0"/>
                <w:sz w:val="20"/>
                <w:szCs w:val="20"/>
                <w:u w:val="none"/>
                <w:lang w:val="en-US" w:eastAsia="zh-CN" w:bidi="ar"/>
              </w:rPr>
              <w:t>对违反《教师资格条例》有关规定的处罚</w:t>
            </w:r>
          </w:p>
        </w:tc>
        <w:tc>
          <w:tcPr>
            <w:tcW w:w="1957"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77"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8</w:t>
            </w:r>
          </w:p>
        </w:tc>
        <w:tc>
          <w:tcPr>
            <w:tcW w:w="2325"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8</w:t>
            </w:r>
          </w:p>
        </w:tc>
        <w:tc>
          <w:tcPr>
            <w:tcW w:w="8415"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i w:val="0"/>
                <w:color w:val="auto"/>
                <w:kern w:val="0"/>
                <w:sz w:val="20"/>
                <w:szCs w:val="20"/>
                <w:u w:val="none"/>
                <w:lang w:val="en-US" w:eastAsia="zh-CN" w:bidi="ar"/>
              </w:rPr>
              <w:t>对拒绝或者妨碍学校卫生监督员实施卫生监督，且情节严重的处罚</w:t>
            </w:r>
          </w:p>
        </w:tc>
        <w:tc>
          <w:tcPr>
            <w:tcW w:w="1957"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77"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9</w:t>
            </w:r>
          </w:p>
        </w:tc>
        <w:tc>
          <w:tcPr>
            <w:tcW w:w="2325"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9</w:t>
            </w:r>
          </w:p>
        </w:tc>
        <w:tc>
          <w:tcPr>
            <w:tcW w:w="8415"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i w:val="0"/>
                <w:color w:val="auto"/>
                <w:kern w:val="0"/>
                <w:sz w:val="20"/>
                <w:szCs w:val="20"/>
                <w:u w:val="none"/>
                <w:lang w:val="en-US" w:eastAsia="zh-CN" w:bidi="ar"/>
              </w:rPr>
              <w:t>对民办学校举办者及实际控制人、决策机构或者监督机构组成人员违反《中华人民共和国民办教育促进法实施条例》第六十二条规定的处罚</w:t>
            </w:r>
          </w:p>
        </w:tc>
        <w:tc>
          <w:tcPr>
            <w:tcW w:w="1957"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i w:val="0"/>
                <w:color w:val="auto"/>
                <w:kern w:val="0"/>
                <w:sz w:val="20"/>
                <w:szCs w:val="20"/>
                <w:u w:val="none"/>
                <w:lang w:val="en-US" w:eastAsia="zh-CN" w:bidi="ar"/>
              </w:rPr>
              <w:t>自2021年9月1日起施行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77"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10</w:t>
            </w:r>
          </w:p>
        </w:tc>
        <w:tc>
          <w:tcPr>
            <w:tcW w:w="2325"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10</w:t>
            </w:r>
          </w:p>
        </w:tc>
        <w:tc>
          <w:tcPr>
            <w:tcW w:w="8415"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i w:val="0"/>
                <w:color w:val="auto"/>
                <w:kern w:val="0"/>
                <w:sz w:val="20"/>
                <w:szCs w:val="20"/>
                <w:u w:val="none"/>
                <w:lang w:val="en-US" w:eastAsia="zh-CN" w:bidi="ar"/>
              </w:rPr>
            </w:pPr>
            <w:r>
              <w:rPr>
                <w:rFonts w:hint="eastAsia" w:ascii="仿宋_GB2312" w:hAnsi="仿宋_GB2312" w:eastAsia="仿宋_GB2312" w:cs="仿宋_GB2312"/>
                <w:i w:val="0"/>
                <w:color w:val="auto"/>
                <w:kern w:val="0"/>
                <w:sz w:val="20"/>
                <w:szCs w:val="20"/>
                <w:u w:val="none"/>
                <w:lang w:val="en-US" w:eastAsia="zh-CN" w:bidi="ar"/>
              </w:rPr>
              <w:t>对民办学校有《中华人民共和国民办教育促进法》第六十二条、《中华人民共和国民办教育促进法实施条例》第六十三规定的违法情形的，对民办学校决策机构负责人、校长及直接责任人的处罚</w:t>
            </w:r>
          </w:p>
        </w:tc>
        <w:tc>
          <w:tcPr>
            <w:tcW w:w="1957"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i w:val="0"/>
                <w:color w:val="auto"/>
                <w:kern w:val="0"/>
                <w:sz w:val="20"/>
                <w:szCs w:val="20"/>
                <w:u w:val="none"/>
                <w:lang w:val="en-US" w:eastAsia="zh-CN" w:bidi="ar"/>
              </w:rPr>
            </w:pPr>
            <w:r>
              <w:rPr>
                <w:rFonts w:hint="eastAsia" w:ascii="仿宋_GB2312" w:hAnsi="仿宋_GB2312" w:eastAsia="仿宋_GB2312" w:cs="仿宋_GB2312"/>
                <w:i w:val="0"/>
                <w:color w:val="auto"/>
                <w:kern w:val="0"/>
                <w:sz w:val="20"/>
                <w:szCs w:val="20"/>
                <w:u w:val="none"/>
                <w:lang w:val="en-US" w:eastAsia="zh-CN" w:bidi="ar"/>
              </w:rPr>
              <w:t>自2021年9月1日起施行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77"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11</w:t>
            </w:r>
          </w:p>
        </w:tc>
        <w:tc>
          <w:tcPr>
            <w:tcW w:w="2325"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11</w:t>
            </w:r>
          </w:p>
        </w:tc>
        <w:tc>
          <w:tcPr>
            <w:tcW w:w="8415"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i w:val="0"/>
                <w:color w:val="auto"/>
                <w:kern w:val="0"/>
                <w:sz w:val="20"/>
                <w:szCs w:val="20"/>
                <w:u w:val="none"/>
                <w:lang w:val="en-US" w:eastAsia="zh-CN" w:bidi="ar"/>
              </w:rPr>
            </w:pPr>
            <w:r>
              <w:rPr>
                <w:rFonts w:hint="eastAsia" w:ascii="仿宋_GB2312" w:hAnsi="仿宋_GB2312" w:eastAsia="仿宋_GB2312" w:cs="仿宋_GB2312"/>
                <w:i w:val="0"/>
                <w:color w:val="auto"/>
                <w:kern w:val="0"/>
                <w:sz w:val="20"/>
                <w:szCs w:val="20"/>
                <w:u w:val="none"/>
                <w:lang w:val="en-US" w:eastAsia="zh-CN" w:bidi="ar"/>
              </w:rPr>
              <w:t>对同时举办或者实际控制多所民办学校的举办者或者实际控制人违反《中华人民共和国民办教育促进法实施条例》规定，对所举办或者实际控制的民办学校疏于管理，造成恶劣影响的处罚</w:t>
            </w:r>
          </w:p>
        </w:tc>
        <w:tc>
          <w:tcPr>
            <w:tcW w:w="1957"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i w:val="0"/>
                <w:color w:val="auto"/>
                <w:kern w:val="0"/>
                <w:sz w:val="20"/>
                <w:szCs w:val="20"/>
                <w:u w:val="none"/>
                <w:lang w:val="en-US" w:eastAsia="zh-CN" w:bidi="ar"/>
              </w:rPr>
            </w:pPr>
            <w:r>
              <w:rPr>
                <w:rFonts w:hint="eastAsia" w:ascii="仿宋_GB2312" w:hAnsi="仿宋_GB2312" w:eastAsia="仿宋_GB2312" w:cs="仿宋_GB2312"/>
                <w:i w:val="0"/>
                <w:color w:val="auto"/>
                <w:kern w:val="0"/>
                <w:sz w:val="20"/>
                <w:szCs w:val="20"/>
                <w:u w:val="none"/>
                <w:lang w:val="en-US" w:eastAsia="zh-CN" w:bidi="ar"/>
              </w:rPr>
              <w:t>自2021年9月1日起施行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77"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12</w:t>
            </w:r>
          </w:p>
        </w:tc>
        <w:tc>
          <w:tcPr>
            <w:tcW w:w="2325"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12</w:t>
            </w:r>
          </w:p>
        </w:tc>
        <w:tc>
          <w:tcPr>
            <w:tcW w:w="8415"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i w:val="0"/>
                <w:color w:val="auto"/>
                <w:kern w:val="0"/>
                <w:sz w:val="20"/>
                <w:szCs w:val="20"/>
                <w:u w:val="none"/>
                <w:lang w:val="en-US" w:eastAsia="zh-CN" w:bidi="ar"/>
              </w:rPr>
            </w:pPr>
            <w:r>
              <w:rPr>
                <w:rFonts w:hint="eastAsia" w:ascii="仿宋_GB2312" w:hAnsi="仿宋_GB2312" w:eastAsia="仿宋_GB2312" w:cs="仿宋_GB2312"/>
                <w:i w:val="0"/>
                <w:color w:val="auto"/>
                <w:kern w:val="0"/>
                <w:sz w:val="20"/>
                <w:szCs w:val="20"/>
                <w:u w:val="none"/>
                <w:lang w:val="en-US" w:eastAsia="zh-CN" w:bidi="ar"/>
              </w:rPr>
              <w:t>对违反《中华人民共和国民办教育促进法实施条例》规定举办、参与举办民办学校或者在民办学校筹设期内招生的处罚</w:t>
            </w:r>
          </w:p>
        </w:tc>
        <w:tc>
          <w:tcPr>
            <w:tcW w:w="1957"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i w:val="0"/>
                <w:color w:val="auto"/>
                <w:kern w:val="0"/>
                <w:sz w:val="20"/>
                <w:szCs w:val="20"/>
                <w:u w:val="none"/>
                <w:lang w:val="en-US" w:eastAsia="zh-CN" w:bidi="ar"/>
              </w:rPr>
            </w:pPr>
            <w:r>
              <w:rPr>
                <w:rFonts w:hint="eastAsia" w:ascii="仿宋_GB2312" w:hAnsi="仿宋_GB2312" w:eastAsia="仿宋_GB2312" w:cs="仿宋_GB2312"/>
                <w:i w:val="0"/>
                <w:color w:val="auto"/>
                <w:kern w:val="0"/>
                <w:sz w:val="20"/>
                <w:szCs w:val="20"/>
                <w:u w:val="none"/>
                <w:lang w:val="en-US" w:eastAsia="zh-CN" w:bidi="ar"/>
              </w:rPr>
              <w:t>自2021年9月1日起施行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77"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13</w:t>
            </w:r>
          </w:p>
        </w:tc>
        <w:tc>
          <w:tcPr>
            <w:tcW w:w="2325"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13</w:t>
            </w:r>
          </w:p>
        </w:tc>
        <w:tc>
          <w:tcPr>
            <w:tcW w:w="8415"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i w:val="0"/>
                <w:color w:val="auto"/>
                <w:kern w:val="0"/>
                <w:sz w:val="20"/>
                <w:szCs w:val="20"/>
                <w:u w:val="none"/>
                <w:lang w:val="en-US" w:eastAsia="zh-CN" w:bidi="ar"/>
              </w:rPr>
              <w:t>对在学校吸烟、饮酒的处罚</w:t>
            </w:r>
          </w:p>
        </w:tc>
        <w:tc>
          <w:tcPr>
            <w:tcW w:w="1957"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i w:val="0"/>
                <w:color w:val="auto"/>
                <w:kern w:val="0"/>
                <w:sz w:val="20"/>
                <w:szCs w:val="20"/>
                <w:u w:val="none"/>
                <w:lang w:val="en-US" w:eastAsia="zh-CN" w:bidi="ar"/>
              </w:rPr>
              <w:t>自2021年6月1日起施行。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77"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14</w:t>
            </w:r>
          </w:p>
        </w:tc>
        <w:tc>
          <w:tcPr>
            <w:tcW w:w="2325"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14</w:t>
            </w:r>
          </w:p>
        </w:tc>
        <w:tc>
          <w:tcPr>
            <w:tcW w:w="8415"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i w:val="0"/>
                <w:color w:val="auto"/>
                <w:kern w:val="0"/>
                <w:sz w:val="20"/>
                <w:szCs w:val="20"/>
                <w:u w:val="none"/>
                <w:lang w:val="en-US" w:eastAsia="zh-CN" w:bidi="ar"/>
              </w:rPr>
              <w:t>对学校等密切接触</w:t>
            </w:r>
            <w:bookmarkStart w:id="1" w:name="_GoBack"/>
            <w:bookmarkEnd w:id="1"/>
            <w:r>
              <w:rPr>
                <w:rFonts w:hint="eastAsia" w:ascii="仿宋_GB2312" w:hAnsi="仿宋_GB2312" w:eastAsia="仿宋_GB2312" w:cs="仿宋_GB2312"/>
                <w:i w:val="0"/>
                <w:color w:val="auto"/>
                <w:kern w:val="0"/>
                <w:sz w:val="20"/>
                <w:szCs w:val="20"/>
                <w:u w:val="none"/>
                <w:lang w:val="en-US" w:eastAsia="zh-CN" w:bidi="ar"/>
              </w:rPr>
              <w:t>未成年人的单位未履行查询义务，或者招用、继续聘用具有相关违法犯罪记录人员的处罚</w:t>
            </w:r>
          </w:p>
        </w:tc>
        <w:tc>
          <w:tcPr>
            <w:tcW w:w="1957"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i w:val="0"/>
                <w:color w:val="auto"/>
                <w:kern w:val="0"/>
                <w:sz w:val="20"/>
                <w:szCs w:val="20"/>
                <w:u w:val="none"/>
                <w:lang w:val="en-US" w:eastAsia="zh-CN" w:bidi="ar"/>
              </w:rPr>
              <w:t>自2021年6月1日起施行。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77"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eastAsia="zh-CN"/>
              </w:rPr>
            </w:pPr>
          </w:p>
        </w:tc>
        <w:tc>
          <w:tcPr>
            <w:tcW w:w="2325"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二、行政确认</w:t>
            </w:r>
          </w:p>
        </w:tc>
        <w:tc>
          <w:tcPr>
            <w:tcW w:w="8415"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共</w:t>
            </w:r>
            <w:r>
              <w:rPr>
                <w:rFonts w:hint="eastAsia" w:ascii="仿宋_GB2312" w:hAnsi="仿宋_GB2312" w:eastAsia="仿宋_GB2312" w:cs="仿宋_GB2312"/>
                <w:sz w:val="32"/>
                <w:szCs w:val="32"/>
                <w:vertAlign w:val="baseline"/>
                <w:lang w:val="en-US" w:eastAsia="zh-CN"/>
              </w:rPr>
              <w:t>二</w:t>
            </w:r>
            <w:r>
              <w:rPr>
                <w:rFonts w:hint="eastAsia" w:ascii="仿宋_GB2312" w:hAnsi="仿宋_GB2312" w:eastAsia="仿宋_GB2312" w:cs="仿宋_GB2312"/>
                <w:sz w:val="32"/>
                <w:szCs w:val="32"/>
                <w:vertAlign w:val="baseline"/>
                <w:lang w:eastAsia="zh-CN"/>
              </w:rPr>
              <w:t>项</w:t>
            </w:r>
          </w:p>
        </w:tc>
        <w:tc>
          <w:tcPr>
            <w:tcW w:w="1957"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77"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15</w:t>
            </w:r>
          </w:p>
        </w:tc>
        <w:tc>
          <w:tcPr>
            <w:tcW w:w="2325"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1</w:t>
            </w:r>
          </w:p>
        </w:tc>
        <w:tc>
          <w:tcPr>
            <w:tcW w:w="8415"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i w:val="0"/>
                <w:color w:val="auto"/>
                <w:kern w:val="0"/>
                <w:sz w:val="20"/>
                <w:szCs w:val="20"/>
                <w:u w:val="none"/>
                <w:lang w:val="en-US" w:eastAsia="zh-CN" w:bidi="ar"/>
              </w:rPr>
              <w:t>教师资格定期注册</w:t>
            </w:r>
          </w:p>
        </w:tc>
        <w:tc>
          <w:tcPr>
            <w:tcW w:w="1957"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77"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16</w:t>
            </w:r>
          </w:p>
        </w:tc>
        <w:tc>
          <w:tcPr>
            <w:tcW w:w="2325"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2</w:t>
            </w:r>
          </w:p>
        </w:tc>
        <w:tc>
          <w:tcPr>
            <w:tcW w:w="8415"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color w:val="auto"/>
                <w:spacing w:val="4"/>
                <w:sz w:val="20"/>
                <w:szCs w:val="20"/>
              </w:rPr>
              <w:t>城市一类幼儿园、农村示范性幼儿园评估认定</w:t>
            </w:r>
          </w:p>
        </w:tc>
        <w:tc>
          <w:tcPr>
            <w:tcW w:w="1957"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77"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eastAsia="zh-CN"/>
              </w:rPr>
            </w:pPr>
          </w:p>
        </w:tc>
        <w:tc>
          <w:tcPr>
            <w:tcW w:w="2325"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三、行政奖励</w:t>
            </w:r>
          </w:p>
        </w:tc>
        <w:tc>
          <w:tcPr>
            <w:tcW w:w="8415"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共一项</w:t>
            </w:r>
          </w:p>
        </w:tc>
        <w:tc>
          <w:tcPr>
            <w:tcW w:w="1957"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77"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17</w:t>
            </w:r>
          </w:p>
        </w:tc>
        <w:tc>
          <w:tcPr>
            <w:tcW w:w="2325"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1</w:t>
            </w:r>
          </w:p>
        </w:tc>
        <w:tc>
          <w:tcPr>
            <w:tcW w:w="8415"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color w:val="auto"/>
                <w:spacing w:val="4"/>
                <w:sz w:val="20"/>
                <w:szCs w:val="20"/>
              </w:rPr>
              <w:t>教育系统先进个人和先进集体奖励</w:t>
            </w:r>
          </w:p>
        </w:tc>
        <w:tc>
          <w:tcPr>
            <w:tcW w:w="1957"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77"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eastAsia="zh-CN"/>
              </w:rPr>
            </w:pPr>
          </w:p>
        </w:tc>
        <w:tc>
          <w:tcPr>
            <w:tcW w:w="2325"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四、行政检查</w:t>
            </w:r>
          </w:p>
        </w:tc>
        <w:tc>
          <w:tcPr>
            <w:tcW w:w="8415"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共八项</w:t>
            </w:r>
          </w:p>
        </w:tc>
        <w:tc>
          <w:tcPr>
            <w:tcW w:w="1957"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77"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18</w:t>
            </w:r>
          </w:p>
        </w:tc>
        <w:tc>
          <w:tcPr>
            <w:tcW w:w="2325"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1</w:t>
            </w:r>
          </w:p>
        </w:tc>
        <w:tc>
          <w:tcPr>
            <w:tcW w:w="8415"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color w:val="auto"/>
                <w:spacing w:val="4"/>
                <w:sz w:val="20"/>
                <w:szCs w:val="20"/>
                <w:lang w:eastAsia="zh-CN"/>
              </w:rPr>
              <w:t>对学校体育工作的检查</w:t>
            </w:r>
          </w:p>
        </w:tc>
        <w:tc>
          <w:tcPr>
            <w:tcW w:w="1957"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77"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19</w:t>
            </w:r>
          </w:p>
        </w:tc>
        <w:tc>
          <w:tcPr>
            <w:tcW w:w="2325"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2</w:t>
            </w:r>
          </w:p>
        </w:tc>
        <w:tc>
          <w:tcPr>
            <w:tcW w:w="8415"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color w:val="auto"/>
                <w:spacing w:val="4"/>
                <w:sz w:val="20"/>
                <w:szCs w:val="20"/>
                <w:lang w:eastAsia="zh-CN"/>
              </w:rPr>
              <w:t>对</w:t>
            </w:r>
            <w:r>
              <w:rPr>
                <w:rFonts w:hint="eastAsia" w:ascii="仿宋_GB2312" w:hAnsi="仿宋_GB2312" w:eastAsia="仿宋_GB2312" w:cs="仿宋_GB2312"/>
                <w:color w:val="auto"/>
                <w:spacing w:val="4"/>
                <w:sz w:val="20"/>
                <w:szCs w:val="20"/>
              </w:rPr>
              <w:t>职业</w:t>
            </w:r>
            <w:r>
              <w:rPr>
                <w:rFonts w:hint="eastAsia" w:ascii="仿宋_GB2312" w:hAnsi="仿宋_GB2312" w:eastAsia="仿宋_GB2312" w:cs="仿宋_GB2312"/>
                <w:color w:val="auto"/>
                <w:spacing w:val="4"/>
                <w:sz w:val="20"/>
                <w:szCs w:val="20"/>
                <w:lang w:eastAsia="zh-CN"/>
              </w:rPr>
              <w:t>学校办学行为的检查</w:t>
            </w:r>
          </w:p>
        </w:tc>
        <w:tc>
          <w:tcPr>
            <w:tcW w:w="1957"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77"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20</w:t>
            </w:r>
          </w:p>
        </w:tc>
        <w:tc>
          <w:tcPr>
            <w:tcW w:w="2325"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3</w:t>
            </w:r>
          </w:p>
        </w:tc>
        <w:tc>
          <w:tcPr>
            <w:tcW w:w="8415"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color w:val="auto"/>
                <w:spacing w:val="4"/>
                <w:sz w:val="20"/>
                <w:szCs w:val="20"/>
              </w:rPr>
              <w:t>对学校及其他教育机构</w:t>
            </w:r>
            <w:r>
              <w:rPr>
                <w:rFonts w:hint="eastAsia" w:ascii="仿宋_GB2312" w:hAnsi="仿宋_GB2312" w:eastAsia="仿宋_GB2312" w:cs="仿宋_GB2312"/>
                <w:color w:val="auto"/>
                <w:spacing w:val="4"/>
                <w:sz w:val="20"/>
                <w:szCs w:val="20"/>
                <w:lang w:eastAsia="zh-CN"/>
              </w:rPr>
              <w:t>的督导</w:t>
            </w:r>
            <w:r>
              <w:rPr>
                <w:rFonts w:hint="eastAsia" w:ascii="仿宋_GB2312" w:hAnsi="仿宋_GB2312" w:eastAsia="仿宋_GB2312" w:cs="仿宋_GB2312"/>
                <w:color w:val="auto"/>
                <w:spacing w:val="4"/>
                <w:sz w:val="20"/>
                <w:szCs w:val="20"/>
              </w:rPr>
              <w:t>评估</w:t>
            </w:r>
          </w:p>
        </w:tc>
        <w:tc>
          <w:tcPr>
            <w:tcW w:w="1957"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77"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21</w:t>
            </w:r>
          </w:p>
        </w:tc>
        <w:tc>
          <w:tcPr>
            <w:tcW w:w="2325"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4</w:t>
            </w:r>
          </w:p>
        </w:tc>
        <w:tc>
          <w:tcPr>
            <w:tcW w:w="8415"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b w:val="0"/>
                <w:bCs w:val="0"/>
                <w:color w:val="auto"/>
                <w:spacing w:val="4"/>
                <w:sz w:val="20"/>
                <w:szCs w:val="20"/>
                <w:lang w:eastAsia="zh-CN"/>
              </w:rPr>
              <w:t>对学校通用语言文字使用情况的检查</w:t>
            </w:r>
          </w:p>
        </w:tc>
        <w:tc>
          <w:tcPr>
            <w:tcW w:w="1957"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77"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22</w:t>
            </w:r>
          </w:p>
        </w:tc>
        <w:tc>
          <w:tcPr>
            <w:tcW w:w="2325"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5</w:t>
            </w:r>
          </w:p>
        </w:tc>
        <w:tc>
          <w:tcPr>
            <w:tcW w:w="8415"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b w:val="0"/>
                <w:bCs w:val="0"/>
                <w:color w:val="auto"/>
                <w:spacing w:val="4"/>
                <w:sz w:val="20"/>
                <w:szCs w:val="20"/>
                <w:lang w:eastAsia="zh-CN"/>
              </w:rPr>
              <w:t>对中小学教师继续教育工作的检查</w:t>
            </w:r>
          </w:p>
        </w:tc>
        <w:tc>
          <w:tcPr>
            <w:tcW w:w="1957"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77"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23</w:t>
            </w:r>
          </w:p>
        </w:tc>
        <w:tc>
          <w:tcPr>
            <w:tcW w:w="2325"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6</w:t>
            </w:r>
          </w:p>
        </w:tc>
        <w:tc>
          <w:tcPr>
            <w:tcW w:w="8415"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color w:val="auto"/>
                <w:spacing w:val="4"/>
                <w:sz w:val="20"/>
                <w:szCs w:val="20"/>
                <w:lang w:eastAsia="zh-CN"/>
              </w:rPr>
              <w:t>对中小学、幼儿园师德师风建设工作的检查</w:t>
            </w:r>
          </w:p>
        </w:tc>
        <w:tc>
          <w:tcPr>
            <w:tcW w:w="1957"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77"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24</w:t>
            </w:r>
          </w:p>
        </w:tc>
        <w:tc>
          <w:tcPr>
            <w:tcW w:w="2325"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7</w:t>
            </w:r>
          </w:p>
        </w:tc>
        <w:tc>
          <w:tcPr>
            <w:tcW w:w="8415"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color w:val="auto"/>
                <w:sz w:val="20"/>
                <w:szCs w:val="20"/>
                <w:lang w:eastAsia="zh-CN"/>
              </w:rPr>
              <w:t>对学校安全工作的检查</w:t>
            </w:r>
          </w:p>
        </w:tc>
        <w:tc>
          <w:tcPr>
            <w:tcW w:w="1957"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77"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25</w:t>
            </w:r>
          </w:p>
        </w:tc>
        <w:tc>
          <w:tcPr>
            <w:tcW w:w="2325"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8</w:t>
            </w:r>
          </w:p>
        </w:tc>
        <w:tc>
          <w:tcPr>
            <w:tcW w:w="8415"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color w:val="auto"/>
                <w:sz w:val="20"/>
                <w:szCs w:val="20"/>
                <w:shd w:val="clear" w:color="auto" w:fill="FFFFFF"/>
                <w:lang w:eastAsia="zh-CN"/>
              </w:rPr>
              <w:t>对学生资助资金的检查</w:t>
            </w:r>
          </w:p>
        </w:tc>
        <w:tc>
          <w:tcPr>
            <w:tcW w:w="1957"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77"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eastAsia="zh-CN"/>
              </w:rPr>
            </w:pPr>
          </w:p>
        </w:tc>
        <w:tc>
          <w:tcPr>
            <w:tcW w:w="2325"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五、其他类</w:t>
            </w:r>
          </w:p>
        </w:tc>
        <w:tc>
          <w:tcPr>
            <w:tcW w:w="8415"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共十二项</w:t>
            </w:r>
          </w:p>
        </w:tc>
        <w:tc>
          <w:tcPr>
            <w:tcW w:w="1957"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77"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26</w:t>
            </w:r>
          </w:p>
        </w:tc>
        <w:tc>
          <w:tcPr>
            <w:tcW w:w="2325"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1</w:t>
            </w:r>
          </w:p>
        </w:tc>
        <w:tc>
          <w:tcPr>
            <w:tcW w:w="8415"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color w:val="auto"/>
                <w:spacing w:val="4"/>
                <w:sz w:val="20"/>
                <w:szCs w:val="20"/>
              </w:rPr>
              <w:t>中等职业学校</w:t>
            </w:r>
            <w:r>
              <w:rPr>
                <w:rFonts w:hint="eastAsia" w:ascii="仿宋_GB2312" w:hAnsi="仿宋_GB2312" w:eastAsia="仿宋_GB2312" w:cs="仿宋_GB2312"/>
                <w:color w:val="auto"/>
                <w:spacing w:val="4"/>
                <w:sz w:val="20"/>
                <w:szCs w:val="20"/>
                <w:lang w:eastAsia="zh-CN"/>
              </w:rPr>
              <w:t>开设或停办</w:t>
            </w:r>
            <w:r>
              <w:rPr>
                <w:rFonts w:hint="eastAsia" w:ascii="仿宋_GB2312" w:hAnsi="仿宋_GB2312" w:eastAsia="仿宋_GB2312" w:cs="仿宋_GB2312"/>
                <w:color w:val="auto"/>
                <w:spacing w:val="4"/>
                <w:sz w:val="20"/>
                <w:szCs w:val="20"/>
              </w:rPr>
              <w:t>专业</w:t>
            </w:r>
            <w:r>
              <w:rPr>
                <w:rFonts w:hint="eastAsia" w:ascii="仿宋_GB2312" w:hAnsi="仿宋_GB2312" w:eastAsia="仿宋_GB2312" w:cs="仿宋_GB2312"/>
                <w:color w:val="auto"/>
                <w:spacing w:val="4"/>
                <w:sz w:val="20"/>
                <w:szCs w:val="20"/>
                <w:lang w:eastAsia="zh-CN"/>
              </w:rPr>
              <w:t>的</w:t>
            </w:r>
            <w:r>
              <w:rPr>
                <w:rFonts w:hint="eastAsia" w:ascii="仿宋_GB2312" w:hAnsi="仿宋_GB2312" w:eastAsia="仿宋_GB2312" w:cs="仿宋_GB2312"/>
                <w:color w:val="auto"/>
                <w:spacing w:val="4"/>
                <w:sz w:val="20"/>
                <w:szCs w:val="20"/>
              </w:rPr>
              <w:t>备案</w:t>
            </w:r>
          </w:p>
        </w:tc>
        <w:tc>
          <w:tcPr>
            <w:tcW w:w="1957"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77"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27</w:t>
            </w:r>
          </w:p>
        </w:tc>
        <w:tc>
          <w:tcPr>
            <w:tcW w:w="2325"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2</w:t>
            </w:r>
          </w:p>
        </w:tc>
        <w:tc>
          <w:tcPr>
            <w:tcW w:w="8415"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color w:val="auto"/>
                <w:sz w:val="20"/>
                <w:szCs w:val="20"/>
              </w:rPr>
              <w:t>学籍管理</w:t>
            </w:r>
          </w:p>
        </w:tc>
        <w:tc>
          <w:tcPr>
            <w:tcW w:w="1957"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77"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28</w:t>
            </w:r>
          </w:p>
        </w:tc>
        <w:tc>
          <w:tcPr>
            <w:tcW w:w="2325"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3</w:t>
            </w:r>
          </w:p>
        </w:tc>
        <w:tc>
          <w:tcPr>
            <w:tcW w:w="8415"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color w:val="auto"/>
                <w:spacing w:val="4"/>
                <w:sz w:val="20"/>
                <w:szCs w:val="20"/>
              </w:rPr>
              <w:t>民办学校招生简章和广告备案</w:t>
            </w:r>
          </w:p>
        </w:tc>
        <w:tc>
          <w:tcPr>
            <w:tcW w:w="1957"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77"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29</w:t>
            </w:r>
          </w:p>
        </w:tc>
        <w:tc>
          <w:tcPr>
            <w:tcW w:w="2325"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4</w:t>
            </w:r>
          </w:p>
        </w:tc>
        <w:tc>
          <w:tcPr>
            <w:tcW w:w="8415"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color w:val="auto"/>
                <w:spacing w:val="4"/>
                <w:sz w:val="20"/>
                <w:szCs w:val="20"/>
              </w:rPr>
              <w:t>石家庄市学科名师、骨干教师</w:t>
            </w:r>
            <w:r>
              <w:rPr>
                <w:rFonts w:hint="eastAsia" w:ascii="仿宋_GB2312" w:hAnsi="仿宋_GB2312" w:eastAsia="仿宋_GB2312" w:cs="仿宋_GB2312"/>
                <w:color w:val="auto"/>
                <w:spacing w:val="4"/>
                <w:sz w:val="20"/>
                <w:szCs w:val="20"/>
                <w:lang w:eastAsia="zh-CN"/>
              </w:rPr>
              <w:t>的</w:t>
            </w:r>
            <w:r>
              <w:rPr>
                <w:rFonts w:hint="eastAsia" w:ascii="仿宋_GB2312" w:hAnsi="仿宋_GB2312" w:eastAsia="仿宋_GB2312" w:cs="仿宋_GB2312"/>
                <w:color w:val="auto"/>
                <w:spacing w:val="4"/>
                <w:sz w:val="20"/>
                <w:szCs w:val="20"/>
              </w:rPr>
              <w:t>评选</w:t>
            </w:r>
          </w:p>
        </w:tc>
        <w:tc>
          <w:tcPr>
            <w:tcW w:w="1957"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77"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30</w:t>
            </w:r>
          </w:p>
        </w:tc>
        <w:tc>
          <w:tcPr>
            <w:tcW w:w="2325"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5</w:t>
            </w:r>
          </w:p>
        </w:tc>
        <w:tc>
          <w:tcPr>
            <w:tcW w:w="8415"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color w:val="auto"/>
                <w:spacing w:val="4"/>
                <w:sz w:val="20"/>
                <w:szCs w:val="20"/>
              </w:rPr>
              <w:t>民办学校年检</w:t>
            </w:r>
          </w:p>
        </w:tc>
        <w:tc>
          <w:tcPr>
            <w:tcW w:w="1957"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77"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31</w:t>
            </w:r>
          </w:p>
        </w:tc>
        <w:tc>
          <w:tcPr>
            <w:tcW w:w="2325"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6</w:t>
            </w:r>
          </w:p>
        </w:tc>
        <w:tc>
          <w:tcPr>
            <w:tcW w:w="8415"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color w:val="auto"/>
                <w:sz w:val="20"/>
                <w:szCs w:val="20"/>
                <w:shd w:val="clear" w:color="auto" w:fill="FFFFFF"/>
              </w:rPr>
              <w:t>对教师申诉的</w:t>
            </w:r>
            <w:r>
              <w:rPr>
                <w:rFonts w:hint="eastAsia" w:ascii="仿宋_GB2312" w:hAnsi="仿宋_GB2312" w:eastAsia="仿宋_GB2312" w:cs="仿宋_GB2312"/>
                <w:color w:val="auto"/>
                <w:sz w:val="20"/>
                <w:szCs w:val="20"/>
                <w:shd w:val="clear" w:color="auto" w:fill="FFFFFF"/>
                <w:lang w:eastAsia="zh-CN"/>
              </w:rPr>
              <w:t>处理</w:t>
            </w:r>
          </w:p>
        </w:tc>
        <w:tc>
          <w:tcPr>
            <w:tcW w:w="1957"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77"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32</w:t>
            </w:r>
          </w:p>
        </w:tc>
        <w:tc>
          <w:tcPr>
            <w:tcW w:w="2325"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7</w:t>
            </w:r>
          </w:p>
        </w:tc>
        <w:tc>
          <w:tcPr>
            <w:tcW w:w="8415"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color w:val="auto"/>
                <w:sz w:val="20"/>
                <w:szCs w:val="20"/>
                <w:shd w:val="clear" w:color="auto" w:fill="FFFFFF"/>
              </w:rPr>
              <w:t>对学生申诉</w:t>
            </w:r>
            <w:r>
              <w:rPr>
                <w:rFonts w:hint="eastAsia" w:ascii="仿宋_GB2312" w:hAnsi="仿宋_GB2312" w:eastAsia="仿宋_GB2312" w:cs="仿宋_GB2312"/>
                <w:color w:val="auto"/>
                <w:sz w:val="20"/>
                <w:szCs w:val="20"/>
                <w:shd w:val="clear" w:color="auto" w:fill="FFFFFF"/>
                <w:lang w:eastAsia="zh-CN"/>
              </w:rPr>
              <w:t>的处理</w:t>
            </w:r>
          </w:p>
        </w:tc>
        <w:tc>
          <w:tcPr>
            <w:tcW w:w="1957"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77"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33</w:t>
            </w:r>
          </w:p>
        </w:tc>
        <w:tc>
          <w:tcPr>
            <w:tcW w:w="2325"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8</w:t>
            </w:r>
          </w:p>
        </w:tc>
        <w:tc>
          <w:tcPr>
            <w:tcW w:w="8415"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color w:val="auto"/>
                <w:spacing w:val="4"/>
                <w:sz w:val="20"/>
                <w:szCs w:val="20"/>
              </w:rPr>
              <w:t>普通高中毕业证验印</w:t>
            </w:r>
          </w:p>
        </w:tc>
        <w:tc>
          <w:tcPr>
            <w:tcW w:w="1957"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77"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34</w:t>
            </w:r>
          </w:p>
        </w:tc>
        <w:tc>
          <w:tcPr>
            <w:tcW w:w="2325"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9</w:t>
            </w:r>
          </w:p>
        </w:tc>
        <w:tc>
          <w:tcPr>
            <w:tcW w:w="8415"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color w:val="auto"/>
                <w:sz w:val="20"/>
                <w:szCs w:val="20"/>
                <w:lang w:eastAsia="zh-CN"/>
              </w:rPr>
              <w:t>中等职业学校补办毕业证明书</w:t>
            </w:r>
          </w:p>
        </w:tc>
        <w:tc>
          <w:tcPr>
            <w:tcW w:w="1957"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77"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35</w:t>
            </w:r>
          </w:p>
        </w:tc>
        <w:tc>
          <w:tcPr>
            <w:tcW w:w="2325"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10</w:t>
            </w:r>
          </w:p>
        </w:tc>
        <w:tc>
          <w:tcPr>
            <w:tcW w:w="8415"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color w:val="auto"/>
                <w:sz w:val="20"/>
                <w:szCs w:val="20"/>
                <w:vertAlign w:val="baseline"/>
                <w:lang w:eastAsia="zh-CN"/>
              </w:rPr>
              <w:t>特级教师的评选推荐</w:t>
            </w:r>
          </w:p>
        </w:tc>
        <w:tc>
          <w:tcPr>
            <w:tcW w:w="1957"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77"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36</w:t>
            </w:r>
          </w:p>
        </w:tc>
        <w:tc>
          <w:tcPr>
            <w:tcW w:w="2325"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11</w:t>
            </w:r>
          </w:p>
        </w:tc>
        <w:tc>
          <w:tcPr>
            <w:tcW w:w="8415"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color w:val="auto"/>
                <w:sz w:val="20"/>
                <w:szCs w:val="20"/>
                <w:vertAlign w:val="baseline"/>
                <w:lang w:eastAsia="zh-CN"/>
              </w:rPr>
              <w:t>学校安全事故纠纷调解</w:t>
            </w:r>
          </w:p>
        </w:tc>
        <w:tc>
          <w:tcPr>
            <w:tcW w:w="1957"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77"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37</w:t>
            </w:r>
          </w:p>
        </w:tc>
        <w:tc>
          <w:tcPr>
            <w:tcW w:w="2325" w:type="dxa"/>
            <w:vAlign w:val="center"/>
          </w:tcPr>
          <w:p>
            <w:pPr>
              <w:keepNext w:val="0"/>
              <w:keepLines w:val="0"/>
              <w:pageBreakBefore w:val="0"/>
              <w:widowControl w:val="0"/>
              <w:kinsoku/>
              <w:wordWrap/>
              <w:overflowPunct/>
              <w:topLinePunct w:val="0"/>
              <w:autoSpaceDE/>
              <w:autoSpaceDN/>
              <w:bidi w:val="0"/>
              <w:adjustRightInd/>
              <w:snapToGrid/>
              <w:spacing w:line="340" w:lineRule="exact"/>
              <w:ind w:right="0" w:rightChars="0"/>
              <w:jc w:val="center"/>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12</w:t>
            </w:r>
          </w:p>
        </w:tc>
        <w:tc>
          <w:tcPr>
            <w:tcW w:w="8415"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color w:val="auto"/>
                <w:sz w:val="20"/>
                <w:szCs w:val="20"/>
                <w:lang w:val="en-US" w:eastAsia="zh-CN"/>
              </w:rPr>
              <w:t>教育类社会团体筹备申请、成立登记、变更登记、注销登记前的审查</w:t>
            </w:r>
          </w:p>
        </w:tc>
        <w:tc>
          <w:tcPr>
            <w:tcW w:w="1957"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77"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c>
          <w:tcPr>
            <w:tcW w:w="2325"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c>
          <w:tcPr>
            <w:tcW w:w="8415"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c>
          <w:tcPr>
            <w:tcW w:w="1957"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77"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c>
          <w:tcPr>
            <w:tcW w:w="2325"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c>
          <w:tcPr>
            <w:tcW w:w="8415"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c>
          <w:tcPr>
            <w:tcW w:w="1957"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77"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c>
          <w:tcPr>
            <w:tcW w:w="2325"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c>
          <w:tcPr>
            <w:tcW w:w="8415"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c>
          <w:tcPr>
            <w:tcW w:w="1957"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77"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c>
          <w:tcPr>
            <w:tcW w:w="2325"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c>
          <w:tcPr>
            <w:tcW w:w="8415"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c>
          <w:tcPr>
            <w:tcW w:w="1957" w:type="dxa"/>
          </w:tcPr>
          <w:p>
            <w:pPr>
              <w:keepNext w:val="0"/>
              <w:keepLines w:val="0"/>
              <w:pageBreakBefore w:val="0"/>
              <w:widowControl w:val="0"/>
              <w:kinsoku/>
              <w:wordWrap/>
              <w:overflowPunct/>
              <w:topLinePunct w:val="0"/>
              <w:autoSpaceDE/>
              <w:autoSpaceDN/>
              <w:bidi w:val="0"/>
              <w:adjustRightInd/>
              <w:snapToGrid/>
              <w:spacing w:line="340" w:lineRule="exact"/>
              <w:ind w:right="0" w:rightChars="0"/>
              <w:textAlignment w:val="auto"/>
              <w:outlineLvl w:val="9"/>
              <w:rPr>
                <w:rFonts w:hint="eastAsia" w:ascii="仿宋_GB2312" w:hAnsi="仿宋_GB2312" w:eastAsia="仿宋_GB2312" w:cs="仿宋_GB2312"/>
                <w:sz w:val="32"/>
                <w:szCs w:val="32"/>
                <w:vertAlign w:val="baseline"/>
                <w:lang w:eastAsia="zh-CN"/>
              </w:rPr>
            </w:pPr>
          </w:p>
        </w:tc>
      </w:tr>
    </w:tbl>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textAlignment w:val="auto"/>
        <w:outlineLvl w:val="9"/>
        <w:rPr>
          <w:rFonts w:hint="eastAsia" w:ascii="仿宋_GB2312" w:hAnsi="仿宋_GB2312" w:eastAsia="仿宋_GB2312" w:cs="仿宋_GB2312"/>
          <w:sz w:val="32"/>
          <w:szCs w:val="32"/>
          <w:lang w:eastAsia="zh-CN"/>
        </w:rPr>
      </w:pPr>
    </w:p>
    <w:p>
      <w:pPr>
        <w:widowControl w:val="0"/>
        <w:wordWrap/>
        <w:adjustRightInd/>
        <w:snapToGrid/>
        <w:spacing w:line="560" w:lineRule="exact"/>
        <w:ind w:left="0" w:leftChars="0" w:right="0" w:firstLine="0" w:firstLineChars="0"/>
        <w:jc w:val="center"/>
        <w:textAlignment w:val="auto"/>
        <w:outlineLvl w:val="9"/>
        <w:rPr>
          <w:rFonts w:hint="eastAsia" w:ascii="方正小标宋简体" w:hAnsi="方正小标宋简体" w:eastAsia="方正小标宋简体" w:cs="方正小标宋简体"/>
          <w:sz w:val="44"/>
          <w:szCs w:val="44"/>
          <w:lang w:val="en-US" w:eastAsia="zh-CN"/>
        </w:rPr>
      </w:pPr>
    </w:p>
    <w:p>
      <w:pPr>
        <w:widowControl w:val="0"/>
        <w:wordWrap/>
        <w:adjustRightInd/>
        <w:snapToGrid/>
        <w:spacing w:line="560" w:lineRule="exact"/>
        <w:ind w:left="0" w:leftChars="0" w:right="0" w:firstLine="0" w:firstLineChars="0"/>
        <w:jc w:val="center"/>
        <w:textAlignment w:val="auto"/>
        <w:outlineLvl w:val="9"/>
        <w:rPr>
          <w:rFonts w:hint="eastAsia" w:ascii="方正小标宋简体" w:hAnsi="方正小标宋简体" w:eastAsia="方正小标宋简体" w:cs="方正小标宋简体"/>
          <w:sz w:val="44"/>
          <w:szCs w:val="44"/>
          <w:lang w:val="en-US" w:eastAsia="zh-CN"/>
        </w:rPr>
      </w:pPr>
    </w:p>
    <w:p>
      <w:pPr>
        <w:widowControl w:val="0"/>
        <w:wordWrap/>
        <w:adjustRightInd/>
        <w:snapToGrid/>
        <w:spacing w:line="560" w:lineRule="exact"/>
        <w:ind w:left="0" w:leftChars="0" w:right="0" w:firstLine="0" w:firstLineChars="0"/>
        <w:jc w:val="center"/>
        <w:textAlignment w:val="auto"/>
        <w:outlineLvl w:val="9"/>
        <w:rPr>
          <w:rFonts w:hint="eastAsia" w:ascii="方正小标宋简体" w:hAnsi="方正小标宋简体" w:eastAsia="方正小标宋简体" w:cs="方正小标宋简体"/>
          <w:sz w:val="44"/>
          <w:szCs w:val="44"/>
          <w:lang w:val="en-US" w:eastAsia="zh-CN"/>
        </w:rPr>
      </w:pPr>
    </w:p>
    <w:p>
      <w:pPr>
        <w:widowControl w:val="0"/>
        <w:wordWrap/>
        <w:adjustRightInd/>
        <w:snapToGrid/>
        <w:spacing w:line="560" w:lineRule="exact"/>
        <w:ind w:left="0" w:leftChars="0" w:right="0" w:firstLine="0" w:firstLineChars="0"/>
        <w:jc w:val="center"/>
        <w:textAlignment w:val="auto"/>
        <w:outlineLvl w:val="9"/>
        <w:rPr>
          <w:rFonts w:hint="eastAsia" w:ascii="方正小标宋简体" w:hAnsi="方正小标宋简体" w:eastAsia="方正小标宋简体" w:cs="方正小标宋简体"/>
          <w:sz w:val="44"/>
          <w:szCs w:val="44"/>
          <w:lang w:val="en-US" w:eastAsia="zh-CN"/>
        </w:rPr>
      </w:pPr>
    </w:p>
    <w:p>
      <w:pPr>
        <w:widowControl w:val="0"/>
        <w:wordWrap/>
        <w:adjustRightInd/>
        <w:snapToGrid/>
        <w:spacing w:line="560" w:lineRule="exact"/>
        <w:ind w:left="0" w:leftChars="0" w:right="0" w:firstLine="0" w:firstLineChars="0"/>
        <w:jc w:val="center"/>
        <w:textAlignment w:val="auto"/>
        <w:outlineLvl w:val="9"/>
        <w:rPr>
          <w:rFonts w:hint="eastAsia" w:ascii="方正小标宋简体" w:hAnsi="方正小标宋简体" w:eastAsia="方正小标宋简体" w:cs="方正小标宋简体"/>
          <w:sz w:val="44"/>
          <w:szCs w:val="44"/>
          <w:lang w:val="en-US" w:eastAsia="zh-CN"/>
        </w:rPr>
      </w:pPr>
    </w:p>
    <w:p>
      <w:pPr>
        <w:widowControl w:val="0"/>
        <w:wordWrap/>
        <w:adjustRightInd/>
        <w:snapToGrid/>
        <w:spacing w:line="560" w:lineRule="exact"/>
        <w:ind w:left="0" w:leftChars="0" w:right="0" w:firstLine="0" w:firstLineChars="0"/>
        <w:jc w:val="center"/>
        <w:textAlignment w:val="auto"/>
        <w:outlineLvl w:val="9"/>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val="en-US" w:eastAsia="zh-CN"/>
        </w:rPr>
        <w:t>高邑县</w:t>
      </w:r>
      <w:r>
        <w:rPr>
          <w:rFonts w:hint="eastAsia" w:ascii="方正小标宋简体" w:hAnsi="方正小标宋简体" w:eastAsia="方正小标宋简体" w:cs="方正小标宋简体"/>
          <w:sz w:val="44"/>
          <w:szCs w:val="44"/>
          <w:lang w:eastAsia="zh-CN"/>
        </w:rPr>
        <w:t>教育局权责清单事项分表</w:t>
      </w:r>
    </w:p>
    <w:p>
      <w:pPr>
        <w:widowControl w:val="0"/>
        <w:wordWrap/>
        <w:adjustRightInd/>
        <w:snapToGrid/>
        <w:spacing w:line="560" w:lineRule="exact"/>
        <w:ind w:left="0" w:leftChars="0" w:right="0" w:firstLine="0" w:firstLineChars="0"/>
        <w:jc w:val="center"/>
        <w:textAlignment w:val="auto"/>
        <w:outlineLvl w:val="9"/>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（共</w:t>
      </w:r>
      <w:r>
        <w:rPr>
          <w:rFonts w:hint="eastAsia" w:ascii="楷体_GB2312" w:hAnsi="楷体_GB2312" w:eastAsia="楷体_GB2312" w:cs="楷体_GB2312"/>
          <w:sz w:val="32"/>
          <w:szCs w:val="32"/>
          <w:lang w:val="en-US" w:eastAsia="zh-CN"/>
        </w:rPr>
        <w:t>五类、三十七项</w:t>
      </w:r>
      <w:r>
        <w:rPr>
          <w:rFonts w:hint="eastAsia" w:ascii="楷体_GB2312" w:hAnsi="楷体_GB2312" w:eastAsia="楷体_GB2312" w:cs="楷体_GB2312"/>
          <w:sz w:val="32"/>
          <w:szCs w:val="32"/>
          <w:lang w:eastAsia="zh-CN"/>
        </w:rPr>
        <w:t>）</w:t>
      </w:r>
    </w:p>
    <w:p>
      <w:pPr>
        <w:widowControl w:val="0"/>
        <w:wordWrap/>
        <w:adjustRightInd/>
        <w:snapToGrid/>
        <w:spacing w:line="560" w:lineRule="exact"/>
        <w:ind w:left="0" w:leftChars="0" w:right="0" w:firstLine="0" w:firstLineChars="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lang w:val="en-US" w:eastAsia="zh-CN"/>
        </w:rPr>
        <w:t>高邑县</w:t>
      </w:r>
      <w:r>
        <w:rPr>
          <w:rFonts w:hint="eastAsia" w:ascii="仿宋_GB2312" w:hAnsi="仿宋_GB2312" w:eastAsia="仿宋_GB2312" w:cs="仿宋_GB2312"/>
          <w:sz w:val="32"/>
          <w:szCs w:val="32"/>
          <w:lang w:eastAsia="zh-CN"/>
        </w:rPr>
        <w:t>教育局</w:t>
      </w:r>
    </w:p>
    <w:tbl>
      <w:tblPr>
        <w:tblStyle w:val="21"/>
        <w:tblW w:w="1391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807"/>
        <w:gridCol w:w="1225"/>
        <w:gridCol w:w="1002"/>
        <w:gridCol w:w="3488"/>
        <w:gridCol w:w="3895"/>
        <w:gridCol w:w="1620"/>
        <w:gridCol w:w="13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0" w:hRule="atLeast"/>
          <w:tblHeader/>
        </w:trPr>
        <w:tc>
          <w:tcPr>
            <w:tcW w:w="540" w:type="dxa"/>
            <w:vAlign w:val="center"/>
          </w:tcPr>
          <w:p>
            <w:pPr>
              <w:jc w:val="center"/>
              <w:rPr>
                <w:rFonts w:hint="eastAsia" w:ascii="黑体" w:hAnsi="黑体" w:eastAsia="黑体" w:cs="黑体"/>
                <w:sz w:val="24"/>
                <w:szCs w:val="24"/>
                <w:lang w:eastAsia="zh-CN"/>
              </w:rPr>
            </w:pPr>
            <w:r>
              <w:rPr>
                <w:rFonts w:hint="eastAsia" w:ascii="黑体" w:hAnsi="黑体" w:eastAsia="黑体" w:cs="黑体"/>
                <w:sz w:val="24"/>
                <w:szCs w:val="24"/>
                <w:lang w:eastAsia="zh-CN"/>
              </w:rPr>
              <w:t>序号</w:t>
            </w:r>
          </w:p>
        </w:tc>
        <w:tc>
          <w:tcPr>
            <w:tcW w:w="807" w:type="dxa"/>
            <w:vAlign w:val="center"/>
          </w:tcPr>
          <w:p>
            <w:pPr>
              <w:jc w:val="center"/>
              <w:rPr>
                <w:rFonts w:hint="eastAsia" w:ascii="黑体" w:hAnsi="黑体" w:eastAsia="黑体" w:cs="黑体"/>
                <w:sz w:val="24"/>
                <w:szCs w:val="24"/>
                <w:lang w:eastAsia="zh-CN"/>
              </w:rPr>
            </w:pPr>
            <w:r>
              <w:rPr>
                <w:rFonts w:hint="eastAsia" w:ascii="黑体" w:hAnsi="黑体" w:eastAsia="黑体" w:cs="黑体"/>
                <w:sz w:val="24"/>
                <w:szCs w:val="24"/>
                <w:lang w:eastAsia="zh-CN"/>
              </w:rPr>
              <w:t>权力类型</w:t>
            </w:r>
          </w:p>
        </w:tc>
        <w:tc>
          <w:tcPr>
            <w:tcW w:w="1225" w:type="dxa"/>
            <w:vAlign w:val="center"/>
          </w:tcPr>
          <w:p>
            <w:pPr>
              <w:jc w:val="center"/>
              <w:rPr>
                <w:rFonts w:hint="eastAsia" w:ascii="黑体" w:hAnsi="黑体" w:eastAsia="黑体" w:cs="黑体"/>
                <w:sz w:val="24"/>
                <w:szCs w:val="24"/>
                <w:lang w:eastAsia="zh-CN"/>
              </w:rPr>
            </w:pPr>
            <w:r>
              <w:rPr>
                <w:rFonts w:hint="eastAsia" w:ascii="黑体" w:hAnsi="黑体" w:eastAsia="黑体" w:cs="黑体"/>
                <w:sz w:val="24"/>
                <w:szCs w:val="24"/>
                <w:lang w:eastAsia="zh-CN"/>
              </w:rPr>
              <w:t>权力事项</w:t>
            </w:r>
          </w:p>
        </w:tc>
        <w:tc>
          <w:tcPr>
            <w:tcW w:w="1002" w:type="dxa"/>
            <w:vAlign w:val="center"/>
          </w:tcPr>
          <w:p>
            <w:pPr>
              <w:jc w:val="center"/>
              <w:rPr>
                <w:rFonts w:hint="eastAsia" w:ascii="黑体" w:hAnsi="黑体" w:eastAsia="黑体" w:cs="黑体"/>
                <w:sz w:val="24"/>
                <w:szCs w:val="24"/>
                <w:lang w:eastAsia="zh-CN"/>
              </w:rPr>
            </w:pPr>
            <w:r>
              <w:rPr>
                <w:rFonts w:hint="eastAsia" w:ascii="黑体" w:hAnsi="黑体" w:eastAsia="黑体" w:cs="黑体"/>
                <w:sz w:val="24"/>
                <w:szCs w:val="24"/>
                <w:lang w:eastAsia="zh-CN"/>
              </w:rPr>
              <w:t>行政主体</w:t>
            </w:r>
          </w:p>
        </w:tc>
        <w:tc>
          <w:tcPr>
            <w:tcW w:w="3488" w:type="dxa"/>
            <w:vAlign w:val="center"/>
          </w:tcPr>
          <w:p>
            <w:pPr>
              <w:jc w:val="center"/>
              <w:rPr>
                <w:rFonts w:hint="eastAsia" w:ascii="黑体" w:hAnsi="黑体" w:eastAsia="黑体" w:cs="黑体"/>
                <w:sz w:val="24"/>
                <w:szCs w:val="24"/>
                <w:lang w:eastAsia="zh-CN"/>
              </w:rPr>
            </w:pPr>
            <w:r>
              <w:rPr>
                <w:rFonts w:hint="eastAsia" w:ascii="黑体" w:hAnsi="黑体" w:eastAsia="黑体" w:cs="黑体"/>
                <w:sz w:val="24"/>
                <w:szCs w:val="24"/>
                <w:lang w:eastAsia="zh-CN"/>
              </w:rPr>
              <w:t>实施依据</w:t>
            </w:r>
          </w:p>
        </w:tc>
        <w:tc>
          <w:tcPr>
            <w:tcW w:w="3895" w:type="dxa"/>
            <w:vAlign w:val="center"/>
          </w:tcPr>
          <w:p>
            <w:pPr>
              <w:jc w:val="center"/>
              <w:rPr>
                <w:rFonts w:hint="eastAsia" w:ascii="黑体" w:hAnsi="黑体" w:eastAsia="黑体" w:cs="黑体"/>
                <w:sz w:val="24"/>
                <w:szCs w:val="24"/>
                <w:lang w:eastAsia="zh-CN"/>
              </w:rPr>
            </w:pPr>
            <w:r>
              <w:rPr>
                <w:rFonts w:hint="eastAsia" w:ascii="黑体" w:hAnsi="黑体" w:eastAsia="黑体" w:cs="黑体"/>
                <w:sz w:val="24"/>
                <w:szCs w:val="24"/>
                <w:lang w:eastAsia="zh-CN"/>
              </w:rPr>
              <w:t>责任事项</w:t>
            </w:r>
          </w:p>
        </w:tc>
        <w:tc>
          <w:tcPr>
            <w:tcW w:w="1620" w:type="dxa"/>
            <w:vAlign w:val="center"/>
          </w:tcPr>
          <w:p>
            <w:pPr>
              <w:jc w:val="center"/>
              <w:rPr>
                <w:rFonts w:hint="eastAsia" w:ascii="黑体" w:hAnsi="黑体" w:eastAsia="黑体" w:cs="黑体"/>
                <w:sz w:val="24"/>
                <w:szCs w:val="24"/>
                <w:lang w:eastAsia="zh-CN"/>
              </w:rPr>
            </w:pPr>
            <w:r>
              <w:rPr>
                <w:rFonts w:hint="eastAsia" w:ascii="黑体" w:hAnsi="黑体" w:eastAsia="黑体" w:cs="黑体"/>
                <w:sz w:val="24"/>
                <w:szCs w:val="24"/>
                <w:lang w:eastAsia="zh-CN"/>
              </w:rPr>
              <w:t>追责情形</w:t>
            </w:r>
          </w:p>
        </w:tc>
        <w:tc>
          <w:tcPr>
            <w:tcW w:w="1335" w:type="dxa"/>
            <w:vAlign w:val="center"/>
          </w:tcPr>
          <w:p>
            <w:pPr>
              <w:jc w:val="center"/>
              <w:rPr>
                <w:rFonts w:hint="eastAsia" w:ascii="黑体" w:hAnsi="黑体" w:eastAsia="黑体" w:cs="黑体"/>
                <w:sz w:val="24"/>
                <w:szCs w:val="24"/>
                <w:lang w:eastAsia="zh-CN"/>
              </w:rPr>
            </w:pPr>
            <w:r>
              <w:rPr>
                <w:rFonts w:hint="eastAsia" w:ascii="黑体" w:hAnsi="黑体" w:eastAsia="黑体" w:cs="黑体"/>
                <w:sz w:val="24"/>
                <w:szCs w:val="24"/>
                <w:lang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40"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1</w:t>
            </w:r>
          </w:p>
        </w:tc>
        <w:tc>
          <w:tcPr>
            <w:tcW w:w="807" w:type="dxa"/>
            <w:vAlign w:val="center"/>
          </w:tcPr>
          <w:p>
            <w:pPr>
              <w:wordWrap/>
              <w:spacing w:line="240" w:lineRule="exact"/>
              <w:ind w:left="0" w:leftChars="0" w:right="0" w:firstLine="0" w:firstLineChars="0"/>
              <w:jc w:val="center"/>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行政处罚</w:t>
            </w:r>
          </w:p>
        </w:tc>
        <w:tc>
          <w:tcPr>
            <w:tcW w:w="1225" w:type="dxa"/>
            <w:vAlign w:val="center"/>
          </w:tcPr>
          <w:p>
            <w:pPr>
              <w:wordWrap/>
              <w:spacing w:line="240" w:lineRule="exact"/>
              <w:ind w:left="0" w:leftChars="0" w:right="0" w:firstLine="0" w:firstLineChars="0"/>
              <w:jc w:val="center"/>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对学校或其他教育机构违反国家有关规定招收学生的处罚</w:t>
            </w:r>
          </w:p>
        </w:tc>
        <w:tc>
          <w:tcPr>
            <w:tcW w:w="1002" w:type="dxa"/>
            <w:vAlign w:val="center"/>
          </w:tcPr>
          <w:p>
            <w:pPr>
              <w:wordWrap/>
              <w:spacing w:line="240" w:lineRule="exact"/>
              <w:ind w:left="0" w:leftChars="0" w:right="0" w:firstLine="0" w:firstLineChars="0"/>
              <w:jc w:val="center"/>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高邑县教育局</w:t>
            </w:r>
          </w:p>
        </w:tc>
        <w:tc>
          <w:tcPr>
            <w:tcW w:w="3488" w:type="dxa"/>
            <w:vAlign w:val="top"/>
          </w:tcPr>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《中华人民共和国教育法》（</w:t>
            </w:r>
            <w:r>
              <w:rPr>
                <w:rFonts w:hint="default" w:ascii="仿宋_GB2312" w:hAnsi="仿宋_GB2312" w:eastAsia="仿宋_GB2312" w:cs="仿宋_GB2312"/>
                <w:i w:val="0"/>
                <w:color w:val="auto"/>
                <w:kern w:val="0"/>
                <w:sz w:val="20"/>
                <w:szCs w:val="20"/>
                <w:u w:val="none"/>
                <w:lang w:val="en-US" w:eastAsia="zh-CN"/>
              </w:rPr>
              <w:t>1995年3月18日，第八届全国人民代表大会第三次会议通过</w:t>
            </w:r>
            <w:r>
              <w:rPr>
                <w:rFonts w:hint="eastAsia" w:ascii="仿宋_GB2312" w:hAnsi="仿宋_GB2312" w:eastAsia="仿宋_GB2312" w:cs="仿宋_GB2312"/>
                <w:i w:val="0"/>
                <w:color w:val="auto"/>
                <w:kern w:val="0"/>
                <w:sz w:val="20"/>
                <w:szCs w:val="20"/>
                <w:u w:val="none"/>
                <w:lang w:val="en-US" w:eastAsia="zh-CN"/>
              </w:rPr>
              <w:t>；</w:t>
            </w:r>
            <w:r>
              <w:rPr>
                <w:rFonts w:hint="default" w:ascii="仿宋_GB2312" w:hAnsi="仿宋_GB2312" w:eastAsia="仿宋_GB2312" w:cs="仿宋_GB2312"/>
                <w:i w:val="0"/>
                <w:color w:val="auto"/>
                <w:kern w:val="0"/>
                <w:sz w:val="20"/>
                <w:szCs w:val="20"/>
                <w:u w:val="none"/>
                <w:lang w:val="en-US" w:eastAsia="zh-CN"/>
              </w:rPr>
              <w:t>2009年8月27日，根据</w:t>
            </w:r>
            <w:r>
              <w:rPr>
                <w:rFonts w:hint="default" w:ascii="仿宋_GB2312" w:hAnsi="仿宋_GB2312" w:eastAsia="仿宋_GB2312" w:cs="仿宋_GB2312"/>
                <w:i w:val="0"/>
                <w:color w:val="auto"/>
                <w:kern w:val="0"/>
                <w:sz w:val="20"/>
                <w:szCs w:val="20"/>
                <w:u w:val="none"/>
                <w:lang w:val="en-US" w:eastAsia="zh-CN"/>
              </w:rPr>
              <w:fldChar w:fldCharType="begin"/>
            </w:r>
            <w:r>
              <w:rPr>
                <w:rFonts w:hint="default" w:ascii="仿宋_GB2312" w:hAnsi="仿宋_GB2312" w:eastAsia="仿宋_GB2312" w:cs="仿宋_GB2312"/>
                <w:i w:val="0"/>
                <w:color w:val="auto"/>
                <w:kern w:val="0"/>
                <w:sz w:val="20"/>
                <w:szCs w:val="20"/>
                <w:u w:val="none"/>
                <w:lang w:val="en-US" w:eastAsia="zh-CN"/>
              </w:rPr>
              <w:instrText xml:space="preserve"> HYPERLINK "https://baike.baidu.com/item/%E7%AC%AC%E5%8D%81%E4%B8%80%E5%B1%8A%E5%85%A8%E5%9B%BD%E4%BA%BA%E6%B0%91%E4%BB%A3%E8%A1%A8%E5%A4%A7%E4%BC%9A%E5%B8%B8%E5%8A%A1%E5%A7%94%E5%91%98%E4%BC%9A" \t "https://baike.baidu.com/item/%E4%B8%AD%E5%8D%8E%E4%BA%BA%E6%B0%91%E5%85%B1%E5%92%8C%E5%9B%BD%E6%95%99%E8%82%B2%E6%B3%95/_blank" </w:instrText>
            </w:r>
            <w:r>
              <w:rPr>
                <w:rFonts w:hint="default" w:ascii="仿宋_GB2312" w:hAnsi="仿宋_GB2312" w:eastAsia="仿宋_GB2312" w:cs="仿宋_GB2312"/>
                <w:i w:val="0"/>
                <w:color w:val="auto"/>
                <w:kern w:val="0"/>
                <w:sz w:val="20"/>
                <w:szCs w:val="20"/>
                <w:u w:val="none"/>
                <w:lang w:val="en-US" w:eastAsia="zh-CN"/>
              </w:rPr>
              <w:fldChar w:fldCharType="separate"/>
            </w:r>
            <w:r>
              <w:rPr>
                <w:rFonts w:hint="default" w:ascii="仿宋_GB2312" w:hAnsi="仿宋_GB2312" w:eastAsia="仿宋_GB2312" w:cs="仿宋_GB2312"/>
                <w:i w:val="0"/>
                <w:color w:val="auto"/>
                <w:kern w:val="0"/>
                <w:sz w:val="20"/>
                <w:szCs w:val="20"/>
                <w:u w:val="none"/>
                <w:lang w:val="en-US" w:eastAsia="zh-CN"/>
              </w:rPr>
              <w:t>第十一届全国人民代表大会常务委员会</w:t>
            </w:r>
            <w:r>
              <w:rPr>
                <w:rFonts w:hint="default" w:ascii="仿宋_GB2312" w:hAnsi="仿宋_GB2312" w:eastAsia="仿宋_GB2312" w:cs="仿宋_GB2312"/>
                <w:i w:val="0"/>
                <w:color w:val="auto"/>
                <w:kern w:val="0"/>
                <w:sz w:val="20"/>
                <w:szCs w:val="20"/>
                <w:u w:val="none"/>
                <w:lang w:val="en-US" w:eastAsia="zh-CN"/>
              </w:rPr>
              <w:fldChar w:fldCharType="end"/>
            </w:r>
            <w:r>
              <w:rPr>
                <w:rFonts w:hint="default" w:ascii="仿宋_GB2312" w:hAnsi="仿宋_GB2312" w:eastAsia="仿宋_GB2312" w:cs="仿宋_GB2312"/>
                <w:i w:val="0"/>
                <w:color w:val="auto"/>
                <w:kern w:val="0"/>
                <w:sz w:val="20"/>
                <w:szCs w:val="20"/>
                <w:u w:val="none"/>
                <w:lang w:val="en-US" w:eastAsia="zh-CN"/>
              </w:rPr>
              <w:t>第十次会议《关于修改部分法律的决定》第一次修正</w:t>
            </w:r>
            <w:r>
              <w:rPr>
                <w:rFonts w:hint="eastAsia" w:ascii="仿宋_GB2312" w:hAnsi="仿宋_GB2312" w:eastAsia="仿宋_GB2312" w:cs="仿宋_GB2312"/>
                <w:i w:val="0"/>
                <w:color w:val="auto"/>
                <w:kern w:val="0"/>
                <w:sz w:val="20"/>
                <w:szCs w:val="20"/>
                <w:u w:val="none"/>
                <w:lang w:val="en-US" w:eastAsia="zh-CN"/>
              </w:rPr>
              <w:t>；</w:t>
            </w:r>
            <w:r>
              <w:rPr>
                <w:rFonts w:hint="default" w:ascii="仿宋_GB2312" w:hAnsi="仿宋_GB2312" w:eastAsia="仿宋_GB2312" w:cs="仿宋_GB2312"/>
                <w:i w:val="0"/>
                <w:color w:val="auto"/>
                <w:kern w:val="0"/>
                <w:sz w:val="20"/>
                <w:szCs w:val="20"/>
                <w:u w:val="none"/>
                <w:lang w:val="en-US" w:eastAsia="zh-CN"/>
              </w:rPr>
              <w:t>2015年12月27日，根据</w:t>
            </w:r>
            <w:r>
              <w:rPr>
                <w:rFonts w:hint="default" w:ascii="仿宋_GB2312" w:hAnsi="仿宋_GB2312" w:eastAsia="仿宋_GB2312" w:cs="仿宋_GB2312"/>
                <w:i w:val="0"/>
                <w:color w:val="auto"/>
                <w:kern w:val="0"/>
                <w:sz w:val="20"/>
                <w:szCs w:val="20"/>
                <w:u w:val="none"/>
                <w:lang w:val="en-US" w:eastAsia="zh-CN"/>
              </w:rPr>
              <w:fldChar w:fldCharType="begin"/>
            </w:r>
            <w:r>
              <w:rPr>
                <w:rFonts w:hint="default" w:ascii="仿宋_GB2312" w:hAnsi="仿宋_GB2312" w:eastAsia="仿宋_GB2312" w:cs="仿宋_GB2312"/>
                <w:i w:val="0"/>
                <w:color w:val="auto"/>
                <w:kern w:val="0"/>
                <w:sz w:val="20"/>
                <w:szCs w:val="20"/>
                <w:u w:val="none"/>
                <w:lang w:val="en-US" w:eastAsia="zh-CN"/>
              </w:rPr>
              <w:instrText xml:space="preserve"> HYPERLINK "https://baike.baidu.com/item/%E7%AC%AC%E5%8D%81%E4%BA%8C%E5%B1%8A%E5%85%A8%E5%9B%BD%E4%BA%BA%E6%B0%91%E4%BB%A3%E8%A1%A8%E5%A4%A7%E4%BC%9A%E5%B8%B8%E5%8A%A1%E5%A7%94%E5%91%98%E4%BC%9A" \t "https://baike.baidu.com/item/%E4%B8%AD%E5%8D%8E%E4%BA%BA%E6%B0%91%E5%85%B1%E5%92%8C%E5%9B%BD%E6%95%99%E8%82%B2%E6%B3%95/_blank" </w:instrText>
            </w:r>
            <w:r>
              <w:rPr>
                <w:rFonts w:hint="default" w:ascii="仿宋_GB2312" w:hAnsi="仿宋_GB2312" w:eastAsia="仿宋_GB2312" w:cs="仿宋_GB2312"/>
                <w:i w:val="0"/>
                <w:color w:val="auto"/>
                <w:kern w:val="0"/>
                <w:sz w:val="20"/>
                <w:szCs w:val="20"/>
                <w:u w:val="none"/>
                <w:lang w:val="en-US" w:eastAsia="zh-CN"/>
              </w:rPr>
              <w:fldChar w:fldCharType="separate"/>
            </w:r>
            <w:r>
              <w:rPr>
                <w:rFonts w:hint="default" w:ascii="仿宋_GB2312" w:hAnsi="仿宋_GB2312" w:eastAsia="仿宋_GB2312" w:cs="仿宋_GB2312"/>
                <w:i w:val="0"/>
                <w:color w:val="auto"/>
                <w:kern w:val="0"/>
                <w:sz w:val="20"/>
                <w:szCs w:val="20"/>
                <w:u w:val="none"/>
                <w:lang w:val="en-US" w:eastAsia="zh-CN"/>
              </w:rPr>
              <w:t>第十二届全国人民代表大会常务委员会</w:t>
            </w:r>
            <w:r>
              <w:rPr>
                <w:rFonts w:hint="default" w:ascii="仿宋_GB2312" w:hAnsi="仿宋_GB2312" w:eastAsia="仿宋_GB2312" w:cs="仿宋_GB2312"/>
                <w:i w:val="0"/>
                <w:color w:val="auto"/>
                <w:kern w:val="0"/>
                <w:sz w:val="20"/>
                <w:szCs w:val="20"/>
                <w:u w:val="none"/>
                <w:lang w:val="en-US" w:eastAsia="zh-CN"/>
              </w:rPr>
              <w:fldChar w:fldCharType="end"/>
            </w:r>
            <w:r>
              <w:rPr>
                <w:rFonts w:hint="default" w:ascii="仿宋_GB2312" w:hAnsi="仿宋_GB2312" w:eastAsia="仿宋_GB2312" w:cs="仿宋_GB2312"/>
                <w:i w:val="0"/>
                <w:color w:val="auto"/>
                <w:kern w:val="0"/>
                <w:sz w:val="20"/>
                <w:szCs w:val="20"/>
                <w:u w:val="none"/>
                <w:lang w:val="en-US" w:eastAsia="zh-CN"/>
              </w:rPr>
              <w:t>第十八次会议《关于修改〈中华人民共和国教育法〉的决定》第二次修正</w:t>
            </w:r>
            <w:r>
              <w:rPr>
                <w:rFonts w:hint="eastAsia" w:ascii="仿宋_GB2312" w:hAnsi="仿宋_GB2312" w:eastAsia="仿宋_GB2312" w:cs="仿宋_GB2312"/>
                <w:i w:val="0"/>
                <w:color w:val="auto"/>
                <w:kern w:val="0"/>
                <w:sz w:val="20"/>
                <w:szCs w:val="20"/>
                <w:u w:val="none"/>
                <w:lang w:val="en-US" w:eastAsia="zh-CN"/>
              </w:rPr>
              <w:t>）第七十六条“学校或者其他教育机构违反国家有关规定招收学生的，由教育行政部门或者其他有关行政部门责令退回招收的学生，退还所收费用；对学校、其他教育机构给予警告，可以处违法所得五倍以下罚款；情节严重的，责令停止相关招生资格一年以上三年以下，直至撤销招生资格、吊销办学许可证；对直接负责的主管人员和其他直接责任人员，依法给予处分；构成犯罪的，依法追究刑事责任”</w:t>
            </w:r>
          </w:p>
        </w:tc>
        <w:tc>
          <w:tcPr>
            <w:tcW w:w="3895" w:type="dxa"/>
            <w:vAlign w:val="top"/>
          </w:tcPr>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1.立案责任：发现学校或其他教育机构涉嫌违反国家有关规定招收学生的违法行为，予以审查，决定是否立案。</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2.调查责任：教育行政部门对立案的案件，指定专人负责，及时组织调查取证，与当事人有直接利害关系的应当回避。执法人员不得少于两人，调查时应出示执法证件，允许当事人辩解陈述。</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3.审查责任：对案件违法事实、证据、调查取证程序、法律适用、处罚种类和幅度、当事人陈述和申辩理由等方面进行审查，提出处理意见（证据不足时，以适当方式补充调查）。</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4.告知责任：作出行政处罚决定前，应制作《行政处罚告知书》送达当事人，告知违法事实及其享有的陈述、申辩等权。符合听证规定的，制作并送达《行政处罚听证告知书》。</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5.决定责任：制作行政处罚决定书，载明行政处罚告知、当事人陈述申辩或者听证情况等内容。</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6.送达责任：行政处罚决定书按法律规定方式送达当事人。</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7.执行责任：依照生效的行政处罚决定，督促当事人退回违规招收的学生和退还所收费用，执行上交罚款、停止招生或者吊销办学许可等处罚。</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8.落实行政处罚信息公示、全过程记录和重大执法决定法制审核“三项制度”，作出的行政处罚决定应当予以公开。</w:t>
            </w:r>
          </w:p>
          <w:p>
            <w:pPr>
              <w:wordWrap/>
              <w:spacing w:line="240" w:lineRule="exact"/>
              <w:ind w:left="0" w:leftChars="0" w:right="0" w:firstLine="0" w:firstLineChars="0"/>
              <w:rPr>
                <w:rFonts w:hint="eastAsia" w:ascii="仿宋_GB2312" w:hAnsi="仿宋_GB2312" w:eastAsia="仿宋_GB2312" w:cs="仿宋_GB2312"/>
                <w:color w:val="auto"/>
                <w:sz w:val="20"/>
                <w:szCs w:val="20"/>
                <w:lang w:val="en-US" w:eastAsia="zh-CN"/>
              </w:rPr>
            </w:pPr>
            <w:r>
              <w:rPr>
                <w:rFonts w:hint="eastAsia" w:ascii="仿宋_GB2312" w:hAnsi="仿宋_GB2312" w:eastAsia="仿宋_GB2312" w:cs="仿宋_GB2312"/>
                <w:i w:val="0"/>
                <w:color w:val="auto"/>
                <w:kern w:val="0"/>
                <w:sz w:val="20"/>
                <w:szCs w:val="20"/>
                <w:u w:val="none"/>
                <w:lang w:val="en-US" w:eastAsia="zh-CN"/>
              </w:rPr>
              <w:t>9. 其他法律法规规章文件规定应履行的责任。</w:t>
            </w:r>
            <w:r>
              <w:rPr>
                <w:rFonts w:hint="eastAsia" w:ascii="仿宋_GB2312" w:hAnsi="仿宋_GB2312" w:eastAsia="仿宋_GB2312" w:cs="仿宋_GB2312"/>
                <w:color w:val="auto"/>
                <w:sz w:val="20"/>
                <w:szCs w:val="20"/>
                <w:lang w:val="en-US" w:eastAsia="zh-CN"/>
              </w:rPr>
              <w:t xml:space="preserve">       </w:t>
            </w:r>
          </w:p>
        </w:tc>
        <w:tc>
          <w:tcPr>
            <w:tcW w:w="1620" w:type="dxa"/>
            <w:vAlign w:val="top"/>
          </w:tcPr>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因不履行或不正确履行职责，有下列情形的，行政机关及相关工作人员应承担相应责任：</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1.没有法律和事实依据实施处罚的；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2.行政处罚显失公正的；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3.执法人员玩忽职守，对应当制止和处罚的违法行为不制止、处罚；</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4.不具备行政执法资格实施行政处罚的；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5.应当依法移送追究刑事责任，而未依法移送有权机关的；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6.擅自改变行政处罚种类、幅度的；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7.违反法定的行政处罚程序的；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8.符合听证条件、行政管理相对人要求听证，应予组织听证而不组织听证的；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9.在行政处罚过程中发生腐败行为的；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10.未落实行政执法三项制度的；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11.其他违反法律法规规章文件规定的行为。</w:t>
            </w:r>
          </w:p>
        </w:tc>
        <w:tc>
          <w:tcPr>
            <w:tcW w:w="1335"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40"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2</w:t>
            </w:r>
          </w:p>
        </w:tc>
        <w:tc>
          <w:tcPr>
            <w:tcW w:w="807" w:type="dxa"/>
            <w:vAlign w:val="center"/>
          </w:tcPr>
          <w:p>
            <w:pPr>
              <w:wordWrap/>
              <w:spacing w:line="240" w:lineRule="exact"/>
              <w:ind w:left="0" w:leftChars="0" w:right="0" w:firstLine="0" w:firstLineChars="0"/>
              <w:jc w:val="center"/>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行政处罚</w:t>
            </w:r>
          </w:p>
        </w:tc>
        <w:tc>
          <w:tcPr>
            <w:tcW w:w="1225" w:type="dxa"/>
            <w:vAlign w:val="center"/>
          </w:tcPr>
          <w:p>
            <w:pPr>
              <w:wordWrap/>
              <w:spacing w:line="240" w:lineRule="exact"/>
              <w:ind w:left="0" w:leftChars="0" w:right="0" w:firstLine="0" w:firstLineChars="0"/>
              <w:jc w:val="center"/>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对学校违法颁发学历证书或者其他学业证书的处罚</w:t>
            </w:r>
          </w:p>
        </w:tc>
        <w:tc>
          <w:tcPr>
            <w:tcW w:w="1002" w:type="dxa"/>
            <w:vAlign w:val="center"/>
          </w:tcPr>
          <w:p>
            <w:pPr>
              <w:wordWrap/>
              <w:spacing w:line="240" w:lineRule="exact"/>
              <w:ind w:left="0" w:leftChars="0" w:right="0" w:firstLine="0" w:firstLineChars="0"/>
              <w:jc w:val="center"/>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高邑县教育局</w:t>
            </w:r>
          </w:p>
        </w:tc>
        <w:tc>
          <w:tcPr>
            <w:tcW w:w="3488" w:type="dxa"/>
            <w:vAlign w:val="top"/>
          </w:tcPr>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1.《中华人民共和国教育法》（</w:t>
            </w:r>
            <w:r>
              <w:rPr>
                <w:rFonts w:hint="default" w:ascii="仿宋_GB2312" w:hAnsi="仿宋_GB2312" w:eastAsia="仿宋_GB2312" w:cs="仿宋_GB2312"/>
                <w:i w:val="0"/>
                <w:color w:val="auto"/>
                <w:kern w:val="0"/>
                <w:sz w:val="20"/>
                <w:szCs w:val="20"/>
                <w:u w:val="none"/>
                <w:lang w:val="en-US" w:eastAsia="zh-CN"/>
              </w:rPr>
              <w:t>1995年3月18日，第八届全国人民代表大会第三次会议通过</w:t>
            </w:r>
            <w:r>
              <w:rPr>
                <w:rFonts w:hint="eastAsia" w:ascii="仿宋_GB2312" w:hAnsi="仿宋_GB2312" w:eastAsia="仿宋_GB2312" w:cs="仿宋_GB2312"/>
                <w:i w:val="0"/>
                <w:color w:val="auto"/>
                <w:kern w:val="0"/>
                <w:sz w:val="20"/>
                <w:szCs w:val="20"/>
                <w:u w:val="none"/>
                <w:lang w:val="en-US" w:eastAsia="zh-CN"/>
              </w:rPr>
              <w:t>；</w:t>
            </w:r>
            <w:r>
              <w:rPr>
                <w:rFonts w:hint="default" w:ascii="仿宋_GB2312" w:hAnsi="仿宋_GB2312" w:eastAsia="仿宋_GB2312" w:cs="仿宋_GB2312"/>
                <w:i w:val="0"/>
                <w:color w:val="auto"/>
                <w:kern w:val="0"/>
                <w:sz w:val="20"/>
                <w:szCs w:val="20"/>
                <w:u w:val="none"/>
                <w:lang w:val="en-US" w:eastAsia="zh-CN"/>
              </w:rPr>
              <w:t>2009年8月27日，根据</w:t>
            </w:r>
            <w:r>
              <w:rPr>
                <w:rFonts w:hint="default" w:ascii="仿宋_GB2312" w:hAnsi="仿宋_GB2312" w:eastAsia="仿宋_GB2312" w:cs="仿宋_GB2312"/>
                <w:i w:val="0"/>
                <w:color w:val="auto"/>
                <w:kern w:val="0"/>
                <w:sz w:val="20"/>
                <w:szCs w:val="20"/>
                <w:u w:val="none"/>
                <w:lang w:val="en-US" w:eastAsia="zh-CN"/>
              </w:rPr>
              <w:fldChar w:fldCharType="begin"/>
            </w:r>
            <w:r>
              <w:rPr>
                <w:rFonts w:hint="default" w:ascii="仿宋_GB2312" w:hAnsi="仿宋_GB2312" w:eastAsia="仿宋_GB2312" w:cs="仿宋_GB2312"/>
                <w:i w:val="0"/>
                <w:color w:val="auto"/>
                <w:kern w:val="0"/>
                <w:sz w:val="20"/>
                <w:szCs w:val="20"/>
                <w:u w:val="none"/>
                <w:lang w:val="en-US" w:eastAsia="zh-CN"/>
              </w:rPr>
              <w:instrText xml:space="preserve"> HYPERLINK "https://baike.baidu.com/item/%E7%AC%AC%E5%8D%81%E4%B8%80%E5%B1%8A%E5%85%A8%E5%9B%BD%E4%BA%BA%E6%B0%91%E4%BB%A3%E8%A1%A8%E5%A4%A7%E4%BC%9A%E5%B8%B8%E5%8A%A1%E5%A7%94%E5%91%98%E4%BC%9A" \t "https://baike.baidu.com/item/%E4%B8%AD%E5%8D%8E%E4%BA%BA%E6%B0%91%E5%85%B1%E5%92%8C%E5%9B%BD%E6%95%99%E8%82%B2%E6%B3%95/_blank" </w:instrText>
            </w:r>
            <w:r>
              <w:rPr>
                <w:rFonts w:hint="default" w:ascii="仿宋_GB2312" w:hAnsi="仿宋_GB2312" w:eastAsia="仿宋_GB2312" w:cs="仿宋_GB2312"/>
                <w:i w:val="0"/>
                <w:color w:val="auto"/>
                <w:kern w:val="0"/>
                <w:sz w:val="20"/>
                <w:szCs w:val="20"/>
                <w:u w:val="none"/>
                <w:lang w:val="en-US" w:eastAsia="zh-CN"/>
              </w:rPr>
              <w:fldChar w:fldCharType="separate"/>
            </w:r>
            <w:r>
              <w:rPr>
                <w:rFonts w:hint="default" w:ascii="仿宋_GB2312" w:hAnsi="仿宋_GB2312" w:eastAsia="仿宋_GB2312" w:cs="仿宋_GB2312"/>
                <w:i w:val="0"/>
                <w:color w:val="auto"/>
                <w:kern w:val="0"/>
                <w:sz w:val="20"/>
                <w:szCs w:val="20"/>
                <w:u w:val="none"/>
                <w:lang w:val="en-US" w:eastAsia="zh-CN"/>
              </w:rPr>
              <w:t>第十一届全国人民代表大会常务委员会</w:t>
            </w:r>
            <w:r>
              <w:rPr>
                <w:rFonts w:hint="default" w:ascii="仿宋_GB2312" w:hAnsi="仿宋_GB2312" w:eastAsia="仿宋_GB2312" w:cs="仿宋_GB2312"/>
                <w:i w:val="0"/>
                <w:color w:val="auto"/>
                <w:kern w:val="0"/>
                <w:sz w:val="20"/>
                <w:szCs w:val="20"/>
                <w:u w:val="none"/>
                <w:lang w:val="en-US" w:eastAsia="zh-CN"/>
              </w:rPr>
              <w:fldChar w:fldCharType="end"/>
            </w:r>
            <w:r>
              <w:rPr>
                <w:rFonts w:hint="default" w:ascii="仿宋_GB2312" w:hAnsi="仿宋_GB2312" w:eastAsia="仿宋_GB2312" w:cs="仿宋_GB2312"/>
                <w:i w:val="0"/>
                <w:color w:val="auto"/>
                <w:kern w:val="0"/>
                <w:sz w:val="20"/>
                <w:szCs w:val="20"/>
                <w:u w:val="none"/>
                <w:lang w:val="en-US" w:eastAsia="zh-CN"/>
              </w:rPr>
              <w:t>第十次会议《关于修改部分法律的决定》第一次修正</w:t>
            </w:r>
            <w:r>
              <w:rPr>
                <w:rFonts w:hint="eastAsia" w:ascii="仿宋_GB2312" w:hAnsi="仿宋_GB2312" w:eastAsia="仿宋_GB2312" w:cs="仿宋_GB2312"/>
                <w:i w:val="0"/>
                <w:color w:val="auto"/>
                <w:kern w:val="0"/>
                <w:sz w:val="20"/>
                <w:szCs w:val="20"/>
                <w:u w:val="none"/>
                <w:lang w:val="en-US" w:eastAsia="zh-CN"/>
              </w:rPr>
              <w:t>；</w:t>
            </w:r>
            <w:r>
              <w:rPr>
                <w:rFonts w:hint="default" w:ascii="仿宋_GB2312" w:hAnsi="仿宋_GB2312" w:eastAsia="仿宋_GB2312" w:cs="仿宋_GB2312"/>
                <w:i w:val="0"/>
                <w:color w:val="auto"/>
                <w:kern w:val="0"/>
                <w:sz w:val="20"/>
                <w:szCs w:val="20"/>
                <w:u w:val="none"/>
                <w:lang w:val="en-US" w:eastAsia="zh-CN"/>
              </w:rPr>
              <w:t>2015年12月27日，根据</w:t>
            </w:r>
            <w:r>
              <w:rPr>
                <w:rFonts w:hint="default" w:ascii="仿宋_GB2312" w:hAnsi="仿宋_GB2312" w:eastAsia="仿宋_GB2312" w:cs="仿宋_GB2312"/>
                <w:i w:val="0"/>
                <w:color w:val="auto"/>
                <w:kern w:val="0"/>
                <w:sz w:val="20"/>
                <w:szCs w:val="20"/>
                <w:u w:val="none"/>
                <w:lang w:val="en-US" w:eastAsia="zh-CN"/>
              </w:rPr>
              <w:fldChar w:fldCharType="begin"/>
            </w:r>
            <w:r>
              <w:rPr>
                <w:rFonts w:hint="default" w:ascii="仿宋_GB2312" w:hAnsi="仿宋_GB2312" w:eastAsia="仿宋_GB2312" w:cs="仿宋_GB2312"/>
                <w:i w:val="0"/>
                <w:color w:val="auto"/>
                <w:kern w:val="0"/>
                <w:sz w:val="20"/>
                <w:szCs w:val="20"/>
                <w:u w:val="none"/>
                <w:lang w:val="en-US" w:eastAsia="zh-CN"/>
              </w:rPr>
              <w:instrText xml:space="preserve"> HYPERLINK "https://baike.baidu.com/item/%E7%AC%AC%E5%8D%81%E4%BA%8C%E5%B1%8A%E5%85%A8%E5%9B%BD%E4%BA%BA%E6%B0%91%E4%BB%A3%E8%A1%A8%E5%A4%A7%E4%BC%9A%E5%B8%B8%E5%8A%A1%E5%A7%94%E5%91%98%E4%BC%9A" \t "https://baike.baidu.com/item/%E4%B8%AD%E5%8D%8E%E4%BA%BA%E6%B0%91%E5%85%B1%E5%92%8C%E5%9B%BD%E6%95%99%E8%82%B2%E6%B3%95/_blank" </w:instrText>
            </w:r>
            <w:r>
              <w:rPr>
                <w:rFonts w:hint="default" w:ascii="仿宋_GB2312" w:hAnsi="仿宋_GB2312" w:eastAsia="仿宋_GB2312" w:cs="仿宋_GB2312"/>
                <w:i w:val="0"/>
                <w:color w:val="auto"/>
                <w:kern w:val="0"/>
                <w:sz w:val="20"/>
                <w:szCs w:val="20"/>
                <w:u w:val="none"/>
                <w:lang w:val="en-US" w:eastAsia="zh-CN"/>
              </w:rPr>
              <w:fldChar w:fldCharType="separate"/>
            </w:r>
            <w:r>
              <w:rPr>
                <w:rFonts w:hint="default" w:ascii="仿宋_GB2312" w:hAnsi="仿宋_GB2312" w:eastAsia="仿宋_GB2312" w:cs="仿宋_GB2312"/>
                <w:i w:val="0"/>
                <w:color w:val="auto"/>
                <w:kern w:val="0"/>
                <w:sz w:val="20"/>
                <w:szCs w:val="20"/>
                <w:u w:val="none"/>
                <w:lang w:val="en-US" w:eastAsia="zh-CN"/>
              </w:rPr>
              <w:t>第十二届全国人民代表大会常务委员会</w:t>
            </w:r>
            <w:r>
              <w:rPr>
                <w:rFonts w:hint="default" w:ascii="仿宋_GB2312" w:hAnsi="仿宋_GB2312" w:eastAsia="仿宋_GB2312" w:cs="仿宋_GB2312"/>
                <w:i w:val="0"/>
                <w:color w:val="auto"/>
                <w:kern w:val="0"/>
                <w:sz w:val="20"/>
                <w:szCs w:val="20"/>
                <w:u w:val="none"/>
                <w:lang w:val="en-US" w:eastAsia="zh-CN"/>
              </w:rPr>
              <w:fldChar w:fldCharType="end"/>
            </w:r>
            <w:r>
              <w:rPr>
                <w:rFonts w:hint="default" w:ascii="仿宋_GB2312" w:hAnsi="仿宋_GB2312" w:eastAsia="仿宋_GB2312" w:cs="仿宋_GB2312"/>
                <w:i w:val="0"/>
                <w:color w:val="auto"/>
                <w:kern w:val="0"/>
                <w:sz w:val="20"/>
                <w:szCs w:val="20"/>
                <w:u w:val="none"/>
                <w:lang w:val="en-US" w:eastAsia="zh-CN"/>
              </w:rPr>
              <w:t>第十八次会议《关于修改〈中华人民共和国教育法〉的决定》第二次修正</w:t>
            </w:r>
            <w:r>
              <w:rPr>
                <w:rFonts w:hint="eastAsia" w:ascii="仿宋_GB2312" w:hAnsi="仿宋_GB2312" w:eastAsia="仿宋_GB2312" w:cs="仿宋_GB2312"/>
                <w:i w:val="0"/>
                <w:color w:val="auto"/>
                <w:kern w:val="0"/>
                <w:sz w:val="20"/>
                <w:szCs w:val="20"/>
                <w:u w:val="none"/>
                <w:lang w:val="en-US" w:eastAsia="zh-CN"/>
              </w:rPr>
              <w:t>）第八十二条“学校或者其他教育机构违反本法规定，颁发学位证书、学历证书或者其他学业证书的，由教育行政部门或者其他有关行政部门宣布证书无效，责令收回或者予以没收；有违法所得的，没收违法所得；情节严重的，责令停止相关招生资格一年以上三年以下，直至撤销招生资格、颁发证书资格；对直接负责的主管人员和其他直接责任人员，依法给予处分。”</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2.《河北省实施&lt;中华人民共和国职业教育法&gt;办法》第三十七条“违反本办法第十七条规定，给成绩不合格者颁发学历证书、培训证书和职业资格证书的，由教育行政部门或者劳动行政部门依法宣布证书无效，责令收回证书；有违法所得的，没收违法所得；情节严重的，取消其颁发证书的资格。”</w:t>
            </w:r>
          </w:p>
        </w:tc>
        <w:tc>
          <w:tcPr>
            <w:tcW w:w="3895" w:type="dxa"/>
            <w:vAlign w:val="top"/>
          </w:tcPr>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1.立案责任：发现学校或其他教育机构涉嫌违法颁发学历证书或者其他学业证书的违法行为，予以审查，决定是否立案。</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2.调查责任：教育行政部门对立案的案件，指定专人负责，及时组织调查取证，与当事人有直接利害关系的应当回避。执法人员不得少于两人，调查时应出示执法证件，允许当事人辩解陈述。</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3.审查责任：对案件违法事实、证据、调查取证程序、法律适用、处罚种类和幅度、当事人陈述和申辩理由等方面进行审查，提出处理意见（证据不足时，以适当方式补充调查）。</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4.告知责任：作出行政处罚决定前，应制作《行政处罚告知书》送达当事人，告知违法事实及其享有的陈述、申辩等权。符合听证规定的，制作并送达《行政处罚听证告知书》。</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5.决定责任：制作行政处罚决定书，载明行政处罚告知、当事人陈述申辩或者听证情况等内容。</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6.送达责任：行政处罚决定书按法律规定方式送达当事人。</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7.执行责任：依照生效的行政处罚决定，宣布所发证书无效，执行没收证书、违法所得、停止招生、撤销招生资格等处罚。</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8.落实行政处罚信息公示、全过程记录和重大执法决定法制审核“三项制度”，作出的行政处罚决定应当予以公开。</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i w:val="0"/>
                <w:color w:val="auto"/>
                <w:kern w:val="0"/>
                <w:sz w:val="20"/>
                <w:szCs w:val="20"/>
                <w:u w:val="none"/>
                <w:lang w:val="en-US" w:eastAsia="zh-CN"/>
              </w:rPr>
              <w:t>9. 其他法律法规规章文件规定应履行的责任。</w:t>
            </w:r>
            <w:r>
              <w:rPr>
                <w:rFonts w:hint="eastAsia" w:ascii="仿宋_GB2312" w:hAnsi="仿宋_GB2312" w:eastAsia="仿宋_GB2312" w:cs="仿宋_GB2312"/>
                <w:color w:val="auto"/>
                <w:sz w:val="20"/>
                <w:szCs w:val="20"/>
                <w:lang w:val="en-US" w:eastAsia="zh-CN"/>
              </w:rPr>
              <w:t xml:space="preserve">  </w:t>
            </w:r>
          </w:p>
        </w:tc>
        <w:tc>
          <w:tcPr>
            <w:tcW w:w="1620" w:type="dxa"/>
            <w:vAlign w:val="top"/>
          </w:tcPr>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因不履行或不正确履行职责，有下列情形的，行政机关及相关工作人员应承担相应责任：</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1.没有法律和事实依据实施处罚的；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2.行政处罚显失公正的；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3.执法人员玩忽职守，对应当制止和处罚的违法行为不制止、处罚；</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4.不具备行政执法资格实施行政处罚的；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5.擅自改变行政处罚种类、幅度的；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6.违反法定的行政处罚程序的；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7.符合听证条件、行政管理相对人要求听证，应予组织听证而不组织听证的；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8.在行政处罚过程中发生腐败行为的；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9.未落实行政执法三项制度的；</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i w:val="0"/>
                <w:color w:val="auto"/>
                <w:kern w:val="0"/>
                <w:sz w:val="20"/>
                <w:szCs w:val="20"/>
                <w:u w:val="none"/>
                <w:lang w:val="en-US" w:eastAsia="zh-CN"/>
              </w:rPr>
              <w:t>10.其他违反法律法规规章文件规定的行为。</w:t>
            </w:r>
          </w:p>
        </w:tc>
        <w:tc>
          <w:tcPr>
            <w:tcW w:w="1335"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40"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3</w:t>
            </w:r>
          </w:p>
        </w:tc>
        <w:tc>
          <w:tcPr>
            <w:tcW w:w="807" w:type="dxa"/>
            <w:vAlign w:val="center"/>
          </w:tcPr>
          <w:p>
            <w:pPr>
              <w:wordWrap/>
              <w:spacing w:line="240" w:lineRule="exact"/>
              <w:ind w:left="0" w:leftChars="0" w:right="0" w:firstLine="0" w:firstLineChars="0"/>
              <w:jc w:val="center"/>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行政处罚</w:t>
            </w:r>
          </w:p>
        </w:tc>
        <w:tc>
          <w:tcPr>
            <w:tcW w:w="1225" w:type="dxa"/>
            <w:vAlign w:val="center"/>
          </w:tcPr>
          <w:p>
            <w:pPr>
              <w:wordWrap/>
              <w:spacing w:line="240" w:lineRule="exact"/>
              <w:ind w:left="0" w:leftChars="0" w:right="0" w:firstLine="0" w:firstLineChars="0"/>
              <w:jc w:val="center"/>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对县管义务教育学校以向学生推销商品、服务等方式谋取利益的处罚</w:t>
            </w:r>
          </w:p>
        </w:tc>
        <w:tc>
          <w:tcPr>
            <w:tcW w:w="1002" w:type="dxa"/>
            <w:vAlign w:val="center"/>
          </w:tcPr>
          <w:p>
            <w:pPr>
              <w:wordWrap/>
              <w:spacing w:line="240" w:lineRule="exact"/>
              <w:ind w:left="0" w:leftChars="0" w:right="0" w:firstLine="0" w:firstLineChars="0"/>
              <w:jc w:val="center"/>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高邑县教育局</w:t>
            </w:r>
          </w:p>
        </w:tc>
        <w:tc>
          <w:tcPr>
            <w:tcW w:w="3488" w:type="dxa"/>
            <w:vAlign w:val="top"/>
          </w:tcPr>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《中华人民共和国义务教育法》（</w:t>
            </w:r>
            <w:r>
              <w:rPr>
                <w:rFonts w:hint="default" w:ascii="仿宋_GB2312" w:hAnsi="仿宋_GB2312" w:eastAsia="仿宋_GB2312" w:cs="仿宋_GB2312"/>
                <w:i w:val="0"/>
                <w:color w:val="auto"/>
                <w:kern w:val="0"/>
                <w:sz w:val="20"/>
                <w:szCs w:val="20"/>
                <w:u w:val="none"/>
                <w:lang w:val="en-US" w:eastAsia="zh-CN"/>
              </w:rPr>
              <w:t>1986年4月12日第六届全国人民代表大会第四次会议通过</w:t>
            </w:r>
            <w:r>
              <w:rPr>
                <w:rFonts w:hint="eastAsia" w:ascii="仿宋_GB2312" w:hAnsi="仿宋_GB2312" w:eastAsia="仿宋_GB2312" w:cs="仿宋_GB2312"/>
                <w:i w:val="0"/>
                <w:color w:val="auto"/>
                <w:kern w:val="0"/>
                <w:sz w:val="20"/>
                <w:szCs w:val="20"/>
                <w:u w:val="none"/>
                <w:lang w:val="en-US" w:eastAsia="zh-CN"/>
              </w:rPr>
              <w:t>；</w:t>
            </w:r>
            <w:r>
              <w:rPr>
                <w:rFonts w:hint="default" w:ascii="仿宋_GB2312" w:hAnsi="仿宋_GB2312" w:eastAsia="仿宋_GB2312" w:cs="仿宋_GB2312"/>
                <w:i w:val="0"/>
                <w:color w:val="auto"/>
                <w:kern w:val="0"/>
                <w:sz w:val="20"/>
                <w:szCs w:val="20"/>
                <w:u w:val="none"/>
                <w:lang w:val="en-US" w:eastAsia="zh-CN"/>
              </w:rPr>
              <w:t>2006年6月29日第十届全国人民代表大会常务委员会第二十二次会议修订</w:t>
            </w:r>
            <w:r>
              <w:rPr>
                <w:rFonts w:hint="eastAsia" w:ascii="仿宋_GB2312" w:hAnsi="仿宋_GB2312" w:eastAsia="仿宋_GB2312" w:cs="仿宋_GB2312"/>
                <w:i w:val="0"/>
                <w:color w:val="auto"/>
                <w:kern w:val="0"/>
                <w:sz w:val="20"/>
                <w:szCs w:val="20"/>
                <w:u w:val="none"/>
                <w:lang w:val="en-US" w:eastAsia="zh-CN"/>
              </w:rPr>
              <w:t>；</w:t>
            </w:r>
            <w:r>
              <w:rPr>
                <w:rFonts w:hint="default" w:ascii="仿宋_GB2312" w:hAnsi="仿宋_GB2312" w:eastAsia="仿宋_GB2312" w:cs="仿宋_GB2312"/>
                <w:i w:val="0"/>
                <w:color w:val="auto"/>
                <w:kern w:val="0"/>
                <w:sz w:val="20"/>
                <w:szCs w:val="20"/>
                <w:u w:val="none"/>
                <w:lang w:val="en-US" w:eastAsia="zh-CN"/>
              </w:rPr>
              <w:t>根据2015年4月24日第十二届全国人民代表大会常务委员会第十四次会议《关于修改〈中华人民共和国义务教育法〉等五部法律的决定》第一次修正</w:t>
            </w:r>
            <w:bookmarkStart w:id="0" w:name="ref_[2]_129874"/>
            <w:r>
              <w:rPr>
                <w:rFonts w:hint="eastAsia" w:ascii="仿宋_GB2312" w:hAnsi="仿宋_GB2312" w:eastAsia="仿宋_GB2312" w:cs="仿宋_GB2312"/>
                <w:i w:val="0"/>
                <w:color w:val="auto"/>
                <w:kern w:val="0"/>
                <w:sz w:val="20"/>
                <w:szCs w:val="20"/>
                <w:u w:val="none"/>
                <w:lang w:val="en-US" w:eastAsia="zh-CN"/>
              </w:rPr>
              <w:t>；</w:t>
            </w:r>
            <w:bookmarkEnd w:id="0"/>
            <w:r>
              <w:rPr>
                <w:rFonts w:hint="default" w:ascii="仿宋_GB2312" w:hAnsi="仿宋_GB2312" w:eastAsia="仿宋_GB2312" w:cs="仿宋_GB2312"/>
                <w:i w:val="0"/>
                <w:color w:val="auto"/>
                <w:kern w:val="0"/>
                <w:sz w:val="20"/>
                <w:szCs w:val="20"/>
                <w:u w:val="none"/>
                <w:lang w:val="en-US" w:eastAsia="zh-CN"/>
              </w:rPr>
              <w:t>根据2018年12月29日第十三届全国人民代表大会常务委员会第七次会议《关于修改〈中华人民共和国产品质量法〉等五部法律的决定》第二次修正</w:t>
            </w:r>
            <w:r>
              <w:rPr>
                <w:rFonts w:hint="eastAsia" w:ascii="仿宋_GB2312" w:hAnsi="仿宋_GB2312" w:eastAsia="仿宋_GB2312" w:cs="仿宋_GB2312"/>
                <w:i w:val="0"/>
                <w:color w:val="auto"/>
                <w:kern w:val="0"/>
                <w:sz w:val="20"/>
                <w:szCs w:val="20"/>
                <w:u w:val="none"/>
                <w:lang w:val="en-US" w:eastAsia="zh-CN"/>
              </w:rPr>
              <w:t>）第五十六条第二款“学校以向学生推销或者变相推销商品、服务等方式谋取利益的，由县级人民政府教育行政部门给予通报批评；有违法所得的，没收违法所得；对直接负责的主管人员和其他直接责任人员依法给予处分。”</w:t>
            </w:r>
          </w:p>
        </w:tc>
        <w:tc>
          <w:tcPr>
            <w:tcW w:w="3895" w:type="dxa"/>
            <w:vAlign w:val="top"/>
          </w:tcPr>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1.立案责任：发现县管义务教育学校有涉嫌以向学生推销或者变相推销商品、服务等方式谋取利益的违法行为，予以审查，决定是否立案。</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2.调查责任：教育行政部门对立案的案件，指定专人负责，及时组织调查取证，与当事人有直接利害关系的应当回避。执法人员不得少于两人，调查时应出示执法证件，允许当事人辩解陈述。</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3.审查责任：对案件违法事实、证据、调查取证程序、法律适用、处罚种类和幅度、当事人陈述和申辩理由等方面进行审查，提出处理意见（证据不足时，以适当方式补充调查）。</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4.告知责任：作出行政处罚决定前，应制作《行政处罚告知书》送达当事人，告知违法事实及其享有的陈述、申辩等权。符合听证规定的，制作并送达《行政处罚听证告知书》。</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5.决定责任：制作行政处罚决定书，载明行政处罚告知、当事人陈述申辩或者听证情况等内容。</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6.送达责任：行政处罚决定书按法律规定方式送达当事人。</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7.执行责任：依照生效的行政处罚决定，对学校予以通报批评，有违法所得的，没收违法所得。</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8.落实行政处罚信息公示、全过程记录和重大执法决定法制审核“三项制度”，作出的行政处罚决定应当予以公开。</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9. 其他法律法规规章文件规定应履行的责任。</w:t>
            </w:r>
            <w:r>
              <w:rPr>
                <w:rFonts w:hint="eastAsia" w:ascii="仿宋_GB2312" w:hAnsi="仿宋_GB2312" w:eastAsia="仿宋_GB2312" w:cs="仿宋_GB2312"/>
                <w:color w:val="auto"/>
                <w:sz w:val="20"/>
                <w:szCs w:val="20"/>
                <w:lang w:val="en-US" w:eastAsia="zh-CN"/>
              </w:rPr>
              <w:t xml:space="preserve">  </w:t>
            </w:r>
          </w:p>
        </w:tc>
        <w:tc>
          <w:tcPr>
            <w:tcW w:w="1620" w:type="dxa"/>
            <w:vAlign w:val="top"/>
          </w:tcPr>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因不履行或不正确履行职责，有下列情形的，行政机关及相关工作人员应承担相应责任：</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1.没有法律和事实依据实施处罚的；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2.行政处罚显失公正的；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3.执法人员玩忽职守，对应当制止和处罚的违法行为不制止、处罚；</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4.不具备行政执法资格实施行政处罚的；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5.擅自改变行政处罚种类、幅度的；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6.违反法定的行政处罚程序的；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7.符合听证条件、行政管理相对人要求听证，应予组织听证而不组织听证的；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8.在行政处罚过程中发生腐败行为的；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9.未落实行政执法三项制度的；</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i w:val="0"/>
                <w:color w:val="auto"/>
                <w:kern w:val="0"/>
                <w:sz w:val="20"/>
                <w:szCs w:val="20"/>
                <w:u w:val="none"/>
                <w:lang w:val="en-US" w:eastAsia="zh-CN"/>
              </w:rPr>
              <w:t>10.其他违反法律法规规章文件规定的行为。</w:t>
            </w:r>
          </w:p>
        </w:tc>
        <w:tc>
          <w:tcPr>
            <w:tcW w:w="1335"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40" w:type="dxa"/>
            <w:vAlign w:val="center"/>
          </w:tcPr>
          <w:p>
            <w:pPr>
              <w:wordWrap/>
              <w:spacing w:line="240" w:lineRule="exact"/>
              <w:ind w:left="0" w:leftChars="0" w:right="0" w:firstLine="0" w:firstLineChars="0"/>
              <w:jc w:val="center"/>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4</w:t>
            </w:r>
          </w:p>
        </w:tc>
        <w:tc>
          <w:tcPr>
            <w:tcW w:w="807" w:type="dxa"/>
            <w:vAlign w:val="center"/>
          </w:tcPr>
          <w:p>
            <w:pPr>
              <w:wordWrap/>
              <w:spacing w:line="240" w:lineRule="exact"/>
              <w:ind w:left="0" w:leftChars="0" w:right="0" w:firstLine="0" w:firstLineChars="0"/>
              <w:jc w:val="center"/>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行政处罚</w:t>
            </w:r>
          </w:p>
        </w:tc>
        <w:tc>
          <w:tcPr>
            <w:tcW w:w="1225" w:type="dxa"/>
            <w:vAlign w:val="center"/>
          </w:tcPr>
          <w:p>
            <w:pPr>
              <w:wordWrap/>
              <w:spacing w:line="240" w:lineRule="exact"/>
              <w:ind w:left="0" w:leftChars="0" w:right="0" w:firstLine="0" w:firstLineChars="0"/>
              <w:jc w:val="center"/>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对民办学校违反《民办教育促进法》第六十二条有关规定的处罚</w:t>
            </w:r>
          </w:p>
        </w:tc>
        <w:tc>
          <w:tcPr>
            <w:tcW w:w="1002" w:type="dxa"/>
            <w:vAlign w:val="center"/>
          </w:tcPr>
          <w:p>
            <w:pPr>
              <w:wordWrap/>
              <w:spacing w:line="240" w:lineRule="exact"/>
              <w:ind w:left="0" w:leftChars="0" w:right="0" w:firstLine="0" w:firstLineChars="0"/>
              <w:jc w:val="center"/>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高邑县县教育局</w:t>
            </w:r>
          </w:p>
        </w:tc>
        <w:tc>
          <w:tcPr>
            <w:tcW w:w="3488" w:type="dxa"/>
            <w:vAlign w:val="top"/>
          </w:tcPr>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1.《中华人民共和国民办教育促进法》（</w:t>
            </w:r>
            <w:r>
              <w:rPr>
                <w:rFonts w:hint="default" w:ascii="仿宋_GB2312" w:hAnsi="仿宋_GB2312" w:eastAsia="仿宋_GB2312" w:cs="仿宋_GB2312"/>
                <w:i w:val="0"/>
                <w:color w:val="auto"/>
                <w:kern w:val="0"/>
                <w:sz w:val="20"/>
                <w:szCs w:val="20"/>
                <w:u w:val="none"/>
                <w:lang w:val="en-US" w:eastAsia="zh-CN"/>
              </w:rPr>
              <w:t>2002年12月28日第九届全国人民代表大会常务委员会第三十一次会议通过</w:t>
            </w:r>
            <w:r>
              <w:rPr>
                <w:rFonts w:hint="eastAsia" w:ascii="仿宋_GB2312" w:hAnsi="仿宋_GB2312" w:eastAsia="仿宋_GB2312" w:cs="仿宋_GB2312"/>
                <w:i w:val="0"/>
                <w:color w:val="auto"/>
                <w:kern w:val="0"/>
                <w:sz w:val="20"/>
                <w:szCs w:val="20"/>
                <w:u w:val="none"/>
                <w:lang w:val="en-US" w:eastAsia="zh-CN"/>
              </w:rPr>
              <w:t>；</w:t>
            </w:r>
            <w:r>
              <w:rPr>
                <w:rFonts w:hint="default" w:ascii="仿宋_GB2312" w:hAnsi="仿宋_GB2312" w:eastAsia="仿宋_GB2312" w:cs="仿宋_GB2312"/>
                <w:i w:val="0"/>
                <w:color w:val="auto"/>
                <w:kern w:val="0"/>
                <w:sz w:val="20"/>
                <w:szCs w:val="20"/>
                <w:u w:val="none"/>
                <w:lang w:val="en-US" w:eastAsia="zh-CN"/>
              </w:rPr>
              <w:t>根据2013年6月29日第十二届全国人民代表大会常务委员会第三次会议《关于修改〈中华人民共和国文物保护法〉等十二部法律的决定》第一次修正</w:t>
            </w:r>
            <w:r>
              <w:rPr>
                <w:rFonts w:hint="eastAsia" w:ascii="仿宋_GB2312" w:hAnsi="仿宋_GB2312" w:eastAsia="仿宋_GB2312" w:cs="仿宋_GB2312"/>
                <w:i w:val="0"/>
                <w:color w:val="auto"/>
                <w:kern w:val="0"/>
                <w:sz w:val="20"/>
                <w:szCs w:val="20"/>
                <w:u w:val="none"/>
                <w:lang w:val="en-US" w:eastAsia="zh-CN"/>
              </w:rPr>
              <w:t>；</w:t>
            </w:r>
            <w:r>
              <w:rPr>
                <w:rFonts w:hint="default" w:ascii="仿宋_GB2312" w:hAnsi="仿宋_GB2312" w:eastAsia="仿宋_GB2312" w:cs="仿宋_GB2312"/>
                <w:i w:val="0"/>
                <w:color w:val="auto"/>
                <w:kern w:val="0"/>
                <w:sz w:val="20"/>
                <w:szCs w:val="20"/>
                <w:u w:val="none"/>
                <w:lang w:val="en-US" w:eastAsia="zh-CN"/>
              </w:rPr>
              <w:t>根据2016年11月7日第十二届全国人民代表大会常务委员会第二十四次会议《关于修改&lt;中华人民共和国民办教育促进法&gt;的决定》第二次修正</w:t>
            </w:r>
            <w:r>
              <w:rPr>
                <w:rFonts w:hint="eastAsia" w:ascii="仿宋_GB2312" w:hAnsi="仿宋_GB2312" w:eastAsia="仿宋_GB2312" w:cs="仿宋_GB2312"/>
                <w:i w:val="0"/>
                <w:color w:val="auto"/>
                <w:kern w:val="0"/>
                <w:sz w:val="20"/>
                <w:szCs w:val="20"/>
                <w:u w:val="none"/>
                <w:lang w:val="en-US" w:eastAsia="zh-CN"/>
              </w:rPr>
              <w:t>；</w:t>
            </w:r>
            <w:r>
              <w:rPr>
                <w:rFonts w:hint="default" w:ascii="仿宋_GB2312" w:hAnsi="仿宋_GB2312" w:eastAsia="仿宋_GB2312" w:cs="仿宋_GB2312"/>
                <w:i w:val="0"/>
                <w:color w:val="auto"/>
                <w:kern w:val="0"/>
                <w:sz w:val="20"/>
                <w:szCs w:val="20"/>
                <w:u w:val="none"/>
                <w:lang w:val="en-US" w:eastAsia="zh-CN"/>
              </w:rPr>
              <w:t>根据2018年12月29日第十三届全国人民代表大会常务委员会第七次会议《关于修改〈中华人民共和国劳动法〉等七部法律的决定》第三次修正</w:t>
            </w:r>
            <w:r>
              <w:rPr>
                <w:rFonts w:hint="eastAsia" w:ascii="仿宋_GB2312" w:hAnsi="仿宋_GB2312" w:eastAsia="仿宋_GB2312" w:cs="仿宋_GB2312"/>
                <w:i w:val="0"/>
                <w:color w:val="auto"/>
                <w:kern w:val="0"/>
                <w:sz w:val="20"/>
                <w:szCs w:val="20"/>
                <w:u w:val="none"/>
                <w:lang w:val="en-US" w:eastAsia="zh-CN"/>
              </w:rPr>
              <w:t>）第六十二条“民办学校有下列行为之一的，由县级以上人民政府教育行政部门、人力资源社会保障行政部门或者其他有关部门责令限期改正，并予以警告；有违法所得的，退还所收费用后没收违法所得；情节严重的，责令停止招生、吊销办学许可证；构成犯罪的，依法追究刑事责任:（一）擅自分立、合并民办学校的；（二）擅自改变民办学校名称、层次、类别和举办者的；（三）发布虚假招生简章或者广告，骗取钱财的；（四）非法颁发或者伪造学历证书、结业证书、培训证书、职业资格证书的；（五）管理混乱严重影响教育教学，产生恶劣社会影响的；（六）提交虚假证明文件或者采取其他欺诈手段隐瞒重要事实骗取办学许可证的；（七）伪造、变造、买卖、出租、出借办学许可证的；（八）恶意终止办学、抽逃资金或者挪用办学经费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2.《中华人民共和国民办教育促进法实施条例》（2004年3月5日中华人民共和国国务院令第399号公布，2021年4月7日中华人民共和国国务院令第741号修订）第六十三条“民办学校有下列情形之一的，依照民办教育促进法第六十二条规定给予处罚：（一）违背国家教育方针，偏离社会主义办学方向，或者未保障学校党组织履行职责的；（二）违反法律、行政法规和国家有关规定开展教育教学活动的；（三）理事会、董事会或者其他形式决策机构未依法履行职责的；（四）教学条件明显不能满足教学要求、教育教学质量低下，未及时采取措施的；（五）校舍、其他教育教学设施设备存在重大安全隐患，未及时采取措施的；（六）侵犯受教育者的合法权益，产生恶劣社会影响的；（七）违反国家规定聘任、解聘教师，或者未依法保障教职工待遇的；（八）违反规定招生，或者在招生过程中弄虚作假的；（九）超出办学许可范围，擅自改变办学地址或者设立分校的；（十）未依法履行公示办学条件和教育质量有关材料、财务状况等信息披露义务，或者公示的材料不真实的；（十一）未按照国家统一的会计制度进行会计核算、编制财务会计报告，财务、资产管理混乱，或者违反法律、法规增加收费项目、提高收费标准的；（十二）有其他管理混乱严重影响教育教学的行为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法律、行政法规对前款规定情形的处罚另有规定的，从其规定。”</w:t>
            </w:r>
          </w:p>
        </w:tc>
        <w:tc>
          <w:tcPr>
            <w:tcW w:w="3895" w:type="dxa"/>
            <w:vAlign w:val="top"/>
          </w:tcPr>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1.立案责任：发现所管民办学校有涉嫌违反民办教育促进法第六十二条、民办教育促进法实施条例第五十一条所列违法行为的，予以审查，决定是否立案。</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2.调查责任：教育行政部门对立案的案件，指定专人负责，及时组织调查取证，与当事人有直接利害关系的应当回避。执法人员不得少于两人，调查时应出示执法证件，允许当事人辩解陈述。</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3.审查责任：对案件违法事实、证据、调查取证程序、法律适用、处罚种类和幅度、当事人陈述和申辩理由等方面进行审查，提出处理意见（证据不足时，以适当方式补充调查）。</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4.告知责任：作出行政处罚决定前，应制作《行政处罚告知书》送达当事人，告知违法事实及其享有的陈述、申辩等权。符合听证规定的，制作并送达《行政处罚听证告知书》。</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5.决定责任：制作行政处罚决定书，载明行政处罚告知、当事人陈述申辩或者听证情况等内容。</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6.送达责任：行政处罚决定书按法律规定方式送达当事人。</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7.执行责任：依照生效的行政处罚决定，对违法学校执行没收违法所得、停止招生或者吊销办学许可等处罚。</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8.落实行政处罚信息公示、全过程记录和重大执法决定法制审核“三项制度”，作出的行政处罚决定应当予以公开。</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i w:val="0"/>
                <w:color w:val="auto"/>
                <w:kern w:val="0"/>
                <w:sz w:val="20"/>
                <w:szCs w:val="20"/>
                <w:u w:val="none"/>
                <w:lang w:val="en-US" w:eastAsia="zh-CN"/>
              </w:rPr>
              <w:t>9. 其他法律法规规章文件规定应履行的责任。</w:t>
            </w:r>
            <w:r>
              <w:rPr>
                <w:rFonts w:hint="eastAsia" w:ascii="仿宋_GB2312" w:hAnsi="仿宋_GB2312" w:eastAsia="仿宋_GB2312" w:cs="仿宋_GB2312"/>
                <w:color w:val="auto"/>
                <w:sz w:val="20"/>
                <w:szCs w:val="20"/>
                <w:lang w:val="en-US" w:eastAsia="zh-CN"/>
              </w:rPr>
              <w:t xml:space="preserve">  </w:t>
            </w:r>
          </w:p>
        </w:tc>
        <w:tc>
          <w:tcPr>
            <w:tcW w:w="1620" w:type="dxa"/>
            <w:vAlign w:val="top"/>
          </w:tcPr>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因不履行或不正确履行职责，有下列情形的，行政机关及相关工作人员应承担相应责任：</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1.没有法律和事实依据实施处罚的；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2.行政处罚显失公正的；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3.执法人员玩忽职守，对应当制止和处罚的违法行为不制止、处罚；</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4.不具备行政执法资格实施行政处罚的；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5.应当依法移送追究刑事责任，而未依法移送有权机关的；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6.擅自改变行政处罚种类、幅度的；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7.违反法定的行政处罚程序的；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8.符合听证条件、行政管理相对人要求听证，应予组织听证而不组织听证的；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9.在行政处罚过程中发生腐败行为的；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10.侵犯民办学校合法权益的；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11.未落实行政执法三项制度的；</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i w:val="0"/>
                <w:color w:val="auto"/>
                <w:kern w:val="0"/>
                <w:sz w:val="20"/>
                <w:szCs w:val="20"/>
                <w:u w:val="none"/>
                <w:lang w:val="en-US" w:eastAsia="zh-CN"/>
              </w:rPr>
              <w:t>12.其他违反法律法规规章文件规定的行为。</w:t>
            </w:r>
          </w:p>
        </w:tc>
        <w:tc>
          <w:tcPr>
            <w:tcW w:w="1335"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i w:val="0"/>
                <w:color w:val="auto"/>
                <w:kern w:val="0"/>
                <w:sz w:val="20"/>
                <w:szCs w:val="20"/>
                <w:u w:val="none"/>
                <w:lang w:val="en-US" w:eastAsia="zh-CN"/>
              </w:rPr>
              <w:t>其中对民办学校提交虚假证明文件或者采取其他欺诈手段隐瞒重要事实骗取办学许可证的违法行为，由行政审批部门通报教育行政部门，教育行政部门依法立案调查处罚。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40"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5</w:t>
            </w:r>
          </w:p>
        </w:tc>
        <w:tc>
          <w:tcPr>
            <w:tcW w:w="807" w:type="dxa"/>
            <w:vAlign w:val="center"/>
          </w:tcPr>
          <w:p>
            <w:pPr>
              <w:wordWrap/>
              <w:spacing w:line="240" w:lineRule="exact"/>
              <w:ind w:left="0" w:leftChars="0" w:right="0" w:firstLine="0" w:firstLineChars="0"/>
              <w:jc w:val="center"/>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行政处罚</w:t>
            </w:r>
          </w:p>
        </w:tc>
        <w:tc>
          <w:tcPr>
            <w:tcW w:w="1225" w:type="dxa"/>
            <w:vAlign w:val="center"/>
          </w:tcPr>
          <w:p>
            <w:pPr>
              <w:wordWrap/>
              <w:spacing w:line="240" w:lineRule="exact"/>
              <w:ind w:left="0" w:leftChars="0" w:right="0" w:firstLine="0" w:firstLineChars="0"/>
              <w:jc w:val="center"/>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对违反国家有关规定擅自举办民办学校的处罚</w:t>
            </w:r>
          </w:p>
        </w:tc>
        <w:tc>
          <w:tcPr>
            <w:tcW w:w="1002" w:type="dxa"/>
            <w:vAlign w:val="center"/>
          </w:tcPr>
          <w:p>
            <w:pPr>
              <w:wordWrap/>
              <w:spacing w:line="240" w:lineRule="exact"/>
              <w:ind w:left="0" w:leftChars="0" w:right="0" w:firstLine="0" w:firstLineChars="0"/>
              <w:jc w:val="center"/>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高邑县教育局</w:t>
            </w:r>
          </w:p>
        </w:tc>
        <w:tc>
          <w:tcPr>
            <w:tcW w:w="3488" w:type="dxa"/>
            <w:vAlign w:val="top"/>
          </w:tcPr>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1.《中华人民共和国民办教育促进法》（</w:t>
            </w:r>
            <w:r>
              <w:rPr>
                <w:rFonts w:hint="default" w:ascii="仿宋_GB2312" w:hAnsi="仿宋_GB2312" w:eastAsia="仿宋_GB2312" w:cs="仿宋_GB2312"/>
                <w:i w:val="0"/>
                <w:color w:val="auto"/>
                <w:kern w:val="0"/>
                <w:sz w:val="20"/>
                <w:szCs w:val="20"/>
                <w:u w:val="none"/>
                <w:lang w:val="en-US" w:eastAsia="zh-CN"/>
              </w:rPr>
              <w:t>2002年12月28日第九届全国人民代表大会常务委员会第三十一次会议通过</w:t>
            </w:r>
            <w:r>
              <w:rPr>
                <w:rFonts w:hint="eastAsia" w:ascii="仿宋_GB2312" w:hAnsi="仿宋_GB2312" w:eastAsia="仿宋_GB2312" w:cs="仿宋_GB2312"/>
                <w:i w:val="0"/>
                <w:color w:val="auto"/>
                <w:kern w:val="0"/>
                <w:sz w:val="20"/>
                <w:szCs w:val="20"/>
                <w:u w:val="none"/>
                <w:lang w:val="en-US" w:eastAsia="zh-CN"/>
              </w:rPr>
              <w:t>；</w:t>
            </w:r>
            <w:r>
              <w:rPr>
                <w:rFonts w:hint="default" w:ascii="仿宋_GB2312" w:hAnsi="仿宋_GB2312" w:eastAsia="仿宋_GB2312" w:cs="仿宋_GB2312"/>
                <w:i w:val="0"/>
                <w:color w:val="auto"/>
                <w:kern w:val="0"/>
                <w:sz w:val="20"/>
                <w:szCs w:val="20"/>
                <w:u w:val="none"/>
                <w:lang w:val="en-US" w:eastAsia="zh-CN"/>
              </w:rPr>
              <w:t>根据2013年6月29日第十二届全国人民代表大会常务委员会第三次会议《关于修改〈中华人民共和国文物保护法〉等十二部法律的决定》第一次修正</w:t>
            </w:r>
            <w:r>
              <w:rPr>
                <w:rFonts w:hint="eastAsia" w:ascii="仿宋_GB2312" w:hAnsi="仿宋_GB2312" w:eastAsia="仿宋_GB2312" w:cs="仿宋_GB2312"/>
                <w:i w:val="0"/>
                <w:color w:val="auto"/>
                <w:kern w:val="0"/>
                <w:sz w:val="20"/>
                <w:szCs w:val="20"/>
                <w:u w:val="none"/>
                <w:lang w:val="en-US" w:eastAsia="zh-CN"/>
              </w:rPr>
              <w:t>；</w:t>
            </w:r>
            <w:r>
              <w:rPr>
                <w:rFonts w:hint="default" w:ascii="仿宋_GB2312" w:hAnsi="仿宋_GB2312" w:eastAsia="仿宋_GB2312" w:cs="仿宋_GB2312"/>
                <w:i w:val="0"/>
                <w:color w:val="auto"/>
                <w:kern w:val="0"/>
                <w:sz w:val="20"/>
                <w:szCs w:val="20"/>
                <w:u w:val="none"/>
                <w:lang w:val="en-US" w:eastAsia="zh-CN"/>
              </w:rPr>
              <w:t>根据2016年11月7日第十二届全国人民代表大会常务委员会第二十四次会议《关于修改&lt;中华人民共和国民办教育促进法&gt;的决定》第二次修正</w:t>
            </w:r>
            <w:r>
              <w:rPr>
                <w:rFonts w:hint="eastAsia" w:ascii="仿宋_GB2312" w:hAnsi="仿宋_GB2312" w:eastAsia="仿宋_GB2312" w:cs="仿宋_GB2312"/>
                <w:i w:val="0"/>
                <w:color w:val="auto"/>
                <w:kern w:val="0"/>
                <w:sz w:val="20"/>
                <w:szCs w:val="20"/>
                <w:u w:val="none"/>
                <w:lang w:val="en-US" w:eastAsia="zh-CN"/>
              </w:rPr>
              <w:t>；</w:t>
            </w:r>
            <w:r>
              <w:rPr>
                <w:rFonts w:hint="default" w:ascii="仿宋_GB2312" w:hAnsi="仿宋_GB2312" w:eastAsia="仿宋_GB2312" w:cs="仿宋_GB2312"/>
                <w:i w:val="0"/>
                <w:color w:val="auto"/>
                <w:kern w:val="0"/>
                <w:sz w:val="20"/>
                <w:szCs w:val="20"/>
                <w:u w:val="none"/>
                <w:lang w:val="en-US" w:eastAsia="zh-CN"/>
              </w:rPr>
              <w:t>根据2018年12月29日第十三届全国人民代表大会常务委员会第七次会议《关于修改〈中华人民共和国劳动法〉等七部法律的决定》第三次修正</w:t>
            </w:r>
            <w:r>
              <w:rPr>
                <w:rFonts w:hint="eastAsia" w:ascii="仿宋_GB2312" w:hAnsi="仿宋_GB2312" w:eastAsia="仿宋_GB2312" w:cs="仿宋_GB2312"/>
                <w:i w:val="0"/>
                <w:color w:val="auto"/>
                <w:kern w:val="0"/>
                <w:sz w:val="20"/>
                <w:szCs w:val="20"/>
                <w:u w:val="none"/>
                <w:lang w:val="en-US" w:eastAsia="zh-CN"/>
              </w:rPr>
              <w:t>）第六十四条“违反国家有关规定擅自举办民办学校的，由所在地县级以上地方人民政府教育行政部门或者人力资源社会保障行政部门会同同级公安、民政或者市场监督管理等有关部门责令停止办学、退还所收费用，并对举办者处违法所得一倍以上五倍以下罚款；构成违反治安管理行为的，由公安机关依法给予治安管理处罚；构成犯罪的，依法追究刑事责任。”</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2.《河北省实施&lt;中华人民共和国职业教育法&gt;办法》（1999年4月2日河北省第九届人民代表大会常务委员会第八次</w:t>
            </w:r>
            <w:r>
              <w:rPr>
                <w:rFonts w:hint="default" w:ascii="仿宋_GB2312" w:hAnsi="仿宋_GB2312" w:eastAsia="仿宋_GB2312" w:cs="仿宋_GB2312"/>
                <w:i w:val="0"/>
                <w:color w:val="auto"/>
                <w:kern w:val="0"/>
                <w:sz w:val="20"/>
                <w:szCs w:val="20"/>
                <w:u w:val="none"/>
                <w:lang w:val="en-US" w:eastAsia="zh-CN"/>
              </w:rPr>
              <w:fldChar w:fldCharType="begin"/>
            </w:r>
            <w:r>
              <w:rPr>
                <w:rFonts w:hint="default" w:ascii="仿宋_GB2312" w:hAnsi="仿宋_GB2312" w:eastAsia="仿宋_GB2312" w:cs="仿宋_GB2312"/>
                <w:i w:val="0"/>
                <w:color w:val="auto"/>
                <w:kern w:val="0"/>
                <w:sz w:val="20"/>
                <w:szCs w:val="20"/>
                <w:u w:val="none"/>
                <w:lang w:val="en-US" w:eastAsia="zh-CN"/>
              </w:rPr>
              <w:instrText xml:space="preserve"> HYPERLINK "https://baike.baidu.com/item/%E4%BC%9A%E8%AE%AE/9531378" \t "https://baike.baidu.com/item/%E6%B2%B3%E5%8C%97%E7%9C%81%E5%AE%9E%E6%96%BD%E3%80%8A%E4%B8%AD%E5%8D%8E%E4%BA%BA%E6%B0%91%E5%85%B1%E5%92%8C%E5%9B%BD%E8%81%8C%E4%B8%9A%E6%95%99%E8%82%B2%E6%B3%95%E3%80%8B%E5%8A%9E%E6%B3%95/_blank" </w:instrText>
            </w:r>
            <w:r>
              <w:rPr>
                <w:rFonts w:hint="default" w:ascii="仿宋_GB2312" w:hAnsi="仿宋_GB2312" w:eastAsia="仿宋_GB2312" w:cs="仿宋_GB2312"/>
                <w:i w:val="0"/>
                <w:color w:val="auto"/>
                <w:kern w:val="0"/>
                <w:sz w:val="20"/>
                <w:szCs w:val="20"/>
                <w:u w:val="none"/>
                <w:lang w:val="en-US" w:eastAsia="zh-CN"/>
              </w:rPr>
              <w:fldChar w:fldCharType="separate"/>
            </w:r>
            <w:r>
              <w:rPr>
                <w:rFonts w:hint="default" w:ascii="仿宋_GB2312" w:hAnsi="仿宋_GB2312" w:eastAsia="仿宋_GB2312" w:cs="仿宋_GB2312"/>
                <w:i w:val="0"/>
                <w:color w:val="auto"/>
                <w:kern w:val="0"/>
                <w:sz w:val="20"/>
                <w:szCs w:val="20"/>
                <w:u w:val="none"/>
                <w:lang w:val="en-US" w:eastAsia="zh-CN"/>
              </w:rPr>
              <w:t>会议</w:t>
            </w:r>
            <w:r>
              <w:rPr>
                <w:rFonts w:hint="default" w:ascii="仿宋_GB2312" w:hAnsi="仿宋_GB2312" w:eastAsia="仿宋_GB2312" w:cs="仿宋_GB2312"/>
                <w:i w:val="0"/>
                <w:color w:val="auto"/>
                <w:kern w:val="0"/>
                <w:sz w:val="20"/>
                <w:szCs w:val="20"/>
                <w:u w:val="none"/>
                <w:lang w:val="en-US" w:eastAsia="zh-CN"/>
              </w:rPr>
              <w:fldChar w:fldCharType="end"/>
            </w:r>
            <w:r>
              <w:rPr>
                <w:rFonts w:hint="default" w:ascii="仿宋_GB2312" w:hAnsi="仿宋_GB2312" w:eastAsia="仿宋_GB2312" w:cs="仿宋_GB2312"/>
                <w:i w:val="0"/>
                <w:color w:val="auto"/>
                <w:kern w:val="0"/>
                <w:sz w:val="20"/>
                <w:szCs w:val="20"/>
                <w:u w:val="none"/>
                <w:lang w:val="en-US" w:eastAsia="zh-CN"/>
              </w:rPr>
              <w:t>通过</w:t>
            </w:r>
            <w:r>
              <w:rPr>
                <w:rFonts w:hint="eastAsia" w:ascii="仿宋_GB2312" w:hAnsi="仿宋_GB2312" w:eastAsia="仿宋_GB2312" w:cs="仿宋_GB2312"/>
                <w:i w:val="0"/>
                <w:color w:val="auto"/>
                <w:kern w:val="0"/>
                <w:sz w:val="20"/>
                <w:szCs w:val="20"/>
                <w:u w:val="none"/>
                <w:lang w:val="en-US" w:eastAsia="zh-CN"/>
              </w:rPr>
              <w:t>）第三十五条“违反本办法第十四条规定，未经批准擅自举办职业学校、职业培训机构的，由教育行政部门或者劳动行政部门予以撤销；有违法所得的，没收违法所得；对直接负责的主管人员和其他直接责任人员依法给予行政处分；给受教育者造成损失的，依法承担民事责任。”</w:t>
            </w:r>
          </w:p>
        </w:tc>
        <w:tc>
          <w:tcPr>
            <w:tcW w:w="3895" w:type="dxa"/>
            <w:vAlign w:val="top"/>
          </w:tcPr>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 xml:space="preserve">1.立案责任：发现公民、法人、其他组织涉嫌违反国家规定擅自举办民办学校的违法行为，予以审查，决定是否立案。                                                                                                                                                                                                                                                                                                                                                                                                                                                                                                                                                                                                                                                                                                                                                                                                                                                                                                                                                                                                                                                                                                                                                                                                                                                                                                                                                                                                                                                                                                                                                                                                                                                                                                                                                                                                                                                                                                                                                                                                                                                                                                                                                                                                                                                                                                                                                                                                                                                                                                                                                                                                                                                                                                                                                                                                                                                                                                                                                                                                               </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2.调查责任：教育行政部门对立案的案件，指定专人负责，及时组织调查取证，与当事人有直接利害关系的应当回避。执法人员不得少于两人，调查时应出示执法证件，允许当事人辩解陈述。</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3.审查责任：对案件违法事实、证据、调查取证程序、法律适用、处罚种类和幅度、当事人陈述和申辩理由等方面进行审查，提出处理意见（证据不足时，以适当方式补充调查）。</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4.告知责任：作出行政处罚决定前，应制作《行政处罚告知书》送达当事人，告知违法事实及其享有的陈述、申辩等权。符合听证规定的，制作并送达《行政处罚听证告知书》。</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5.决定责任：制作行政处罚决定书，载明行政处罚告知、当事人陈述申辩或者听证情况等内容。</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6.送达责任：行政处罚决定书按法律规定方式送达当事人。</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7.执行责任：依照生效的行政处罚决定，督促当事人停止办学，缴纳罚款。</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8.落实行政处罚信息公示、全过程记录和重大执法决定法制审核“三项制度”，作出的行政处罚决定应当予以公开。</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 xml:space="preserve">9. 其他法律法规规章文件规定应履行的责任。 </w:t>
            </w:r>
          </w:p>
        </w:tc>
        <w:tc>
          <w:tcPr>
            <w:tcW w:w="1620" w:type="dxa"/>
            <w:vAlign w:val="top"/>
          </w:tcPr>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因不履行或不正确履行职责，有下列情形的，行政机关及相关工作人员应承担相应责任：</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1.没有法律和事实依据实施处罚的；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2.行政处罚显失公正的；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3.执法人员玩忽职守，对应当制止和处罚的违法行为不制止、处罚；</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4.不具备行政执法资格实施行政处罚的；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5.应当依法移送追究刑事责任，而未依法移送有权机关的；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6.擅自改变行政处罚种类、幅度的；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7.违反法定的行政处罚程序的；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8.符合听证条件、行政管理相对人要求听证，应予组织听证而不组织听证的；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9.在行政处罚过程中发生腐败行为的；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10.疏于管理，造成严重后果的；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11.未落实行政执法三项制度的；</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i w:val="0"/>
                <w:color w:val="auto"/>
                <w:kern w:val="0"/>
                <w:sz w:val="20"/>
                <w:szCs w:val="20"/>
                <w:u w:val="none"/>
                <w:lang w:val="en-US" w:eastAsia="zh-CN"/>
              </w:rPr>
              <w:t>12.其他违反法律法规规章文件规定的行为。</w:t>
            </w:r>
          </w:p>
        </w:tc>
        <w:tc>
          <w:tcPr>
            <w:tcW w:w="1335"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40" w:type="dxa"/>
            <w:vAlign w:val="center"/>
          </w:tcPr>
          <w:p>
            <w:pPr>
              <w:wordWrap/>
              <w:spacing w:line="240" w:lineRule="exact"/>
              <w:ind w:left="0" w:leftChars="0" w:right="0" w:firstLine="0" w:firstLineChars="0"/>
              <w:jc w:val="center"/>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6</w:t>
            </w:r>
          </w:p>
        </w:tc>
        <w:tc>
          <w:tcPr>
            <w:tcW w:w="807" w:type="dxa"/>
            <w:vAlign w:val="center"/>
          </w:tcPr>
          <w:p>
            <w:pPr>
              <w:wordWrap/>
              <w:spacing w:line="240" w:lineRule="exact"/>
              <w:ind w:left="0" w:leftChars="0" w:right="0" w:firstLine="0" w:firstLineChars="0"/>
              <w:jc w:val="center"/>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行政处罚</w:t>
            </w:r>
          </w:p>
        </w:tc>
        <w:tc>
          <w:tcPr>
            <w:tcW w:w="1225" w:type="dxa"/>
            <w:vAlign w:val="center"/>
          </w:tcPr>
          <w:p>
            <w:pPr>
              <w:wordWrap/>
              <w:spacing w:line="240" w:lineRule="exact"/>
              <w:ind w:left="0" w:leftChars="0" w:right="0" w:firstLine="0" w:firstLineChars="0"/>
              <w:jc w:val="center"/>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对民办学校违反《校车安全管理条例》规定，导致发生学生伤亡事故的处罚</w:t>
            </w:r>
          </w:p>
        </w:tc>
        <w:tc>
          <w:tcPr>
            <w:tcW w:w="1002" w:type="dxa"/>
            <w:vAlign w:val="center"/>
          </w:tcPr>
          <w:p>
            <w:pPr>
              <w:wordWrap/>
              <w:spacing w:line="240" w:lineRule="exact"/>
              <w:ind w:left="0" w:leftChars="0" w:right="0" w:firstLine="0" w:firstLineChars="0"/>
              <w:jc w:val="center"/>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高邑县教育局</w:t>
            </w:r>
          </w:p>
        </w:tc>
        <w:tc>
          <w:tcPr>
            <w:tcW w:w="3488" w:type="dxa"/>
            <w:vAlign w:val="top"/>
          </w:tcPr>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校车安全管理条例》（中华人民共和国国务院令第617号）第五十五条：“学校违反本条例规定的，除依照本条例有关规定予以处罚外，由教育行政部门给予通报批评；导致发生学生伤亡事故的，对政府举办的学校的负有责任的领导人员和直接责任人员依法给予处分；对民办学校由审批机关责令暂停招生，情节严重的，吊销其办学许可证，并由教育行政部门责令负有责任的领导人员和直接责任人员5年内不得从事学校管理事务。”</w:t>
            </w:r>
          </w:p>
        </w:tc>
        <w:tc>
          <w:tcPr>
            <w:tcW w:w="3895" w:type="dxa"/>
            <w:vAlign w:val="top"/>
          </w:tcPr>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 xml:space="preserve">1.立案责任：民办学校涉嫌违反《校车安全管理条例》规定，导致发生学生伤亡事故的，予以审查，决定是否立案。                                                                                                                                                                                                                                                                                                                                                                                                                                                                                                                                                                                                                                                                                                                                                                                                                                                                                                                                                                                                                                                                                                                                                                                                                                                                                                                                                                                                                                                                                                                                                                                                                                                                                                                                                                                                                                                                                                                                                                                                                                                                                                                                                                                                                                                                                                                                                                                                                                                                                                                                                                                                                                                                                                                                                                                                                                                                                                                                                                                                               </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2.调查责任：教育行政部门对立案的案件，指定专人负责，及时组织调查取证，与当事人有直接利害关系的应当回避。执法人员不得少于两人，调查时应出示执法证件，允许当事人辩解陈述。</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3.审查责任：对案件违法事实、证据、调查取证程序、法律适用、处罚种类和幅度、当事人陈述和申辩理由等方面进行审查，提出处理意见（证据不足时，以适当方式补充调查）。</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4.告知责任：作出行政处罚决定前，应制作《行政处罚告知书》送达当事人，告知违法事实及其享有的陈述、申辩等权。符合听证规定的，制作并送达《行政处罚听证告知书》。</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5.决定责任：制作行政处罚决定书，载明行政处罚告知、当事人陈述申辩或者听证情况等内容。</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6.送达责任：行政处罚决定书按法律规定方式送达当事人。</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7.执行责任：依照生效的行政处罚决定，对违法学校执行暂停招生或者吊销办学许可等处罚。</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8.落实行政处罚信息公示、全过程记录和重大执法决定法制审核“三项制度”，作出的行政处罚决定应当予以公开。</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i w:val="0"/>
                <w:color w:val="auto"/>
                <w:kern w:val="0"/>
                <w:sz w:val="20"/>
                <w:szCs w:val="20"/>
                <w:u w:val="none"/>
                <w:lang w:val="en-US" w:eastAsia="zh-CN"/>
              </w:rPr>
              <w:t xml:space="preserve">9. 其他法律法规规章文件规定应履行的责任。 </w:t>
            </w:r>
          </w:p>
        </w:tc>
        <w:tc>
          <w:tcPr>
            <w:tcW w:w="1620" w:type="dxa"/>
            <w:vAlign w:val="top"/>
          </w:tcPr>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因不履行或不正确履行职责，有下列情形的，行政机关及相关工作人员应承担相应责任：</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1.没有法律和事实依据实施处罚的；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2.行政处罚显失公正的；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3.执法人员玩忽职守，对应当制止和处罚的违法行为不制止、处罚；</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4.不具备行政执法资格实施行政处罚的；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5.应当依法移送追究刑事责任，而未依法移送有权机关的；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6.擅自改变行政处罚种类、幅度的；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7.违反法定的行政处罚程序的；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8.符合听证条件、行政管理相对人要求听证，应予组织听证而不组织听证的；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9.在行政处罚过程中发生腐败行为的；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10.未落实行政执法三项制度的；</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i w:val="0"/>
                <w:color w:val="auto"/>
                <w:kern w:val="0"/>
                <w:sz w:val="20"/>
                <w:szCs w:val="20"/>
                <w:u w:val="none"/>
                <w:lang w:val="en-US" w:eastAsia="zh-CN"/>
              </w:rPr>
              <w:t>11.其他违反法律法规规章文件规定的行为。</w:t>
            </w:r>
          </w:p>
        </w:tc>
        <w:tc>
          <w:tcPr>
            <w:tcW w:w="1335"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40" w:type="dxa"/>
            <w:vAlign w:val="center"/>
          </w:tcPr>
          <w:p>
            <w:pPr>
              <w:wordWrap/>
              <w:spacing w:line="240" w:lineRule="exact"/>
              <w:ind w:left="0" w:leftChars="0" w:right="0" w:firstLine="0" w:firstLineChars="0"/>
              <w:jc w:val="center"/>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7</w:t>
            </w:r>
          </w:p>
        </w:tc>
        <w:tc>
          <w:tcPr>
            <w:tcW w:w="807" w:type="dxa"/>
            <w:vAlign w:val="center"/>
          </w:tcPr>
          <w:p>
            <w:pPr>
              <w:wordWrap/>
              <w:spacing w:line="240" w:lineRule="exact"/>
              <w:ind w:left="0" w:leftChars="0" w:right="0" w:firstLine="0" w:firstLineChars="0"/>
              <w:jc w:val="center"/>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行政处罚</w:t>
            </w:r>
          </w:p>
        </w:tc>
        <w:tc>
          <w:tcPr>
            <w:tcW w:w="1225" w:type="dxa"/>
            <w:vAlign w:val="center"/>
          </w:tcPr>
          <w:p>
            <w:pPr>
              <w:wordWrap/>
              <w:spacing w:line="240" w:lineRule="exact"/>
              <w:ind w:left="0" w:leftChars="0" w:right="0" w:firstLine="0" w:firstLineChars="0"/>
              <w:jc w:val="center"/>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对违反《教师资格条例》有关规定的处罚</w:t>
            </w:r>
          </w:p>
        </w:tc>
        <w:tc>
          <w:tcPr>
            <w:tcW w:w="1002" w:type="dxa"/>
            <w:vAlign w:val="center"/>
          </w:tcPr>
          <w:p>
            <w:pPr>
              <w:wordWrap/>
              <w:spacing w:line="240" w:lineRule="exact"/>
              <w:ind w:left="0" w:leftChars="0" w:right="0" w:firstLine="0" w:firstLineChars="0"/>
              <w:jc w:val="center"/>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高邑县教育局</w:t>
            </w:r>
          </w:p>
        </w:tc>
        <w:tc>
          <w:tcPr>
            <w:tcW w:w="3488" w:type="dxa"/>
            <w:vAlign w:val="top"/>
          </w:tcPr>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教师资格条例》（中华人民共和国国务院令第188号）第十九条“有下列情形之一的，由县级以上人民政府教育行政部门撤销其教师资格：（一）弄虚作假、骗取教师资格的；（二）品行不良、侮辱学生，影响恶劣的。被撤销教师资格的，自撤销之日起5年内不得重新申请认定教师资格，其教师资格证书由县级以上人民政府教育行政部门收缴。”</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第二十条“参加教师资格考试有作弊行为的，其考试成绩作废，3年内不得再次参加教师资格考试。”</w:t>
            </w:r>
          </w:p>
          <w:p>
            <w:pPr>
              <w:widowControl/>
              <w:shd w:val="clear" w:color="050000" w:fill="FFFFFF"/>
              <w:wordWrap/>
              <w:adjustRightInd/>
              <w:snapToGrid/>
              <w:spacing w:afterAutospacing="0" w:line="240" w:lineRule="exact"/>
              <w:ind w:left="0" w:leftChars="0" w:right="0" w:firstLine="0" w:firstLineChars="0"/>
              <w:jc w:val="left"/>
              <w:textAlignment w:val="auto"/>
              <w:outlineLvl w:val="9"/>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2.《教育行政处罚暂行实施办法》（国家教育委员会第27号令）第十八条“教师有下列情形之一的，由教育行政部门给予撤销教师资格、自撤销之日起五年内不得重新申请认定教师资格的处罚：（一）弄虚作假或以其他欺骗手段获得教师资格的；（二）品行不良、侮辱学生，影响恶劣的。受到</w:t>
            </w:r>
            <w:r>
              <w:rPr>
                <w:rFonts w:hint="eastAsia" w:ascii="仿宋_GB2312" w:hAnsi="仿宋_GB2312" w:eastAsia="仿宋_GB2312" w:cs="仿宋_GB2312"/>
                <w:i w:val="0"/>
                <w:color w:val="auto"/>
                <w:kern w:val="0"/>
                <w:sz w:val="20"/>
                <w:szCs w:val="20"/>
                <w:u w:val="none"/>
                <w:lang w:val="en-US" w:eastAsia="zh-CN"/>
              </w:rPr>
              <w:fldChar w:fldCharType="begin"/>
            </w:r>
            <w:r>
              <w:rPr>
                <w:rFonts w:hint="eastAsia" w:ascii="仿宋_GB2312" w:hAnsi="仿宋_GB2312" w:eastAsia="仿宋_GB2312" w:cs="仿宋_GB2312"/>
                <w:i w:val="0"/>
                <w:color w:val="auto"/>
                <w:kern w:val="0"/>
                <w:sz w:val="20"/>
                <w:szCs w:val="20"/>
                <w:u w:val="none"/>
                <w:lang w:val="en-US" w:eastAsia="zh-CN"/>
              </w:rPr>
              <w:instrText xml:space="preserve"> HYPERLINK "https://baike.baidu.com/item/%E5%89%A5%E5%A4%BA%E6%94%BF%E6%B2%BB%E6%9D%83%E5%88%A9/1430964" \t "https://baike.baidu.com/item/%E6%95%99%E8%82%B2%E8%A1%8C%E6%94%BF%E5%A4%84%E7%BD%9A%E6%9A%82%E8%A1%8C%E5%AE%9E%E6%96%BD%E5%8A%9E%E6%B3%95/_blank" </w:instrText>
            </w:r>
            <w:r>
              <w:rPr>
                <w:rFonts w:hint="eastAsia" w:ascii="仿宋_GB2312" w:hAnsi="仿宋_GB2312" w:eastAsia="仿宋_GB2312" w:cs="仿宋_GB2312"/>
                <w:i w:val="0"/>
                <w:color w:val="auto"/>
                <w:kern w:val="0"/>
                <w:sz w:val="20"/>
                <w:szCs w:val="20"/>
                <w:u w:val="none"/>
                <w:lang w:val="en-US" w:eastAsia="zh-CN"/>
              </w:rPr>
              <w:fldChar w:fldCharType="separate"/>
            </w:r>
            <w:r>
              <w:rPr>
                <w:rFonts w:hint="eastAsia" w:ascii="仿宋_GB2312" w:hAnsi="仿宋_GB2312" w:eastAsia="仿宋_GB2312" w:cs="仿宋_GB2312"/>
                <w:i w:val="0"/>
                <w:color w:val="auto"/>
                <w:kern w:val="0"/>
                <w:sz w:val="20"/>
                <w:szCs w:val="20"/>
                <w:u w:val="none"/>
                <w:lang w:val="en-US" w:eastAsia="zh-CN"/>
              </w:rPr>
              <w:t>剥夺政治权利</w:t>
            </w:r>
            <w:r>
              <w:rPr>
                <w:rFonts w:hint="eastAsia" w:ascii="仿宋_GB2312" w:hAnsi="仿宋_GB2312" w:eastAsia="仿宋_GB2312" w:cs="仿宋_GB2312"/>
                <w:i w:val="0"/>
                <w:color w:val="auto"/>
                <w:kern w:val="0"/>
                <w:sz w:val="20"/>
                <w:szCs w:val="20"/>
                <w:u w:val="none"/>
                <w:lang w:val="en-US" w:eastAsia="zh-CN"/>
              </w:rPr>
              <w:fldChar w:fldCharType="end"/>
            </w:r>
            <w:r>
              <w:rPr>
                <w:rFonts w:hint="eastAsia" w:ascii="仿宋_GB2312" w:hAnsi="仿宋_GB2312" w:eastAsia="仿宋_GB2312" w:cs="仿宋_GB2312"/>
                <w:i w:val="0"/>
                <w:color w:val="auto"/>
                <w:kern w:val="0"/>
                <w:sz w:val="20"/>
                <w:szCs w:val="20"/>
                <w:u w:val="none"/>
                <w:lang w:val="en-US" w:eastAsia="zh-CN"/>
              </w:rPr>
              <w:t>或因故意犯罪受到有期徒刑以上刑事处罚的教师，永远丧失教师资格。上述被剥夺教师资格的</w:t>
            </w:r>
            <w:r>
              <w:rPr>
                <w:rFonts w:hint="eastAsia" w:ascii="仿宋_GB2312" w:hAnsi="仿宋_GB2312" w:eastAsia="仿宋_GB2312" w:cs="仿宋_GB2312"/>
                <w:i w:val="0"/>
                <w:color w:val="auto"/>
                <w:kern w:val="0"/>
                <w:sz w:val="20"/>
                <w:szCs w:val="20"/>
                <w:u w:val="none"/>
                <w:lang w:val="en-US" w:eastAsia="zh-CN"/>
              </w:rPr>
              <w:fldChar w:fldCharType="begin"/>
            </w:r>
            <w:r>
              <w:rPr>
                <w:rFonts w:hint="eastAsia" w:ascii="仿宋_GB2312" w:hAnsi="仿宋_GB2312" w:eastAsia="仿宋_GB2312" w:cs="仿宋_GB2312"/>
                <w:i w:val="0"/>
                <w:color w:val="auto"/>
                <w:kern w:val="0"/>
                <w:sz w:val="20"/>
                <w:szCs w:val="20"/>
                <w:u w:val="none"/>
                <w:lang w:val="en-US" w:eastAsia="zh-CN"/>
              </w:rPr>
              <w:instrText xml:space="preserve"> HYPERLINK "https://baike.baidu.com/item/%E6%95%99%E5%B8%88%E8%B5%84%E6%A0%BC%E8%AF%81%E4%B9%A6/10992632" \t "https://baike.baidu.com/item/%E6%95%99%E8%82%B2%E8%A1%8C%E6%94%BF%E5%A4%84%E7%BD%9A%E6%9A%82%E8%A1%8C%E5%AE%9E%E6%96%BD%E5%8A%9E%E6%B3%95/_blank" </w:instrText>
            </w:r>
            <w:r>
              <w:rPr>
                <w:rFonts w:hint="eastAsia" w:ascii="仿宋_GB2312" w:hAnsi="仿宋_GB2312" w:eastAsia="仿宋_GB2312" w:cs="仿宋_GB2312"/>
                <w:i w:val="0"/>
                <w:color w:val="auto"/>
                <w:kern w:val="0"/>
                <w:sz w:val="20"/>
                <w:szCs w:val="20"/>
                <w:u w:val="none"/>
                <w:lang w:val="en-US" w:eastAsia="zh-CN"/>
              </w:rPr>
              <w:fldChar w:fldCharType="separate"/>
            </w:r>
            <w:r>
              <w:rPr>
                <w:rFonts w:hint="eastAsia" w:ascii="仿宋_GB2312" w:hAnsi="仿宋_GB2312" w:eastAsia="仿宋_GB2312" w:cs="仿宋_GB2312"/>
                <w:i w:val="0"/>
                <w:color w:val="auto"/>
                <w:kern w:val="0"/>
                <w:sz w:val="20"/>
                <w:szCs w:val="20"/>
                <w:u w:val="none"/>
                <w:lang w:val="en-US" w:eastAsia="zh-CN"/>
              </w:rPr>
              <w:t>教师资格证书</w:t>
            </w:r>
            <w:r>
              <w:rPr>
                <w:rFonts w:hint="eastAsia" w:ascii="仿宋_GB2312" w:hAnsi="仿宋_GB2312" w:eastAsia="仿宋_GB2312" w:cs="仿宋_GB2312"/>
                <w:i w:val="0"/>
                <w:color w:val="auto"/>
                <w:kern w:val="0"/>
                <w:sz w:val="20"/>
                <w:szCs w:val="20"/>
                <w:u w:val="none"/>
                <w:lang w:val="en-US" w:eastAsia="zh-CN"/>
              </w:rPr>
              <w:fldChar w:fldCharType="end"/>
            </w:r>
            <w:r>
              <w:rPr>
                <w:rFonts w:hint="eastAsia" w:ascii="仿宋_GB2312" w:hAnsi="仿宋_GB2312" w:eastAsia="仿宋_GB2312" w:cs="仿宋_GB2312"/>
                <w:i w:val="0"/>
                <w:color w:val="auto"/>
                <w:kern w:val="0"/>
                <w:sz w:val="20"/>
                <w:szCs w:val="20"/>
                <w:u w:val="none"/>
                <w:lang w:val="en-US" w:eastAsia="zh-CN"/>
              </w:rPr>
              <w:t>应由教育行政部门收缴。”</w:t>
            </w:r>
          </w:p>
          <w:p>
            <w:pPr>
              <w:widowControl/>
              <w:shd w:val="clear" w:color="050000" w:fill="FFFFFF"/>
              <w:wordWrap/>
              <w:adjustRightInd/>
              <w:snapToGrid/>
              <w:spacing w:afterAutospacing="0" w:line="240" w:lineRule="exact"/>
              <w:ind w:left="0" w:leftChars="0" w:right="0" w:firstLine="0" w:firstLineChars="0"/>
              <w:jc w:val="left"/>
              <w:textAlignment w:val="auto"/>
              <w:outlineLvl w:val="9"/>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第十九条“参加</w:t>
            </w:r>
            <w:r>
              <w:rPr>
                <w:rFonts w:hint="eastAsia" w:ascii="仿宋_GB2312" w:hAnsi="仿宋_GB2312" w:eastAsia="仿宋_GB2312" w:cs="仿宋_GB2312"/>
                <w:i w:val="0"/>
                <w:color w:val="auto"/>
                <w:kern w:val="0"/>
                <w:sz w:val="20"/>
                <w:szCs w:val="20"/>
                <w:u w:val="none"/>
                <w:lang w:val="en-US" w:eastAsia="zh-CN"/>
              </w:rPr>
              <w:fldChar w:fldCharType="begin"/>
            </w:r>
            <w:r>
              <w:rPr>
                <w:rFonts w:hint="eastAsia" w:ascii="仿宋_GB2312" w:hAnsi="仿宋_GB2312" w:eastAsia="仿宋_GB2312" w:cs="仿宋_GB2312"/>
                <w:i w:val="0"/>
                <w:color w:val="auto"/>
                <w:kern w:val="0"/>
                <w:sz w:val="20"/>
                <w:szCs w:val="20"/>
                <w:u w:val="none"/>
                <w:lang w:val="en-US" w:eastAsia="zh-CN"/>
              </w:rPr>
              <w:instrText xml:space="preserve"> HYPERLINK "https://baike.baidu.com/item/%E6%95%99%E5%B8%88%E8%B5%84%E6%A0%BC%E8%80%83%E8%AF%95/4063442" \t "https://baike.baidu.com/item/%E6%95%99%E8%82%B2%E8%A1%8C%E6%94%BF%E5%A4%84%E7%BD%9A%E6%9A%82%E8%A1%8C%E5%AE%9E%E6%96%BD%E5%8A%9E%E6%B3%95/_blank" </w:instrText>
            </w:r>
            <w:r>
              <w:rPr>
                <w:rFonts w:hint="eastAsia" w:ascii="仿宋_GB2312" w:hAnsi="仿宋_GB2312" w:eastAsia="仿宋_GB2312" w:cs="仿宋_GB2312"/>
                <w:i w:val="0"/>
                <w:color w:val="auto"/>
                <w:kern w:val="0"/>
                <w:sz w:val="20"/>
                <w:szCs w:val="20"/>
                <w:u w:val="none"/>
                <w:lang w:val="en-US" w:eastAsia="zh-CN"/>
              </w:rPr>
              <w:fldChar w:fldCharType="separate"/>
            </w:r>
            <w:r>
              <w:rPr>
                <w:rFonts w:hint="eastAsia" w:ascii="仿宋_GB2312" w:hAnsi="仿宋_GB2312" w:eastAsia="仿宋_GB2312" w:cs="仿宋_GB2312"/>
                <w:i w:val="0"/>
                <w:color w:val="auto"/>
                <w:kern w:val="0"/>
                <w:sz w:val="20"/>
                <w:szCs w:val="20"/>
                <w:u w:val="none"/>
                <w:lang w:val="en-US" w:eastAsia="zh-CN"/>
              </w:rPr>
              <w:t>教师资格考试</w:t>
            </w:r>
            <w:r>
              <w:rPr>
                <w:rFonts w:hint="eastAsia" w:ascii="仿宋_GB2312" w:hAnsi="仿宋_GB2312" w:eastAsia="仿宋_GB2312" w:cs="仿宋_GB2312"/>
                <w:i w:val="0"/>
                <w:color w:val="auto"/>
                <w:kern w:val="0"/>
                <w:sz w:val="20"/>
                <w:szCs w:val="20"/>
                <w:u w:val="none"/>
                <w:lang w:val="en-US" w:eastAsia="zh-CN"/>
              </w:rPr>
              <w:fldChar w:fldCharType="end"/>
            </w:r>
            <w:r>
              <w:rPr>
                <w:rFonts w:hint="eastAsia" w:ascii="仿宋_GB2312" w:hAnsi="仿宋_GB2312" w:eastAsia="仿宋_GB2312" w:cs="仿宋_GB2312"/>
                <w:i w:val="0"/>
                <w:color w:val="auto"/>
                <w:kern w:val="0"/>
                <w:sz w:val="20"/>
                <w:szCs w:val="20"/>
                <w:u w:val="none"/>
                <w:lang w:val="en-US" w:eastAsia="zh-CN"/>
              </w:rPr>
              <w:t>的人员有作弊行为的，其考试成绩作废，并由教育行政部门给予三年内不得参加教师资格考试的处罚。”</w:t>
            </w:r>
          </w:p>
          <w:p>
            <w:pPr>
              <w:widowControl/>
              <w:shd w:val="clear" w:color="050000" w:fill="FFFFFF"/>
              <w:wordWrap/>
              <w:adjustRightInd/>
              <w:snapToGrid/>
              <w:spacing w:afterAutospacing="0" w:line="240" w:lineRule="exact"/>
              <w:ind w:left="0" w:leftChars="0" w:right="0" w:firstLine="0" w:firstLineChars="0"/>
              <w:jc w:val="left"/>
              <w:textAlignment w:val="auto"/>
              <w:outlineLvl w:val="9"/>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3.《〈教师资格条例〉实施办法》（教育部令第10号）第二十七条“对使用假资格证书的，一经查实，按弄虚作假、骗取教师资格处理，5年内不得申请认定教师资格，由教育行政部门没收假证书。对变造、买卖教师资格证书的，依法追究法律责任。”</w:t>
            </w:r>
          </w:p>
        </w:tc>
        <w:tc>
          <w:tcPr>
            <w:tcW w:w="3895" w:type="dxa"/>
            <w:vAlign w:val="top"/>
          </w:tcPr>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 xml:space="preserve">1.立案责任：获得教师资格的教师涉嫌有违反《教师资格条例》第十九条、第二十条规定违法行为的，予以审查，决定是否立案。                                                                                                                                                                                                                                                                                                                                                                                                                                                                                                                                                                                                                                                                                                                                                                                                                                                                                                                                                                                                                                                                                                                                                                                                                                                                                                                                                                                                                                                                                                                                                                                                                                                                                                                                                                                                                                                                                                                                                                                                                                                                                                                                                                                                                                                                                                                                                                                                                                                                                                                                                                                                                                                                                                                                                                                                                                                                                                                                                                                                               </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2.调查责任：教育行政部门对立案的案件，指定专人负责，及时组织调查取证，与当事人有直接利害关系的应当回避。执法人员不得少于两人，调查时应出示执法证件，允许当事人辩解陈述。</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3.审查责任：对案件违法事实、证据、调查取证程序、法律适用、处罚种类和幅度、当事人陈述和申辩理由等方面进行审查，提出处理意见（证据不足时，以适当方式补充调查）。</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4.告知责任：作出行政处罚决定前，应制作《行政处罚告知书》送达当事人，告知违法事实及其享有的陈述、申辩等权。符合听证规定的，制作并送达《行政处罚听证告知书》。</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5.决定责任：制作行政处罚决定书，载明行政处罚告知、当事人陈述申辩或者听证情况等内容。</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6.送达责任：行政处罚决定书按法律规定方式送达当事人。</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7.执行责任：依照生效的行政处罚决定，撤销违法教师的教师资格，收缴证书。对参加教师资格考试作弊的人员，宣布考试成绩作废。</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8.落实行政处罚信息公示、全过程记录和重大执法决定法制审核“三项制度”，作出的行政处罚决定应当予以公开。</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 xml:space="preserve">9. 其他法律法规规章文件规定应履行的责任。 </w:t>
            </w:r>
          </w:p>
        </w:tc>
        <w:tc>
          <w:tcPr>
            <w:tcW w:w="1620" w:type="dxa"/>
            <w:vAlign w:val="top"/>
          </w:tcPr>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因不履行或不正确履行职责，有下列情形的，行政机关及相关工作人员应承担相应责任：</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1.没有法律和事实依据实施处罚的；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2.行政处罚显失公正的；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3.执法人员玩忽职守，对应当制止和处罚的违法行为不制止、处罚；</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4.不具备行政执法资格实施行政处罚的；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5.应当依法移送追究刑事责任，而未依法移送有权机关的；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6.擅自改变行政处罚种类、幅度的；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7.违反法定的行政处罚程序的；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8.符合听证条件、行政管理相对人要求听证，应予组织听证而不组织听证的；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9.在行政处罚过程中发生腐败行为的；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10.未落实行政执法三项制度的；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11.其他违反法律法规规章文件规定的行为。</w:t>
            </w:r>
          </w:p>
        </w:tc>
        <w:tc>
          <w:tcPr>
            <w:tcW w:w="1335"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40" w:type="dxa"/>
            <w:vAlign w:val="center"/>
          </w:tcPr>
          <w:p>
            <w:pPr>
              <w:widowControl/>
              <w:shd w:val="clear" w:color="050000" w:fill="FFFFFF"/>
              <w:wordWrap/>
              <w:adjustRightInd/>
              <w:snapToGrid/>
              <w:spacing w:afterAutospacing="0" w:line="240" w:lineRule="exact"/>
              <w:ind w:left="0" w:leftChars="0" w:right="0" w:firstLine="0" w:firstLineChars="0"/>
              <w:jc w:val="center"/>
              <w:textAlignment w:val="auto"/>
              <w:outlineLvl w:val="9"/>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8</w:t>
            </w:r>
          </w:p>
        </w:tc>
        <w:tc>
          <w:tcPr>
            <w:tcW w:w="807" w:type="dxa"/>
            <w:vAlign w:val="center"/>
          </w:tcPr>
          <w:p>
            <w:pPr>
              <w:widowControl/>
              <w:shd w:val="clear" w:color="050000" w:fill="FFFFFF"/>
              <w:wordWrap/>
              <w:adjustRightInd/>
              <w:snapToGrid/>
              <w:spacing w:afterAutospacing="0" w:line="240" w:lineRule="exact"/>
              <w:ind w:left="0" w:leftChars="0" w:right="0" w:firstLine="0" w:firstLineChars="0"/>
              <w:jc w:val="center"/>
              <w:textAlignment w:val="auto"/>
              <w:outlineLvl w:val="9"/>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行政处罚</w:t>
            </w:r>
          </w:p>
        </w:tc>
        <w:tc>
          <w:tcPr>
            <w:tcW w:w="1225" w:type="dxa"/>
            <w:vAlign w:val="center"/>
          </w:tcPr>
          <w:p>
            <w:pPr>
              <w:widowControl/>
              <w:shd w:val="clear" w:color="050000" w:fill="FFFFFF"/>
              <w:wordWrap/>
              <w:adjustRightInd/>
              <w:snapToGrid/>
              <w:spacing w:afterAutospacing="0" w:line="240" w:lineRule="exact"/>
              <w:ind w:left="0" w:leftChars="0" w:right="0" w:firstLine="0" w:firstLineChars="0"/>
              <w:jc w:val="center"/>
              <w:textAlignment w:val="auto"/>
              <w:outlineLvl w:val="9"/>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对拒绝或者妨碍学校卫生监督员实施卫生监督，且情节严重的处罚</w:t>
            </w:r>
          </w:p>
        </w:tc>
        <w:tc>
          <w:tcPr>
            <w:tcW w:w="1002" w:type="dxa"/>
            <w:vAlign w:val="center"/>
          </w:tcPr>
          <w:p>
            <w:pPr>
              <w:widowControl/>
              <w:shd w:val="clear" w:color="050000" w:fill="FFFFFF"/>
              <w:wordWrap/>
              <w:adjustRightInd/>
              <w:snapToGrid/>
              <w:spacing w:afterAutospacing="0" w:line="240" w:lineRule="exact"/>
              <w:ind w:left="0" w:leftChars="0" w:right="0" w:firstLine="0" w:firstLineChars="0"/>
              <w:jc w:val="center"/>
              <w:textAlignment w:val="auto"/>
              <w:outlineLvl w:val="9"/>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高邑县教育局</w:t>
            </w:r>
          </w:p>
        </w:tc>
        <w:tc>
          <w:tcPr>
            <w:tcW w:w="3488" w:type="dxa"/>
            <w:vAlign w:val="top"/>
          </w:tcPr>
          <w:p>
            <w:pPr>
              <w:widowControl/>
              <w:shd w:val="clear" w:color="050000" w:fill="FFFFFF"/>
              <w:wordWrap/>
              <w:adjustRightInd/>
              <w:snapToGrid/>
              <w:spacing w:afterAutospacing="0" w:line="240" w:lineRule="exact"/>
              <w:ind w:left="0" w:leftChars="0" w:right="0" w:firstLine="0" w:firstLineChars="0"/>
              <w:jc w:val="left"/>
              <w:textAlignment w:val="auto"/>
              <w:outlineLvl w:val="9"/>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学校卫生工作条例》（1990年4月25日国务院批准，1990年6月4日国家教育委员会令第10号、卫生部令第1号发布）第三十六条“拒绝或者妨碍学校卫生监督员依照本条例实施卫生监督的，由卫生行政部门对直接责任单位或者个人给予警告。情节严重的，可以建议教育行政部门给予行政处分或者处以二百元以下的罚款。”</w:t>
            </w:r>
          </w:p>
        </w:tc>
        <w:tc>
          <w:tcPr>
            <w:tcW w:w="3895" w:type="dxa"/>
            <w:vAlign w:val="top"/>
          </w:tcPr>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 xml:space="preserve">1.立案责任：根据卫健部门建议，对拒绝或者妨碍学校卫生监督员依法监督的违法行为，予以审查，决定是否立案。                                                                                                                                                                                                                                                                                                                                                                                                                                                                                                                                                                                                                                                                                                                                                                                                                                                                                                                                                                                                                                                                                                                                                                                                                                                                                                                                                                                                                                                                                                                                                                                                                                                                                                                                                                                                                                                                                                                                                                                                                                                                                                                                                                                                                                                                                                                                                                                                                                                                                                                                                                                                                                                                                                                                                                                                                                                                                                                                                                                                               </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2.调查责任：教育行政部门对立案的案件，指定专人负责，及时组织调查取证，与当事人有直接利害关系的应当回避。执法人员不得少于两人，调查时应出示执法证件，允许当事人辩解陈述。</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3.审查责任：对案件违法事实、证据、调查取证程序、法律适用、处罚种类和幅度、当事人陈述和申辩理由等方面进行审查，提出处理意见（证据不足时，以适当方式补充调查）。</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4.告知责任：作出行政处罚决定前，应制作《行政处罚告知书》送达当事人，告知违法事实及其享有的陈述、申辩等权。</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5.决定责任：制作行政处罚决定书，载明行政处罚告知、当事人陈述申辩等内容。</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6.送达责任：行政处罚决定书按法律规定方式送达当事人。</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7.执行责任：依照生效的行政处罚决定，督促违法相对人履行缴纳罚款义务。</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8.落实行政处罚信息公示、全过程记录和重大执法决定法制审核“三项制度”，作出的行政处罚决定应当予以公开。</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i w:val="0"/>
                <w:color w:val="auto"/>
                <w:kern w:val="0"/>
                <w:sz w:val="20"/>
                <w:szCs w:val="20"/>
                <w:u w:val="none"/>
                <w:lang w:val="en-US" w:eastAsia="zh-CN"/>
              </w:rPr>
              <w:t xml:space="preserve">9. 其他法律法规规章文件规定应履行的责任。 </w:t>
            </w:r>
          </w:p>
        </w:tc>
        <w:tc>
          <w:tcPr>
            <w:tcW w:w="1620" w:type="dxa"/>
            <w:vAlign w:val="top"/>
          </w:tcPr>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因不履行或不正确履行职责，有下列情形的，行政机关及相关工作人员应承担相应责任：</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1.没有法律和事实依据实施处罚的；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2.行政处罚显失公正的；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3.执法人员玩忽职守，对应当制止和处罚的违法行为不制止、处罚；</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4.不具备行政执法资格实施行政处罚的；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5.擅自改变行政处罚种类、幅度的；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6.违反法定的行政处罚程序的；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7.在行政处罚过程中发生腐败行为的；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8.未落实行政执法三项制度的；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i w:val="0"/>
                <w:color w:val="auto"/>
                <w:kern w:val="0"/>
                <w:sz w:val="20"/>
                <w:szCs w:val="20"/>
                <w:u w:val="none"/>
                <w:lang w:val="en-US" w:eastAsia="zh-CN"/>
              </w:rPr>
              <w:t>9.其他违反法律法规规章文件规定的行为。</w:t>
            </w:r>
          </w:p>
        </w:tc>
        <w:tc>
          <w:tcPr>
            <w:tcW w:w="1335"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i w:val="0"/>
                <w:color w:val="auto"/>
                <w:kern w:val="0"/>
                <w:sz w:val="20"/>
                <w:szCs w:val="20"/>
                <w:u w:val="none"/>
                <w:lang w:val="en-US" w:eastAsia="zh-CN"/>
              </w:rPr>
              <w:t>由卫健部门提出建议，教育部门依法处罚。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40"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9</w:t>
            </w:r>
          </w:p>
        </w:tc>
        <w:tc>
          <w:tcPr>
            <w:tcW w:w="807" w:type="dxa"/>
            <w:vAlign w:val="center"/>
          </w:tcPr>
          <w:p>
            <w:pPr>
              <w:wordWrap/>
              <w:spacing w:line="240" w:lineRule="exact"/>
              <w:ind w:left="0" w:leftChars="0" w:right="0" w:firstLine="0" w:firstLineChars="0"/>
              <w:jc w:val="center"/>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行政处罚</w:t>
            </w:r>
          </w:p>
        </w:tc>
        <w:tc>
          <w:tcPr>
            <w:tcW w:w="1225" w:type="dxa"/>
            <w:vAlign w:val="center"/>
          </w:tcPr>
          <w:p>
            <w:pPr>
              <w:wordWrap/>
              <w:spacing w:line="240" w:lineRule="exact"/>
              <w:ind w:left="0" w:leftChars="0" w:right="0" w:firstLine="0" w:firstLineChars="0"/>
              <w:jc w:val="center"/>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对民办学校举办者及实际控制人、决策机构或者监督机构组成人员违反《中华人民共和国民办教育促进法实施条例》第六十二条规定的处罚</w:t>
            </w:r>
          </w:p>
        </w:tc>
        <w:tc>
          <w:tcPr>
            <w:tcW w:w="1002" w:type="dxa"/>
            <w:vAlign w:val="center"/>
          </w:tcPr>
          <w:p>
            <w:pPr>
              <w:wordWrap/>
              <w:spacing w:line="240" w:lineRule="exact"/>
              <w:ind w:left="0" w:leftChars="0" w:right="0" w:firstLine="0" w:firstLineChars="0"/>
              <w:jc w:val="center"/>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高邑县教育局</w:t>
            </w:r>
          </w:p>
        </w:tc>
        <w:tc>
          <w:tcPr>
            <w:tcW w:w="3488" w:type="dxa"/>
            <w:vAlign w:val="top"/>
          </w:tcPr>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中华人民共和国民办教育促进法实施条例》（2004年3月5日中华人民共和国国务院令第399号公布，2021年4月7日中华人民共和国国务院令第741号修订）第六十二条“民办学校举办者及实际控制人、决策机构或者监督机构组成人员有下列情形之一的，由县级以上人民政府教育行政部门、人力资源社会保障行政部门或者其他有关部门依据职责分工责令限期改正，有违法所得的，退还所收费用后没收违法所得；情节严重的，1至5年内不得新成为民办学校举办者或实际控制人、决策机构或者监督机构组成人员；情节特别严重、社会影响恶劣的，永久不得新成为民办学校举办者或实际控制人、决策机构或者监督机构组成人员；构成违反治安管理行为的，由公安机关依法给予治安管理处罚；构成犯罪的，依法追究刑事责任：</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（一）利用办学非法集资，或者收取与入学关联的费用的；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（二）未按时、足额履行出资义务，或者抽逃出资、挪用办学经费的；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（三）侵占学校法人财产或者非法从学校获取利益的；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（四）与实施义务教育的民办学校进行关联交易，或者与其他民办学校进行关联交易损害国家利益、学校利益和师生权益的；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（五）伪造、变造、买卖、出租、出借办学许可证的；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（六）干扰学校办学秩序或者非法干预学校决策、管理的；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（七）擅自变更学校名称、层次、类型和举办者的；</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i w:val="0"/>
                <w:color w:val="auto"/>
                <w:kern w:val="0"/>
                <w:sz w:val="20"/>
                <w:szCs w:val="20"/>
                <w:u w:val="none"/>
                <w:lang w:val="en-US" w:eastAsia="zh-CN"/>
              </w:rPr>
              <w:t>（八）有其他危害学校稳定和安全、侵犯学校法人权利或者损害教职工、受教育者权益的行为的。”</w:t>
            </w:r>
          </w:p>
        </w:tc>
        <w:tc>
          <w:tcPr>
            <w:tcW w:w="3895" w:type="dxa"/>
            <w:vAlign w:val="top"/>
          </w:tcPr>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 xml:space="preserve">1.立案责任：民办学校举办者及实际控制人、决策机构或者监督机构组成人员违反民办教育促进法实施条例第六十二条所列违法行为的，予以审查，决定是否立案。                                                                                                                                                                                                                                                                                                                                                                                                                                                                                                                                                                                                                                                                                                                                                                                                                                                                                                                                                                                                                                                                                                                                                                                                                                                                                                                                                                                                                                                                                                                                                                                                                                                                                                                                                                                                                                                                                                                                                                                                                                                                                                                                                                                                                                                                                                                                                                                                                                                                                                                                                                                                                                                                                                                                                                                                                                                                                                                                                                                                               </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2.调查责任：教育行政部门对立案的案件，指定专人负责，及时组织调查取证，与当事人有直接利害关系的应当回避。执法人员不得少于两人，调查时应出示执法证件，允许当事人辩解陈述。</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3.审查责任：对案件违法事实、证据、调查取证程序、法律适用、处罚种类和幅度、当事人陈述和申辩理由等方面进行审查，提出处理意见（证据不足时，以适当方式补充调查）。</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4.告知责任：作出行政处罚决定前，应制作《行政处罚告知书》送达当事人，告知违法事实及其享有的陈述、申辩等权。符合听证规定的，制作并送达《行政处罚听证告知书》。</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5.决定责任：制作行政处罚决定书，载明行政处罚告知、当事人陈述申辩或者听证情况等内容。</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6.送达责任：行政处罚决定书按法律规定方式送达当事人。</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7.执行责任：有罚没的，督促当事人缴纳罚没款，并将生效的行政处罚决定抄告行政审批部门，执行职业禁入。</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8.落实行政处罚信息公示、全过程记录和重大执法决定法制审核“三项制度”，作出的行政处罚决定应当予以公开。</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i w:val="0"/>
                <w:color w:val="auto"/>
                <w:kern w:val="0"/>
                <w:sz w:val="20"/>
                <w:szCs w:val="20"/>
                <w:u w:val="none"/>
                <w:lang w:val="en-US" w:eastAsia="zh-CN"/>
              </w:rPr>
              <w:t xml:space="preserve">9. 其他法律法规规章文件规定应履行的责任。 </w:t>
            </w:r>
          </w:p>
        </w:tc>
        <w:tc>
          <w:tcPr>
            <w:tcW w:w="1620" w:type="dxa"/>
            <w:vAlign w:val="top"/>
          </w:tcPr>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因不履行或不正确履行职责，有下列情形的，行政机关及相关工作人员应承担相应责任：</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1.没有法律和事实依据实施处罚的；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2.行政处罚显失公正的；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3.执法人员玩忽职守，对应当制止和处罚的违法行为不制止、处罚；</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4.不具备行政执法资格实施行政处罚的；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5.应当依法移送追究刑事责任，而未依法移送有权机关的；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6.擅自改变行政处罚种类、幅度的；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7.违反法定的行政处罚程序的；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8.符合听证条件、行政管理相对人要求听证，应予组织听证而不组织听证的；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9.在行政处罚过程中发生腐败行为的；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10.未落实行政执法三项制度的；</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i w:val="0"/>
                <w:color w:val="auto"/>
                <w:kern w:val="0"/>
                <w:sz w:val="20"/>
                <w:szCs w:val="20"/>
                <w:u w:val="none"/>
                <w:lang w:val="en-US" w:eastAsia="zh-CN"/>
              </w:rPr>
              <w:t>11.其他违反法律法规规章文件规定的行为。</w:t>
            </w:r>
          </w:p>
        </w:tc>
        <w:tc>
          <w:tcPr>
            <w:tcW w:w="1335"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i w:val="0"/>
                <w:color w:val="auto"/>
                <w:kern w:val="0"/>
                <w:sz w:val="20"/>
                <w:szCs w:val="20"/>
                <w:u w:val="none"/>
                <w:lang w:val="en-US" w:eastAsia="zh-CN"/>
              </w:rPr>
              <w:t>自2021年9月1日起施行。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40" w:type="dxa"/>
            <w:vAlign w:val="center"/>
          </w:tcPr>
          <w:p>
            <w:pPr>
              <w:wordWrap/>
              <w:spacing w:line="240" w:lineRule="exact"/>
              <w:ind w:left="0" w:leftChars="0" w:right="0" w:firstLine="0" w:firstLineChars="0"/>
              <w:jc w:val="center"/>
              <w:rPr>
                <w:rFonts w:hint="default"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10</w:t>
            </w:r>
          </w:p>
        </w:tc>
        <w:tc>
          <w:tcPr>
            <w:tcW w:w="807" w:type="dxa"/>
            <w:vAlign w:val="center"/>
          </w:tcPr>
          <w:p>
            <w:pPr>
              <w:wordWrap/>
              <w:spacing w:line="240" w:lineRule="exact"/>
              <w:ind w:left="0" w:leftChars="0" w:right="0" w:firstLine="0" w:firstLineChars="0"/>
              <w:jc w:val="center"/>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行政处罚</w:t>
            </w:r>
          </w:p>
        </w:tc>
        <w:tc>
          <w:tcPr>
            <w:tcW w:w="1225" w:type="dxa"/>
            <w:vAlign w:val="center"/>
          </w:tcPr>
          <w:p>
            <w:pPr>
              <w:wordWrap/>
              <w:spacing w:line="240" w:lineRule="exact"/>
              <w:ind w:left="0" w:leftChars="0" w:right="0" w:firstLine="0" w:firstLineChars="0"/>
              <w:jc w:val="center"/>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对民办学校有《中华人民共和国民办教育促进法》第六十二条、《中华人民共和国民办教育促进法实施条例》第六十三规定的违法情形的，对民办学校决策机构负责人、校长及直接责任人的处罚</w:t>
            </w:r>
          </w:p>
        </w:tc>
        <w:tc>
          <w:tcPr>
            <w:tcW w:w="1002" w:type="dxa"/>
            <w:vAlign w:val="center"/>
          </w:tcPr>
          <w:p>
            <w:pPr>
              <w:wordWrap/>
              <w:spacing w:line="240" w:lineRule="exact"/>
              <w:ind w:left="0" w:leftChars="0" w:right="0" w:firstLine="0" w:firstLineChars="0"/>
              <w:jc w:val="center"/>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高邑县教育局</w:t>
            </w:r>
          </w:p>
        </w:tc>
        <w:tc>
          <w:tcPr>
            <w:tcW w:w="3488" w:type="dxa"/>
            <w:vAlign w:val="top"/>
          </w:tcPr>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中华人民共和国民办教育促进法实施条例》（2004年3月5日中华人民共和国国务院令第399号公布，2021年4月7日中华人民共和国国务院令第741号修订）第六十四条第一款“民办学校有民办教育促进法第六十二条或者本条例第六十三条规定的违法情形的，由县级以上人民政府教育行政部门、人力资源社会保障行政部门或者其他有关部门依据职责分工对学校决策机构负责人、校长及直接责任人予以警告；情节严重的，1至5年内不得新成为民办学校决策机构负责人或者校长；情节特别严重、社会影响恶劣的，永久不得新成为民办学校决策机构负责人或者校长。”</w:t>
            </w:r>
          </w:p>
        </w:tc>
        <w:tc>
          <w:tcPr>
            <w:tcW w:w="3895" w:type="dxa"/>
            <w:vAlign w:val="top"/>
          </w:tcPr>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 xml:space="preserve">1.立案责任：民办学校有民办教育促进法第六十二条或者民办教育促进法实施条例第六十三条规定的违法情形的，对学校决策机构负责人、校长及直接责任人予以审查，决定是否立案。                                                                                                                                                                                                                                                                                                                                                                                                                                                                                                                                                                                                                                                                                                                                                                                                                                                                                                                                                                                                                                                                                                                                                                                                                                                                                                                                                                                                                                                                                                                                                                                                                                                                                                                                                                                                                                                                                                                                                                                                                                                                                                                                                                                                                                                                                                                                                                                                                                                                                                                                                                                                                                                                                                                                                                                                                                                                                                                                                                                                               </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2.调查责任：教育行政部门对立案的案件，指定专人负责，及时组织调查取证，与当事人有直接利害关系的应当回避。执法人员不得少于两人，调查时应出示执法证件，允许当事人辩解陈述。</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3.审查责任：对案件违法事实、证据、调查取证程序、法律适用、处罚种类和幅度、当事人陈述和申辩理由等方面进行审查，提出处理意见（证据不足时，以适当方式补充调查）。</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4.告知责任：作出行政处罚决定前，应制作《行政处罚告知书》送达当事人，告知违法事实及其享有的陈述、申辩等权。符合听证规定的，制作并送达《行政处罚听证告知书》。</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5.决定责任：制作行政处罚决定书，载明行政处罚告知、当事人陈述申辩或者听证情况等内容。</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6.送达责任：行政处罚决定书按法律规定方式送达当事人。</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7.执行责任：将生效的行政处罚决定抄告行政审批部门，执行职业禁入。</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8.落实行政处罚信息公示、全过程记录和重大执法决定法制审核“三项制度”，作出的行政处罚决定应当予以公开。</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 xml:space="preserve">9. 其他法律法规规章文件规定应履行的责任。 </w:t>
            </w:r>
          </w:p>
        </w:tc>
        <w:tc>
          <w:tcPr>
            <w:tcW w:w="1620" w:type="dxa"/>
            <w:vAlign w:val="top"/>
          </w:tcPr>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因不履行或不正确履行职责，有下列情形的，行政机关及相关工作人员应承担相应责任：</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1.没有法律和事实依据实施处罚的；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2.行政处罚显失公正的；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3.执法人员玩忽职守，对应当制止和处罚的违法行为不制止、处罚；</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4.不具备行政执法资格实施行政处罚的；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5.应当依法移送追究刑事责任，而未依法移送有权机关的；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6.擅自改变行政处罚种类、幅度的；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7.违反法定的行政处罚程序的；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8.符合听证条件、行政管理相对人要求听证，应予组织听证而不组织听证的；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9.在行政处罚过程中发生腐败行为的；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10.未落实行政执法三项制度的；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11.其他违反法律法规规章文件规定的行为。</w:t>
            </w:r>
          </w:p>
        </w:tc>
        <w:tc>
          <w:tcPr>
            <w:tcW w:w="1335"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i w:val="0"/>
                <w:color w:val="auto"/>
                <w:kern w:val="0"/>
                <w:sz w:val="20"/>
                <w:szCs w:val="20"/>
                <w:u w:val="none"/>
                <w:lang w:val="en-US" w:eastAsia="zh-CN"/>
              </w:rPr>
              <w:t>自2021年9月1日起施行。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40" w:type="dxa"/>
            <w:vAlign w:val="center"/>
          </w:tcPr>
          <w:p>
            <w:pPr>
              <w:wordWrap/>
              <w:spacing w:line="240" w:lineRule="exact"/>
              <w:ind w:left="0" w:leftChars="0" w:right="0" w:firstLine="0" w:firstLineChars="0"/>
              <w:jc w:val="center"/>
              <w:rPr>
                <w:rFonts w:hint="default"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11</w:t>
            </w:r>
          </w:p>
        </w:tc>
        <w:tc>
          <w:tcPr>
            <w:tcW w:w="807" w:type="dxa"/>
            <w:vAlign w:val="center"/>
          </w:tcPr>
          <w:p>
            <w:pPr>
              <w:wordWrap/>
              <w:spacing w:line="240" w:lineRule="exact"/>
              <w:ind w:left="0" w:leftChars="0" w:right="0" w:firstLine="0" w:firstLineChars="0"/>
              <w:jc w:val="center"/>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行政处罚</w:t>
            </w:r>
          </w:p>
        </w:tc>
        <w:tc>
          <w:tcPr>
            <w:tcW w:w="1225" w:type="dxa"/>
            <w:vAlign w:val="center"/>
          </w:tcPr>
          <w:p>
            <w:pPr>
              <w:wordWrap/>
              <w:spacing w:line="240" w:lineRule="exact"/>
              <w:ind w:left="0" w:leftChars="0" w:right="0" w:firstLine="0" w:firstLineChars="0"/>
              <w:jc w:val="center"/>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对同时举办或者实际控制多所民办学校的举办者或者实际控制人违反《中华人民共和国民办教育促进法实施条例》规定，对所举办或者实际控制的民办学校疏于管理，造成恶劣影响的处罚</w:t>
            </w:r>
          </w:p>
        </w:tc>
        <w:tc>
          <w:tcPr>
            <w:tcW w:w="1002" w:type="dxa"/>
            <w:vAlign w:val="center"/>
          </w:tcPr>
          <w:p>
            <w:pPr>
              <w:wordWrap/>
              <w:spacing w:line="240" w:lineRule="exact"/>
              <w:ind w:left="0" w:leftChars="0" w:right="0" w:firstLine="0" w:firstLineChars="0"/>
              <w:jc w:val="center"/>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高邑县教育局</w:t>
            </w:r>
          </w:p>
        </w:tc>
        <w:tc>
          <w:tcPr>
            <w:tcW w:w="3488" w:type="dxa"/>
            <w:vAlign w:val="top"/>
          </w:tcPr>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中华人民共和国民办教育促进法实施条例》（2004年3月5日中华人民共和国国务院令第399号公布，2021年4月7日中华人民共和国国务院令第741号修订）第六十四条第二款“同时举办或者实际控制多所民办学校的举办者或者实际控制人违反本条例规定，对所举办或者实际控制的民办学校疏于管理，造成恶劣影响的，由县级以上教育行政部门、人力资源社会保障行政部门或者其他有关部门依据职责分工责令限期整顿；拒不整改或者整改后仍发生同类问题的，1至5年内不得举办新的民办学校，情节严重的，10年内不得举办新的民办学校。”</w:t>
            </w:r>
          </w:p>
        </w:tc>
        <w:tc>
          <w:tcPr>
            <w:tcW w:w="3895" w:type="dxa"/>
            <w:vAlign w:val="top"/>
          </w:tcPr>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 xml:space="preserve">1.立案责任：同时举办或者实际控制多所民办学校的举办者或者实际控制人违反民办教育促进法实施条例的规定，对所举办或者实际控制的民办学校疏于管理，造成恶劣影响的，予以审查，决定是否立案。                                                                                                                                                                                                                                                                                                                                                                                                                                                                                                                                                                                                                                                                                                                                                                                                                                                                                                                                                                                                                                                                                                                                                                                                                                                                                                                                                                                                                                                                                                                                                                                                                                                                                                                                                                                                                                                                                                                                                                                                                                                                                                                                                                                                                                                                                                                                                                                                                                                                                                                                                                                                                                                                                                                                                                                                                                                                                                                                                                                                               </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2.调查责任：教育行政部门对立案的案件，指定专人负责，及时组织调查取证，与当事人有直接利害关系的应当回避。执法人员不得少于两人，调查时应出示执法证件，允许当事人辩解陈述。</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3.审查责任：对案件违法事实、证据、调查取证程序、法律适用、处罚种类和幅度、当事人陈述和申辩理由等方面进行审查，提出处理意见（证据不足时，以适当方式补充调查）。</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4.告知责任：作出行政处罚决定前，应制作《行政处罚告知书》送达当事人，告知违法事实及其享有的陈述、申辩等权。符合听证规定的，制作并送达《行政处罚听证告知书》。</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5.决定责任：制作行政处罚决定书，载明行政处罚告知、当事人陈述申辩或者听证情况等内容。</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6.送达责任：行政处罚决定书按法律规定方式送达当事人。</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7.执行责任：按生效的行政处罚决定督促整顿，并将生效的行政处罚决定抄告行政审批部门，执行职业禁入。</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8.落实行政处罚信息公示、全过程记录和重大执法决定法制审核“三项制度”，作出的行政处罚决定应当予以公开。</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 xml:space="preserve">9. 其他法律法规规章文件规定应履行的责任。 </w:t>
            </w:r>
          </w:p>
        </w:tc>
        <w:tc>
          <w:tcPr>
            <w:tcW w:w="1620" w:type="dxa"/>
            <w:vAlign w:val="top"/>
          </w:tcPr>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因不履行或不正确履行职责，有下列情形的，行政机关及相关工作人员应承担相应责任：</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1.没有法律和事实依据实施处罚的；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2.行政处罚显失公正的；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3.执法人员玩忽职守，对应当制止和处罚的违法行为不制止、处罚；</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4.不具备行政执法资格实施行政处罚的；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5.应当依法移送追究刑事责任，而未依法移送有权机关的；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6.擅自改变行政处罚种类、幅度的；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7.违反法定的行政处罚程序的；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8.符合听证条件、行政管理相对人要求听证，应予组织听证而不组织听证的；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9.在行政处罚过程中发生腐败行为的；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10.未落实行政执法三项制度的；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11.其他违反法律法规规章文件规定的行为。</w:t>
            </w:r>
          </w:p>
        </w:tc>
        <w:tc>
          <w:tcPr>
            <w:tcW w:w="1335"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i w:val="0"/>
                <w:color w:val="auto"/>
                <w:kern w:val="0"/>
                <w:sz w:val="20"/>
                <w:szCs w:val="20"/>
                <w:u w:val="none"/>
                <w:lang w:val="en-US" w:eastAsia="zh-CN"/>
              </w:rPr>
              <w:t>自2021年9月1日起施行。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40" w:type="dxa"/>
            <w:vAlign w:val="center"/>
          </w:tcPr>
          <w:p>
            <w:pPr>
              <w:wordWrap/>
              <w:spacing w:line="240" w:lineRule="exact"/>
              <w:ind w:left="0" w:leftChars="0" w:right="0" w:firstLine="0" w:firstLineChars="0"/>
              <w:jc w:val="center"/>
              <w:rPr>
                <w:rFonts w:hint="default"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12</w:t>
            </w:r>
          </w:p>
        </w:tc>
        <w:tc>
          <w:tcPr>
            <w:tcW w:w="807" w:type="dxa"/>
            <w:vAlign w:val="center"/>
          </w:tcPr>
          <w:p>
            <w:pPr>
              <w:wordWrap/>
              <w:spacing w:line="240" w:lineRule="exact"/>
              <w:ind w:left="0" w:leftChars="0" w:right="0" w:firstLine="0" w:firstLineChars="0"/>
              <w:jc w:val="center"/>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行政处罚</w:t>
            </w:r>
          </w:p>
        </w:tc>
        <w:tc>
          <w:tcPr>
            <w:tcW w:w="1225" w:type="dxa"/>
            <w:vAlign w:val="center"/>
          </w:tcPr>
          <w:p>
            <w:pPr>
              <w:wordWrap/>
              <w:spacing w:line="240" w:lineRule="exact"/>
              <w:ind w:left="0" w:leftChars="0" w:right="0" w:firstLine="0" w:firstLineChars="0"/>
              <w:jc w:val="center"/>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对违反《中华人民共和国民办教育促进法实施条例》规定举办、参与举办民办学校或者在民办学校筹设期内招生的处罚</w:t>
            </w:r>
          </w:p>
        </w:tc>
        <w:tc>
          <w:tcPr>
            <w:tcW w:w="1002" w:type="dxa"/>
            <w:vAlign w:val="center"/>
          </w:tcPr>
          <w:p>
            <w:pPr>
              <w:wordWrap/>
              <w:spacing w:line="240" w:lineRule="exact"/>
              <w:ind w:left="0" w:leftChars="0" w:right="0" w:firstLine="0" w:firstLineChars="0"/>
              <w:jc w:val="center"/>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高邑县教育局</w:t>
            </w:r>
          </w:p>
        </w:tc>
        <w:tc>
          <w:tcPr>
            <w:tcW w:w="3488" w:type="dxa"/>
            <w:vAlign w:val="top"/>
          </w:tcPr>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1.《中华人民共和国民办教育促进法》（</w:t>
            </w:r>
            <w:r>
              <w:rPr>
                <w:rFonts w:hint="default" w:ascii="仿宋_GB2312" w:hAnsi="仿宋_GB2312" w:eastAsia="仿宋_GB2312" w:cs="仿宋_GB2312"/>
                <w:i w:val="0"/>
                <w:color w:val="auto"/>
                <w:kern w:val="0"/>
                <w:sz w:val="20"/>
                <w:szCs w:val="20"/>
                <w:u w:val="none"/>
                <w:lang w:val="en-US" w:eastAsia="zh-CN"/>
              </w:rPr>
              <w:t>2002年12月28日第九届全国人民代表大会常务委员会第三十一次会议通过</w:t>
            </w:r>
            <w:r>
              <w:rPr>
                <w:rFonts w:hint="eastAsia" w:ascii="仿宋_GB2312" w:hAnsi="仿宋_GB2312" w:eastAsia="仿宋_GB2312" w:cs="仿宋_GB2312"/>
                <w:i w:val="0"/>
                <w:color w:val="auto"/>
                <w:kern w:val="0"/>
                <w:sz w:val="20"/>
                <w:szCs w:val="20"/>
                <w:u w:val="none"/>
                <w:lang w:val="en-US" w:eastAsia="zh-CN"/>
              </w:rPr>
              <w:t>；</w:t>
            </w:r>
            <w:r>
              <w:rPr>
                <w:rFonts w:hint="default" w:ascii="仿宋_GB2312" w:hAnsi="仿宋_GB2312" w:eastAsia="仿宋_GB2312" w:cs="仿宋_GB2312"/>
                <w:i w:val="0"/>
                <w:color w:val="auto"/>
                <w:kern w:val="0"/>
                <w:sz w:val="20"/>
                <w:szCs w:val="20"/>
                <w:u w:val="none"/>
                <w:lang w:val="en-US" w:eastAsia="zh-CN"/>
              </w:rPr>
              <w:t>根据2013年6月29日第十二届全国人民代表大会常务委员会第三次会议《关于修改〈中华人民共和国文物保护法〉等十二部法律的决定》第一次修正</w:t>
            </w:r>
            <w:r>
              <w:rPr>
                <w:rFonts w:hint="eastAsia" w:ascii="仿宋_GB2312" w:hAnsi="仿宋_GB2312" w:eastAsia="仿宋_GB2312" w:cs="仿宋_GB2312"/>
                <w:i w:val="0"/>
                <w:color w:val="auto"/>
                <w:kern w:val="0"/>
                <w:sz w:val="20"/>
                <w:szCs w:val="20"/>
                <w:u w:val="none"/>
                <w:lang w:val="en-US" w:eastAsia="zh-CN"/>
              </w:rPr>
              <w:t>；</w:t>
            </w:r>
            <w:r>
              <w:rPr>
                <w:rFonts w:hint="default" w:ascii="仿宋_GB2312" w:hAnsi="仿宋_GB2312" w:eastAsia="仿宋_GB2312" w:cs="仿宋_GB2312"/>
                <w:i w:val="0"/>
                <w:color w:val="auto"/>
                <w:kern w:val="0"/>
                <w:sz w:val="20"/>
                <w:szCs w:val="20"/>
                <w:u w:val="none"/>
                <w:lang w:val="en-US" w:eastAsia="zh-CN"/>
              </w:rPr>
              <w:t>根据2016年11月7日第十二届全国人民代表大会常务委员会第二十四次会议《关于修改&lt;中华人民共和国民办教育促进法&gt;的决定》第二次修正</w:t>
            </w:r>
            <w:r>
              <w:rPr>
                <w:rFonts w:hint="eastAsia" w:ascii="仿宋_GB2312" w:hAnsi="仿宋_GB2312" w:eastAsia="仿宋_GB2312" w:cs="仿宋_GB2312"/>
                <w:i w:val="0"/>
                <w:color w:val="auto"/>
                <w:kern w:val="0"/>
                <w:sz w:val="20"/>
                <w:szCs w:val="20"/>
                <w:u w:val="none"/>
                <w:lang w:val="en-US" w:eastAsia="zh-CN"/>
              </w:rPr>
              <w:t>；</w:t>
            </w:r>
            <w:r>
              <w:rPr>
                <w:rFonts w:hint="default" w:ascii="仿宋_GB2312" w:hAnsi="仿宋_GB2312" w:eastAsia="仿宋_GB2312" w:cs="仿宋_GB2312"/>
                <w:i w:val="0"/>
                <w:color w:val="auto"/>
                <w:kern w:val="0"/>
                <w:sz w:val="20"/>
                <w:szCs w:val="20"/>
                <w:u w:val="none"/>
                <w:lang w:val="en-US" w:eastAsia="zh-CN"/>
              </w:rPr>
              <w:t>根据2018年12月29日第十三届全国人民代表大会常务委员会第七次会议《关于修改〈中华人民共和国劳动法〉等七部法律的决定》第三次修正</w:t>
            </w:r>
            <w:r>
              <w:rPr>
                <w:rFonts w:hint="eastAsia" w:ascii="仿宋_GB2312" w:hAnsi="仿宋_GB2312" w:eastAsia="仿宋_GB2312" w:cs="仿宋_GB2312"/>
                <w:i w:val="0"/>
                <w:color w:val="auto"/>
                <w:kern w:val="0"/>
                <w:sz w:val="20"/>
                <w:szCs w:val="20"/>
                <w:u w:val="none"/>
                <w:lang w:val="en-US" w:eastAsia="zh-CN"/>
              </w:rPr>
              <w:t>）第六十四条“违反国家有关规定擅自举办民办学校的，由所在地县级以上地方人民政府教育行政部门或者人力资源社会保障行政部门会同同级公安、民政或者市场监督管理等有关部门责令停止办学、退还所收费用，并对举办者处违法所得一倍以上五倍以下罚款；构成违反治安管理行为的，由公安机关依法给予治安管理处罚；构成犯罪的，依法追究刑事责任”；</w:t>
            </w:r>
          </w:p>
          <w:p>
            <w:pPr>
              <w:wordWrap/>
              <w:spacing w:line="240" w:lineRule="exact"/>
              <w:ind w:left="0" w:leftChars="0" w:right="0" w:firstLine="0" w:firstLineChars="0"/>
              <w:rPr>
                <w:rFonts w:hint="default"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2.《中华人民共和国民办教育促进法实施条例》（2004年3月5日中华人民共和国国务院令第399号公布，2021年4月7日中华人民共和国国务院令第741号修订）第六十五条“违反本条例规定举办、参与举办民办学校或者在民办学校筹设期内招生的，依照民办教育促进法第六十四条规定给予处罚。”</w:t>
            </w:r>
          </w:p>
        </w:tc>
        <w:tc>
          <w:tcPr>
            <w:tcW w:w="3895" w:type="dxa"/>
            <w:vAlign w:val="top"/>
          </w:tcPr>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 xml:space="preserve">1.立案责任：发现公民、法人、其他组织违反民办教育促进法实施条例规定举办、参与举办民办学校或者在民办学校筹设期内招生的违法行为，予以审查，决定是否立案。                                                                                                                                                                                                                                                                                                                                                                                                                                                                                                                                                                                                                                                                                                                                                                                                                                                                                                                                                                                                                                                                                                                                                                                                                                                                                                                                                                                                                                                                                                                                                                                                                                                                                                                                                                                                                                                                                                                                                                                                                                                                                                                                                                                                                                                                                                                                                                                                                                                                                                                                                                                                                                                                                                                                                                                                                                                                                                                                                                                                               </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2.调查责任：教育行政部门对立案的案件，指定专人负责，及时组织调查取证，与当事人有直接利害关系的应当回避。执法人员不得少于两人，调查时应出示执法证件，允许当事人辩解陈述。</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3.审查责任：对案件违法事实、证据、调查取证程序、法律适用、处罚种类和幅度、当事人陈述和申辩理由等方面进行审查，提出处理意见（证据不足时，以适当方式补充调查）。</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4.告知责任：作出行政处罚决定前，应制作《行政处罚告知书》送达当事人，告知违法事实及其享有的陈述、申辩等权。符合听证规定的，制作并送达《行政处罚听证告知书》。</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5.决定责任：制作行政处罚决定书，载明行政处罚告知、当事人陈述申辩或者听证情况等内容。</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6.送达责任：行政处罚决定书按法律规定方式送达当事人。</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7.执行责任：依照生效的行政处罚决定，督促当事人停止办学，缴纳罚款。</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8.落实行政处罚信息公示、全过程记录和重大执法决定法制审核“三项制度”，作出的行政处罚决定应当予以公开。</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 xml:space="preserve">9. 其他法律法规规章文件规定应履行的责任。 </w:t>
            </w:r>
          </w:p>
        </w:tc>
        <w:tc>
          <w:tcPr>
            <w:tcW w:w="1620" w:type="dxa"/>
            <w:vAlign w:val="top"/>
          </w:tcPr>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因不履行或不正确履行职责，有下列情形的，行政机关及相关工作人员应承担相应责任：</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1.没有法律和事实依据实施处罚的；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2.行政处罚显失公正的；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3.执法人员玩忽职守，对应当制止和处罚的违法行为不制止、处罚；</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4.不具备行政执法资格实施行政处罚的；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5.应当依法移送追究刑事责任，而未依法移送有权机关的；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6.擅自改变行政处罚种类、幅度的；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7.违反法定的行政处罚程序的；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8.符合听证条件、行政管理相对人要求听证，应予组织听证而不组织听证的；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9.在行政处罚过程中发生腐败行为的；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10.未落实行政执法三项制度的；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11.其他违反法律法规规章文件规定的行为。</w:t>
            </w:r>
          </w:p>
        </w:tc>
        <w:tc>
          <w:tcPr>
            <w:tcW w:w="1335"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i w:val="0"/>
                <w:color w:val="auto"/>
                <w:kern w:val="0"/>
                <w:sz w:val="20"/>
                <w:szCs w:val="20"/>
                <w:u w:val="none"/>
                <w:lang w:val="en-US" w:eastAsia="zh-CN"/>
              </w:rPr>
              <w:t>自2021年9月1日起施行。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40" w:type="dxa"/>
            <w:vAlign w:val="center"/>
          </w:tcPr>
          <w:p>
            <w:pPr>
              <w:wordWrap/>
              <w:spacing w:line="240" w:lineRule="exact"/>
              <w:ind w:left="0" w:leftChars="0" w:right="0" w:firstLine="0" w:firstLineChars="0"/>
              <w:jc w:val="center"/>
              <w:rPr>
                <w:rFonts w:hint="default"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13</w:t>
            </w:r>
          </w:p>
        </w:tc>
        <w:tc>
          <w:tcPr>
            <w:tcW w:w="807" w:type="dxa"/>
            <w:vAlign w:val="center"/>
          </w:tcPr>
          <w:p>
            <w:pPr>
              <w:wordWrap/>
              <w:spacing w:line="240" w:lineRule="exact"/>
              <w:ind w:left="0" w:leftChars="0" w:right="0" w:firstLine="0" w:firstLineChars="0"/>
              <w:jc w:val="center"/>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行政处罚</w:t>
            </w:r>
          </w:p>
        </w:tc>
        <w:tc>
          <w:tcPr>
            <w:tcW w:w="1225" w:type="dxa"/>
            <w:vAlign w:val="center"/>
          </w:tcPr>
          <w:p>
            <w:pPr>
              <w:wordWrap/>
              <w:spacing w:line="240" w:lineRule="exact"/>
              <w:ind w:left="0" w:leftChars="0" w:right="0" w:firstLine="0" w:firstLineChars="0"/>
              <w:jc w:val="center"/>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在学校吸烟、饮酒的处罚</w:t>
            </w:r>
          </w:p>
        </w:tc>
        <w:tc>
          <w:tcPr>
            <w:tcW w:w="1002" w:type="dxa"/>
            <w:vAlign w:val="center"/>
          </w:tcPr>
          <w:p>
            <w:pPr>
              <w:wordWrap/>
              <w:spacing w:line="240" w:lineRule="exact"/>
              <w:ind w:left="0" w:leftChars="0" w:right="0" w:firstLine="0" w:firstLineChars="0"/>
              <w:jc w:val="center"/>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高邑县教育局</w:t>
            </w:r>
          </w:p>
        </w:tc>
        <w:tc>
          <w:tcPr>
            <w:tcW w:w="3488" w:type="dxa"/>
            <w:vAlign w:val="top"/>
          </w:tcPr>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《中华人民共和国未成年人保护法》（</w:t>
            </w:r>
            <w:r>
              <w:rPr>
                <w:rFonts w:hint="default" w:ascii="仿宋_GB2312" w:hAnsi="仿宋_GB2312" w:eastAsia="仿宋_GB2312" w:cs="仿宋_GB2312"/>
                <w:i w:val="0"/>
                <w:color w:val="auto"/>
                <w:kern w:val="0"/>
                <w:sz w:val="20"/>
                <w:szCs w:val="20"/>
                <w:u w:val="none"/>
                <w:lang w:val="en-US" w:eastAsia="zh-CN"/>
              </w:rPr>
              <w:t>1991年9月4日第七届全国人民代表大会常务委员会第二十一次会议通过</w:t>
            </w:r>
            <w:r>
              <w:rPr>
                <w:rFonts w:hint="eastAsia" w:ascii="仿宋_GB2312" w:hAnsi="仿宋_GB2312" w:eastAsia="仿宋_GB2312" w:cs="仿宋_GB2312"/>
                <w:i w:val="0"/>
                <w:color w:val="auto"/>
                <w:kern w:val="0"/>
                <w:sz w:val="20"/>
                <w:szCs w:val="20"/>
                <w:u w:val="none"/>
                <w:lang w:val="en-US" w:eastAsia="zh-CN"/>
              </w:rPr>
              <w:t>；</w:t>
            </w:r>
            <w:r>
              <w:rPr>
                <w:rFonts w:hint="default" w:ascii="仿宋_GB2312" w:hAnsi="仿宋_GB2312" w:eastAsia="仿宋_GB2312" w:cs="仿宋_GB2312"/>
                <w:i w:val="0"/>
                <w:color w:val="auto"/>
                <w:kern w:val="0"/>
                <w:sz w:val="20"/>
                <w:szCs w:val="20"/>
                <w:u w:val="none"/>
                <w:lang w:val="en-US" w:eastAsia="zh-CN"/>
              </w:rPr>
              <w:t>2006年12月29日第十届全国人民代表大会常务委员会第二十五次会议第一次修订</w:t>
            </w:r>
            <w:r>
              <w:rPr>
                <w:rFonts w:hint="eastAsia" w:ascii="仿宋_GB2312" w:hAnsi="仿宋_GB2312" w:eastAsia="仿宋_GB2312" w:cs="仿宋_GB2312"/>
                <w:i w:val="0"/>
                <w:color w:val="auto"/>
                <w:kern w:val="0"/>
                <w:sz w:val="20"/>
                <w:szCs w:val="20"/>
                <w:u w:val="none"/>
                <w:lang w:val="en-US" w:eastAsia="zh-CN"/>
              </w:rPr>
              <w:t>；</w:t>
            </w:r>
            <w:r>
              <w:rPr>
                <w:rFonts w:hint="default" w:ascii="仿宋_GB2312" w:hAnsi="仿宋_GB2312" w:eastAsia="仿宋_GB2312" w:cs="仿宋_GB2312"/>
                <w:i w:val="0"/>
                <w:color w:val="auto"/>
                <w:kern w:val="0"/>
                <w:sz w:val="20"/>
                <w:szCs w:val="20"/>
                <w:u w:val="none"/>
                <w:lang w:val="en-US" w:eastAsia="zh-CN"/>
              </w:rPr>
              <w:t>根据2012年10月26日第十一届全国人民代表大会常务委员会第二十九次会议《关于修改〈中华人民共和国未成年人保护法〉的决定》修正</w:t>
            </w:r>
            <w:r>
              <w:rPr>
                <w:rFonts w:hint="eastAsia" w:ascii="仿宋_GB2312" w:hAnsi="仿宋_GB2312" w:eastAsia="仿宋_GB2312" w:cs="仿宋_GB2312"/>
                <w:i w:val="0"/>
                <w:color w:val="auto"/>
                <w:kern w:val="0"/>
                <w:sz w:val="20"/>
                <w:szCs w:val="20"/>
                <w:u w:val="none"/>
                <w:lang w:val="en-US" w:eastAsia="zh-CN"/>
              </w:rPr>
              <w:t>；</w:t>
            </w:r>
            <w:r>
              <w:rPr>
                <w:rFonts w:hint="default" w:ascii="仿宋_GB2312" w:hAnsi="仿宋_GB2312" w:eastAsia="仿宋_GB2312" w:cs="仿宋_GB2312"/>
                <w:i w:val="0"/>
                <w:color w:val="auto"/>
                <w:kern w:val="0"/>
                <w:sz w:val="20"/>
                <w:szCs w:val="20"/>
                <w:u w:val="none"/>
                <w:lang w:val="en-US" w:eastAsia="zh-CN"/>
              </w:rPr>
              <w:t>2020年10月17日第十三届全国人民代表大会常务委员会第二十二次会议第二次修订</w:t>
            </w:r>
            <w:r>
              <w:rPr>
                <w:rFonts w:hint="eastAsia" w:ascii="仿宋_GB2312" w:hAnsi="仿宋_GB2312" w:eastAsia="仿宋_GB2312" w:cs="仿宋_GB2312"/>
                <w:i w:val="0"/>
                <w:color w:val="auto"/>
                <w:kern w:val="0"/>
                <w:sz w:val="20"/>
                <w:szCs w:val="20"/>
                <w:u w:val="none"/>
                <w:lang w:val="en-US" w:eastAsia="zh-CN"/>
              </w:rPr>
              <w:t>）第一百二十四条“违反本法第五十九条第二款规定，在学校、幼儿园和其他未成年人集中活动的公共场所吸烟、饮酒的，由卫生健康、教育、市场监督管理等部门按照职责分工责令改正，给予警告，可以并处五百元以下罚款；场所管理者未及时制止的，由卫生健康、教育、市场监督管理等部门按照职责分工给予警告，并处一万元以下罚款。”</w:t>
            </w:r>
          </w:p>
        </w:tc>
        <w:tc>
          <w:tcPr>
            <w:tcW w:w="3895" w:type="dxa"/>
            <w:vAlign w:val="top"/>
          </w:tcPr>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 xml:space="preserve">1.立案责任：对在学校、幼儿园吸烟、饮酒的违法行为，予以审查，决定是否立案。                                                                                                                                                                                                                                                                                                                                                                                                                                                                                                                                                                                                                                                                                                                                                                                                                                                                                                                                                                                                                                                                                                                                                                                                                                                                                                                                                                                                                                                                                                                                                                                                                                                                                                                                                                                                                                                                                                                                                                                                                                                                                                                                                                                                                                                                                                                                                                                                                                                                                                                                                                                                                                                                                                                                                                                                                                                                                                                                                                                                               </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2.调查责任：教育行政部门对立案的案件，指定专人负责，及时组织调查取证，与当事人有直接利害关系的应当回避。执法人员不得少于两人，调查时应出示执法证件，允许当事人辩解陈述。</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3.审查责任：对案件违法事实、证据、调查取证程序、法律适用、处罚种类和幅度、当事人陈述和申辩理由等方面进行审查，提出处理意见（证据不足时，以适当方式补充调查）。</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4.告知责任：作出行政处罚决定前，应制作《行政处罚告知书》送达当事人，告知违法事实及其享有的陈述、申辩等权。符合听证规定的，制作并送达《行政处罚听证告知书》。</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5.决定责任：制作行政处罚决定书，载明行政处罚告知、当事人陈述申辩或者听证情况等内容。</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6.送达责任：行政处罚决定书按法律规定方式送达当事人。</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7.执行责任：依照生效的行政处罚决定，依照生效的行政处罚决定，督促违法相对人履行缴纳罚款义务。</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8.落实行政处罚信息公示、全过程记录和重大执法决定法制审核“三项制度”，作出的行政处罚决定应当予以公开。</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i w:val="0"/>
                <w:color w:val="auto"/>
                <w:kern w:val="0"/>
                <w:sz w:val="20"/>
                <w:szCs w:val="20"/>
                <w:u w:val="none"/>
                <w:lang w:val="en-US" w:eastAsia="zh-CN"/>
              </w:rPr>
              <w:t xml:space="preserve">9. 其他法律法规规章文件规定应履行的责任。 </w:t>
            </w:r>
          </w:p>
        </w:tc>
        <w:tc>
          <w:tcPr>
            <w:tcW w:w="1620" w:type="dxa"/>
            <w:vAlign w:val="top"/>
          </w:tcPr>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履行职责，有下列情形的，行政机关及相关工作人员应承担相应责任：</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1.没有法律和事实依据实施处罚的；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2.行政处罚显失公正的；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3.执法人员玩忽职守，对应当制止和处罚的违法行为不制止、处罚；</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4.不具备行政执法资格实施行政处罚的；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5.应当依法移送追究刑事责任，而未依法移送有权机关的；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6.擅自改变行政处罚种类、幅度的；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7.违反法定的行政处罚程序的；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8.符合听证条件、行政管理相对人要求听证，应予组织听证而不组织听证的；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9.在行政处罚过程中发生腐败行为的；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10.未落实行政执法三项制度的；</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i w:val="0"/>
                <w:color w:val="auto"/>
                <w:kern w:val="0"/>
                <w:sz w:val="20"/>
                <w:szCs w:val="20"/>
                <w:u w:val="none"/>
                <w:lang w:val="en-US" w:eastAsia="zh-CN"/>
              </w:rPr>
              <w:t>11.其他违反法律法规规章文件规定的行为。</w:t>
            </w:r>
          </w:p>
        </w:tc>
        <w:tc>
          <w:tcPr>
            <w:tcW w:w="1335"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i w:val="0"/>
                <w:color w:val="auto"/>
                <w:kern w:val="0"/>
                <w:sz w:val="20"/>
                <w:szCs w:val="20"/>
                <w:u w:val="none"/>
                <w:lang w:val="en-US" w:eastAsia="zh-CN"/>
              </w:rPr>
              <w:t>自2021年6月1日起施行。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40" w:type="dxa"/>
            <w:vAlign w:val="center"/>
          </w:tcPr>
          <w:p>
            <w:pPr>
              <w:wordWrap/>
              <w:spacing w:line="240" w:lineRule="exact"/>
              <w:ind w:left="0" w:leftChars="0" w:right="0" w:firstLine="0" w:firstLineChars="0"/>
              <w:jc w:val="center"/>
              <w:rPr>
                <w:rFonts w:hint="default"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14</w:t>
            </w:r>
          </w:p>
        </w:tc>
        <w:tc>
          <w:tcPr>
            <w:tcW w:w="807" w:type="dxa"/>
            <w:vAlign w:val="center"/>
          </w:tcPr>
          <w:p>
            <w:pPr>
              <w:wordWrap/>
              <w:spacing w:line="240" w:lineRule="exact"/>
              <w:ind w:left="0" w:leftChars="0" w:right="0" w:firstLine="0" w:firstLineChars="0"/>
              <w:jc w:val="center"/>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行政处罚</w:t>
            </w:r>
          </w:p>
        </w:tc>
        <w:tc>
          <w:tcPr>
            <w:tcW w:w="1225" w:type="dxa"/>
            <w:vAlign w:val="center"/>
          </w:tcPr>
          <w:p>
            <w:pPr>
              <w:wordWrap/>
              <w:spacing w:line="240" w:lineRule="exact"/>
              <w:ind w:left="0" w:leftChars="0" w:right="0" w:firstLine="0" w:firstLineChars="0"/>
              <w:jc w:val="center"/>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对学校等密切接触未成年人的单位未履行查询义务，或者招用、继续聘用具有相关违法犯罪记录人员的处罚</w:t>
            </w:r>
          </w:p>
        </w:tc>
        <w:tc>
          <w:tcPr>
            <w:tcW w:w="1002" w:type="dxa"/>
            <w:vAlign w:val="center"/>
          </w:tcPr>
          <w:p>
            <w:pPr>
              <w:wordWrap/>
              <w:spacing w:line="240" w:lineRule="exact"/>
              <w:ind w:left="0" w:leftChars="0" w:right="0" w:firstLine="0" w:firstLineChars="0"/>
              <w:jc w:val="center"/>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高邑县教育局</w:t>
            </w:r>
          </w:p>
        </w:tc>
        <w:tc>
          <w:tcPr>
            <w:tcW w:w="3488" w:type="dxa"/>
            <w:vAlign w:val="top"/>
          </w:tcPr>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《中华人民共和国未成年人保护法》（</w:t>
            </w:r>
            <w:r>
              <w:rPr>
                <w:rFonts w:hint="default" w:ascii="仿宋_GB2312" w:hAnsi="仿宋_GB2312" w:eastAsia="仿宋_GB2312" w:cs="仿宋_GB2312"/>
                <w:i w:val="0"/>
                <w:color w:val="auto"/>
                <w:kern w:val="0"/>
                <w:sz w:val="20"/>
                <w:szCs w:val="20"/>
                <w:u w:val="none"/>
                <w:lang w:val="en-US" w:eastAsia="zh-CN"/>
              </w:rPr>
              <w:t>1991年9月4日第七届全国人民代表大会常务委员会第二十一次会议通过</w:t>
            </w:r>
            <w:r>
              <w:rPr>
                <w:rFonts w:hint="eastAsia" w:ascii="仿宋_GB2312" w:hAnsi="仿宋_GB2312" w:eastAsia="仿宋_GB2312" w:cs="仿宋_GB2312"/>
                <w:i w:val="0"/>
                <w:color w:val="auto"/>
                <w:kern w:val="0"/>
                <w:sz w:val="20"/>
                <w:szCs w:val="20"/>
                <w:u w:val="none"/>
                <w:lang w:val="en-US" w:eastAsia="zh-CN"/>
              </w:rPr>
              <w:t>；</w:t>
            </w:r>
            <w:r>
              <w:rPr>
                <w:rFonts w:hint="default" w:ascii="仿宋_GB2312" w:hAnsi="仿宋_GB2312" w:eastAsia="仿宋_GB2312" w:cs="仿宋_GB2312"/>
                <w:i w:val="0"/>
                <w:color w:val="auto"/>
                <w:kern w:val="0"/>
                <w:sz w:val="20"/>
                <w:szCs w:val="20"/>
                <w:u w:val="none"/>
                <w:lang w:val="en-US" w:eastAsia="zh-CN"/>
              </w:rPr>
              <w:t>2006年12月29日第十届全国人民代表大会常务委员会第二十五次会议第一次修订</w:t>
            </w:r>
            <w:r>
              <w:rPr>
                <w:rFonts w:hint="eastAsia" w:ascii="仿宋_GB2312" w:hAnsi="仿宋_GB2312" w:eastAsia="仿宋_GB2312" w:cs="仿宋_GB2312"/>
                <w:i w:val="0"/>
                <w:color w:val="auto"/>
                <w:kern w:val="0"/>
                <w:sz w:val="20"/>
                <w:szCs w:val="20"/>
                <w:u w:val="none"/>
                <w:lang w:val="en-US" w:eastAsia="zh-CN"/>
              </w:rPr>
              <w:t>；</w:t>
            </w:r>
            <w:r>
              <w:rPr>
                <w:rFonts w:hint="default" w:ascii="仿宋_GB2312" w:hAnsi="仿宋_GB2312" w:eastAsia="仿宋_GB2312" w:cs="仿宋_GB2312"/>
                <w:i w:val="0"/>
                <w:color w:val="auto"/>
                <w:kern w:val="0"/>
                <w:sz w:val="20"/>
                <w:szCs w:val="20"/>
                <w:u w:val="none"/>
                <w:lang w:val="en-US" w:eastAsia="zh-CN"/>
              </w:rPr>
              <w:t>根据2012年10月26日第十一届全国人民代表大会常务委员会第二十九次会议《关于修改〈中华人民共和国未成年人保护法〉的决定》修正</w:t>
            </w:r>
            <w:r>
              <w:rPr>
                <w:rFonts w:hint="eastAsia" w:ascii="仿宋_GB2312" w:hAnsi="仿宋_GB2312" w:eastAsia="仿宋_GB2312" w:cs="仿宋_GB2312"/>
                <w:i w:val="0"/>
                <w:color w:val="auto"/>
                <w:kern w:val="0"/>
                <w:sz w:val="20"/>
                <w:szCs w:val="20"/>
                <w:u w:val="none"/>
                <w:lang w:val="en-US" w:eastAsia="zh-CN"/>
              </w:rPr>
              <w:t>；</w:t>
            </w:r>
            <w:r>
              <w:rPr>
                <w:rFonts w:hint="default" w:ascii="仿宋_GB2312" w:hAnsi="仿宋_GB2312" w:eastAsia="仿宋_GB2312" w:cs="仿宋_GB2312"/>
                <w:i w:val="0"/>
                <w:color w:val="auto"/>
                <w:kern w:val="0"/>
                <w:sz w:val="20"/>
                <w:szCs w:val="20"/>
                <w:u w:val="none"/>
                <w:lang w:val="en-US" w:eastAsia="zh-CN"/>
              </w:rPr>
              <w:t>2020年10月17日第十三届全国人民代表大会常务委员会第二十二次会议第二次修订</w:t>
            </w:r>
            <w:r>
              <w:rPr>
                <w:rFonts w:hint="eastAsia" w:ascii="仿宋_GB2312" w:hAnsi="仿宋_GB2312" w:eastAsia="仿宋_GB2312" w:cs="仿宋_GB2312"/>
                <w:i w:val="0"/>
                <w:color w:val="auto"/>
                <w:kern w:val="0"/>
                <w:sz w:val="20"/>
                <w:szCs w:val="20"/>
                <w:u w:val="none"/>
                <w:lang w:val="en-US" w:eastAsia="zh-CN"/>
              </w:rPr>
              <w:t>）第一百二十六条“密切接触未成年人的单位违反本法第六十二条规定，未履行查询义务，或者招用、继续聘用具有相关违法犯罪记录人员的，由教育、人力资源和社会保障、市场监督管理等部门按照职责分工责令限期改正，给予警告，并处五万元以下罚款；拒不改正或者造成严重后果的，责令停业整顿或者吊销营业执照、吊销相关许可证，并处五万元以上五十万元以下罚款，对直接负责的主管人员和其他直接责任人员依法给予处分。”</w:t>
            </w:r>
          </w:p>
        </w:tc>
        <w:tc>
          <w:tcPr>
            <w:tcW w:w="3895" w:type="dxa"/>
            <w:vAlign w:val="top"/>
          </w:tcPr>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 xml:space="preserve">1.立案责任：发现学校、幼儿园、校外培训机构等密切接触未成年人的单位未履行查询义务，或者招用、继续聘用具有相关违法犯罪记录人员的违法行为，予以审查，决定是否立案。                                                                                                                                                                                                                                                                                                                                                                                                                                                                                                                                                                                                                                                                                                                                                                                                                                                                                                                                                                                                                                                                                                                                                                                                                                                                                                                                                                                                                                                                                                                                                                                                                                                                                                                                                                                                                                                                                                                                                                                                                                                                                                                                                                                                                                                                                                                                                                                                                                                                                                                                                                                                                                                                                                                                                                                                                                                                                                                                                                                                               </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2.调查责任：教育行政部门对立案的案件，指定专人负责，及时组织调查取证，与当事人有直接利害关系的应当回避。执法人员不得少于两人，调查时应出示执法证件，允许当事人辩解陈述。</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3.审查责任：对案件违法事实、证据、调查取证程序、法律适用、处罚种类和幅度、当事人陈述和申辩理由等方面进行审查，提出处理意见（证据不足时，以适当方式补充调查）。</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4.告知责任：作出行政处罚决定前，应制作《行政处罚告知书》送达当事人，告知违法事实及其享有的陈述、申辩等权。符合听证规定的，制作并送达《行政处罚听证告知书》。</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5.决定责任：制作行政处罚决定书，载明行政处罚告知、当事人陈述申辩或者听证情况等内容。</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6.送达责任：行政处罚决定书按法律规定方式送达当事人。</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7.执行责任：依照生效的行政处罚决定，督促当事人缴纳罚款，执行停业整顿、吊销许可证照。</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8.落实行政处罚信息公示、全过程记录和重大执法决定法制审核“三项制度”，作出的行政处罚决定应当予以公开。</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i w:val="0"/>
                <w:color w:val="auto"/>
                <w:kern w:val="0"/>
                <w:sz w:val="20"/>
                <w:szCs w:val="20"/>
                <w:u w:val="none"/>
                <w:lang w:val="en-US" w:eastAsia="zh-CN"/>
              </w:rPr>
              <w:t xml:space="preserve">9. 其他法律法规规章文件规定应履行的责任。 </w:t>
            </w:r>
          </w:p>
        </w:tc>
        <w:tc>
          <w:tcPr>
            <w:tcW w:w="1620" w:type="dxa"/>
            <w:vAlign w:val="top"/>
          </w:tcPr>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履行职责，有下列情形的，行政机关及相关工作人员应承担相应责任：</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1.没有法律和事实依据实施处罚的；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2.行政处罚显失公正的；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3.执法人员玩忽职守，对应当制止和处罚的违法行为不制止、处罚；</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4.不具备行政执法资格实施行政处罚的；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5.擅自改变行政处罚种类、幅度的；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6.违反法定的行政处罚程序的；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7.符合听证条件、行政管理相对人要求听证，应予组织听证而不组织听证的；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8.在行政处罚过程中发生腐败行为的；</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9.未落实行政执法三项制度的；</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i w:val="0"/>
                <w:color w:val="auto"/>
                <w:kern w:val="0"/>
                <w:sz w:val="20"/>
                <w:szCs w:val="20"/>
                <w:u w:val="none"/>
                <w:lang w:val="en-US" w:eastAsia="zh-CN"/>
              </w:rPr>
              <w:t>10.其他违反法律法规规章文件规定的行为。</w:t>
            </w:r>
          </w:p>
        </w:tc>
        <w:tc>
          <w:tcPr>
            <w:tcW w:w="1335"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i w:val="0"/>
                <w:color w:val="auto"/>
                <w:kern w:val="0"/>
                <w:sz w:val="20"/>
                <w:szCs w:val="20"/>
                <w:u w:val="none"/>
                <w:lang w:val="en-US" w:eastAsia="zh-CN"/>
              </w:rPr>
              <w:t>自2021年6月1日起施行。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40" w:type="dxa"/>
            <w:vAlign w:val="center"/>
          </w:tcPr>
          <w:p>
            <w:pPr>
              <w:wordWrap/>
              <w:spacing w:line="240" w:lineRule="exact"/>
              <w:ind w:left="0" w:leftChars="0" w:right="0" w:firstLine="0" w:firstLineChars="0"/>
              <w:jc w:val="center"/>
              <w:rPr>
                <w:rFonts w:hint="default"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15</w:t>
            </w:r>
          </w:p>
        </w:tc>
        <w:tc>
          <w:tcPr>
            <w:tcW w:w="807" w:type="dxa"/>
            <w:vAlign w:val="center"/>
          </w:tcPr>
          <w:p>
            <w:pPr>
              <w:wordWrap/>
              <w:spacing w:line="240" w:lineRule="exact"/>
              <w:ind w:left="0" w:leftChars="0" w:right="0" w:firstLine="0" w:firstLineChars="0"/>
              <w:jc w:val="center"/>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行政确认</w:t>
            </w:r>
          </w:p>
        </w:tc>
        <w:tc>
          <w:tcPr>
            <w:tcW w:w="1225" w:type="dxa"/>
            <w:vAlign w:val="center"/>
          </w:tcPr>
          <w:p>
            <w:pPr>
              <w:wordWrap/>
              <w:spacing w:line="240" w:lineRule="exact"/>
              <w:ind w:left="0" w:leftChars="0" w:right="0" w:firstLine="0" w:firstLineChars="0"/>
              <w:jc w:val="center"/>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教师资格定期注册</w:t>
            </w:r>
          </w:p>
        </w:tc>
        <w:tc>
          <w:tcPr>
            <w:tcW w:w="1002" w:type="dxa"/>
            <w:vAlign w:val="center"/>
          </w:tcPr>
          <w:p>
            <w:pPr>
              <w:wordWrap/>
              <w:spacing w:line="240" w:lineRule="exact"/>
              <w:ind w:left="0" w:leftChars="0" w:right="0" w:firstLine="0" w:firstLineChars="0"/>
              <w:jc w:val="center"/>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高邑县教育局</w:t>
            </w:r>
          </w:p>
        </w:tc>
        <w:tc>
          <w:tcPr>
            <w:tcW w:w="3488" w:type="dxa"/>
            <w:vAlign w:val="top"/>
          </w:tcPr>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中小学教师资格定期注册暂行办法》（教师〔2013〕9号）第六条：“国务院教育行政部门主管教师资格定期注册工作。县级以上地方教育行政部门负责本地教师资格定期注册的组织、管理、监督和实施。”第十二条：“教师资格定期注册须由本人申请，所在学校集体办理，按照人事隶属关系报县级以上教育行政部门审核注册。”</w:t>
            </w:r>
          </w:p>
        </w:tc>
        <w:tc>
          <w:tcPr>
            <w:tcW w:w="3895" w:type="dxa"/>
            <w:vAlign w:val="top"/>
          </w:tcPr>
          <w:p>
            <w:pPr>
              <w:widowControl w:val="0"/>
              <w:wordWrap/>
              <w:adjustRightInd w:val="0"/>
              <w:snapToGrid w:val="0"/>
              <w:spacing w:line="240" w:lineRule="exact"/>
              <w:ind w:left="0" w:leftChars="0" w:right="0" w:firstLine="0" w:firstLineChars="0"/>
              <w:jc w:val="both"/>
              <w:textAlignment w:val="auto"/>
              <w:outlineLvl w:val="9"/>
              <w:rPr>
                <w:rFonts w:hint="eastAsia" w:ascii="仿宋_GB2312" w:hAnsi="仿宋_GB2312" w:eastAsia="仿宋_GB2312" w:cs="仿宋_GB2312"/>
                <w:color w:val="000000"/>
                <w:sz w:val="18"/>
                <w:szCs w:val="18"/>
                <w:lang w:val="en-US" w:eastAsia="zh-CN"/>
              </w:rPr>
            </w:pPr>
          </w:p>
          <w:p>
            <w:pPr>
              <w:widowControl w:val="0"/>
              <w:wordWrap/>
              <w:adjustRightInd w:val="0"/>
              <w:snapToGrid w:val="0"/>
              <w:spacing w:line="240" w:lineRule="exact"/>
              <w:ind w:left="0" w:leftChars="0" w:right="0" w:firstLine="0" w:firstLineChars="0"/>
              <w:jc w:val="both"/>
              <w:textAlignment w:val="auto"/>
              <w:outlineLvl w:val="9"/>
              <w:rPr>
                <w:rFonts w:hint="eastAsia"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1.受理责任：按照属地管理原则，县级教育行政部门受理教师定期注册申请。</w:t>
            </w:r>
          </w:p>
          <w:p>
            <w:pPr>
              <w:widowControl w:val="0"/>
              <w:wordWrap/>
              <w:adjustRightInd w:val="0"/>
              <w:snapToGrid w:val="0"/>
              <w:spacing w:line="240" w:lineRule="exact"/>
              <w:ind w:left="0" w:leftChars="0" w:right="0" w:firstLine="0" w:firstLineChars="0"/>
              <w:jc w:val="both"/>
              <w:textAlignment w:val="auto"/>
              <w:outlineLvl w:val="9"/>
              <w:rPr>
                <w:rFonts w:hint="eastAsia"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2.审核责任：教育行政部门严格按照定期注册标准对学校提交的材料进行审核，提出审核意见；</w:t>
            </w:r>
          </w:p>
          <w:p>
            <w:pPr>
              <w:widowControl w:val="0"/>
              <w:wordWrap/>
              <w:adjustRightInd w:val="0"/>
              <w:snapToGrid w:val="0"/>
              <w:spacing w:line="240" w:lineRule="exact"/>
              <w:ind w:left="0" w:leftChars="0" w:right="0" w:firstLine="0" w:firstLineChars="0"/>
              <w:jc w:val="both"/>
              <w:textAlignment w:val="auto"/>
              <w:outlineLvl w:val="9"/>
              <w:rPr>
                <w:rFonts w:hint="eastAsia"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3.注册责任：通过注册的，发放定期注册标签；</w:t>
            </w:r>
          </w:p>
          <w:p>
            <w:pPr>
              <w:widowControl w:val="0"/>
              <w:wordWrap/>
              <w:adjustRightInd w:val="0"/>
              <w:snapToGrid w:val="0"/>
              <w:spacing w:line="240" w:lineRule="exact"/>
              <w:ind w:left="0" w:leftChars="0" w:right="0" w:firstLine="0" w:firstLineChars="0"/>
              <w:jc w:val="both"/>
              <w:textAlignment w:val="auto"/>
              <w:outlineLvl w:val="9"/>
              <w:rPr>
                <w:rFonts w:hint="eastAsia"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4.事后监管责任：对注册情况进行监督检查，根据检查情况作出暂缓注册或注册不合格的决定。</w:t>
            </w:r>
          </w:p>
          <w:p>
            <w:pPr>
              <w:wordWrap/>
              <w:spacing w:line="240" w:lineRule="exact"/>
              <w:ind w:left="0" w:leftChars="0" w:right="0" w:firstLine="0" w:firstLineChars="0"/>
              <w:rPr>
                <w:rFonts w:hint="eastAsia" w:ascii="仿宋_GB2312" w:hAnsi="仿宋_GB2312" w:eastAsia="仿宋_GB2312" w:cs="仿宋_GB2312"/>
                <w:color w:val="000000"/>
                <w:sz w:val="20"/>
                <w:szCs w:val="20"/>
                <w:lang w:eastAsia="zh-CN"/>
              </w:rPr>
            </w:pPr>
            <w:r>
              <w:rPr>
                <w:rFonts w:hint="eastAsia" w:ascii="仿宋_GB2312" w:hAnsi="仿宋_GB2312" w:eastAsia="仿宋_GB2312" w:cs="仿宋_GB2312"/>
                <w:color w:val="000000"/>
                <w:sz w:val="18"/>
                <w:szCs w:val="18"/>
                <w:lang w:val="en-US" w:eastAsia="zh-CN"/>
              </w:rPr>
              <w:t>5.其他法律法规规章文件规定应履行的责任。</w:t>
            </w:r>
          </w:p>
        </w:tc>
        <w:tc>
          <w:tcPr>
            <w:tcW w:w="1620" w:type="dxa"/>
            <w:vAlign w:val="top"/>
          </w:tcPr>
          <w:p>
            <w:pPr>
              <w:wordWrap/>
              <w:spacing w:line="240" w:lineRule="exact"/>
              <w:ind w:left="0" w:leftChars="0" w:right="0" w:firstLine="0" w:firstLineChars="0"/>
              <w:rPr>
                <w:rFonts w:hint="eastAsia"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因不履行或不正确履行行政职责，有下列情形的，行政机关及其工作人员应承担相应责任：1.对不符合教师定期注册条件者准予定期注册的；</w:t>
            </w:r>
            <w:r>
              <w:rPr>
                <w:rFonts w:hint="eastAsia" w:ascii="仿宋_GB2312" w:hAnsi="仿宋_GB2312" w:eastAsia="仿宋_GB2312" w:cs="仿宋_GB2312"/>
                <w:color w:val="auto"/>
                <w:sz w:val="20"/>
                <w:szCs w:val="20"/>
                <w:lang w:val="en-US" w:eastAsia="zh-CN"/>
              </w:rPr>
              <w:br w:type="textWrapping"/>
            </w:r>
            <w:r>
              <w:rPr>
                <w:rFonts w:hint="eastAsia" w:ascii="仿宋_GB2312" w:hAnsi="仿宋_GB2312" w:eastAsia="仿宋_GB2312" w:cs="仿宋_GB2312"/>
                <w:color w:val="auto"/>
                <w:sz w:val="20"/>
                <w:szCs w:val="20"/>
                <w:lang w:val="en-US" w:eastAsia="zh-CN"/>
              </w:rPr>
              <w:t>2.对符合教师定期注册条件者不予定期注册的。</w:t>
            </w:r>
          </w:p>
          <w:p>
            <w:pPr>
              <w:wordWrap/>
              <w:spacing w:line="240" w:lineRule="exact"/>
              <w:ind w:left="0" w:leftChars="0" w:right="0" w:firstLine="0" w:firstLineChars="0"/>
              <w:rPr>
                <w:rFonts w:hint="eastAsia"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3.其他违反法律法规规章文件规定的行为。</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p>
        </w:tc>
        <w:tc>
          <w:tcPr>
            <w:tcW w:w="1335"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eastAsia="zh-CN"/>
              </w:rPr>
              <w:t>县级注册，市级汇总上报。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40" w:type="dxa"/>
            <w:vAlign w:val="center"/>
          </w:tcPr>
          <w:p>
            <w:pPr>
              <w:wordWrap/>
              <w:spacing w:line="240" w:lineRule="exact"/>
              <w:ind w:left="0" w:leftChars="0" w:right="0" w:firstLine="0" w:firstLineChars="0"/>
              <w:jc w:val="center"/>
              <w:rPr>
                <w:rFonts w:hint="default" w:ascii="仿宋_GB2312" w:hAnsi="仿宋_GB2312" w:eastAsia="仿宋_GB2312" w:cs="仿宋_GB2312"/>
                <w:color w:val="auto"/>
                <w:sz w:val="20"/>
                <w:szCs w:val="20"/>
                <w:highlight w:val="none"/>
                <w:lang w:val="en-US" w:eastAsia="zh-CN"/>
              </w:rPr>
            </w:pPr>
            <w:r>
              <w:rPr>
                <w:rFonts w:hint="eastAsia" w:ascii="仿宋_GB2312" w:hAnsi="仿宋_GB2312" w:eastAsia="仿宋_GB2312" w:cs="仿宋_GB2312"/>
                <w:color w:val="auto"/>
                <w:sz w:val="20"/>
                <w:szCs w:val="20"/>
                <w:highlight w:val="none"/>
                <w:lang w:val="en-US" w:eastAsia="zh-CN"/>
              </w:rPr>
              <w:t>16</w:t>
            </w:r>
          </w:p>
        </w:tc>
        <w:tc>
          <w:tcPr>
            <w:tcW w:w="807"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pacing w:val="4"/>
                <w:sz w:val="20"/>
                <w:szCs w:val="20"/>
                <w:highlight w:val="none"/>
                <w:lang w:eastAsia="zh-CN"/>
              </w:rPr>
            </w:pPr>
            <w:r>
              <w:rPr>
                <w:rFonts w:hint="eastAsia" w:ascii="仿宋_GB2312" w:hAnsi="仿宋_GB2312" w:eastAsia="仿宋_GB2312" w:cs="仿宋_GB2312"/>
                <w:color w:val="auto"/>
                <w:spacing w:val="4"/>
                <w:sz w:val="20"/>
                <w:szCs w:val="20"/>
                <w:highlight w:val="none"/>
                <w:lang w:eastAsia="zh-CN"/>
              </w:rPr>
              <w:t>行政确认</w:t>
            </w:r>
          </w:p>
        </w:tc>
        <w:tc>
          <w:tcPr>
            <w:tcW w:w="1225"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pacing w:val="4"/>
                <w:sz w:val="20"/>
                <w:szCs w:val="20"/>
                <w:highlight w:val="none"/>
                <w:lang w:eastAsia="zh-CN"/>
              </w:rPr>
            </w:pPr>
            <w:r>
              <w:rPr>
                <w:rFonts w:hint="eastAsia" w:ascii="仿宋_GB2312" w:hAnsi="仿宋_GB2312" w:eastAsia="仿宋_GB2312" w:cs="仿宋_GB2312"/>
                <w:color w:val="auto"/>
                <w:spacing w:val="4"/>
                <w:sz w:val="20"/>
                <w:szCs w:val="20"/>
                <w:highlight w:val="none"/>
              </w:rPr>
              <w:t>城市一类幼儿园、农村示范性幼儿园评估认定</w:t>
            </w:r>
          </w:p>
        </w:tc>
        <w:tc>
          <w:tcPr>
            <w:tcW w:w="1002"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pacing w:val="4"/>
                <w:sz w:val="20"/>
                <w:szCs w:val="20"/>
                <w:highlight w:val="none"/>
                <w:lang w:eastAsia="zh-CN"/>
              </w:rPr>
            </w:pPr>
            <w:r>
              <w:rPr>
                <w:rFonts w:hint="eastAsia" w:ascii="仿宋_GB2312" w:hAnsi="仿宋_GB2312" w:eastAsia="仿宋_GB2312" w:cs="仿宋_GB2312"/>
                <w:color w:val="auto"/>
                <w:spacing w:val="4"/>
                <w:sz w:val="20"/>
                <w:szCs w:val="20"/>
                <w:highlight w:val="none"/>
                <w:lang w:val="en-US" w:eastAsia="zh-CN"/>
              </w:rPr>
              <w:t>高邑县</w:t>
            </w:r>
            <w:r>
              <w:rPr>
                <w:rFonts w:hint="eastAsia" w:ascii="仿宋_GB2312" w:hAnsi="仿宋_GB2312" w:eastAsia="仿宋_GB2312" w:cs="仿宋_GB2312"/>
                <w:color w:val="auto"/>
                <w:spacing w:val="4"/>
                <w:sz w:val="20"/>
                <w:szCs w:val="20"/>
                <w:highlight w:val="none"/>
                <w:lang w:eastAsia="zh-CN"/>
              </w:rPr>
              <w:t>教育局</w:t>
            </w:r>
          </w:p>
        </w:tc>
        <w:tc>
          <w:tcPr>
            <w:tcW w:w="3488" w:type="dxa"/>
            <w:vAlign w:val="top"/>
          </w:tcPr>
          <w:p>
            <w:pPr>
              <w:numPr>
                <w:ilvl w:val="0"/>
                <w:numId w:val="1"/>
              </w:numPr>
              <w:wordWrap/>
              <w:spacing w:line="240" w:lineRule="exact"/>
              <w:ind w:left="0" w:leftChars="0" w:right="0" w:firstLine="0" w:firstLineChars="0"/>
              <w:rPr>
                <w:rFonts w:hint="eastAsia" w:ascii="仿宋_GB2312" w:hAnsi="仿宋_GB2312" w:eastAsia="仿宋_GB2312" w:cs="仿宋_GB2312"/>
                <w:color w:val="000000"/>
                <w:spacing w:val="4"/>
                <w:sz w:val="20"/>
                <w:szCs w:val="20"/>
                <w:highlight w:val="none"/>
                <w:lang w:eastAsia="zh-CN"/>
              </w:rPr>
            </w:pPr>
            <w:r>
              <w:rPr>
                <w:rFonts w:hint="eastAsia" w:ascii="仿宋_GB2312" w:hAnsi="仿宋_GB2312" w:eastAsia="仿宋_GB2312" w:cs="仿宋_GB2312"/>
                <w:color w:val="000000"/>
                <w:spacing w:val="4"/>
                <w:sz w:val="20"/>
                <w:szCs w:val="20"/>
                <w:highlight w:val="none"/>
                <w:lang w:eastAsia="zh-CN"/>
              </w:rPr>
              <w:t>《</w:t>
            </w:r>
            <w:r>
              <w:rPr>
                <w:rFonts w:hint="eastAsia" w:ascii="仿宋_GB2312" w:hAnsi="仿宋_GB2312" w:eastAsia="仿宋_GB2312" w:cs="仿宋_GB2312"/>
                <w:color w:val="000000"/>
                <w:spacing w:val="4"/>
                <w:sz w:val="20"/>
                <w:szCs w:val="20"/>
                <w:highlight w:val="none"/>
              </w:rPr>
              <w:t>中共中央国务院关于学前教育深化改革规范发展的若干意见</w:t>
            </w:r>
            <w:r>
              <w:rPr>
                <w:rFonts w:hint="eastAsia" w:ascii="仿宋_GB2312" w:hAnsi="仿宋_GB2312" w:eastAsia="仿宋_GB2312" w:cs="仿宋_GB2312"/>
                <w:color w:val="000000"/>
                <w:spacing w:val="4"/>
                <w:sz w:val="20"/>
                <w:szCs w:val="20"/>
                <w:highlight w:val="none"/>
                <w:lang w:eastAsia="zh-CN"/>
              </w:rPr>
              <w:t>》（</w:t>
            </w:r>
            <w:r>
              <w:rPr>
                <w:rFonts w:hint="eastAsia" w:ascii="仿宋_GB2312" w:hAnsi="仿宋_GB2312" w:eastAsia="仿宋_GB2312" w:cs="仿宋_GB2312"/>
                <w:color w:val="000000"/>
                <w:spacing w:val="4"/>
                <w:sz w:val="20"/>
                <w:szCs w:val="20"/>
                <w:highlight w:val="none"/>
              </w:rPr>
              <w:t>中发〔2018〕39号</w:t>
            </w:r>
            <w:r>
              <w:rPr>
                <w:rFonts w:hint="eastAsia" w:ascii="仿宋_GB2312" w:hAnsi="仿宋_GB2312" w:eastAsia="仿宋_GB2312" w:cs="仿宋_GB2312"/>
                <w:color w:val="000000"/>
                <w:spacing w:val="4"/>
                <w:sz w:val="20"/>
                <w:szCs w:val="20"/>
                <w:highlight w:val="none"/>
                <w:lang w:eastAsia="zh-CN"/>
              </w:rPr>
              <w:t>）“</w:t>
            </w:r>
            <w:r>
              <w:rPr>
                <w:rFonts w:hint="eastAsia" w:ascii="仿宋_GB2312" w:hAnsi="仿宋_GB2312" w:eastAsia="仿宋_GB2312" w:cs="仿宋_GB2312"/>
                <w:color w:val="000000"/>
                <w:spacing w:val="4"/>
                <w:sz w:val="20"/>
                <w:szCs w:val="20"/>
                <w:highlight w:val="none"/>
              </w:rPr>
              <w:t>（二十九）健全质量评估监测体系。国家制定幼儿园保教质量评估指南，各省（自治区、直辖市）完善幼儿园质量评估标准，健全分级分类评估体系，</w:t>
            </w:r>
            <w:r>
              <w:rPr>
                <w:rFonts w:hint="eastAsia" w:ascii="仿宋_GB2312" w:hAnsi="仿宋_GB2312" w:eastAsia="仿宋_GB2312" w:cs="仿宋_GB2312"/>
                <w:color w:val="000000"/>
                <w:spacing w:val="4"/>
                <w:sz w:val="20"/>
                <w:szCs w:val="20"/>
                <w:highlight w:val="none"/>
                <w:lang w:val="en-US" w:eastAsia="zh-CN"/>
              </w:rPr>
              <w:t>....</w:t>
            </w:r>
            <w:r>
              <w:rPr>
                <w:rFonts w:hint="eastAsia" w:ascii="仿宋_GB2312" w:hAnsi="仿宋_GB2312" w:eastAsia="仿宋_GB2312" w:cs="仿宋_GB2312"/>
                <w:color w:val="000000"/>
                <w:spacing w:val="4"/>
                <w:sz w:val="20"/>
                <w:szCs w:val="20"/>
                <w:highlight w:val="none"/>
              </w:rPr>
              <w:t>。</w:t>
            </w:r>
            <w:r>
              <w:rPr>
                <w:rFonts w:hint="eastAsia" w:ascii="仿宋_GB2312" w:hAnsi="仿宋_GB2312" w:eastAsia="仿宋_GB2312" w:cs="仿宋_GB2312"/>
                <w:color w:val="000000"/>
                <w:spacing w:val="4"/>
                <w:sz w:val="20"/>
                <w:szCs w:val="20"/>
                <w:highlight w:val="none"/>
                <w:lang w:eastAsia="zh-CN"/>
              </w:rPr>
              <w:t>”</w:t>
            </w:r>
          </w:p>
          <w:p>
            <w:pPr>
              <w:numPr>
                <w:ilvl w:val="0"/>
                <w:numId w:val="1"/>
              </w:numPr>
              <w:wordWrap/>
              <w:spacing w:line="240" w:lineRule="exact"/>
              <w:ind w:left="0" w:leftChars="0" w:right="0" w:firstLine="0" w:firstLineChars="0"/>
              <w:rPr>
                <w:rFonts w:hint="eastAsia" w:ascii="仿宋_GB2312" w:hAnsi="仿宋_GB2312" w:eastAsia="仿宋_GB2312" w:cs="仿宋_GB2312"/>
                <w:color w:val="000000"/>
                <w:spacing w:val="4"/>
                <w:sz w:val="20"/>
                <w:szCs w:val="20"/>
                <w:highlight w:val="none"/>
                <w:lang w:eastAsia="zh-CN"/>
              </w:rPr>
            </w:pPr>
            <w:r>
              <w:rPr>
                <w:rFonts w:hint="eastAsia" w:ascii="仿宋_GB2312" w:hAnsi="仿宋_GB2312" w:eastAsia="仿宋_GB2312" w:cs="仿宋_GB2312"/>
                <w:color w:val="000000"/>
                <w:spacing w:val="4"/>
                <w:sz w:val="20"/>
                <w:szCs w:val="20"/>
                <w:highlight w:val="none"/>
                <w:lang w:eastAsia="zh-CN"/>
              </w:rPr>
              <w:t>《国务院办公厅转发教育部等部门（单位）关于幼儿教育改革与发展指导意见的通知》（国办发[2003]13号）“</w:t>
            </w:r>
            <w:r>
              <w:rPr>
                <w:rFonts w:hint="eastAsia" w:ascii="仿宋_GB2312" w:hAnsi="仿宋_GB2312" w:eastAsia="仿宋_GB2312" w:cs="仿宋_GB2312"/>
                <w:color w:val="000000"/>
                <w:spacing w:val="4"/>
                <w:sz w:val="20"/>
                <w:szCs w:val="20"/>
                <w:highlight w:val="none"/>
                <w:lang w:val="en-US" w:eastAsia="zh-CN"/>
              </w:rPr>
              <w:t>16示范性幼儿园由省、地级教育部门组织评审认定。省级教育部门要根据国家有关规定制定示范性幼儿园的标准，并定期对示范性幼儿园进行指导、评估和审验，确保其发挥示范作用，带动本地区幼儿教育事业的整体发展和教育质量的提高。评审活动要简便和节俭，不要干扰地方政府和幼儿园的正常工作。</w:t>
            </w:r>
            <w:r>
              <w:rPr>
                <w:rFonts w:hint="eastAsia" w:ascii="仿宋_GB2312" w:hAnsi="仿宋_GB2312" w:eastAsia="仿宋_GB2312" w:cs="仿宋_GB2312"/>
                <w:color w:val="000000"/>
                <w:spacing w:val="4"/>
                <w:sz w:val="20"/>
                <w:szCs w:val="20"/>
                <w:highlight w:val="none"/>
                <w:lang w:eastAsia="zh-CN"/>
              </w:rPr>
              <w:t>”</w:t>
            </w:r>
          </w:p>
          <w:p>
            <w:pPr>
              <w:numPr>
                <w:ilvl w:val="0"/>
                <w:numId w:val="1"/>
              </w:numPr>
              <w:wordWrap/>
              <w:spacing w:line="240" w:lineRule="exact"/>
              <w:ind w:left="0" w:leftChars="0" w:right="0" w:firstLine="0" w:firstLineChars="0"/>
              <w:rPr>
                <w:rFonts w:hint="eastAsia" w:ascii="仿宋_GB2312" w:hAnsi="仿宋_GB2312" w:eastAsia="仿宋_GB2312" w:cs="仿宋_GB2312"/>
                <w:color w:val="000000"/>
                <w:spacing w:val="4"/>
                <w:sz w:val="20"/>
                <w:szCs w:val="20"/>
                <w:highlight w:val="none"/>
                <w:lang w:eastAsia="zh-CN"/>
              </w:rPr>
            </w:pPr>
            <w:r>
              <w:rPr>
                <w:rFonts w:hint="eastAsia" w:ascii="仿宋_GB2312" w:hAnsi="仿宋_GB2312" w:eastAsia="仿宋_GB2312" w:cs="仿宋_GB2312"/>
                <w:color w:val="000000"/>
                <w:spacing w:val="4"/>
                <w:sz w:val="20"/>
                <w:szCs w:val="20"/>
                <w:highlight w:val="none"/>
              </w:rPr>
              <w:t>河北省人民政府关于学前教育深化改革规范发展的实施意见</w:t>
            </w:r>
            <w:r>
              <w:rPr>
                <w:rFonts w:hint="eastAsia" w:ascii="仿宋_GB2312" w:hAnsi="仿宋_GB2312" w:eastAsia="仿宋_GB2312" w:cs="仿宋_GB2312"/>
                <w:color w:val="000000"/>
                <w:spacing w:val="4"/>
                <w:sz w:val="20"/>
                <w:szCs w:val="20"/>
                <w:highlight w:val="none"/>
                <w:lang w:eastAsia="zh-CN"/>
              </w:rPr>
              <w:t>“</w:t>
            </w:r>
            <w:r>
              <w:rPr>
                <w:rFonts w:hint="eastAsia" w:ascii="仿宋_GB2312" w:hAnsi="仿宋_GB2312" w:eastAsia="仿宋_GB2312" w:cs="仿宋_GB2312"/>
                <w:color w:val="000000"/>
                <w:spacing w:val="4"/>
                <w:sz w:val="20"/>
                <w:szCs w:val="20"/>
                <w:highlight w:val="none"/>
              </w:rPr>
              <w:t>27.健全质量评估监测体系。</w:t>
            </w:r>
            <w:r>
              <w:rPr>
                <w:rFonts w:hint="eastAsia" w:ascii="仿宋_GB2312" w:hAnsi="仿宋_GB2312" w:eastAsia="仿宋_GB2312" w:cs="仿宋_GB2312"/>
                <w:color w:val="000000"/>
                <w:spacing w:val="4"/>
                <w:sz w:val="20"/>
                <w:szCs w:val="20"/>
                <w:highlight w:val="none"/>
                <w:lang w:val="en-US" w:eastAsia="zh-CN"/>
              </w:rPr>
              <w:t>....</w:t>
            </w:r>
            <w:r>
              <w:rPr>
                <w:rFonts w:hint="eastAsia" w:ascii="仿宋_GB2312" w:hAnsi="仿宋_GB2312" w:eastAsia="仿宋_GB2312" w:cs="仿宋_GB2312"/>
                <w:color w:val="000000"/>
                <w:spacing w:val="4"/>
                <w:sz w:val="20"/>
                <w:szCs w:val="20"/>
                <w:highlight w:val="none"/>
              </w:rPr>
              <w:t>省级完善幼儿园办园评估标准，健全分级分类评估体系，对幼儿园进行认定和分类管理</w:t>
            </w:r>
            <w:r>
              <w:rPr>
                <w:rFonts w:hint="eastAsia" w:ascii="仿宋_GB2312" w:hAnsi="仿宋_GB2312" w:eastAsia="仿宋_GB2312" w:cs="仿宋_GB2312"/>
                <w:color w:val="000000"/>
                <w:spacing w:val="4"/>
                <w:sz w:val="20"/>
                <w:szCs w:val="20"/>
                <w:highlight w:val="none"/>
                <w:lang w:val="en-US" w:eastAsia="zh-CN"/>
              </w:rPr>
              <w:t>......</w:t>
            </w:r>
            <w:r>
              <w:rPr>
                <w:rFonts w:hint="eastAsia" w:ascii="仿宋_GB2312" w:hAnsi="仿宋_GB2312" w:eastAsia="仿宋_GB2312" w:cs="仿宋_GB2312"/>
                <w:color w:val="000000"/>
                <w:spacing w:val="4"/>
                <w:sz w:val="20"/>
                <w:szCs w:val="20"/>
                <w:highlight w:val="none"/>
              </w:rPr>
              <w:t>。</w:t>
            </w:r>
            <w:r>
              <w:rPr>
                <w:rFonts w:hint="eastAsia" w:ascii="仿宋_GB2312" w:hAnsi="仿宋_GB2312" w:eastAsia="仿宋_GB2312" w:cs="仿宋_GB2312"/>
                <w:color w:val="000000"/>
                <w:spacing w:val="4"/>
                <w:sz w:val="20"/>
                <w:szCs w:val="20"/>
                <w:highlight w:val="none"/>
                <w:lang w:eastAsia="zh-CN"/>
              </w:rPr>
              <w:t>”</w:t>
            </w:r>
          </w:p>
          <w:p>
            <w:pPr>
              <w:numPr>
                <w:ilvl w:val="0"/>
                <w:numId w:val="0"/>
              </w:numPr>
              <w:wordWrap/>
              <w:spacing w:line="240" w:lineRule="exact"/>
              <w:ind w:left="0" w:leftChars="0" w:right="0" w:firstLine="0" w:firstLineChars="0"/>
              <w:rPr>
                <w:rFonts w:hint="eastAsia" w:ascii="仿宋_GB2312" w:hAnsi="仿宋_GB2312" w:eastAsia="仿宋_GB2312" w:cs="仿宋_GB2312"/>
                <w:color w:val="000000"/>
                <w:sz w:val="20"/>
                <w:szCs w:val="20"/>
                <w:highlight w:val="none"/>
                <w:lang w:eastAsia="zh-CN"/>
              </w:rPr>
            </w:pPr>
            <w:r>
              <w:rPr>
                <w:rFonts w:hint="eastAsia" w:ascii="仿宋_GB2312" w:hAnsi="仿宋_GB2312" w:eastAsia="仿宋_GB2312" w:cs="仿宋_GB2312"/>
                <w:color w:val="000000"/>
                <w:spacing w:val="4"/>
                <w:sz w:val="20"/>
                <w:szCs w:val="20"/>
                <w:highlight w:val="none"/>
                <w:lang w:val="en-US" w:eastAsia="zh-CN"/>
              </w:rPr>
              <w:t>3</w:t>
            </w:r>
            <w:r>
              <w:rPr>
                <w:rFonts w:hint="eastAsia" w:ascii="仿宋_GB2312" w:hAnsi="仿宋_GB2312" w:eastAsia="仿宋_GB2312" w:cs="仿宋_GB2312"/>
                <w:color w:val="000000"/>
                <w:spacing w:val="4"/>
                <w:sz w:val="20"/>
                <w:szCs w:val="20"/>
                <w:highlight w:val="none"/>
              </w:rPr>
              <w:t>.河北省教育厅关于印发《河北省城市幼儿园分类评定标准（试行）》《河北省农村幼儿园分类评定标准（试行）》的通知（冀教基〔2009〕61号）第二条；</w:t>
            </w:r>
          </w:p>
        </w:tc>
        <w:tc>
          <w:tcPr>
            <w:tcW w:w="3895" w:type="dxa"/>
            <w:vAlign w:val="top"/>
          </w:tcPr>
          <w:p>
            <w:pPr>
              <w:wordWrap/>
              <w:spacing w:line="240" w:lineRule="exact"/>
              <w:ind w:left="0" w:leftChars="0" w:right="0" w:firstLine="0" w:firstLineChars="0"/>
              <w:rPr>
                <w:rFonts w:hint="eastAsia" w:ascii="仿宋_GB2312" w:hAnsi="仿宋_GB2312" w:eastAsia="仿宋_GB2312" w:cs="仿宋_GB2312"/>
                <w:color w:val="000000"/>
                <w:sz w:val="20"/>
                <w:szCs w:val="20"/>
                <w:highlight w:val="none"/>
                <w:lang w:eastAsia="zh-CN"/>
              </w:rPr>
            </w:pPr>
            <w:r>
              <w:rPr>
                <w:rFonts w:hint="eastAsia" w:ascii="仿宋_GB2312" w:hAnsi="仿宋_GB2312" w:eastAsia="仿宋_GB2312" w:cs="仿宋_GB2312"/>
                <w:color w:val="000000"/>
                <w:sz w:val="20"/>
                <w:szCs w:val="20"/>
                <w:highlight w:val="none"/>
                <w:lang w:eastAsia="zh-CN"/>
              </w:rPr>
              <w:t>1. 受理责任：制定下发通知，告知认定的条件、程序，受理申请认定材料。</w:t>
            </w:r>
          </w:p>
          <w:p>
            <w:pPr>
              <w:wordWrap/>
              <w:spacing w:line="240" w:lineRule="exact"/>
              <w:ind w:left="0" w:leftChars="0" w:right="0" w:firstLine="0" w:firstLineChars="0"/>
              <w:rPr>
                <w:rFonts w:hint="eastAsia" w:ascii="仿宋_GB2312" w:hAnsi="仿宋_GB2312" w:eastAsia="仿宋_GB2312" w:cs="仿宋_GB2312"/>
                <w:color w:val="000000"/>
                <w:sz w:val="20"/>
                <w:szCs w:val="20"/>
                <w:highlight w:val="none"/>
                <w:lang w:eastAsia="zh-CN"/>
              </w:rPr>
            </w:pPr>
            <w:r>
              <w:rPr>
                <w:rFonts w:hint="eastAsia" w:ascii="仿宋_GB2312" w:hAnsi="仿宋_GB2312" w:eastAsia="仿宋_GB2312" w:cs="仿宋_GB2312"/>
                <w:color w:val="000000"/>
                <w:sz w:val="20"/>
                <w:szCs w:val="20"/>
                <w:highlight w:val="none"/>
                <w:lang w:eastAsia="zh-CN"/>
              </w:rPr>
              <w:t>2.复核责任：组织人员对申报幼儿园进行现场复核检查。</w:t>
            </w:r>
          </w:p>
          <w:p>
            <w:pPr>
              <w:wordWrap/>
              <w:spacing w:line="240" w:lineRule="exact"/>
              <w:ind w:left="0" w:leftChars="0" w:right="0" w:firstLine="0" w:firstLineChars="0"/>
              <w:rPr>
                <w:rFonts w:hint="eastAsia" w:ascii="仿宋_GB2312" w:hAnsi="仿宋_GB2312" w:eastAsia="仿宋_GB2312" w:cs="仿宋_GB2312"/>
                <w:color w:val="000000"/>
                <w:sz w:val="20"/>
                <w:szCs w:val="20"/>
                <w:highlight w:val="none"/>
                <w:lang w:eastAsia="zh-CN"/>
              </w:rPr>
            </w:pPr>
            <w:r>
              <w:rPr>
                <w:rFonts w:hint="eastAsia" w:ascii="仿宋_GB2312" w:hAnsi="仿宋_GB2312" w:eastAsia="仿宋_GB2312" w:cs="仿宋_GB2312"/>
                <w:color w:val="000000"/>
                <w:sz w:val="20"/>
                <w:szCs w:val="20"/>
                <w:highlight w:val="none"/>
                <w:lang w:eastAsia="zh-CN"/>
              </w:rPr>
              <w:t>3.决定责任：根据复核检查情况，制定认定文件并通报。</w:t>
            </w:r>
          </w:p>
          <w:p>
            <w:pPr>
              <w:widowControl w:val="0"/>
              <w:wordWrap/>
              <w:adjustRightInd w:val="0"/>
              <w:snapToGrid w:val="0"/>
              <w:spacing w:line="240" w:lineRule="exact"/>
              <w:ind w:left="0" w:leftChars="0" w:right="0" w:firstLine="0" w:firstLineChars="0"/>
              <w:jc w:val="both"/>
              <w:textAlignment w:val="auto"/>
              <w:outlineLvl w:val="9"/>
              <w:rPr>
                <w:rFonts w:hint="eastAsia" w:ascii="仿宋_GB2312" w:hAnsi="仿宋_GB2312" w:eastAsia="仿宋_GB2312" w:cs="仿宋_GB2312"/>
                <w:color w:val="000000"/>
                <w:sz w:val="20"/>
                <w:szCs w:val="20"/>
                <w:highlight w:val="none"/>
                <w:lang w:eastAsia="zh-CN"/>
              </w:rPr>
            </w:pPr>
            <w:r>
              <w:rPr>
                <w:rFonts w:hint="eastAsia" w:ascii="仿宋_GB2312" w:hAnsi="仿宋_GB2312" w:eastAsia="仿宋_GB2312" w:cs="仿宋_GB2312"/>
                <w:color w:val="000000"/>
                <w:sz w:val="18"/>
                <w:szCs w:val="18"/>
                <w:highlight w:val="none"/>
                <w:lang w:val="en-US" w:eastAsia="zh-CN"/>
              </w:rPr>
              <w:t>4.事后监管责任：对评为城市一类幼儿园或示范校幼儿园的单位进行办园行为监督检查，并依据检查情况作出责令整改或撤销相应称号的决定。</w:t>
            </w:r>
          </w:p>
          <w:p>
            <w:pPr>
              <w:wordWrap/>
              <w:spacing w:line="240" w:lineRule="exact"/>
              <w:ind w:left="0" w:leftChars="0" w:right="0" w:firstLine="0" w:firstLineChars="0"/>
              <w:rPr>
                <w:rFonts w:hint="eastAsia" w:ascii="仿宋_GB2312" w:hAnsi="仿宋_GB2312" w:eastAsia="仿宋_GB2312" w:cs="仿宋_GB2312"/>
                <w:color w:val="000000"/>
                <w:sz w:val="20"/>
                <w:szCs w:val="20"/>
                <w:highlight w:val="none"/>
                <w:lang w:eastAsia="zh-CN"/>
              </w:rPr>
            </w:pPr>
            <w:r>
              <w:rPr>
                <w:rFonts w:hint="eastAsia" w:ascii="仿宋_GB2312" w:hAnsi="仿宋_GB2312" w:eastAsia="仿宋_GB2312" w:cs="仿宋_GB2312"/>
                <w:color w:val="000000"/>
                <w:sz w:val="20"/>
                <w:szCs w:val="20"/>
                <w:highlight w:val="none"/>
                <w:lang w:val="en-US" w:eastAsia="zh-CN"/>
              </w:rPr>
              <w:t>5</w:t>
            </w:r>
            <w:r>
              <w:rPr>
                <w:rFonts w:hint="eastAsia" w:ascii="仿宋_GB2312" w:hAnsi="仿宋_GB2312" w:eastAsia="仿宋_GB2312" w:cs="仿宋_GB2312"/>
                <w:color w:val="000000"/>
                <w:sz w:val="20"/>
                <w:szCs w:val="20"/>
                <w:highlight w:val="none"/>
                <w:lang w:eastAsia="zh-CN"/>
              </w:rPr>
              <w:t>.其他法律法规规章文件规定应履行的责任。</w:t>
            </w:r>
          </w:p>
        </w:tc>
        <w:tc>
          <w:tcPr>
            <w:tcW w:w="1620" w:type="dxa"/>
            <w:vAlign w:val="top"/>
          </w:tcPr>
          <w:p>
            <w:pPr>
              <w:wordWrap/>
              <w:spacing w:line="240" w:lineRule="exact"/>
              <w:ind w:left="0" w:leftChars="0" w:right="0" w:firstLine="0" w:firstLineChars="0"/>
              <w:rPr>
                <w:rFonts w:hint="eastAsia" w:ascii="仿宋_GB2312" w:hAnsi="仿宋_GB2312" w:eastAsia="仿宋_GB2312" w:cs="仿宋_GB2312"/>
                <w:color w:val="auto"/>
                <w:sz w:val="20"/>
                <w:szCs w:val="20"/>
                <w:highlight w:val="none"/>
                <w:lang w:eastAsia="zh-CN"/>
              </w:rPr>
            </w:pPr>
            <w:r>
              <w:rPr>
                <w:rFonts w:hint="eastAsia" w:ascii="仿宋_GB2312" w:hAnsi="仿宋_GB2312" w:eastAsia="仿宋_GB2312" w:cs="仿宋_GB2312"/>
                <w:color w:val="auto"/>
                <w:sz w:val="20"/>
                <w:szCs w:val="20"/>
                <w:highlight w:val="none"/>
                <w:lang w:eastAsia="zh-CN"/>
              </w:rPr>
              <w:t>因不履行或不正确履行行政职责，有下列情形的，行政机关及其工作人员应承担相应责任：1.无正当理由不予受理认定申请的；</w:t>
            </w:r>
          </w:p>
          <w:p>
            <w:pPr>
              <w:numPr>
                <w:ilvl w:val="0"/>
                <w:numId w:val="2"/>
              </w:numPr>
              <w:wordWrap/>
              <w:spacing w:line="240" w:lineRule="exact"/>
              <w:ind w:left="0" w:leftChars="0" w:right="0" w:firstLine="0" w:firstLineChars="0"/>
              <w:rPr>
                <w:rFonts w:hint="eastAsia" w:ascii="仿宋_GB2312" w:hAnsi="仿宋_GB2312" w:eastAsia="仿宋_GB2312" w:cs="仿宋_GB2312"/>
                <w:color w:val="auto"/>
                <w:sz w:val="20"/>
                <w:szCs w:val="20"/>
                <w:highlight w:val="none"/>
                <w:lang w:eastAsia="zh-CN"/>
              </w:rPr>
            </w:pPr>
            <w:r>
              <w:rPr>
                <w:rFonts w:hint="eastAsia" w:ascii="仿宋_GB2312" w:hAnsi="仿宋_GB2312" w:eastAsia="仿宋_GB2312" w:cs="仿宋_GB2312"/>
                <w:color w:val="auto"/>
                <w:sz w:val="20"/>
                <w:szCs w:val="20"/>
                <w:highlight w:val="none"/>
                <w:lang w:eastAsia="zh-CN"/>
              </w:rPr>
              <w:t>在认定过程中有徇私舞弊或者有其他渎职、失职行为；</w:t>
            </w:r>
          </w:p>
          <w:p>
            <w:pPr>
              <w:numPr>
                <w:ilvl w:val="0"/>
                <w:numId w:val="0"/>
              </w:numPr>
              <w:wordWrap/>
              <w:spacing w:line="240" w:lineRule="exact"/>
              <w:ind w:leftChars="0" w:right="0"/>
              <w:rPr>
                <w:rFonts w:hint="eastAsia" w:ascii="仿宋_GB2312" w:hAnsi="仿宋_GB2312" w:eastAsia="仿宋_GB2312" w:cs="仿宋_GB2312"/>
                <w:color w:val="auto"/>
                <w:sz w:val="20"/>
                <w:szCs w:val="20"/>
                <w:highlight w:val="none"/>
                <w:lang w:eastAsia="zh-CN"/>
              </w:rPr>
            </w:pPr>
            <w:r>
              <w:rPr>
                <w:rFonts w:hint="eastAsia" w:ascii="仿宋_GB2312" w:hAnsi="仿宋_GB2312" w:eastAsia="仿宋_GB2312" w:cs="仿宋_GB2312"/>
                <w:color w:val="auto"/>
                <w:sz w:val="20"/>
                <w:szCs w:val="20"/>
                <w:highlight w:val="none"/>
                <w:lang w:eastAsia="zh-CN"/>
              </w:rPr>
              <w:t>3.其他违反法律法规规章文件规定的行为。</w:t>
            </w:r>
          </w:p>
        </w:tc>
        <w:tc>
          <w:tcPr>
            <w:tcW w:w="1335"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highlight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40" w:type="dxa"/>
            <w:vAlign w:val="center"/>
          </w:tcPr>
          <w:p>
            <w:pPr>
              <w:wordWrap/>
              <w:spacing w:line="240" w:lineRule="exact"/>
              <w:ind w:left="0" w:leftChars="0" w:right="0" w:firstLine="0" w:firstLineChars="0"/>
              <w:jc w:val="center"/>
              <w:rPr>
                <w:rFonts w:hint="default"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17</w:t>
            </w:r>
          </w:p>
        </w:tc>
        <w:tc>
          <w:tcPr>
            <w:tcW w:w="807"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eastAsia="zh-CN"/>
              </w:rPr>
              <w:t>行政奖励</w:t>
            </w:r>
          </w:p>
        </w:tc>
        <w:tc>
          <w:tcPr>
            <w:tcW w:w="1225"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pacing w:val="4"/>
                <w:sz w:val="20"/>
                <w:szCs w:val="20"/>
              </w:rPr>
              <w:t>教育系统先进个人和先进集体奖励</w:t>
            </w:r>
          </w:p>
        </w:tc>
        <w:tc>
          <w:tcPr>
            <w:tcW w:w="1002"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val="en-US" w:eastAsia="zh-CN"/>
              </w:rPr>
              <w:t>高邑县</w:t>
            </w:r>
            <w:r>
              <w:rPr>
                <w:rFonts w:hint="eastAsia" w:ascii="仿宋_GB2312" w:hAnsi="仿宋_GB2312" w:eastAsia="仿宋_GB2312" w:cs="仿宋_GB2312"/>
                <w:color w:val="auto"/>
                <w:sz w:val="20"/>
                <w:szCs w:val="20"/>
                <w:lang w:eastAsia="zh-CN"/>
              </w:rPr>
              <w:t>教育局</w:t>
            </w:r>
          </w:p>
        </w:tc>
        <w:tc>
          <w:tcPr>
            <w:tcW w:w="3488" w:type="dxa"/>
            <w:vAlign w:val="top"/>
          </w:tcPr>
          <w:p>
            <w:pPr>
              <w:numPr>
                <w:ilvl w:val="0"/>
                <w:numId w:val="3"/>
              </w:numPr>
              <w:wordWrap/>
              <w:adjustRightInd w:val="0"/>
              <w:snapToGrid w:val="0"/>
              <w:spacing w:line="240" w:lineRule="exact"/>
              <w:ind w:left="0" w:leftChars="0" w:right="0" w:firstLine="0" w:firstLineChars="0"/>
              <w:rPr>
                <w:rFonts w:hint="eastAsia" w:ascii="仿宋_GB2312" w:hAnsi="仿宋_GB2312" w:eastAsia="仿宋_GB2312" w:cs="仿宋_GB2312"/>
                <w:color w:val="auto"/>
                <w:spacing w:val="4"/>
                <w:sz w:val="20"/>
                <w:szCs w:val="20"/>
                <w:lang w:eastAsia="zh-CN"/>
              </w:rPr>
            </w:pPr>
            <w:r>
              <w:rPr>
                <w:rFonts w:hint="eastAsia" w:ascii="仿宋_GB2312" w:hAnsi="仿宋_GB2312" w:eastAsia="仿宋_GB2312" w:cs="仿宋_GB2312"/>
                <w:color w:val="auto"/>
                <w:spacing w:val="4"/>
                <w:sz w:val="20"/>
                <w:szCs w:val="20"/>
              </w:rPr>
              <w:t>《教师法》第三十三条“教师在教育教学、培养人才、科学研究、教学改革、学校建设、社会服务、勤工俭学等方面成绩优异的，由所在学校予以表彰、奖励。国务院和地方各级人民政府及其有关部门对有突出贡献的教师，应当予以表彰、奖励。对有重大贡献的教师，依照国家有关规定授予荣誉称号。</w:t>
            </w:r>
            <w:r>
              <w:rPr>
                <w:rFonts w:hint="eastAsia" w:ascii="仿宋_GB2312" w:hAnsi="仿宋_GB2312" w:eastAsia="仿宋_GB2312" w:cs="仿宋_GB2312"/>
                <w:color w:val="auto"/>
                <w:spacing w:val="4"/>
                <w:sz w:val="20"/>
                <w:szCs w:val="20"/>
                <w:lang w:eastAsia="zh-CN"/>
              </w:rPr>
              <w:t>”</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pacing w:val="4"/>
                <w:sz w:val="20"/>
                <w:szCs w:val="20"/>
              </w:rPr>
            </w:pPr>
            <w:r>
              <w:rPr>
                <w:rFonts w:hint="eastAsia" w:ascii="仿宋_GB2312" w:hAnsi="仿宋_GB2312" w:eastAsia="仿宋_GB2312" w:cs="仿宋_GB2312"/>
                <w:color w:val="auto"/>
                <w:spacing w:val="4"/>
                <w:sz w:val="20"/>
                <w:szCs w:val="20"/>
                <w:lang w:val="en-US" w:eastAsia="zh-CN"/>
              </w:rPr>
              <w:t>2</w:t>
            </w:r>
            <w:r>
              <w:rPr>
                <w:rFonts w:hint="eastAsia" w:ascii="仿宋_GB2312" w:hAnsi="仿宋_GB2312" w:eastAsia="仿宋_GB2312" w:cs="仿宋_GB2312"/>
                <w:color w:val="auto"/>
                <w:spacing w:val="4"/>
                <w:sz w:val="20"/>
                <w:szCs w:val="20"/>
              </w:rPr>
              <w:t>.</w:t>
            </w:r>
            <w:r>
              <w:rPr>
                <w:rFonts w:hint="eastAsia" w:ascii="仿宋_GB2312" w:hAnsi="仿宋_GB2312" w:eastAsia="仿宋_GB2312" w:cs="仿宋_GB2312"/>
                <w:color w:val="auto"/>
                <w:spacing w:val="4"/>
                <w:sz w:val="20"/>
                <w:szCs w:val="20"/>
                <w:lang w:eastAsia="zh-CN"/>
              </w:rPr>
              <w:t>《</w:t>
            </w:r>
            <w:r>
              <w:rPr>
                <w:rFonts w:hint="eastAsia" w:ascii="仿宋_GB2312" w:hAnsi="仿宋_GB2312" w:eastAsia="仿宋_GB2312" w:cs="仿宋_GB2312"/>
                <w:color w:val="auto"/>
                <w:spacing w:val="4"/>
                <w:sz w:val="20"/>
                <w:szCs w:val="20"/>
              </w:rPr>
              <w:t>中共中央 国务院关于全面深化新时代教师队伍建设改革的意见</w:t>
            </w:r>
            <w:r>
              <w:rPr>
                <w:rFonts w:hint="eastAsia" w:ascii="仿宋_GB2312" w:hAnsi="仿宋_GB2312" w:eastAsia="仿宋_GB2312" w:cs="仿宋_GB2312"/>
                <w:color w:val="auto"/>
                <w:spacing w:val="4"/>
                <w:sz w:val="20"/>
                <w:szCs w:val="20"/>
                <w:lang w:eastAsia="zh-CN"/>
              </w:rPr>
              <w:t>》“</w:t>
            </w:r>
            <w:r>
              <w:rPr>
                <w:rFonts w:hint="eastAsia" w:ascii="仿宋_GB2312" w:hAnsi="仿宋_GB2312" w:eastAsia="仿宋_GB2312" w:cs="仿宋_GB2312"/>
                <w:color w:val="auto"/>
                <w:spacing w:val="4"/>
                <w:sz w:val="20"/>
                <w:szCs w:val="20"/>
              </w:rPr>
              <w:t>25.提升教师社会地位。加大教师表彰力度。大力宣传教师中的“时代楷模”和“最美教师”。开展国家级教学名师、国家级教学成果奖评选表彰，重点奖励贡献突出的教学一线教师。做好特级教师评选，发挥引领作用。做好乡村学校从教30年教师荣誉证书颁发工作。各地要按照国家有关规定，因地制宜开展多种形式的教师表彰奖励活动，并落实相关优待政策。鼓励社会团体、企事业单位、民间组织对教师出资奖励，开展尊师活动，营造尊师重教良好社会风尚。</w:t>
            </w:r>
            <w:r>
              <w:rPr>
                <w:rFonts w:hint="eastAsia" w:ascii="仿宋_GB2312" w:hAnsi="仿宋_GB2312" w:eastAsia="仿宋_GB2312" w:cs="仿宋_GB2312"/>
                <w:color w:val="auto"/>
                <w:spacing w:val="4"/>
                <w:sz w:val="20"/>
                <w:szCs w:val="20"/>
                <w:lang w:eastAsia="zh-CN"/>
              </w:rPr>
              <w:t>”</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p>
        </w:tc>
        <w:tc>
          <w:tcPr>
            <w:tcW w:w="3895" w:type="dxa"/>
            <w:vAlign w:val="top"/>
          </w:tcPr>
          <w:p>
            <w:pPr>
              <w:numPr>
                <w:ilvl w:val="0"/>
                <w:numId w:val="4"/>
              </w:numPr>
              <w:wordWrap/>
              <w:spacing w:line="240" w:lineRule="exact"/>
              <w:ind w:left="0" w:leftChars="0" w:right="0" w:firstLine="0" w:firstLineChars="0"/>
              <w:rPr>
                <w:rFonts w:hint="eastAsia"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公告（含通知）责任：告知评比的对象、方式、内容和标准；   </w:t>
            </w:r>
          </w:p>
          <w:p>
            <w:pPr>
              <w:numPr>
                <w:ilvl w:val="0"/>
                <w:numId w:val="4"/>
              </w:numPr>
              <w:wordWrap/>
              <w:spacing w:line="240" w:lineRule="exact"/>
              <w:ind w:left="0" w:leftChars="0" w:right="0" w:firstLine="0" w:firstLineChars="0"/>
              <w:rPr>
                <w:rFonts w:hint="eastAsia"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 组织推荐责任：严格按照表彰方案规定的条件、程序，组织推荐工作，对推荐对象进行初审。                     </w:t>
            </w:r>
          </w:p>
          <w:p>
            <w:pPr>
              <w:numPr>
                <w:ilvl w:val="0"/>
                <w:numId w:val="4"/>
              </w:numPr>
              <w:wordWrap/>
              <w:spacing w:line="240" w:lineRule="exact"/>
              <w:ind w:left="0" w:leftChars="0" w:right="0" w:firstLine="0" w:firstLineChars="0"/>
              <w:rPr>
                <w:rFonts w:hint="eastAsia"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审核责任：对申请奖励对象申报材料进行审核，提出评审意见，经局党组集体审议后，确定奖励对象，并进行公示。</w:t>
            </w:r>
          </w:p>
          <w:p>
            <w:pPr>
              <w:numPr>
                <w:ilvl w:val="0"/>
                <w:numId w:val="4"/>
              </w:numPr>
              <w:wordWrap/>
              <w:spacing w:line="240" w:lineRule="exact"/>
              <w:ind w:left="0" w:leftChars="0" w:right="0" w:firstLine="0" w:firstLineChars="0"/>
              <w:rPr>
                <w:rFonts w:hint="eastAsia"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表彰责任：制发奖励通报。</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val="en-US" w:eastAsia="zh-CN"/>
              </w:rPr>
              <w:t>5.法律法规规章规定的其他责任。</w:t>
            </w:r>
          </w:p>
        </w:tc>
        <w:tc>
          <w:tcPr>
            <w:tcW w:w="1620" w:type="dxa"/>
            <w:vAlign w:val="top"/>
          </w:tcPr>
          <w:p>
            <w:pPr>
              <w:wordWrap/>
              <w:adjustRightInd w:val="0"/>
              <w:snapToGrid w:val="0"/>
              <w:spacing w:line="240" w:lineRule="exact"/>
              <w:ind w:left="0" w:leftChars="0" w:right="0" w:firstLine="0" w:firstLineChars="0"/>
              <w:rPr>
                <w:rFonts w:hint="eastAsia" w:ascii="仿宋_GB2312" w:hAnsi="仿宋_GB2312" w:eastAsia="仿宋_GB2312" w:cs="仿宋_GB2312"/>
                <w:color w:val="auto"/>
                <w:spacing w:val="4"/>
                <w:sz w:val="20"/>
                <w:szCs w:val="20"/>
                <w:lang w:eastAsia="zh-CN"/>
              </w:rPr>
            </w:pPr>
            <w:r>
              <w:rPr>
                <w:rFonts w:hint="eastAsia" w:ascii="仿宋_GB2312" w:hAnsi="仿宋_GB2312" w:eastAsia="仿宋_GB2312" w:cs="仿宋_GB2312"/>
                <w:color w:val="auto"/>
                <w:spacing w:val="4"/>
                <w:sz w:val="20"/>
                <w:szCs w:val="20"/>
                <w:lang w:eastAsia="zh-CN"/>
              </w:rPr>
              <w:t>因不履行或不正确履行行政职责，有下列情形的，行政机关及其工作人员应承担相应责任：</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pacing w:val="4"/>
                <w:sz w:val="20"/>
                <w:szCs w:val="20"/>
                <w:lang w:eastAsia="zh-CN"/>
              </w:rPr>
            </w:pPr>
            <w:r>
              <w:rPr>
                <w:rFonts w:hint="eastAsia" w:ascii="仿宋_GB2312" w:hAnsi="仿宋_GB2312" w:eastAsia="仿宋_GB2312" w:cs="仿宋_GB2312"/>
                <w:color w:val="auto"/>
                <w:spacing w:val="4"/>
                <w:sz w:val="20"/>
                <w:szCs w:val="20"/>
                <w:lang w:eastAsia="zh-CN"/>
              </w:rPr>
              <w:t>1.</w:t>
            </w:r>
            <w:r>
              <w:rPr>
                <w:rFonts w:hint="eastAsia" w:ascii="仿宋_GB2312" w:hAnsi="仿宋_GB2312" w:eastAsia="仿宋_GB2312" w:cs="仿宋_GB2312"/>
                <w:color w:val="auto"/>
                <w:spacing w:val="4"/>
                <w:sz w:val="20"/>
                <w:szCs w:val="20"/>
                <w:lang w:val="en-US" w:eastAsia="zh-CN"/>
              </w:rPr>
              <w:t>不按照规定的奖励范围、条件、种类、权限、比例（名额）、程序等开展奖励的。</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pacing w:val="4"/>
                <w:sz w:val="20"/>
                <w:szCs w:val="20"/>
                <w:lang w:eastAsia="zh-CN"/>
              </w:rPr>
            </w:pPr>
            <w:r>
              <w:rPr>
                <w:rFonts w:hint="eastAsia" w:ascii="仿宋_GB2312" w:hAnsi="仿宋_GB2312" w:eastAsia="仿宋_GB2312" w:cs="仿宋_GB2312"/>
                <w:color w:val="auto"/>
                <w:spacing w:val="4"/>
                <w:sz w:val="20"/>
                <w:szCs w:val="20"/>
                <w:lang w:val="en-US" w:eastAsia="zh-CN"/>
              </w:rPr>
              <w:t>2.徇私舞弊、弄虚作假的。</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pacing w:val="4"/>
                <w:sz w:val="20"/>
                <w:szCs w:val="20"/>
                <w:lang w:eastAsia="zh-CN"/>
              </w:rPr>
            </w:pPr>
            <w:r>
              <w:rPr>
                <w:rFonts w:hint="eastAsia" w:ascii="仿宋_GB2312" w:hAnsi="仿宋_GB2312" w:eastAsia="仿宋_GB2312" w:cs="仿宋_GB2312"/>
                <w:color w:val="auto"/>
                <w:spacing w:val="4"/>
                <w:sz w:val="20"/>
                <w:szCs w:val="20"/>
                <w:lang w:val="en-US" w:eastAsia="zh-CN"/>
              </w:rPr>
              <w:t>3.因奖励工作失误导致奖励结果显失公平，造成不良后果的。</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pacing w:val="4"/>
                <w:sz w:val="20"/>
                <w:szCs w:val="20"/>
                <w:lang w:eastAsia="zh-CN"/>
              </w:rPr>
            </w:pPr>
            <w:r>
              <w:rPr>
                <w:rFonts w:hint="eastAsia" w:ascii="仿宋_GB2312" w:hAnsi="仿宋_GB2312" w:eastAsia="仿宋_GB2312" w:cs="仿宋_GB2312"/>
                <w:color w:val="auto"/>
                <w:spacing w:val="4"/>
                <w:sz w:val="20"/>
                <w:szCs w:val="20"/>
                <w:lang w:val="en-US" w:eastAsia="zh-CN"/>
              </w:rPr>
              <w:t>4.按照有关规定应当回避而没有回避的。</w:t>
            </w:r>
            <w:r>
              <w:rPr>
                <w:rFonts w:hint="eastAsia" w:ascii="仿宋_GB2312" w:hAnsi="仿宋_GB2312" w:eastAsia="仿宋_GB2312" w:cs="仿宋_GB2312"/>
                <w:color w:val="auto"/>
                <w:spacing w:val="4"/>
                <w:sz w:val="20"/>
                <w:szCs w:val="20"/>
                <w:lang w:eastAsia="zh-CN"/>
              </w:rPr>
              <w:t xml:space="preserve"> </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pacing w:val="4"/>
                <w:sz w:val="20"/>
                <w:szCs w:val="20"/>
                <w:lang w:val="en-US" w:eastAsia="zh-CN"/>
              </w:rPr>
              <w:t>5</w:t>
            </w:r>
            <w:r>
              <w:rPr>
                <w:rFonts w:hint="eastAsia" w:ascii="仿宋_GB2312" w:hAnsi="仿宋_GB2312" w:eastAsia="仿宋_GB2312" w:cs="仿宋_GB2312"/>
                <w:color w:val="auto"/>
                <w:spacing w:val="4"/>
                <w:sz w:val="20"/>
                <w:szCs w:val="20"/>
                <w:lang w:eastAsia="zh-CN"/>
              </w:rPr>
              <w:t>.其他违反法律法规规章文件规定的行为。</w:t>
            </w:r>
          </w:p>
        </w:tc>
        <w:tc>
          <w:tcPr>
            <w:tcW w:w="1335"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40" w:type="dxa"/>
            <w:vAlign w:val="center"/>
          </w:tcPr>
          <w:p>
            <w:pPr>
              <w:wordWrap/>
              <w:spacing w:line="240" w:lineRule="exact"/>
              <w:ind w:left="0" w:leftChars="0" w:right="0" w:firstLine="0" w:firstLineChars="0"/>
              <w:jc w:val="center"/>
              <w:rPr>
                <w:rFonts w:hint="default"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18</w:t>
            </w:r>
          </w:p>
        </w:tc>
        <w:tc>
          <w:tcPr>
            <w:tcW w:w="807"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eastAsia="zh-CN"/>
              </w:rPr>
              <w:t>行政检查</w:t>
            </w:r>
          </w:p>
        </w:tc>
        <w:tc>
          <w:tcPr>
            <w:tcW w:w="1225"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pacing w:val="4"/>
                <w:sz w:val="20"/>
                <w:szCs w:val="20"/>
                <w:lang w:eastAsia="zh-CN"/>
              </w:rPr>
              <w:t>对学校体育工作的检查</w:t>
            </w:r>
          </w:p>
        </w:tc>
        <w:tc>
          <w:tcPr>
            <w:tcW w:w="1002"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val="en-US" w:eastAsia="zh-CN"/>
              </w:rPr>
              <w:t>高邑县</w:t>
            </w:r>
            <w:r>
              <w:rPr>
                <w:rFonts w:hint="eastAsia" w:ascii="仿宋_GB2312" w:hAnsi="仿宋_GB2312" w:eastAsia="仿宋_GB2312" w:cs="仿宋_GB2312"/>
                <w:color w:val="auto"/>
                <w:sz w:val="20"/>
                <w:szCs w:val="20"/>
                <w:lang w:eastAsia="zh-CN"/>
              </w:rPr>
              <w:t>教育局</w:t>
            </w:r>
          </w:p>
        </w:tc>
        <w:tc>
          <w:tcPr>
            <w:tcW w:w="3488" w:type="dxa"/>
            <w:vAlign w:val="top"/>
          </w:tcPr>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pacing w:val="4"/>
                <w:sz w:val="20"/>
                <w:szCs w:val="20"/>
                <w:lang w:val="en-US" w:eastAsia="zh-CN"/>
              </w:rPr>
              <w:t>《学校体育工作条例》（1990年2月20日国务院批准，1990年3月12日国家教育委员会、国家体育运动委员会令第11号发布，根据2017年3月1日《国务院关于修改和废止部分行政法规的决定》修正）第二十三条 “各级教育行政部门应当健全学校体育管理机构，加强对学校体育工作的指导和检查。”</w:t>
            </w:r>
          </w:p>
        </w:tc>
        <w:tc>
          <w:tcPr>
            <w:tcW w:w="3895" w:type="dxa"/>
            <w:vAlign w:val="top"/>
          </w:tcPr>
          <w:p>
            <w:pPr>
              <w:wordWrap/>
              <w:spacing w:line="240" w:lineRule="exact"/>
              <w:ind w:left="0" w:leftChars="0" w:right="0" w:firstLine="0" w:firstLineChars="0"/>
              <w:rPr>
                <w:rFonts w:hint="eastAsia" w:ascii="仿宋_GB2312" w:hAnsi="仿宋_GB2312" w:eastAsia="仿宋_GB2312" w:cs="仿宋_GB2312"/>
                <w:color w:val="auto"/>
                <w:spacing w:val="4"/>
                <w:sz w:val="20"/>
                <w:szCs w:val="20"/>
                <w:lang w:val="en-US" w:eastAsia="zh-CN"/>
              </w:rPr>
            </w:pPr>
            <w:r>
              <w:rPr>
                <w:rFonts w:hint="eastAsia" w:ascii="仿宋_GB2312" w:hAnsi="仿宋_GB2312" w:eastAsia="仿宋_GB2312" w:cs="仿宋_GB2312"/>
                <w:color w:val="auto"/>
                <w:spacing w:val="4"/>
                <w:sz w:val="20"/>
                <w:szCs w:val="20"/>
                <w:lang w:val="en-US" w:eastAsia="zh-CN"/>
              </w:rPr>
              <w:t>1.检查责任：对学校体育工作开展情况组织监督检查；</w:t>
            </w:r>
          </w:p>
          <w:p>
            <w:pPr>
              <w:wordWrap/>
              <w:spacing w:line="240" w:lineRule="exact"/>
              <w:ind w:left="0" w:leftChars="0" w:right="0" w:firstLine="0" w:firstLineChars="0"/>
              <w:rPr>
                <w:rFonts w:hint="eastAsia" w:ascii="仿宋_GB2312" w:hAnsi="仿宋_GB2312" w:eastAsia="仿宋_GB2312" w:cs="仿宋_GB2312"/>
                <w:color w:val="auto"/>
                <w:spacing w:val="4"/>
                <w:sz w:val="20"/>
                <w:szCs w:val="20"/>
                <w:lang w:val="en-US" w:eastAsia="zh-CN"/>
              </w:rPr>
            </w:pPr>
            <w:r>
              <w:rPr>
                <w:rFonts w:hint="eastAsia" w:ascii="仿宋_GB2312" w:hAnsi="仿宋_GB2312" w:eastAsia="仿宋_GB2312" w:cs="仿宋_GB2312"/>
                <w:color w:val="auto"/>
                <w:spacing w:val="4"/>
                <w:sz w:val="20"/>
                <w:szCs w:val="20"/>
                <w:lang w:val="en-US" w:eastAsia="zh-CN"/>
              </w:rPr>
              <w:t>2.处置责任：对监督检查发现的问题，责令限期整改；</w:t>
            </w:r>
          </w:p>
          <w:p>
            <w:pPr>
              <w:wordWrap/>
              <w:spacing w:line="240" w:lineRule="exact"/>
              <w:ind w:left="0" w:leftChars="0" w:right="0" w:firstLine="0" w:firstLineChars="0"/>
              <w:rPr>
                <w:rFonts w:hint="eastAsia" w:ascii="仿宋_GB2312" w:hAnsi="仿宋_GB2312" w:eastAsia="仿宋_GB2312" w:cs="仿宋_GB2312"/>
                <w:color w:val="auto"/>
                <w:spacing w:val="4"/>
                <w:sz w:val="20"/>
                <w:szCs w:val="20"/>
                <w:lang w:val="en-US" w:eastAsia="zh-CN"/>
              </w:rPr>
            </w:pPr>
            <w:r>
              <w:rPr>
                <w:rFonts w:hint="eastAsia" w:ascii="仿宋_GB2312" w:hAnsi="仿宋_GB2312" w:eastAsia="仿宋_GB2312" w:cs="仿宋_GB2312"/>
                <w:color w:val="auto"/>
                <w:spacing w:val="4"/>
                <w:sz w:val="20"/>
                <w:szCs w:val="20"/>
                <w:lang w:val="en-US" w:eastAsia="zh-CN"/>
              </w:rPr>
              <w:t>3.事后管理责任：对监督检查发现的问题，学校整改完成后，对整改情况组织进行核查；</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pacing w:val="4"/>
                <w:sz w:val="20"/>
                <w:szCs w:val="20"/>
                <w:lang w:val="en-US" w:eastAsia="zh-CN"/>
              </w:rPr>
              <w:t>4.其他责任：法律法规规章等规定应履行的责任。</w:t>
            </w:r>
          </w:p>
        </w:tc>
        <w:tc>
          <w:tcPr>
            <w:tcW w:w="1620" w:type="dxa"/>
            <w:vAlign w:val="top"/>
          </w:tcPr>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因不履行或不正确履行职责，有下列情形的，行政机关及相关工作人员应承担相应责任：</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1.不对学校体育工作开展情况组织监督检查；</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2.对在检查中发现的问题，不责令限期整改、不依法处理；</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3.对监督检查发现的问题，学校整改完成后，不对整改情况组织核查；</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4.其他违反法律法规规章文件规定的行为。</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p>
        </w:tc>
        <w:tc>
          <w:tcPr>
            <w:tcW w:w="1335"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40" w:type="dxa"/>
            <w:vAlign w:val="center"/>
          </w:tcPr>
          <w:p>
            <w:pPr>
              <w:wordWrap/>
              <w:spacing w:line="240" w:lineRule="exact"/>
              <w:ind w:left="0" w:leftChars="0" w:right="0" w:firstLine="0" w:firstLineChars="0"/>
              <w:jc w:val="center"/>
              <w:rPr>
                <w:rFonts w:hint="default"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19</w:t>
            </w:r>
          </w:p>
        </w:tc>
        <w:tc>
          <w:tcPr>
            <w:tcW w:w="807"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rPr>
              <w:t>行政</w:t>
            </w:r>
            <w:r>
              <w:rPr>
                <w:rFonts w:hint="eastAsia" w:ascii="仿宋_GB2312" w:hAnsi="仿宋_GB2312" w:eastAsia="仿宋_GB2312" w:cs="仿宋_GB2312"/>
                <w:color w:val="auto"/>
                <w:sz w:val="20"/>
                <w:szCs w:val="20"/>
                <w:lang w:eastAsia="zh-CN"/>
              </w:rPr>
              <w:t>检查</w:t>
            </w:r>
          </w:p>
        </w:tc>
        <w:tc>
          <w:tcPr>
            <w:tcW w:w="1225"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pacing w:val="4"/>
                <w:sz w:val="20"/>
                <w:szCs w:val="20"/>
                <w:lang w:eastAsia="zh-CN"/>
              </w:rPr>
              <w:t>对</w:t>
            </w:r>
            <w:r>
              <w:rPr>
                <w:rFonts w:hint="eastAsia" w:ascii="仿宋_GB2312" w:hAnsi="仿宋_GB2312" w:eastAsia="仿宋_GB2312" w:cs="仿宋_GB2312"/>
                <w:color w:val="auto"/>
                <w:spacing w:val="4"/>
                <w:sz w:val="20"/>
                <w:szCs w:val="20"/>
              </w:rPr>
              <w:t>职业</w:t>
            </w:r>
            <w:r>
              <w:rPr>
                <w:rFonts w:hint="eastAsia" w:ascii="仿宋_GB2312" w:hAnsi="仿宋_GB2312" w:eastAsia="仿宋_GB2312" w:cs="仿宋_GB2312"/>
                <w:color w:val="auto"/>
                <w:spacing w:val="4"/>
                <w:sz w:val="20"/>
                <w:szCs w:val="20"/>
                <w:lang w:eastAsia="zh-CN"/>
              </w:rPr>
              <w:t>学校办学行为的检查</w:t>
            </w:r>
          </w:p>
        </w:tc>
        <w:tc>
          <w:tcPr>
            <w:tcW w:w="1002"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val="en-US" w:eastAsia="zh-CN"/>
              </w:rPr>
              <w:t>高邑县</w:t>
            </w:r>
            <w:r>
              <w:rPr>
                <w:rFonts w:hint="eastAsia" w:ascii="仿宋_GB2312" w:hAnsi="仿宋_GB2312" w:eastAsia="仿宋_GB2312" w:cs="仿宋_GB2312"/>
                <w:color w:val="auto"/>
                <w:sz w:val="20"/>
                <w:szCs w:val="20"/>
                <w:lang w:eastAsia="zh-CN"/>
              </w:rPr>
              <w:t>教育局</w:t>
            </w:r>
          </w:p>
        </w:tc>
        <w:tc>
          <w:tcPr>
            <w:tcW w:w="3488" w:type="dxa"/>
            <w:vAlign w:val="top"/>
          </w:tcPr>
          <w:p>
            <w:pPr>
              <w:wordWrap/>
              <w:adjustRightInd w:val="0"/>
              <w:snapToGrid w:val="0"/>
              <w:spacing w:line="240" w:lineRule="exact"/>
              <w:ind w:left="0" w:leftChars="0" w:right="0" w:firstLine="0" w:firstLineChars="0"/>
              <w:rPr>
                <w:rFonts w:hint="eastAsia" w:ascii="仿宋_GB2312" w:hAnsi="仿宋_GB2312" w:eastAsia="仿宋_GB2312" w:cs="仿宋_GB2312"/>
                <w:color w:val="auto"/>
                <w:spacing w:val="4"/>
                <w:sz w:val="20"/>
                <w:szCs w:val="20"/>
              </w:rPr>
            </w:pPr>
            <w:r>
              <w:rPr>
                <w:rFonts w:hint="eastAsia" w:ascii="仿宋_GB2312" w:hAnsi="仿宋_GB2312" w:eastAsia="仿宋_GB2312" w:cs="仿宋_GB2312"/>
                <w:color w:val="auto"/>
                <w:spacing w:val="4"/>
                <w:sz w:val="20"/>
                <w:szCs w:val="20"/>
              </w:rPr>
              <w:t>1</w:t>
            </w:r>
            <w:r>
              <w:rPr>
                <w:rFonts w:hint="eastAsia" w:ascii="仿宋_GB2312" w:hAnsi="仿宋_GB2312" w:eastAsia="仿宋_GB2312" w:cs="仿宋_GB2312"/>
                <w:color w:val="auto"/>
                <w:spacing w:val="4"/>
                <w:sz w:val="20"/>
                <w:szCs w:val="20"/>
                <w:lang w:val="en-US" w:eastAsia="zh-CN"/>
              </w:rPr>
              <w:t>.</w:t>
            </w:r>
            <w:r>
              <w:rPr>
                <w:rFonts w:hint="eastAsia" w:ascii="仿宋_GB2312" w:hAnsi="仿宋_GB2312" w:eastAsia="仿宋_GB2312" w:cs="仿宋_GB2312"/>
                <w:color w:val="auto"/>
                <w:spacing w:val="4"/>
                <w:sz w:val="20"/>
                <w:szCs w:val="20"/>
              </w:rPr>
              <w:t>《中华人民共和国职业教育法》</w:t>
            </w:r>
            <w:r>
              <w:rPr>
                <w:rFonts w:hint="eastAsia" w:ascii="仿宋_GB2312" w:hAnsi="仿宋_GB2312" w:eastAsia="仿宋_GB2312" w:cs="仿宋_GB2312"/>
                <w:color w:val="auto"/>
                <w:spacing w:val="4"/>
                <w:sz w:val="20"/>
                <w:szCs w:val="20"/>
                <w:lang w:eastAsia="zh-CN"/>
              </w:rPr>
              <w:t>（</w:t>
            </w:r>
            <w:r>
              <w:rPr>
                <w:rFonts w:hint="eastAsia" w:ascii="仿宋_GB2312" w:hAnsi="仿宋_GB2312" w:eastAsia="仿宋_GB2312" w:cs="仿宋_GB2312"/>
                <w:color w:val="auto"/>
                <w:spacing w:val="4"/>
                <w:sz w:val="20"/>
                <w:szCs w:val="20"/>
                <w:lang w:val="en-US" w:eastAsia="zh-CN"/>
              </w:rPr>
              <w:t>1996年5月15日第八届全国人民代表大会常务委员会第十九次会议通过</w:t>
            </w:r>
            <w:r>
              <w:rPr>
                <w:rFonts w:hint="eastAsia" w:ascii="仿宋_GB2312" w:hAnsi="仿宋_GB2312" w:eastAsia="仿宋_GB2312" w:cs="仿宋_GB2312"/>
                <w:color w:val="auto"/>
                <w:spacing w:val="4"/>
                <w:sz w:val="20"/>
                <w:szCs w:val="20"/>
                <w:lang w:eastAsia="zh-CN"/>
              </w:rPr>
              <w:t>）</w:t>
            </w:r>
            <w:r>
              <w:rPr>
                <w:rFonts w:hint="eastAsia" w:ascii="仿宋_GB2312" w:hAnsi="仿宋_GB2312" w:eastAsia="仿宋_GB2312" w:cs="仿宋_GB2312"/>
                <w:color w:val="auto"/>
                <w:spacing w:val="4"/>
                <w:sz w:val="20"/>
                <w:szCs w:val="20"/>
              </w:rPr>
              <w:t>第十一条“国务院教育行政部门负责职业教育工作的统筹规划、综合协调、宏观管理。国务院教育行政部门、劳动行政部门和其他有关部门在国务院规定的职责范围内，分别负责有关的职业教育工作。县级以上地方各级人民政府应当加强对本行政区域内职业教育工作的领导、统筹协调和督导评估。”</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pacing w:val="4"/>
                <w:sz w:val="20"/>
                <w:szCs w:val="20"/>
              </w:rPr>
              <w:t>2</w:t>
            </w:r>
            <w:r>
              <w:rPr>
                <w:rFonts w:hint="eastAsia" w:ascii="仿宋_GB2312" w:hAnsi="仿宋_GB2312" w:eastAsia="仿宋_GB2312" w:cs="仿宋_GB2312"/>
                <w:color w:val="auto"/>
                <w:spacing w:val="4"/>
                <w:sz w:val="20"/>
                <w:szCs w:val="20"/>
                <w:lang w:val="en-US" w:eastAsia="zh-CN"/>
              </w:rPr>
              <w:t>.</w:t>
            </w:r>
            <w:r>
              <w:rPr>
                <w:rFonts w:hint="eastAsia" w:ascii="仿宋_GB2312" w:hAnsi="仿宋_GB2312" w:eastAsia="仿宋_GB2312" w:cs="仿宋_GB2312"/>
                <w:color w:val="auto"/>
                <w:spacing w:val="4"/>
                <w:sz w:val="20"/>
                <w:szCs w:val="20"/>
              </w:rPr>
              <w:t>《河北省实施〈中华人民共和国职业教育法〉办法》</w:t>
            </w:r>
            <w:r>
              <w:rPr>
                <w:rFonts w:hint="eastAsia" w:ascii="仿宋_GB2312" w:hAnsi="仿宋_GB2312" w:eastAsia="仿宋_GB2312" w:cs="仿宋_GB2312"/>
                <w:i w:val="0"/>
                <w:color w:val="auto"/>
                <w:kern w:val="0"/>
                <w:sz w:val="20"/>
                <w:szCs w:val="20"/>
                <w:u w:val="none"/>
                <w:lang w:val="en-US" w:eastAsia="zh-CN"/>
              </w:rPr>
              <w:t>（1999年4月2日河北省第九届人民代表大会常务委员会第八次</w:t>
            </w:r>
            <w:r>
              <w:rPr>
                <w:rFonts w:hint="default" w:ascii="仿宋_GB2312" w:hAnsi="仿宋_GB2312" w:eastAsia="仿宋_GB2312" w:cs="仿宋_GB2312"/>
                <w:i w:val="0"/>
                <w:color w:val="auto"/>
                <w:kern w:val="0"/>
                <w:sz w:val="20"/>
                <w:szCs w:val="20"/>
                <w:u w:val="none"/>
                <w:lang w:val="en-US" w:eastAsia="zh-CN"/>
              </w:rPr>
              <w:fldChar w:fldCharType="begin"/>
            </w:r>
            <w:r>
              <w:rPr>
                <w:rFonts w:hint="default" w:ascii="仿宋_GB2312" w:hAnsi="仿宋_GB2312" w:eastAsia="仿宋_GB2312" w:cs="仿宋_GB2312"/>
                <w:i w:val="0"/>
                <w:color w:val="auto"/>
                <w:kern w:val="0"/>
                <w:sz w:val="20"/>
                <w:szCs w:val="20"/>
                <w:u w:val="none"/>
                <w:lang w:val="en-US" w:eastAsia="zh-CN"/>
              </w:rPr>
              <w:instrText xml:space="preserve"> HYPERLINK "https://baike.baidu.com/item/%E4%BC%9A%E8%AE%AE/9531378" \t "https://baike.baidu.com/item/%E6%B2%B3%E5%8C%97%E7%9C%81%E5%AE%9E%E6%96%BD%E3%80%8A%E4%B8%AD%E5%8D%8E%E4%BA%BA%E6%B0%91%E5%85%B1%E5%92%8C%E5%9B%BD%E8%81%8C%E4%B8%9A%E6%95%99%E8%82%B2%E6%B3%95%E3%80%8B%E5%8A%9E%E6%B3%95/_blank" </w:instrText>
            </w:r>
            <w:r>
              <w:rPr>
                <w:rFonts w:hint="default" w:ascii="仿宋_GB2312" w:hAnsi="仿宋_GB2312" w:eastAsia="仿宋_GB2312" w:cs="仿宋_GB2312"/>
                <w:i w:val="0"/>
                <w:color w:val="auto"/>
                <w:kern w:val="0"/>
                <w:sz w:val="20"/>
                <w:szCs w:val="20"/>
                <w:u w:val="none"/>
                <w:lang w:val="en-US" w:eastAsia="zh-CN"/>
              </w:rPr>
              <w:fldChar w:fldCharType="separate"/>
            </w:r>
            <w:r>
              <w:rPr>
                <w:rFonts w:hint="default" w:ascii="仿宋_GB2312" w:hAnsi="仿宋_GB2312" w:eastAsia="仿宋_GB2312" w:cs="仿宋_GB2312"/>
                <w:i w:val="0"/>
                <w:color w:val="auto"/>
                <w:kern w:val="0"/>
                <w:sz w:val="20"/>
                <w:szCs w:val="20"/>
                <w:u w:val="none"/>
                <w:lang w:val="en-US" w:eastAsia="zh-CN"/>
              </w:rPr>
              <w:t>会议</w:t>
            </w:r>
            <w:r>
              <w:rPr>
                <w:rFonts w:hint="default" w:ascii="仿宋_GB2312" w:hAnsi="仿宋_GB2312" w:eastAsia="仿宋_GB2312" w:cs="仿宋_GB2312"/>
                <w:i w:val="0"/>
                <w:color w:val="auto"/>
                <w:kern w:val="0"/>
                <w:sz w:val="20"/>
                <w:szCs w:val="20"/>
                <w:u w:val="none"/>
                <w:lang w:val="en-US" w:eastAsia="zh-CN"/>
              </w:rPr>
              <w:fldChar w:fldCharType="end"/>
            </w:r>
            <w:r>
              <w:rPr>
                <w:rFonts w:hint="default" w:ascii="仿宋_GB2312" w:hAnsi="仿宋_GB2312" w:eastAsia="仿宋_GB2312" w:cs="仿宋_GB2312"/>
                <w:i w:val="0"/>
                <w:color w:val="auto"/>
                <w:kern w:val="0"/>
                <w:sz w:val="20"/>
                <w:szCs w:val="20"/>
                <w:u w:val="none"/>
                <w:lang w:val="en-US" w:eastAsia="zh-CN"/>
              </w:rPr>
              <w:t>通过</w:t>
            </w:r>
            <w:r>
              <w:rPr>
                <w:rFonts w:hint="eastAsia" w:ascii="仿宋_GB2312" w:hAnsi="仿宋_GB2312" w:eastAsia="仿宋_GB2312" w:cs="仿宋_GB2312"/>
                <w:i w:val="0"/>
                <w:color w:val="auto"/>
                <w:kern w:val="0"/>
                <w:sz w:val="20"/>
                <w:szCs w:val="20"/>
                <w:u w:val="none"/>
                <w:lang w:val="en-US" w:eastAsia="zh-CN"/>
              </w:rPr>
              <w:t>）</w:t>
            </w:r>
            <w:r>
              <w:rPr>
                <w:rFonts w:hint="eastAsia" w:ascii="仿宋_GB2312" w:hAnsi="仿宋_GB2312" w:eastAsia="仿宋_GB2312" w:cs="仿宋_GB2312"/>
                <w:color w:val="auto"/>
                <w:spacing w:val="4"/>
                <w:sz w:val="20"/>
                <w:szCs w:val="20"/>
              </w:rPr>
              <w:t>第六条</w:t>
            </w:r>
            <w:r>
              <w:rPr>
                <w:rFonts w:hint="eastAsia" w:ascii="仿宋_GB2312" w:hAnsi="仿宋_GB2312" w:eastAsia="仿宋_GB2312" w:cs="仿宋_GB2312"/>
                <w:color w:val="auto"/>
                <w:spacing w:val="4"/>
                <w:sz w:val="20"/>
                <w:szCs w:val="20"/>
                <w:lang w:eastAsia="zh-CN"/>
              </w:rPr>
              <w:t>“</w:t>
            </w:r>
            <w:r>
              <w:rPr>
                <w:rFonts w:hint="eastAsia" w:ascii="仿宋_GB2312" w:hAnsi="仿宋_GB2312" w:eastAsia="仿宋_GB2312" w:cs="仿宋_GB2312"/>
                <w:color w:val="auto"/>
                <w:spacing w:val="4"/>
                <w:sz w:val="20"/>
                <w:szCs w:val="20"/>
              </w:rPr>
              <w:t>教育行政部门负责本行政区域内的职业教育工作，对职业教育进行统筹规划、协调和管理。</w:t>
            </w:r>
            <w:r>
              <w:rPr>
                <w:rFonts w:hint="eastAsia" w:ascii="仿宋_GB2312" w:hAnsi="仿宋_GB2312" w:eastAsia="仿宋_GB2312" w:cs="仿宋_GB2312"/>
                <w:color w:val="auto"/>
                <w:spacing w:val="4"/>
                <w:sz w:val="20"/>
                <w:szCs w:val="20"/>
                <w:lang w:eastAsia="zh-CN"/>
              </w:rPr>
              <w:t>”</w:t>
            </w:r>
          </w:p>
        </w:tc>
        <w:tc>
          <w:tcPr>
            <w:tcW w:w="3895" w:type="dxa"/>
            <w:vAlign w:val="top"/>
          </w:tcPr>
          <w:p>
            <w:pPr>
              <w:wordWrap/>
              <w:adjustRightInd w:val="0"/>
              <w:snapToGrid w:val="0"/>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1.检查责任：根据管理权限对职业学校办学情况组织监督检查；</w:t>
            </w:r>
          </w:p>
          <w:p>
            <w:pPr>
              <w:wordWrap/>
              <w:adjustRightInd w:val="0"/>
              <w:snapToGrid w:val="0"/>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2.处置责任：对监督检查发现的问题，责令限期整改，依法实施处罚；</w:t>
            </w:r>
          </w:p>
          <w:p>
            <w:pPr>
              <w:wordWrap/>
              <w:adjustRightInd w:val="0"/>
              <w:snapToGrid w:val="0"/>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3.事后管理责任：对监督检查发现的问题，职业学校整改完成后，对整改情况组织进行核查；</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i w:val="0"/>
                <w:color w:val="auto"/>
                <w:kern w:val="0"/>
                <w:sz w:val="20"/>
                <w:szCs w:val="20"/>
                <w:u w:val="none"/>
                <w:lang w:val="en-US" w:eastAsia="zh-CN"/>
              </w:rPr>
              <w:t>4.其他责任：法律法规规章等规定应履行的责任。</w:t>
            </w:r>
          </w:p>
        </w:tc>
        <w:tc>
          <w:tcPr>
            <w:tcW w:w="1620" w:type="dxa"/>
            <w:vAlign w:val="top"/>
          </w:tcPr>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因不履行或不正确履行职责，有下列情形的，行政机关及相关工作人员应承担相应责任：</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1.不按管理权限对职业学校办学情况组织监督检查；</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2.对在检查中发现的问题，不责令限期整改、不依法实施处罚；</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3.对监督检查发现的问题，学校整改完成后，不对整改情况组织核查；</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4.其他违反法律法规规章文件规定的行为。</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p>
        </w:tc>
        <w:tc>
          <w:tcPr>
            <w:tcW w:w="1335"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40" w:type="dxa"/>
            <w:vAlign w:val="center"/>
          </w:tcPr>
          <w:p>
            <w:pPr>
              <w:wordWrap/>
              <w:spacing w:line="240" w:lineRule="exact"/>
              <w:ind w:left="0" w:leftChars="0" w:right="0" w:firstLine="0" w:firstLineChars="0"/>
              <w:jc w:val="center"/>
              <w:rPr>
                <w:rFonts w:hint="default"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20</w:t>
            </w:r>
          </w:p>
        </w:tc>
        <w:tc>
          <w:tcPr>
            <w:tcW w:w="807"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rPr>
              <w:t>行政</w:t>
            </w:r>
            <w:r>
              <w:rPr>
                <w:rFonts w:hint="eastAsia" w:ascii="仿宋_GB2312" w:hAnsi="仿宋_GB2312" w:eastAsia="仿宋_GB2312" w:cs="仿宋_GB2312"/>
                <w:color w:val="auto"/>
                <w:sz w:val="20"/>
                <w:szCs w:val="20"/>
                <w:lang w:eastAsia="zh-CN"/>
              </w:rPr>
              <w:t>检查</w:t>
            </w:r>
          </w:p>
        </w:tc>
        <w:tc>
          <w:tcPr>
            <w:tcW w:w="1225"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pacing w:val="4"/>
                <w:sz w:val="20"/>
                <w:szCs w:val="20"/>
              </w:rPr>
              <w:t>对学校及其他教育机构</w:t>
            </w:r>
            <w:r>
              <w:rPr>
                <w:rFonts w:hint="eastAsia" w:ascii="仿宋_GB2312" w:hAnsi="仿宋_GB2312" w:eastAsia="仿宋_GB2312" w:cs="仿宋_GB2312"/>
                <w:color w:val="auto"/>
                <w:spacing w:val="4"/>
                <w:sz w:val="20"/>
                <w:szCs w:val="20"/>
                <w:lang w:eastAsia="zh-CN"/>
              </w:rPr>
              <w:t>的督导</w:t>
            </w:r>
            <w:r>
              <w:rPr>
                <w:rFonts w:hint="eastAsia" w:ascii="仿宋_GB2312" w:hAnsi="仿宋_GB2312" w:eastAsia="仿宋_GB2312" w:cs="仿宋_GB2312"/>
                <w:color w:val="auto"/>
                <w:spacing w:val="4"/>
                <w:sz w:val="20"/>
                <w:szCs w:val="20"/>
              </w:rPr>
              <w:t>评估</w:t>
            </w:r>
          </w:p>
        </w:tc>
        <w:tc>
          <w:tcPr>
            <w:tcW w:w="1002"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val="en-US" w:eastAsia="zh-CN"/>
              </w:rPr>
              <w:t>高邑县</w:t>
            </w:r>
            <w:r>
              <w:rPr>
                <w:rFonts w:hint="eastAsia" w:ascii="仿宋_GB2312" w:hAnsi="仿宋_GB2312" w:eastAsia="仿宋_GB2312" w:cs="仿宋_GB2312"/>
                <w:color w:val="auto"/>
                <w:sz w:val="20"/>
                <w:szCs w:val="20"/>
                <w:lang w:eastAsia="zh-CN"/>
              </w:rPr>
              <w:t>教育局</w:t>
            </w:r>
          </w:p>
        </w:tc>
        <w:tc>
          <w:tcPr>
            <w:tcW w:w="3488" w:type="dxa"/>
            <w:vAlign w:val="top"/>
          </w:tcPr>
          <w:p>
            <w:pPr>
              <w:wordWrap/>
              <w:spacing w:line="240" w:lineRule="exact"/>
              <w:ind w:left="0" w:leftChars="0" w:right="0" w:firstLine="0" w:firstLineChars="0"/>
              <w:rPr>
                <w:rFonts w:hint="eastAsia" w:ascii="仿宋_GB2312" w:hAnsi="仿宋_GB2312" w:eastAsia="仿宋_GB2312" w:cs="仿宋_GB2312"/>
                <w:color w:val="auto"/>
                <w:spacing w:val="4"/>
                <w:sz w:val="20"/>
                <w:szCs w:val="20"/>
              </w:rPr>
            </w:pPr>
            <w:r>
              <w:rPr>
                <w:rFonts w:hint="eastAsia" w:ascii="仿宋_GB2312" w:hAnsi="仿宋_GB2312" w:eastAsia="仿宋_GB2312" w:cs="仿宋_GB2312"/>
                <w:color w:val="auto"/>
                <w:spacing w:val="4"/>
                <w:sz w:val="20"/>
                <w:szCs w:val="20"/>
              </w:rPr>
              <w:t>《教育督导条例》</w:t>
            </w:r>
            <w:r>
              <w:rPr>
                <w:rFonts w:hint="eastAsia" w:ascii="仿宋_GB2312" w:hAnsi="仿宋_GB2312" w:eastAsia="仿宋_GB2312" w:cs="仿宋_GB2312"/>
                <w:color w:val="auto"/>
                <w:spacing w:val="4"/>
                <w:sz w:val="20"/>
                <w:szCs w:val="20"/>
                <w:lang w:eastAsia="zh-CN"/>
              </w:rPr>
              <w:t>（中华人民共和国国务院令第</w:t>
            </w:r>
            <w:r>
              <w:rPr>
                <w:rFonts w:hint="eastAsia" w:ascii="仿宋_GB2312" w:hAnsi="仿宋_GB2312" w:eastAsia="仿宋_GB2312" w:cs="仿宋_GB2312"/>
                <w:color w:val="auto"/>
                <w:spacing w:val="4"/>
                <w:sz w:val="20"/>
                <w:szCs w:val="20"/>
                <w:lang w:val="en-US" w:eastAsia="zh-CN"/>
              </w:rPr>
              <w:t>624号</w:t>
            </w:r>
            <w:r>
              <w:rPr>
                <w:rFonts w:hint="eastAsia" w:ascii="仿宋_GB2312" w:hAnsi="仿宋_GB2312" w:eastAsia="仿宋_GB2312" w:cs="仿宋_GB2312"/>
                <w:color w:val="auto"/>
                <w:spacing w:val="4"/>
                <w:sz w:val="20"/>
                <w:szCs w:val="20"/>
                <w:lang w:eastAsia="zh-CN"/>
              </w:rPr>
              <w:t>）</w:t>
            </w:r>
            <w:r>
              <w:rPr>
                <w:rFonts w:hint="eastAsia" w:ascii="仿宋_GB2312" w:hAnsi="仿宋_GB2312" w:eastAsia="仿宋_GB2312" w:cs="仿宋_GB2312"/>
                <w:color w:val="auto"/>
                <w:spacing w:val="4"/>
                <w:sz w:val="20"/>
                <w:szCs w:val="20"/>
              </w:rPr>
              <w:t>第二条“对法律、法规规定范围的各级各类教育实施教育督导，适用本条例。教育督导包括以下内容：（二）县级以上地方人民政府对本行政区域内的学校和其他教育机构（以下统称学校）教育教学工作的督导。”</w:t>
            </w:r>
          </w:p>
          <w:p>
            <w:pPr>
              <w:wordWrap/>
              <w:spacing w:line="240" w:lineRule="exact"/>
              <w:ind w:left="0" w:leftChars="0" w:right="0" w:firstLine="0" w:firstLineChars="0"/>
              <w:rPr>
                <w:rFonts w:hint="eastAsia" w:ascii="仿宋_GB2312" w:hAnsi="仿宋_GB2312" w:eastAsia="仿宋_GB2312" w:cs="仿宋_GB2312"/>
                <w:i w:val="0"/>
                <w:caps w:val="0"/>
                <w:color w:val="auto"/>
                <w:spacing w:val="0"/>
                <w:sz w:val="20"/>
                <w:szCs w:val="20"/>
                <w:shd w:val="clear" w:color="auto" w:fill="FFFFFF"/>
                <w:lang w:val="en-US" w:eastAsia="zh-CN"/>
              </w:rPr>
            </w:pPr>
          </w:p>
        </w:tc>
        <w:tc>
          <w:tcPr>
            <w:tcW w:w="3895" w:type="dxa"/>
            <w:vAlign w:val="top"/>
          </w:tcPr>
          <w:p>
            <w:pPr>
              <w:wordWrap/>
              <w:adjustRightInd w:val="0"/>
              <w:snapToGrid w:val="0"/>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1.检查责任：根据管理权限对学校和其他教育机构组织督导评估；</w:t>
            </w:r>
          </w:p>
          <w:p>
            <w:pPr>
              <w:wordWrap/>
              <w:adjustRightInd w:val="0"/>
              <w:snapToGrid w:val="0"/>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2.处置责任：对督导评估发现的问题，下发督导意见书；</w:t>
            </w:r>
          </w:p>
          <w:p>
            <w:pPr>
              <w:wordWrap/>
              <w:adjustRightInd w:val="0"/>
              <w:snapToGrid w:val="0"/>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3.事后管理责任：对被督导单位整改情况进行核查；</w:t>
            </w:r>
          </w:p>
          <w:p>
            <w:pPr>
              <w:wordWrap/>
              <w:spacing w:line="240" w:lineRule="exact"/>
              <w:ind w:left="0" w:leftChars="0" w:right="0" w:firstLine="0" w:firstLineChars="0"/>
              <w:rPr>
                <w:rFonts w:hint="eastAsia" w:ascii="仿宋_GB2312" w:hAnsi="仿宋_GB2312" w:eastAsia="仿宋_GB2312" w:cs="仿宋_GB2312"/>
                <w:color w:val="auto"/>
                <w:sz w:val="20"/>
                <w:szCs w:val="20"/>
                <w:lang w:val="en-US" w:eastAsia="zh-CN"/>
              </w:rPr>
            </w:pPr>
            <w:r>
              <w:rPr>
                <w:rFonts w:hint="eastAsia" w:ascii="仿宋_GB2312" w:hAnsi="仿宋_GB2312" w:eastAsia="仿宋_GB2312" w:cs="仿宋_GB2312"/>
                <w:i w:val="0"/>
                <w:color w:val="auto"/>
                <w:kern w:val="0"/>
                <w:sz w:val="20"/>
                <w:szCs w:val="20"/>
                <w:u w:val="none"/>
                <w:lang w:val="en-US" w:eastAsia="zh-CN"/>
              </w:rPr>
              <w:t>4.其他责任：法律法规规章等规定应履行的责任。</w:t>
            </w:r>
          </w:p>
        </w:tc>
        <w:tc>
          <w:tcPr>
            <w:tcW w:w="1620" w:type="dxa"/>
            <w:vAlign w:val="top"/>
          </w:tcPr>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因不履行或不正确履行职责，有下列情形的，督导机构及相关工作人员应承担相应责任：</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1.不按管理权限对学校和其他教育机构教育教学工作组织督导评估；</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2.对督导评估中发现的问题，不提出限期整改要求和建议；</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3.对监督检查发现的问题，学校和其他教育机构整改完成后，不对整改情况组织核查；</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4.其他违反法律法规规章文件规定的行为。</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p>
        </w:tc>
        <w:tc>
          <w:tcPr>
            <w:tcW w:w="1335"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C00000"/>
                <w:sz w:val="20"/>
                <w:szCs w:val="20"/>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40" w:type="dxa"/>
            <w:vAlign w:val="center"/>
          </w:tcPr>
          <w:p>
            <w:pPr>
              <w:wordWrap/>
              <w:spacing w:line="240" w:lineRule="exact"/>
              <w:ind w:left="0" w:leftChars="0" w:right="0" w:firstLine="0" w:firstLineChars="0"/>
              <w:jc w:val="center"/>
              <w:rPr>
                <w:rFonts w:hint="default" w:ascii="仿宋_GB2312" w:hAnsi="仿宋_GB2312" w:eastAsia="仿宋_GB2312" w:cs="仿宋_GB2312"/>
                <w:color w:val="000000"/>
                <w:sz w:val="20"/>
                <w:szCs w:val="20"/>
                <w:highlight w:val="none"/>
                <w:lang w:val="en-US" w:eastAsia="zh-CN"/>
              </w:rPr>
            </w:pPr>
            <w:r>
              <w:rPr>
                <w:rFonts w:hint="eastAsia" w:ascii="仿宋_GB2312" w:hAnsi="仿宋_GB2312" w:eastAsia="仿宋_GB2312" w:cs="仿宋_GB2312"/>
                <w:color w:val="000000"/>
                <w:sz w:val="20"/>
                <w:szCs w:val="20"/>
                <w:highlight w:val="none"/>
                <w:lang w:val="en-US" w:eastAsia="zh-CN"/>
              </w:rPr>
              <w:t>21</w:t>
            </w:r>
          </w:p>
        </w:tc>
        <w:tc>
          <w:tcPr>
            <w:tcW w:w="807"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000000"/>
                <w:sz w:val="20"/>
                <w:szCs w:val="20"/>
                <w:highlight w:val="none"/>
                <w:lang w:eastAsia="zh-CN"/>
              </w:rPr>
            </w:pPr>
            <w:r>
              <w:rPr>
                <w:rFonts w:hint="eastAsia" w:ascii="仿宋_GB2312" w:hAnsi="仿宋_GB2312" w:eastAsia="仿宋_GB2312" w:cs="仿宋_GB2312"/>
                <w:color w:val="000000"/>
                <w:sz w:val="20"/>
                <w:szCs w:val="20"/>
                <w:highlight w:val="none"/>
              </w:rPr>
              <w:t>行政</w:t>
            </w:r>
            <w:r>
              <w:rPr>
                <w:rFonts w:hint="eastAsia" w:ascii="仿宋_GB2312" w:hAnsi="仿宋_GB2312" w:eastAsia="仿宋_GB2312" w:cs="仿宋_GB2312"/>
                <w:color w:val="000000"/>
                <w:sz w:val="20"/>
                <w:szCs w:val="20"/>
                <w:highlight w:val="none"/>
                <w:lang w:eastAsia="zh-CN"/>
              </w:rPr>
              <w:t>检查</w:t>
            </w:r>
          </w:p>
        </w:tc>
        <w:tc>
          <w:tcPr>
            <w:tcW w:w="1225" w:type="dxa"/>
            <w:vAlign w:val="center"/>
          </w:tcPr>
          <w:p>
            <w:pPr>
              <w:wordWrap/>
              <w:spacing w:line="240" w:lineRule="exact"/>
              <w:ind w:left="0" w:leftChars="0" w:right="0" w:firstLine="0" w:firstLineChars="0"/>
              <w:jc w:val="center"/>
              <w:rPr>
                <w:rFonts w:hint="eastAsia" w:ascii="仿宋_GB2312" w:hAnsi="仿宋_GB2312" w:eastAsia="仿宋_GB2312" w:cs="仿宋_GB2312"/>
                <w:b w:val="0"/>
                <w:bCs w:val="0"/>
                <w:color w:val="000000"/>
                <w:spacing w:val="4"/>
                <w:sz w:val="20"/>
                <w:szCs w:val="20"/>
                <w:highlight w:val="none"/>
                <w:lang w:eastAsia="zh-CN"/>
              </w:rPr>
            </w:pPr>
            <w:r>
              <w:rPr>
                <w:rFonts w:hint="eastAsia" w:ascii="仿宋_GB2312" w:hAnsi="仿宋_GB2312" w:eastAsia="仿宋_GB2312" w:cs="仿宋_GB2312"/>
                <w:b w:val="0"/>
                <w:bCs w:val="0"/>
                <w:color w:val="000000"/>
                <w:spacing w:val="4"/>
                <w:sz w:val="20"/>
                <w:szCs w:val="20"/>
                <w:highlight w:val="none"/>
                <w:lang w:eastAsia="zh-CN"/>
              </w:rPr>
              <w:t>对学校通用语言文字使用情况的检查</w:t>
            </w:r>
          </w:p>
        </w:tc>
        <w:tc>
          <w:tcPr>
            <w:tcW w:w="1002" w:type="dxa"/>
            <w:vAlign w:val="center"/>
          </w:tcPr>
          <w:p>
            <w:pPr>
              <w:wordWrap/>
              <w:spacing w:line="240" w:lineRule="exact"/>
              <w:ind w:left="0" w:leftChars="0" w:right="0" w:firstLine="0" w:firstLineChars="0"/>
              <w:jc w:val="center"/>
              <w:rPr>
                <w:rFonts w:hint="eastAsia" w:ascii="仿宋_GB2312" w:hAnsi="仿宋_GB2312" w:eastAsia="仿宋_GB2312" w:cs="仿宋_GB2312"/>
                <w:b w:val="0"/>
                <w:bCs w:val="0"/>
                <w:color w:val="000000"/>
                <w:spacing w:val="4"/>
                <w:sz w:val="20"/>
                <w:szCs w:val="20"/>
                <w:highlight w:val="none"/>
                <w:lang w:eastAsia="zh-CN"/>
              </w:rPr>
            </w:pPr>
            <w:r>
              <w:rPr>
                <w:rFonts w:hint="eastAsia" w:ascii="仿宋_GB2312" w:hAnsi="仿宋_GB2312" w:eastAsia="仿宋_GB2312" w:cs="仿宋_GB2312"/>
                <w:b w:val="0"/>
                <w:bCs w:val="0"/>
                <w:color w:val="000000"/>
                <w:spacing w:val="4"/>
                <w:sz w:val="20"/>
                <w:szCs w:val="20"/>
                <w:highlight w:val="none"/>
                <w:lang w:val="en-US" w:eastAsia="zh-CN"/>
              </w:rPr>
              <w:t>高邑县</w:t>
            </w:r>
            <w:r>
              <w:rPr>
                <w:rFonts w:hint="eastAsia" w:ascii="仿宋_GB2312" w:hAnsi="仿宋_GB2312" w:eastAsia="仿宋_GB2312" w:cs="仿宋_GB2312"/>
                <w:b w:val="0"/>
                <w:bCs w:val="0"/>
                <w:color w:val="000000"/>
                <w:spacing w:val="4"/>
                <w:sz w:val="20"/>
                <w:szCs w:val="20"/>
                <w:highlight w:val="none"/>
                <w:lang w:eastAsia="zh-CN"/>
              </w:rPr>
              <w:t>语言文字委员会办公室</w:t>
            </w:r>
          </w:p>
        </w:tc>
        <w:tc>
          <w:tcPr>
            <w:tcW w:w="3488" w:type="dxa"/>
            <w:vAlign w:val="top"/>
          </w:tcPr>
          <w:p>
            <w:pPr>
              <w:wordWrap/>
              <w:spacing w:line="240" w:lineRule="exact"/>
              <w:ind w:left="0" w:leftChars="0" w:right="0" w:firstLine="0" w:firstLineChars="0"/>
              <w:rPr>
                <w:rFonts w:hint="eastAsia" w:ascii="仿宋_GB2312" w:hAnsi="仿宋_GB2312" w:eastAsia="仿宋_GB2312" w:cs="仿宋_GB2312"/>
                <w:b w:val="0"/>
                <w:bCs w:val="0"/>
                <w:color w:val="000000"/>
                <w:spacing w:val="4"/>
                <w:sz w:val="20"/>
                <w:szCs w:val="20"/>
                <w:highlight w:val="none"/>
                <w:lang w:eastAsia="zh-CN"/>
              </w:rPr>
            </w:pPr>
            <w:r>
              <w:rPr>
                <w:rFonts w:hint="eastAsia" w:ascii="仿宋_GB2312" w:hAnsi="仿宋_GB2312" w:eastAsia="仿宋_GB2312" w:cs="仿宋_GB2312"/>
                <w:b w:val="0"/>
                <w:bCs w:val="0"/>
                <w:color w:val="000000"/>
                <w:spacing w:val="4"/>
                <w:sz w:val="20"/>
                <w:szCs w:val="20"/>
                <w:highlight w:val="none"/>
                <w:lang w:eastAsia="zh-CN"/>
              </w:rPr>
              <w:t>《国家通用语言文字法》（</w:t>
            </w:r>
            <w:r>
              <w:rPr>
                <w:rFonts w:hint="default" w:ascii="仿宋_GB2312" w:hAnsi="仿宋_GB2312" w:eastAsia="仿宋_GB2312" w:cs="仿宋_GB2312"/>
                <w:b w:val="0"/>
                <w:bCs w:val="0"/>
                <w:color w:val="000000"/>
                <w:spacing w:val="4"/>
                <w:sz w:val="20"/>
                <w:szCs w:val="20"/>
                <w:highlight w:val="none"/>
                <w:lang w:eastAsia="zh-CN"/>
              </w:rPr>
              <w:t>2000年10月31日</w:t>
            </w:r>
            <w:r>
              <w:rPr>
                <w:rFonts w:hint="default" w:ascii="仿宋_GB2312" w:hAnsi="仿宋_GB2312" w:eastAsia="仿宋_GB2312" w:cs="仿宋_GB2312"/>
                <w:b w:val="0"/>
                <w:bCs w:val="0"/>
                <w:color w:val="000000"/>
                <w:spacing w:val="4"/>
                <w:sz w:val="20"/>
                <w:szCs w:val="20"/>
                <w:highlight w:val="none"/>
                <w:lang w:eastAsia="zh-CN"/>
              </w:rPr>
              <w:fldChar w:fldCharType="begin"/>
            </w:r>
            <w:r>
              <w:rPr>
                <w:rFonts w:hint="default" w:ascii="仿宋_GB2312" w:hAnsi="仿宋_GB2312" w:eastAsia="仿宋_GB2312" w:cs="仿宋_GB2312"/>
                <w:b w:val="0"/>
                <w:bCs w:val="0"/>
                <w:color w:val="000000"/>
                <w:spacing w:val="4"/>
                <w:sz w:val="20"/>
                <w:szCs w:val="20"/>
                <w:highlight w:val="none"/>
                <w:lang w:eastAsia="zh-CN"/>
              </w:rPr>
              <w:instrText xml:space="preserve"> HYPERLINK "https://baike.baidu.com/item/%E4%B8%AD%E5%8D%8E%E4%BA%BA%E6%B0%91%E5%85%B1%E5%92%8C%E5%9B%BD%E7%AC%AC%E4%B9%9D%E5%B1%8A%E5%85%A8%E5%9B%BD%E4%BA%BA%E6%B0%91%E4%BB%A3%E8%A1%A8%E5%A4%A7%E4%BC%9A" \t "https://baike.baidu.com/item/%E4%B8%AD%E5%8D%8E%E4%BA%BA%E6%B0%91%E5%85%B1%E5%92%8C%E5%9B%BD%E5%9B%BD%E5%AE%B6%E9%80%9A%E7%94%A8%E8%AF%AD%E8%A8%80%E6%96%87%E5%AD%97%E6%B3%95/_blank" </w:instrText>
            </w:r>
            <w:r>
              <w:rPr>
                <w:rFonts w:hint="default" w:ascii="仿宋_GB2312" w:hAnsi="仿宋_GB2312" w:eastAsia="仿宋_GB2312" w:cs="仿宋_GB2312"/>
                <w:b w:val="0"/>
                <w:bCs w:val="0"/>
                <w:color w:val="000000"/>
                <w:spacing w:val="4"/>
                <w:sz w:val="20"/>
                <w:szCs w:val="20"/>
                <w:highlight w:val="none"/>
                <w:lang w:eastAsia="zh-CN"/>
              </w:rPr>
              <w:fldChar w:fldCharType="separate"/>
            </w:r>
            <w:r>
              <w:rPr>
                <w:rFonts w:hint="default" w:ascii="仿宋_GB2312" w:hAnsi="仿宋_GB2312" w:eastAsia="仿宋_GB2312" w:cs="仿宋_GB2312"/>
                <w:b w:val="0"/>
                <w:bCs w:val="0"/>
                <w:color w:val="000000"/>
                <w:spacing w:val="4"/>
                <w:sz w:val="20"/>
                <w:szCs w:val="20"/>
                <w:highlight w:val="none"/>
                <w:lang w:eastAsia="zh-CN"/>
              </w:rPr>
              <w:t>第九届全国人民代表大会</w:t>
            </w:r>
            <w:r>
              <w:rPr>
                <w:rFonts w:hint="default" w:ascii="仿宋_GB2312" w:hAnsi="仿宋_GB2312" w:eastAsia="仿宋_GB2312" w:cs="仿宋_GB2312"/>
                <w:b w:val="0"/>
                <w:bCs w:val="0"/>
                <w:color w:val="000000"/>
                <w:spacing w:val="4"/>
                <w:sz w:val="20"/>
                <w:szCs w:val="20"/>
                <w:highlight w:val="none"/>
                <w:lang w:eastAsia="zh-CN"/>
              </w:rPr>
              <w:fldChar w:fldCharType="end"/>
            </w:r>
            <w:r>
              <w:rPr>
                <w:rFonts w:hint="default" w:ascii="仿宋_GB2312" w:hAnsi="仿宋_GB2312" w:eastAsia="仿宋_GB2312" w:cs="仿宋_GB2312"/>
                <w:b w:val="0"/>
                <w:bCs w:val="0"/>
                <w:color w:val="000000"/>
                <w:spacing w:val="4"/>
                <w:sz w:val="20"/>
                <w:szCs w:val="20"/>
                <w:highlight w:val="none"/>
                <w:lang w:eastAsia="zh-CN"/>
              </w:rPr>
              <w:t>常务委员会第十八次会议于通过</w:t>
            </w:r>
            <w:r>
              <w:rPr>
                <w:rFonts w:hint="eastAsia" w:ascii="仿宋_GB2312" w:hAnsi="仿宋_GB2312" w:eastAsia="仿宋_GB2312" w:cs="仿宋_GB2312"/>
                <w:b w:val="0"/>
                <w:bCs w:val="0"/>
                <w:color w:val="000000"/>
                <w:spacing w:val="4"/>
                <w:sz w:val="20"/>
                <w:szCs w:val="20"/>
                <w:highlight w:val="none"/>
                <w:lang w:eastAsia="zh-CN"/>
              </w:rPr>
              <w:t>）第二十二条“地方语言文字工作部门和其他有关部门，管理和监督本行政区域内的国家通用语言文字的使用。”</w:t>
            </w:r>
          </w:p>
          <w:p>
            <w:pPr>
              <w:wordWrap/>
              <w:spacing w:line="240" w:lineRule="exact"/>
              <w:ind w:left="0" w:leftChars="0" w:right="0" w:firstLine="0" w:firstLineChars="0"/>
              <w:rPr>
                <w:rFonts w:hint="eastAsia" w:ascii="仿宋_GB2312" w:hAnsi="仿宋_GB2312" w:eastAsia="仿宋_GB2312" w:cs="仿宋_GB2312"/>
                <w:b w:val="0"/>
                <w:bCs w:val="0"/>
                <w:color w:val="000000"/>
                <w:spacing w:val="4"/>
                <w:sz w:val="20"/>
                <w:szCs w:val="20"/>
                <w:highlight w:val="none"/>
                <w:lang w:eastAsia="zh-CN"/>
              </w:rPr>
            </w:pPr>
          </w:p>
        </w:tc>
        <w:tc>
          <w:tcPr>
            <w:tcW w:w="3895" w:type="dxa"/>
            <w:vAlign w:val="top"/>
          </w:tcPr>
          <w:p>
            <w:pPr>
              <w:wordWrap/>
              <w:adjustRightInd w:val="0"/>
              <w:snapToGrid w:val="0"/>
              <w:spacing w:line="240" w:lineRule="exact"/>
              <w:ind w:left="0" w:leftChars="0" w:right="0" w:firstLine="0" w:firstLineChars="0"/>
              <w:rPr>
                <w:rFonts w:hint="eastAsia" w:ascii="仿宋_GB2312" w:hAnsi="仿宋_GB2312" w:eastAsia="仿宋_GB2312" w:cs="仿宋_GB2312"/>
                <w:i w:val="0"/>
                <w:color w:val="000000"/>
                <w:kern w:val="0"/>
                <w:sz w:val="20"/>
                <w:szCs w:val="20"/>
                <w:highlight w:val="none"/>
                <w:u w:val="none"/>
                <w:lang w:val="en-US" w:eastAsia="zh-CN"/>
              </w:rPr>
            </w:pPr>
            <w:r>
              <w:rPr>
                <w:rFonts w:hint="eastAsia" w:ascii="仿宋_GB2312" w:hAnsi="仿宋_GB2312" w:eastAsia="仿宋_GB2312" w:cs="仿宋_GB2312"/>
                <w:i w:val="0"/>
                <w:color w:val="000000"/>
                <w:kern w:val="0"/>
                <w:sz w:val="20"/>
                <w:szCs w:val="20"/>
                <w:highlight w:val="none"/>
                <w:u w:val="none"/>
                <w:lang w:val="en-US" w:eastAsia="zh-CN"/>
              </w:rPr>
              <w:t>1.检查责任：根据管理权限对学校通用语言文字使用情况进行监督检查；</w:t>
            </w:r>
          </w:p>
          <w:p>
            <w:pPr>
              <w:wordWrap/>
              <w:adjustRightInd w:val="0"/>
              <w:snapToGrid w:val="0"/>
              <w:spacing w:line="240" w:lineRule="exact"/>
              <w:ind w:left="0" w:leftChars="0" w:right="0" w:firstLine="0" w:firstLineChars="0"/>
              <w:rPr>
                <w:rFonts w:hint="eastAsia" w:ascii="仿宋_GB2312" w:hAnsi="仿宋_GB2312" w:eastAsia="仿宋_GB2312" w:cs="仿宋_GB2312"/>
                <w:i w:val="0"/>
                <w:color w:val="000000"/>
                <w:kern w:val="0"/>
                <w:sz w:val="20"/>
                <w:szCs w:val="20"/>
                <w:highlight w:val="none"/>
                <w:u w:val="none"/>
                <w:lang w:val="en-US" w:eastAsia="zh-CN"/>
              </w:rPr>
            </w:pPr>
            <w:r>
              <w:rPr>
                <w:rFonts w:hint="eastAsia" w:ascii="仿宋_GB2312" w:hAnsi="仿宋_GB2312" w:eastAsia="仿宋_GB2312" w:cs="仿宋_GB2312"/>
                <w:i w:val="0"/>
                <w:color w:val="000000"/>
                <w:kern w:val="0"/>
                <w:sz w:val="20"/>
                <w:szCs w:val="20"/>
                <w:highlight w:val="none"/>
                <w:u w:val="none"/>
                <w:lang w:val="en-US" w:eastAsia="zh-CN"/>
              </w:rPr>
              <w:t>2.对监督检查发现的问题，责令限期整改；</w:t>
            </w:r>
          </w:p>
          <w:p>
            <w:pPr>
              <w:wordWrap/>
              <w:adjustRightInd w:val="0"/>
              <w:snapToGrid w:val="0"/>
              <w:spacing w:line="240" w:lineRule="exact"/>
              <w:ind w:left="0" w:leftChars="0" w:right="0" w:firstLine="0" w:firstLineChars="0"/>
              <w:rPr>
                <w:rFonts w:hint="eastAsia" w:ascii="仿宋_GB2312" w:hAnsi="仿宋_GB2312" w:eastAsia="仿宋_GB2312" w:cs="仿宋_GB2312"/>
                <w:i w:val="0"/>
                <w:color w:val="000000"/>
                <w:kern w:val="0"/>
                <w:sz w:val="20"/>
                <w:szCs w:val="20"/>
                <w:highlight w:val="none"/>
                <w:u w:val="none"/>
                <w:lang w:val="en-US" w:eastAsia="zh-CN"/>
              </w:rPr>
            </w:pPr>
            <w:r>
              <w:rPr>
                <w:rFonts w:hint="eastAsia" w:ascii="仿宋_GB2312" w:hAnsi="仿宋_GB2312" w:eastAsia="仿宋_GB2312" w:cs="仿宋_GB2312"/>
                <w:i w:val="0"/>
                <w:color w:val="000000"/>
                <w:kern w:val="0"/>
                <w:sz w:val="20"/>
                <w:szCs w:val="20"/>
                <w:highlight w:val="none"/>
                <w:u w:val="none"/>
                <w:lang w:val="en-US" w:eastAsia="zh-CN"/>
              </w:rPr>
              <w:t>3.事后管理责任：对监督检查发现的问题，学校整改完成后，对整改情况组织进行核查；</w:t>
            </w:r>
          </w:p>
          <w:p>
            <w:pPr>
              <w:wordWrap/>
              <w:spacing w:line="240" w:lineRule="exact"/>
              <w:ind w:left="0" w:leftChars="0" w:right="0" w:firstLine="0" w:firstLineChars="0"/>
              <w:rPr>
                <w:rFonts w:hint="eastAsia" w:ascii="仿宋_GB2312" w:hAnsi="仿宋_GB2312" w:eastAsia="仿宋_GB2312" w:cs="仿宋_GB2312"/>
                <w:color w:val="000000"/>
                <w:sz w:val="20"/>
                <w:szCs w:val="20"/>
                <w:highlight w:val="none"/>
                <w:lang w:eastAsia="zh-CN"/>
              </w:rPr>
            </w:pPr>
            <w:r>
              <w:rPr>
                <w:rFonts w:hint="eastAsia" w:ascii="仿宋_GB2312" w:hAnsi="仿宋_GB2312" w:eastAsia="仿宋_GB2312" w:cs="仿宋_GB2312"/>
                <w:i w:val="0"/>
                <w:color w:val="000000"/>
                <w:kern w:val="0"/>
                <w:sz w:val="20"/>
                <w:szCs w:val="20"/>
                <w:highlight w:val="none"/>
                <w:u w:val="none"/>
                <w:lang w:val="en-US" w:eastAsia="zh-CN"/>
              </w:rPr>
              <w:t>4.其他责任：法律法规规章等规定应履行的责任。</w:t>
            </w:r>
          </w:p>
        </w:tc>
        <w:tc>
          <w:tcPr>
            <w:tcW w:w="1620" w:type="dxa"/>
            <w:vAlign w:val="top"/>
          </w:tcPr>
          <w:p>
            <w:pPr>
              <w:wordWrap/>
              <w:spacing w:line="240" w:lineRule="exact"/>
              <w:ind w:left="0" w:leftChars="0" w:right="0" w:firstLine="0" w:firstLineChars="0"/>
              <w:rPr>
                <w:rFonts w:hint="eastAsia" w:ascii="仿宋_GB2312" w:hAnsi="仿宋_GB2312" w:eastAsia="仿宋_GB2312" w:cs="仿宋_GB2312"/>
                <w:i w:val="0"/>
                <w:color w:val="000000"/>
                <w:kern w:val="0"/>
                <w:sz w:val="20"/>
                <w:szCs w:val="20"/>
                <w:highlight w:val="none"/>
                <w:u w:val="none"/>
                <w:lang w:val="en-US" w:eastAsia="zh-CN"/>
              </w:rPr>
            </w:pPr>
            <w:r>
              <w:rPr>
                <w:rFonts w:hint="eastAsia" w:ascii="仿宋_GB2312" w:hAnsi="仿宋_GB2312" w:eastAsia="仿宋_GB2312" w:cs="仿宋_GB2312"/>
                <w:i w:val="0"/>
                <w:color w:val="000000"/>
                <w:kern w:val="0"/>
                <w:sz w:val="20"/>
                <w:szCs w:val="20"/>
                <w:highlight w:val="none"/>
                <w:u w:val="none"/>
                <w:lang w:val="en-US" w:eastAsia="zh-CN"/>
              </w:rPr>
              <w:t>因不履行或不正确履行职责，有下列情形的，行政机关及相关工作人员应承担相应责任：</w:t>
            </w:r>
          </w:p>
          <w:p>
            <w:pPr>
              <w:wordWrap/>
              <w:spacing w:line="240" w:lineRule="exact"/>
              <w:ind w:left="0" w:leftChars="0" w:right="0" w:firstLine="0" w:firstLineChars="0"/>
              <w:rPr>
                <w:rFonts w:hint="eastAsia" w:ascii="仿宋_GB2312" w:hAnsi="仿宋_GB2312" w:eastAsia="仿宋_GB2312" w:cs="仿宋_GB2312"/>
                <w:i w:val="0"/>
                <w:color w:val="000000"/>
                <w:kern w:val="0"/>
                <w:sz w:val="20"/>
                <w:szCs w:val="20"/>
                <w:highlight w:val="none"/>
                <w:u w:val="none"/>
                <w:lang w:val="en-US" w:eastAsia="zh-CN"/>
              </w:rPr>
            </w:pPr>
            <w:r>
              <w:rPr>
                <w:rFonts w:hint="eastAsia" w:ascii="仿宋_GB2312" w:hAnsi="仿宋_GB2312" w:eastAsia="仿宋_GB2312" w:cs="仿宋_GB2312"/>
                <w:i w:val="0"/>
                <w:color w:val="000000"/>
                <w:kern w:val="0"/>
                <w:sz w:val="20"/>
                <w:szCs w:val="20"/>
                <w:highlight w:val="none"/>
                <w:u w:val="none"/>
                <w:lang w:val="en-US" w:eastAsia="zh-CN"/>
              </w:rPr>
              <w:t>1.不按管理权限对学校通用语言文字使用情况组织监督检查；</w:t>
            </w:r>
          </w:p>
          <w:p>
            <w:pPr>
              <w:wordWrap/>
              <w:spacing w:line="240" w:lineRule="exact"/>
              <w:ind w:left="0" w:leftChars="0" w:right="0" w:firstLine="0" w:firstLineChars="0"/>
              <w:rPr>
                <w:rFonts w:hint="eastAsia" w:ascii="仿宋_GB2312" w:hAnsi="仿宋_GB2312" w:eastAsia="仿宋_GB2312" w:cs="仿宋_GB2312"/>
                <w:i w:val="0"/>
                <w:color w:val="000000"/>
                <w:kern w:val="0"/>
                <w:sz w:val="20"/>
                <w:szCs w:val="20"/>
                <w:highlight w:val="none"/>
                <w:u w:val="none"/>
                <w:lang w:val="en-US" w:eastAsia="zh-CN"/>
              </w:rPr>
            </w:pPr>
            <w:r>
              <w:rPr>
                <w:rFonts w:hint="eastAsia" w:ascii="仿宋_GB2312" w:hAnsi="仿宋_GB2312" w:eastAsia="仿宋_GB2312" w:cs="仿宋_GB2312"/>
                <w:i w:val="0"/>
                <w:color w:val="000000"/>
                <w:kern w:val="0"/>
                <w:sz w:val="20"/>
                <w:szCs w:val="20"/>
                <w:highlight w:val="none"/>
                <w:u w:val="none"/>
                <w:lang w:val="en-US" w:eastAsia="zh-CN"/>
              </w:rPr>
              <w:t>2.对在检查中发现的问题，不责令限期整改；</w:t>
            </w:r>
          </w:p>
          <w:p>
            <w:pPr>
              <w:wordWrap/>
              <w:spacing w:line="240" w:lineRule="exact"/>
              <w:ind w:left="0" w:leftChars="0" w:right="0" w:firstLine="0" w:firstLineChars="0"/>
              <w:rPr>
                <w:rFonts w:hint="eastAsia" w:ascii="仿宋_GB2312" w:hAnsi="仿宋_GB2312" w:eastAsia="仿宋_GB2312" w:cs="仿宋_GB2312"/>
                <w:i w:val="0"/>
                <w:color w:val="000000"/>
                <w:kern w:val="0"/>
                <w:sz w:val="20"/>
                <w:szCs w:val="20"/>
                <w:highlight w:val="none"/>
                <w:u w:val="none"/>
                <w:lang w:val="en-US" w:eastAsia="zh-CN"/>
              </w:rPr>
            </w:pPr>
            <w:r>
              <w:rPr>
                <w:rFonts w:hint="eastAsia" w:ascii="仿宋_GB2312" w:hAnsi="仿宋_GB2312" w:eastAsia="仿宋_GB2312" w:cs="仿宋_GB2312"/>
                <w:i w:val="0"/>
                <w:color w:val="000000"/>
                <w:kern w:val="0"/>
                <w:sz w:val="20"/>
                <w:szCs w:val="20"/>
                <w:highlight w:val="none"/>
                <w:u w:val="none"/>
                <w:lang w:val="en-US" w:eastAsia="zh-CN"/>
              </w:rPr>
              <w:t>3.对监督检查发现的问题，学校整改完成后，不对整改情况组织核查；</w:t>
            </w:r>
          </w:p>
          <w:p>
            <w:pPr>
              <w:wordWrap/>
              <w:spacing w:line="240" w:lineRule="exact"/>
              <w:ind w:left="0" w:leftChars="0" w:right="0" w:firstLine="0" w:firstLineChars="0"/>
              <w:rPr>
                <w:rFonts w:hint="eastAsia" w:ascii="仿宋_GB2312" w:hAnsi="仿宋_GB2312" w:eastAsia="仿宋_GB2312" w:cs="仿宋_GB2312"/>
                <w:color w:val="000000"/>
                <w:sz w:val="20"/>
                <w:szCs w:val="20"/>
                <w:highlight w:val="none"/>
                <w:lang w:eastAsia="zh-CN"/>
              </w:rPr>
            </w:pPr>
            <w:r>
              <w:rPr>
                <w:rFonts w:hint="eastAsia" w:ascii="仿宋_GB2312" w:hAnsi="仿宋_GB2312" w:eastAsia="仿宋_GB2312" w:cs="仿宋_GB2312"/>
                <w:i w:val="0"/>
                <w:color w:val="000000"/>
                <w:kern w:val="0"/>
                <w:sz w:val="20"/>
                <w:szCs w:val="20"/>
                <w:highlight w:val="none"/>
                <w:u w:val="none"/>
                <w:lang w:val="en-US" w:eastAsia="zh-CN"/>
              </w:rPr>
              <w:t>4.其他违反法律法规规章文件规定的行为。</w:t>
            </w:r>
          </w:p>
        </w:tc>
        <w:tc>
          <w:tcPr>
            <w:tcW w:w="1335"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000000"/>
                <w:sz w:val="20"/>
                <w:szCs w:val="20"/>
                <w:highlight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40" w:type="dxa"/>
            <w:vAlign w:val="center"/>
          </w:tcPr>
          <w:p>
            <w:pPr>
              <w:wordWrap/>
              <w:spacing w:line="240" w:lineRule="exact"/>
              <w:ind w:left="0" w:leftChars="0" w:right="0" w:firstLine="0" w:firstLineChars="0"/>
              <w:jc w:val="center"/>
              <w:rPr>
                <w:rFonts w:hint="default"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22</w:t>
            </w:r>
          </w:p>
        </w:tc>
        <w:tc>
          <w:tcPr>
            <w:tcW w:w="807"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eastAsia="zh-CN"/>
              </w:rPr>
              <w:t>行政检查</w:t>
            </w:r>
          </w:p>
        </w:tc>
        <w:tc>
          <w:tcPr>
            <w:tcW w:w="1225" w:type="dxa"/>
            <w:vAlign w:val="center"/>
          </w:tcPr>
          <w:p>
            <w:pPr>
              <w:wordWrap/>
              <w:spacing w:line="240" w:lineRule="exact"/>
              <w:ind w:left="0" w:leftChars="0" w:right="0" w:firstLine="0" w:firstLineChars="0"/>
              <w:jc w:val="center"/>
              <w:rPr>
                <w:rFonts w:hint="eastAsia" w:ascii="仿宋_GB2312" w:hAnsi="仿宋_GB2312" w:eastAsia="仿宋_GB2312" w:cs="仿宋_GB2312"/>
                <w:b w:val="0"/>
                <w:bCs w:val="0"/>
                <w:color w:val="auto"/>
                <w:spacing w:val="4"/>
                <w:sz w:val="20"/>
                <w:szCs w:val="20"/>
                <w:lang w:eastAsia="zh-CN"/>
              </w:rPr>
            </w:pPr>
            <w:r>
              <w:rPr>
                <w:rFonts w:hint="eastAsia" w:ascii="仿宋_GB2312" w:hAnsi="仿宋_GB2312" w:eastAsia="仿宋_GB2312" w:cs="仿宋_GB2312"/>
                <w:b w:val="0"/>
                <w:bCs w:val="0"/>
                <w:color w:val="auto"/>
                <w:spacing w:val="4"/>
                <w:sz w:val="20"/>
                <w:szCs w:val="20"/>
                <w:lang w:eastAsia="zh-CN"/>
              </w:rPr>
              <w:t>对中小学教师继续教育工作的检查</w:t>
            </w:r>
          </w:p>
        </w:tc>
        <w:tc>
          <w:tcPr>
            <w:tcW w:w="1002" w:type="dxa"/>
            <w:vAlign w:val="center"/>
          </w:tcPr>
          <w:p>
            <w:pPr>
              <w:wordWrap/>
              <w:spacing w:line="240" w:lineRule="exact"/>
              <w:ind w:left="0" w:leftChars="0" w:right="0" w:firstLine="0" w:firstLineChars="0"/>
              <w:jc w:val="center"/>
              <w:rPr>
                <w:rFonts w:hint="eastAsia" w:ascii="仿宋_GB2312" w:hAnsi="仿宋_GB2312" w:eastAsia="仿宋_GB2312" w:cs="仿宋_GB2312"/>
                <w:b w:val="0"/>
                <w:bCs w:val="0"/>
                <w:color w:val="auto"/>
                <w:spacing w:val="4"/>
                <w:sz w:val="20"/>
                <w:szCs w:val="20"/>
                <w:lang w:eastAsia="zh-CN"/>
              </w:rPr>
            </w:pPr>
            <w:r>
              <w:rPr>
                <w:rFonts w:hint="eastAsia" w:ascii="仿宋_GB2312" w:hAnsi="仿宋_GB2312" w:eastAsia="仿宋_GB2312" w:cs="仿宋_GB2312"/>
                <w:b w:val="0"/>
                <w:bCs w:val="0"/>
                <w:color w:val="auto"/>
                <w:spacing w:val="4"/>
                <w:sz w:val="20"/>
                <w:szCs w:val="20"/>
                <w:lang w:val="en-US" w:eastAsia="zh-CN"/>
              </w:rPr>
              <w:t>高邑县</w:t>
            </w:r>
            <w:r>
              <w:rPr>
                <w:rFonts w:hint="eastAsia" w:ascii="仿宋_GB2312" w:hAnsi="仿宋_GB2312" w:eastAsia="仿宋_GB2312" w:cs="仿宋_GB2312"/>
                <w:b w:val="0"/>
                <w:bCs w:val="0"/>
                <w:color w:val="auto"/>
                <w:spacing w:val="4"/>
                <w:sz w:val="20"/>
                <w:szCs w:val="20"/>
                <w:lang w:eastAsia="zh-CN"/>
              </w:rPr>
              <w:t>教育局</w:t>
            </w:r>
          </w:p>
        </w:tc>
        <w:tc>
          <w:tcPr>
            <w:tcW w:w="3488" w:type="dxa"/>
            <w:vAlign w:val="top"/>
          </w:tcPr>
          <w:p>
            <w:pPr>
              <w:wordWrap/>
              <w:spacing w:line="240" w:lineRule="exact"/>
              <w:ind w:left="0" w:leftChars="0" w:right="0" w:firstLine="0" w:firstLineChars="0"/>
              <w:rPr>
                <w:rFonts w:hint="eastAsia" w:ascii="仿宋_GB2312" w:hAnsi="仿宋_GB2312" w:eastAsia="仿宋_GB2312" w:cs="仿宋_GB2312"/>
                <w:b w:val="0"/>
                <w:bCs w:val="0"/>
                <w:color w:val="auto"/>
                <w:spacing w:val="4"/>
                <w:sz w:val="20"/>
                <w:szCs w:val="20"/>
                <w:lang w:val="en-US" w:eastAsia="zh-CN"/>
              </w:rPr>
            </w:pPr>
            <w:r>
              <w:rPr>
                <w:rFonts w:hint="eastAsia" w:ascii="仿宋_GB2312" w:hAnsi="仿宋_GB2312" w:eastAsia="仿宋_GB2312" w:cs="仿宋_GB2312"/>
                <w:b w:val="0"/>
                <w:bCs w:val="0"/>
                <w:color w:val="auto"/>
                <w:spacing w:val="4"/>
                <w:sz w:val="20"/>
                <w:szCs w:val="20"/>
                <w:lang w:val="en-US" w:eastAsia="zh-CN"/>
              </w:rPr>
              <w:t>《中小学教师继续教育规定》（教育部令第7号）第十一条第二款“市（地、州、盟）、县（区、市、旗）人民政府教育行政部门在省级人民政府教育行政部门指导下，负责管理本地区中小学教师继续教育工作。”</w:t>
            </w:r>
          </w:p>
        </w:tc>
        <w:tc>
          <w:tcPr>
            <w:tcW w:w="3895" w:type="dxa"/>
            <w:vAlign w:val="top"/>
          </w:tcPr>
          <w:p>
            <w:pPr>
              <w:wordWrap/>
              <w:adjustRightInd w:val="0"/>
              <w:snapToGrid w:val="0"/>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1.检查责任：根据管理权限对学校教师继续教育工作况进行监督检查；</w:t>
            </w:r>
          </w:p>
          <w:p>
            <w:pPr>
              <w:wordWrap/>
              <w:adjustRightInd w:val="0"/>
              <w:snapToGrid w:val="0"/>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2.对监督检查发现的问题，责令限期整改；</w:t>
            </w:r>
          </w:p>
          <w:p>
            <w:pPr>
              <w:wordWrap/>
              <w:adjustRightInd w:val="0"/>
              <w:snapToGrid w:val="0"/>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3.事后管理责任：对监督检查发现的问题，学校整改完成后，对整改情况组织进行核查；</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i w:val="0"/>
                <w:color w:val="auto"/>
                <w:kern w:val="0"/>
                <w:sz w:val="20"/>
                <w:szCs w:val="20"/>
                <w:u w:val="none"/>
                <w:lang w:val="en-US" w:eastAsia="zh-CN"/>
              </w:rPr>
              <w:t>4.其他责任：法律法规规章等规定应履行的责任。</w:t>
            </w:r>
          </w:p>
        </w:tc>
        <w:tc>
          <w:tcPr>
            <w:tcW w:w="1620" w:type="dxa"/>
            <w:vAlign w:val="top"/>
          </w:tcPr>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因不履行或不正确履行职责，有下列情形的，行政机关及相关工作人员应承担相应责任：</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1.不按管理权限对学校继续教育工作组织监督检查；</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2.对在检查中发现的问题，不责令限期整改；</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3.对监督检查发现的问题，学校整改完成后，不对整改情况组织核查；</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i w:val="0"/>
                <w:color w:val="auto"/>
                <w:kern w:val="0"/>
                <w:sz w:val="20"/>
                <w:szCs w:val="20"/>
                <w:u w:val="none"/>
                <w:lang w:val="en-US" w:eastAsia="zh-CN"/>
              </w:rPr>
              <w:t>4.其他违反法律法规规章文件规定的行为。</w:t>
            </w:r>
          </w:p>
        </w:tc>
        <w:tc>
          <w:tcPr>
            <w:tcW w:w="1335"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10" w:hRule="atLeast"/>
        </w:trPr>
        <w:tc>
          <w:tcPr>
            <w:tcW w:w="540" w:type="dxa"/>
            <w:vAlign w:val="center"/>
          </w:tcPr>
          <w:p>
            <w:pPr>
              <w:wordWrap/>
              <w:spacing w:line="240" w:lineRule="exact"/>
              <w:ind w:left="0" w:leftChars="0" w:right="0" w:firstLine="0" w:firstLineChars="0"/>
              <w:jc w:val="center"/>
              <w:rPr>
                <w:rFonts w:hint="default"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23</w:t>
            </w:r>
          </w:p>
        </w:tc>
        <w:tc>
          <w:tcPr>
            <w:tcW w:w="807"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rPr>
              <w:t>行政</w:t>
            </w:r>
            <w:r>
              <w:rPr>
                <w:rFonts w:hint="eastAsia" w:ascii="仿宋_GB2312" w:hAnsi="仿宋_GB2312" w:eastAsia="仿宋_GB2312" w:cs="仿宋_GB2312"/>
                <w:color w:val="auto"/>
                <w:sz w:val="20"/>
                <w:szCs w:val="20"/>
                <w:lang w:eastAsia="zh-CN"/>
              </w:rPr>
              <w:t>检查</w:t>
            </w:r>
          </w:p>
        </w:tc>
        <w:tc>
          <w:tcPr>
            <w:tcW w:w="1225"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pacing w:val="4"/>
                <w:sz w:val="20"/>
                <w:szCs w:val="20"/>
                <w:lang w:eastAsia="zh-CN"/>
              </w:rPr>
              <w:t>对中小学、幼儿园师德师风建设工作的检查</w:t>
            </w:r>
          </w:p>
        </w:tc>
        <w:tc>
          <w:tcPr>
            <w:tcW w:w="1002"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val="en-US" w:eastAsia="zh-CN"/>
              </w:rPr>
              <w:t>高邑县</w:t>
            </w:r>
            <w:r>
              <w:rPr>
                <w:rFonts w:hint="eastAsia" w:ascii="仿宋_GB2312" w:hAnsi="仿宋_GB2312" w:eastAsia="仿宋_GB2312" w:cs="仿宋_GB2312"/>
                <w:color w:val="auto"/>
                <w:sz w:val="20"/>
                <w:szCs w:val="20"/>
                <w:lang w:eastAsia="zh-CN"/>
              </w:rPr>
              <w:t>教育局</w:t>
            </w:r>
          </w:p>
        </w:tc>
        <w:tc>
          <w:tcPr>
            <w:tcW w:w="3488" w:type="dxa"/>
            <w:vAlign w:val="top"/>
          </w:tcPr>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pacing w:val="4"/>
                <w:sz w:val="20"/>
                <w:szCs w:val="20"/>
                <w:lang w:val="en-US" w:eastAsia="zh-CN"/>
              </w:rPr>
              <w:t>1.</w:t>
            </w:r>
            <w:r>
              <w:rPr>
                <w:rFonts w:hint="eastAsia" w:ascii="仿宋_GB2312" w:hAnsi="仿宋_GB2312" w:eastAsia="仿宋_GB2312" w:cs="仿宋_GB2312"/>
                <w:color w:val="auto"/>
                <w:spacing w:val="4"/>
                <w:sz w:val="20"/>
                <w:szCs w:val="20"/>
              </w:rPr>
              <w:t>教育部关于印发《中小学教师违反职业道德行为处理办法（2018年修订）》的通知</w:t>
            </w:r>
            <w:r>
              <w:rPr>
                <w:rFonts w:hint="eastAsia" w:ascii="仿宋_GB2312" w:hAnsi="仿宋_GB2312" w:eastAsia="仿宋_GB2312" w:cs="仿宋_GB2312"/>
                <w:color w:val="auto"/>
                <w:spacing w:val="4"/>
                <w:sz w:val="20"/>
                <w:szCs w:val="20"/>
                <w:lang w:eastAsia="zh-CN"/>
              </w:rPr>
              <w:t>（</w:t>
            </w:r>
            <w:r>
              <w:rPr>
                <w:rFonts w:hint="eastAsia" w:ascii="仿宋_GB2312" w:hAnsi="仿宋_GB2312" w:eastAsia="仿宋_GB2312" w:cs="仿宋_GB2312"/>
                <w:color w:val="auto"/>
                <w:spacing w:val="4"/>
                <w:sz w:val="20"/>
                <w:szCs w:val="20"/>
              </w:rPr>
              <w:t>教师〔2018〕18号</w:t>
            </w:r>
            <w:r>
              <w:rPr>
                <w:rFonts w:hint="eastAsia" w:ascii="仿宋_GB2312" w:hAnsi="仿宋_GB2312" w:eastAsia="仿宋_GB2312" w:cs="仿宋_GB2312"/>
                <w:color w:val="auto"/>
                <w:spacing w:val="4"/>
                <w:sz w:val="20"/>
                <w:szCs w:val="20"/>
                <w:lang w:eastAsia="zh-CN"/>
              </w:rPr>
              <w:t>）</w:t>
            </w:r>
            <w:r>
              <w:rPr>
                <w:rFonts w:hint="eastAsia" w:ascii="仿宋_GB2312" w:hAnsi="仿宋_GB2312" w:eastAsia="仿宋_GB2312" w:cs="仿宋_GB2312"/>
                <w:color w:val="auto"/>
                <w:spacing w:val="4"/>
                <w:sz w:val="20"/>
                <w:szCs w:val="20"/>
              </w:rPr>
              <w:t>第五条</w:t>
            </w:r>
            <w:r>
              <w:rPr>
                <w:rFonts w:hint="eastAsia" w:ascii="仿宋_GB2312" w:hAnsi="仿宋_GB2312" w:eastAsia="仿宋_GB2312" w:cs="仿宋_GB2312"/>
                <w:color w:val="auto"/>
                <w:spacing w:val="4"/>
                <w:sz w:val="20"/>
                <w:szCs w:val="20"/>
                <w:lang w:eastAsia="zh-CN"/>
              </w:rPr>
              <w:t>“</w:t>
            </w:r>
            <w:r>
              <w:rPr>
                <w:rFonts w:hint="eastAsia" w:ascii="仿宋_GB2312" w:hAnsi="仿宋_GB2312" w:eastAsia="仿宋_GB2312" w:cs="仿宋_GB2312"/>
                <w:color w:val="auto"/>
                <w:spacing w:val="4"/>
                <w:sz w:val="20"/>
                <w:szCs w:val="20"/>
              </w:rPr>
              <w:t>学校及学校主管教育部门发现教师存在违反第四条列举行为的，应当及时组织调查核实，视情节轻重给予相应处理。作出处理决定前，应当听取教师的陈述和申辩，听取学生、其他教师、家长委员会或者家长代表意见，并告知教师有要求举行听证的权利。对于拟给予降低岗位等级以上的处分，教师要求听证的，拟作出处理决定的部门应当组织听证。</w:t>
            </w:r>
            <w:r>
              <w:rPr>
                <w:rFonts w:hint="eastAsia" w:ascii="仿宋_GB2312" w:hAnsi="仿宋_GB2312" w:eastAsia="仿宋_GB2312" w:cs="仿宋_GB2312"/>
                <w:color w:val="auto"/>
                <w:spacing w:val="4"/>
                <w:sz w:val="20"/>
                <w:szCs w:val="20"/>
                <w:lang w:eastAsia="zh-CN"/>
              </w:rPr>
              <w:t>”</w:t>
            </w:r>
          </w:p>
        </w:tc>
        <w:tc>
          <w:tcPr>
            <w:tcW w:w="3895" w:type="dxa"/>
            <w:vAlign w:val="top"/>
          </w:tcPr>
          <w:p>
            <w:pPr>
              <w:wordWrap/>
              <w:adjustRightInd w:val="0"/>
              <w:snapToGrid w:val="0"/>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1.检查责任：根据管理权限对教师违反职业道德行为进行监督检查；</w:t>
            </w:r>
          </w:p>
          <w:p>
            <w:pPr>
              <w:wordWrap/>
              <w:adjustRightInd w:val="0"/>
              <w:snapToGrid w:val="0"/>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2.对监督检查发现的问题，责令限期整改，依法作出处理决定；</w:t>
            </w:r>
          </w:p>
          <w:p>
            <w:pPr>
              <w:wordWrap/>
              <w:adjustRightInd w:val="0"/>
              <w:snapToGrid w:val="0"/>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3.事后管理责任：对监督检查发现的问题，学校和教师整改完成后，对整改情况组织进行核查；</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i w:val="0"/>
                <w:color w:val="auto"/>
                <w:kern w:val="0"/>
                <w:sz w:val="20"/>
                <w:szCs w:val="20"/>
                <w:u w:val="none"/>
                <w:lang w:val="en-US" w:eastAsia="zh-CN"/>
              </w:rPr>
              <w:t>4.其他责任：法律法规规章等规定应履行的责任。</w:t>
            </w:r>
          </w:p>
        </w:tc>
        <w:tc>
          <w:tcPr>
            <w:tcW w:w="1620" w:type="dxa"/>
            <w:vAlign w:val="top"/>
          </w:tcPr>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因不履行或不正确履行职责，有下列情形的，行政机关及相关工作人员应承担相应责任：</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1.不按管理权限对教师违反职业道德行为组织监督检查；</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2.对在检查中发现的问题，不责令限期整改、不依法作出处理决定；</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3.对监督检查发现的问题，学校和教师整改完成后，不对整改情况组织核查；</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i w:val="0"/>
                <w:color w:val="auto"/>
                <w:kern w:val="0"/>
                <w:sz w:val="20"/>
                <w:szCs w:val="20"/>
                <w:u w:val="none"/>
                <w:lang w:val="en-US" w:eastAsia="zh-CN"/>
              </w:rPr>
              <w:t>4.其他违反法律法规规章文件规定的行为。</w:t>
            </w:r>
          </w:p>
        </w:tc>
        <w:tc>
          <w:tcPr>
            <w:tcW w:w="1335"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40" w:type="dxa"/>
            <w:vAlign w:val="center"/>
          </w:tcPr>
          <w:p>
            <w:pPr>
              <w:wordWrap/>
              <w:spacing w:line="240" w:lineRule="exact"/>
              <w:ind w:left="0" w:leftChars="0" w:right="0" w:firstLine="0" w:firstLineChars="0"/>
              <w:jc w:val="center"/>
              <w:rPr>
                <w:rFonts w:hint="default"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24</w:t>
            </w:r>
          </w:p>
        </w:tc>
        <w:tc>
          <w:tcPr>
            <w:tcW w:w="807"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rPr>
              <w:t>行政</w:t>
            </w:r>
            <w:r>
              <w:rPr>
                <w:rFonts w:hint="eastAsia" w:ascii="仿宋_GB2312" w:hAnsi="仿宋_GB2312" w:eastAsia="仿宋_GB2312" w:cs="仿宋_GB2312"/>
                <w:color w:val="auto"/>
                <w:sz w:val="20"/>
                <w:szCs w:val="20"/>
                <w:lang w:eastAsia="zh-CN"/>
              </w:rPr>
              <w:t>检查</w:t>
            </w:r>
          </w:p>
        </w:tc>
        <w:tc>
          <w:tcPr>
            <w:tcW w:w="1225"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eastAsia="zh-CN"/>
              </w:rPr>
              <w:t>对学校安全工作的检查</w:t>
            </w:r>
          </w:p>
        </w:tc>
        <w:tc>
          <w:tcPr>
            <w:tcW w:w="1002"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val="en-US" w:eastAsia="zh-CN"/>
              </w:rPr>
              <w:t>高邑县</w:t>
            </w:r>
            <w:r>
              <w:rPr>
                <w:rFonts w:hint="eastAsia" w:ascii="仿宋_GB2312" w:hAnsi="仿宋_GB2312" w:eastAsia="仿宋_GB2312" w:cs="仿宋_GB2312"/>
                <w:color w:val="auto"/>
                <w:sz w:val="20"/>
                <w:szCs w:val="20"/>
                <w:lang w:eastAsia="zh-CN"/>
              </w:rPr>
              <w:t>教育局</w:t>
            </w:r>
          </w:p>
        </w:tc>
        <w:tc>
          <w:tcPr>
            <w:tcW w:w="3488" w:type="dxa"/>
            <w:vAlign w:val="top"/>
          </w:tcPr>
          <w:p>
            <w:pPr>
              <w:numPr>
                <w:ilvl w:val="0"/>
                <w:numId w:val="0"/>
              </w:num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val="en-US" w:eastAsia="zh-CN"/>
              </w:rPr>
              <w:t>《河</w:t>
            </w:r>
            <w:r>
              <w:rPr>
                <w:rFonts w:hint="eastAsia" w:ascii="仿宋_GB2312" w:hAnsi="仿宋_GB2312" w:eastAsia="仿宋_GB2312" w:cs="仿宋_GB2312"/>
                <w:color w:val="auto"/>
                <w:sz w:val="20"/>
                <w:szCs w:val="20"/>
                <w:shd w:val="clear" w:color="auto" w:fill="FFFFFF"/>
                <w:lang w:val="en-US" w:eastAsia="zh-CN"/>
              </w:rPr>
              <w:t>北省学校安全条例》（</w:t>
            </w:r>
            <w:r>
              <w:rPr>
                <w:rFonts w:hint="eastAsia" w:ascii="仿宋_GB2312" w:hAnsi="仿宋_GB2312" w:eastAsia="仿宋_GB2312" w:cs="仿宋_GB2312"/>
                <w:color w:val="auto"/>
                <w:sz w:val="20"/>
                <w:szCs w:val="20"/>
                <w:shd w:val="clear" w:color="auto" w:fill="FFFFFF"/>
                <w:lang w:eastAsia="zh-CN"/>
              </w:rPr>
              <w:t>2019年9月28日河北省第十三届人民代表大会常务委员会第十二次会议通过</w:t>
            </w:r>
            <w:r>
              <w:rPr>
                <w:rFonts w:hint="eastAsia" w:ascii="仿宋_GB2312" w:hAnsi="仿宋_GB2312" w:eastAsia="仿宋_GB2312" w:cs="仿宋_GB2312"/>
                <w:color w:val="auto"/>
                <w:sz w:val="20"/>
                <w:szCs w:val="20"/>
                <w:shd w:val="clear" w:color="auto" w:fill="FFFFFF"/>
                <w:lang w:val="en-US" w:eastAsia="zh-CN"/>
              </w:rPr>
              <w:t>）</w:t>
            </w:r>
            <w:r>
              <w:rPr>
                <w:rFonts w:hint="eastAsia" w:ascii="仿宋_GB2312" w:hAnsi="仿宋_GB2312" w:eastAsia="仿宋_GB2312" w:cs="仿宋_GB2312"/>
                <w:color w:val="auto"/>
                <w:sz w:val="20"/>
                <w:szCs w:val="20"/>
                <w:shd w:val="clear" w:color="auto" w:fill="FFFFFF"/>
                <w:lang w:eastAsia="zh-CN"/>
              </w:rPr>
              <w:t>第六条“县级以上人民政府教育行政部门统筹管理本行政区域内的学校安全工作，对学校安全工作进行监督、检查和指导。”</w:t>
            </w:r>
          </w:p>
        </w:tc>
        <w:tc>
          <w:tcPr>
            <w:tcW w:w="3895" w:type="dxa"/>
            <w:vAlign w:val="top"/>
          </w:tcPr>
          <w:p>
            <w:pPr>
              <w:wordWrap/>
              <w:adjustRightInd w:val="0"/>
              <w:snapToGrid w:val="0"/>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1.检查责任：根据管理权限对学校安全工作进行监督检查；</w:t>
            </w:r>
          </w:p>
          <w:p>
            <w:pPr>
              <w:wordWrap/>
              <w:adjustRightInd w:val="0"/>
              <w:snapToGrid w:val="0"/>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2.对监督检查发现的问题，责令限期整改，对责任人员依法作出处理决定；</w:t>
            </w:r>
          </w:p>
          <w:p>
            <w:pPr>
              <w:wordWrap/>
              <w:adjustRightInd w:val="0"/>
              <w:snapToGrid w:val="0"/>
              <w:spacing w:line="240" w:lineRule="exact"/>
              <w:ind w:left="0" w:leftChars="0" w:right="0" w:firstLine="0" w:firstLineChars="0"/>
              <w:rPr>
                <w:rFonts w:hint="default"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3.移送责任：对造成安全事故，构成违法犯罪的移交司法机关；</w:t>
            </w:r>
          </w:p>
          <w:p>
            <w:pPr>
              <w:wordWrap/>
              <w:adjustRightInd w:val="0"/>
              <w:snapToGrid w:val="0"/>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4.事后管理责任：对监督检查发现的问题，学校整改完成后，对整改情况组织进行核查；</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i w:val="0"/>
                <w:color w:val="auto"/>
                <w:kern w:val="0"/>
                <w:sz w:val="20"/>
                <w:szCs w:val="20"/>
                <w:u w:val="none"/>
                <w:lang w:val="en-US" w:eastAsia="zh-CN"/>
              </w:rPr>
              <w:t>5.其他责任：法律法规规章等规定应履行的责任。</w:t>
            </w:r>
          </w:p>
        </w:tc>
        <w:tc>
          <w:tcPr>
            <w:tcW w:w="1620" w:type="dxa"/>
            <w:vAlign w:val="top"/>
          </w:tcPr>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因不履行或不正确履行职责，有下列情形的，行政机关及相关工作人员应承担相应责任：</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1.不按管理权限对学校安全工作组织监督检查；</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2.对在检查中发现的问题，不责令限期整改、不依法作出处理决定；</w:t>
            </w:r>
          </w:p>
          <w:p>
            <w:pPr>
              <w:wordWrap/>
              <w:spacing w:line="240" w:lineRule="exact"/>
              <w:ind w:left="0" w:leftChars="0" w:right="0" w:firstLine="0" w:firstLineChars="0"/>
              <w:rPr>
                <w:rFonts w:hint="default"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3.对造成安全事故，构成违法犯罪的不移交司法机关；</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4.对监督检查发现的问题，学校整改完成后，不对整改情况组织核查；</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i w:val="0"/>
                <w:color w:val="auto"/>
                <w:kern w:val="0"/>
                <w:sz w:val="20"/>
                <w:szCs w:val="20"/>
                <w:u w:val="none"/>
                <w:lang w:val="en-US" w:eastAsia="zh-CN"/>
              </w:rPr>
              <w:t>5.其他违反法律法规规章文件规定的行为。</w:t>
            </w:r>
          </w:p>
        </w:tc>
        <w:tc>
          <w:tcPr>
            <w:tcW w:w="1335"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40" w:type="dxa"/>
            <w:vAlign w:val="center"/>
          </w:tcPr>
          <w:p>
            <w:pPr>
              <w:wordWrap/>
              <w:spacing w:line="240" w:lineRule="exact"/>
              <w:ind w:left="0" w:leftChars="0" w:right="0" w:firstLine="0" w:firstLineChars="0"/>
              <w:jc w:val="center"/>
              <w:rPr>
                <w:rFonts w:hint="default"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25</w:t>
            </w:r>
          </w:p>
        </w:tc>
        <w:tc>
          <w:tcPr>
            <w:tcW w:w="807"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rPr>
              <w:t>行政</w:t>
            </w:r>
            <w:r>
              <w:rPr>
                <w:rFonts w:hint="eastAsia" w:ascii="仿宋_GB2312" w:hAnsi="仿宋_GB2312" w:eastAsia="仿宋_GB2312" w:cs="仿宋_GB2312"/>
                <w:color w:val="auto"/>
                <w:sz w:val="20"/>
                <w:szCs w:val="20"/>
                <w:lang w:eastAsia="zh-CN"/>
              </w:rPr>
              <w:t>检查</w:t>
            </w:r>
          </w:p>
        </w:tc>
        <w:tc>
          <w:tcPr>
            <w:tcW w:w="1225"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shd w:val="clear" w:color="auto" w:fill="FFFFFF"/>
                <w:lang w:eastAsia="zh-CN"/>
              </w:rPr>
              <w:t>对学生资助资金的检查</w:t>
            </w:r>
          </w:p>
        </w:tc>
        <w:tc>
          <w:tcPr>
            <w:tcW w:w="1002"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val="en-US" w:eastAsia="zh-CN"/>
              </w:rPr>
              <w:t>高邑县</w:t>
            </w:r>
            <w:r>
              <w:rPr>
                <w:rFonts w:hint="eastAsia" w:ascii="仿宋_GB2312" w:hAnsi="仿宋_GB2312" w:eastAsia="仿宋_GB2312" w:cs="仿宋_GB2312"/>
                <w:color w:val="auto"/>
                <w:sz w:val="20"/>
                <w:szCs w:val="20"/>
                <w:lang w:eastAsia="zh-CN"/>
              </w:rPr>
              <w:t>教育局</w:t>
            </w:r>
          </w:p>
        </w:tc>
        <w:tc>
          <w:tcPr>
            <w:tcW w:w="3488" w:type="dxa"/>
            <w:vAlign w:val="top"/>
          </w:tcPr>
          <w:p>
            <w:pPr>
              <w:numPr>
                <w:ilvl w:val="0"/>
                <w:numId w:val="0"/>
              </w:numPr>
              <w:wordWrap/>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eastAsia="zh-CN"/>
              </w:rPr>
            </w:pPr>
            <w:r>
              <w:rPr>
                <w:rFonts w:hint="eastAsia" w:ascii="仿宋_GB2312" w:hAnsi="仿宋_GB2312" w:eastAsia="仿宋_GB2312" w:cs="仿宋_GB2312"/>
                <w:color w:val="auto"/>
                <w:sz w:val="20"/>
                <w:szCs w:val="20"/>
                <w:shd w:val="clear" w:color="auto" w:fill="FFFFFF"/>
                <w:lang w:eastAsia="zh-CN"/>
              </w:rPr>
              <w:t>《学生资助资金管理办法》（</w:t>
            </w:r>
            <w:r>
              <w:rPr>
                <w:rFonts w:hint="eastAsia" w:ascii="仿宋_GB2312" w:hAnsi="仿宋_GB2312" w:eastAsia="仿宋_GB2312" w:cs="仿宋_GB2312"/>
                <w:color w:val="auto"/>
                <w:sz w:val="20"/>
                <w:szCs w:val="20"/>
                <w:shd w:val="clear" w:color="auto" w:fill="FFFFFF"/>
              </w:rPr>
              <w:t>财科教〔2019〕19号</w:t>
            </w:r>
            <w:r>
              <w:rPr>
                <w:rFonts w:hint="eastAsia" w:ascii="仿宋_GB2312" w:hAnsi="仿宋_GB2312" w:eastAsia="仿宋_GB2312" w:cs="仿宋_GB2312"/>
                <w:color w:val="auto"/>
                <w:sz w:val="20"/>
                <w:szCs w:val="20"/>
                <w:shd w:val="clear" w:color="auto" w:fill="FFFFFF"/>
                <w:lang w:eastAsia="zh-CN"/>
              </w:rPr>
              <w:t>）第十八条“</w:t>
            </w:r>
            <w:r>
              <w:rPr>
                <w:rFonts w:hint="eastAsia" w:ascii="仿宋_GB2312" w:hAnsi="仿宋_GB2312" w:eastAsia="仿宋_GB2312" w:cs="仿宋_GB2312"/>
                <w:color w:val="auto"/>
                <w:sz w:val="20"/>
                <w:szCs w:val="20"/>
                <w:shd w:val="clear" w:color="auto" w:fill="FFFFFF"/>
              </w:rPr>
              <w:t>地方各级教育、人力资源社会保障部门要加强资金发放、执行管理，做好基础数据的审核工作，健全学生资助机构;组织学校做好家庭经济困难学生认定工作，确保应助尽助。各级各类学校要加强学生学籍、学生资助信息系统应用，规范档案管理，严格落实责任制，强化财务管理，制定学生资助资金管理使用办法。学校应将学生申请表、认定结果、资金发放等有关凭证和工作情况分年度建档备查。</w:t>
            </w:r>
            <w:r>
              <w:rPr>
                <w:rFonts w:hint="eastAsia" w:ascii="仿宋_GB2312" w:hAnsi="仿宋_GB2312" w:eastAsia="仿宋_GB2312" w:cs="仿宋_GB2312"/>
                <w:color w:val="auto"/>
                <w:sz w:val="20"/>
                <w:szCs w:val="20"/>
                <w:shd w:val="clear" w:color="auto" w:fill="FFFFFF"/>
                <w:lang w:eastAsia="zh-CN"/>
              </w:rPr>
              <w:t>”</w:t>
            </w:r>
          </w:p>
        </w:tc>
        <w:tc>
          <w:tcPr>
            <w:tcW w:w="3895" w:type="dxa"/>
            <w:vAlign w:val="top"/>
          </w:tcPr>
          <w:p>
            <w:pPr>
              <w:wordWrap/>
              <w:adjustRightInd w:val="0"/>
              <w:snapToGrid w:val="0"/>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1.检查责任：根据管理权限对学校学生资助资金发放、执行进行监督检查；</w:t>
            </w:r>
          </w:p>
          <w:p>
            <w:pPr>
              <w:wordWrap/>
              <w:adjustRightInd w:val="0"/>
              <w:snapToGrid w:val="0"/>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2.对监督检查发现的问题，责令限期整改，对责任人员依法作出处理决定；</w:t>
            </w:r>
          </w:p>
          <w:p>
            <w:pPr>
              <w:wordWrap/>
              <w:adjustRightInd w:val="0"/>
              <w:snapToGrid w:val="0"/>
              <w:spacing w:line="240" w:lineRule="exact"/>
              <w:ind w:left="0" w:leftChars="0" w:right="0" w:firstLine="0" w:firstLineChars="0"/>
              <w:rPr>
                <w:rFonts w:hint="default"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3.移送责任：对构成违法犯罪的移交司法机关；</w:t>
            </w:r>
          </w:p>
          <w:p>
            <w:pPr>
              <w:wordWrap/>
              <w:adjustRightInd w:val="0"/>
              <w:snapToGrid w:val="0"/>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4.事后管理责任：对监督检查发现的问题，学校整改完成后，对整改情况组织进行核查；</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i w:val="0"/>
                <w:color w:val="auto"/>
                <w:kern w:val="0"/>
                <w:sz w:val="20"/>
                <w:szCs w:val="20"/>
                <w:u w:val="none"/>
                <w:lang w:val="en-US" w:eastAsia="zh-CN"/>
              </w:rPr>
              <w:t>5.其他责任：法律法规规章等规定应履行的责任。</w:t>
            </w:r>
          </w:p>
        </w:tc>
        <w:tc>
          <w:tcPr>
            <w:tcW w:w="1620" w:type="dxa"/>
            <w:vAlign w:val="top"/>
          </w:tcPr>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因不履行或不正确履行职责，有下列情形的，行政机关及相关工作人员应承担相应责任：</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1.不按管理权限对学校学生资助资金发放、执行组织监督检查；</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2.对在检查中发现的问题，不责令限期整改、不依法作出处理决定；</w:t>
            </w:r>
          </w:p>
          <w:p>
            <w:pPr>
              <w:wordWrap/>
              <w:spacing w:line="240" w:lineRule="exact"/>
              <w:ind w:left="0" w:leftChars="0" w:right="0" w:firstLine="0" w:firstLineChars="0"/>
              <w:rPr>
                <w:rFonts w:hint="default"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3.对构成违法犯罪的不移交司法机关；</w:t>
            </w:r>
          </w:p>
          <w:p>
            <w:pPr>
              <w:wordWrap/>
              <w:spacing w:line="240" w:lineRule="exact"/>
              <w:ind w:left="0" w:leftChars="0" w:right="0" w:firstLine="0" w:firstLineChars="0"/>
              <w:rPr>
                <w:rFonts w:hint="eastAsia" w:ascii="仿宋_GB2312" w:hAnsi="仿宋_GB2312" w:eastAsia="仿宋_GB2312" w:cs="仿宋_GB2312"/>
                <w:i w:val="0"/>
                <w:color w:val="auto"/>
                <w:kern w:val="0"/>
                <w:sz w:val="20"/>
                <w:szCs w:val="20"/>
                <w:u w:val="none"/>
                <w:lang w:val="en-US" w:eastAsia="zh-CN"/>
              </w:rPr>
            </w:pPr>
            <w:r>
              <w:rPr>
                <w:rFonts w:hint="eastAsia" w:ascii="仿宋_GB2312" w:hAnsi="仿宋_GB2312" w:eastAsia="仿宋_GB2312" w:cs="仿宋_GB2312"/>
                <w:i w:val="0"/>
                <w:color w:val="auto"/>
                <w:kern w:val="0"/>
                <w:sz w:val="20"/>
                <w:szCs w:val="20"/>
                <w:u w:val="none"/>
                <w:lang w:val="en-US" w:eastAsia="zh-CN"/>
              </w:rPr>
              <w:t>4.对监督检查发现的问题，学校整改完成后，不对整改情况组织核查；</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i w:val="0"/>
                <w:color w:val="auto"/>
                <w:kern w:val="0"/>
                <w:sz w:val="20"/>
                <w:szCs w:val="20"/>
                <w:u w:val="none"/>
                <w:lang w:val="en-US" w:eastAsia="zh-CN"/>
              </w:rPr>
              <w:t>5.其他违反法律法规规章文件规定的行为。</w:t>
            </w:r>
          </w:p>
        </w:tc>
        <w:tc>
          <w:tcPr>
            <w:tcW w:w="1335"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40" w:type="dxa"/>
            <w:vAlign w:val="center"/>
          </w:tcPr>
          <w:p>
            <w:pPr>
              <w:wordWrap/>
              <w:spacing w:line="240" w:lineRule="exact"/>
              <w:ind w:left="0" w:leftChars="0" w:right="0" w:firstLine="0" w:firstLineChars="0"/>
              <w:jc w:val="center"/>
              <w:rPr>
                <w:rFonts w:hint="default"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26</w:t>
            </w:r>
          </w:p>
        </w:tc>
        <w:tc>
          <w:tcPr>
            <w:tcW w:w="807"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eastAsia="zh-CN"/>
              </w:rPr>
              <w:t>其他类</w:t>
            </w:r>
          </w:p>
        </w:tc>
        <w:tc>
          <w:tcPr>
            <w:tcW w:w="1225"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pacing w:val="4"/>
                <w:sz w:val="20"/>
                <w:szCs w:val="20"/>
              </w:rPr>
              <w:t>中等职业学校</w:t>
            </w:r>
            <w:r>
              <w:rPr>
                <w:rFonts w:hint="eastAsia" w:ascii="仿宋_GB2312" w:hAnsi="仿宋_GB2312" w:eastAsia="仿宋_GB2312" w:cs="仿宋_GB2312"/>
                <w:color w:val="auto"/>
                <w:spacing w:val="4"/>
                <w:sz w:val="20"/>
                <w:szCs w:val="20"/>
                <w:lang w:eastAsia="zh-CN"/>
              </w:rPr>
              <w:t>开设或停办</w:t>
            </w:r>
            <w:r>
              <w:rPr>
                <w:rFonts w:hint="eastAsia" w:ascii="仿宋_GB2312" w:hAnsi="仿宋_GB2312" w:eastAsia="仿宋_GB2312" w:cs="仿宋_GB2312"/>
                <w:color w:val="auto"/>
                <w:spacing w:val="4"/>
                <w:sz w:val="20"/>
                <w:szCs w:val="20"/>
              </w:rPr>
              <w:t>专业</w:t>
            </w:r>
            <w:r>
              <w:rPr>
                <w:rFonts w:hint="eastAsia" w:ascii="仿宋_GB2312" w:hAnsi="仿宋_GB2312" w:eastAsia="仿宋_GB2312" w:cs="仿宋_GB2312"/>
                <w:color w:val="auto"/>
                <w:spacing w:val="4"/>
                <w:sz w:val="20"/>
                <w:szCs w:val="20"/>
                <w:lang w:eastAsia="zh-CN"/>
              </w:rPr>
              <w:t>的</w:t>
            </w:r>
            <w:r>
              <w:rPr>
                <w:rFonts w:hint="eastAsia" w:ascii="仿宋_GB2312" w:hAnsi="仿宋_GB2312" w:eastAsia="仿宋_GB2312" w:cs="仿宋_GB2312"/>
                <w:color w:val="auto"/>
                <w:spacing w:val="4"/>
                <w:sz w:val="20"/>
                <w:szCs w:val="20"/>
              </w:rPr>
              <w:t>备案</w:t>
            </w:r>
          </w:p>
        </w:tc>
        <w:tc>
          <w:tcPr>
            <w:tcW w:w="1002"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val="en-US" w:eastAsia="zh-CN"/>
              </w:rPr>
              <w:t>高邑县</w:t>
            </w:r>
            <w:r>
              <w:rPr>
                <w:rFonts w:hint="eastAsia" w:ascii="仿宋_GB2312" w:hAnsi="仿宋_GB2312" w:eastAsia="仿宋_GB2312" w:cs="仿宋_GB2312"/>
                <w:color w:val="auto"/>
                <w:sz w:val="20"/>
                <w:szCs w:val="20"/>
                <w:lang w:eastAsia="zh-CN"/>
              </w:rPr>
              <w:t>教育局</w:t>
            </w:r>
          </w:p>
        </w:tc>
        <w:tc>
          <w:tcPr>
            <w:tcW w:w="3488" w:type="dxa"/>
            <w:vAlign w:val="center"/>
          </w:tcPr>
          <w:p>
            <w:pPr>
              <w:numPr>
                <w:ilvl w:val="0"/>
                <w:numId w:val="5"/>
              </w:numPr>
              <w:wordWrap/>
              <w:spacing w:line="240" w:lineRule="exact"/>
              <w:ind w:left="0" w:leftChars="0" w:right="0" w:firstLine="0" w:firstLineChars="0"/>
              <w:rPr>
                <w:rFonts w:hint="eastAsia" w:ascii="仿宋_GB2312" w:hAnsi="仿宋_GB2312" w:eastAsia="仿宋_GB2312" w:cs="仿宋_GB2312"/>
                <w:color w:val="auto"/>
                <w:spacing w:val="4"/>
                <w:sz w:val="20"/>
                <w:szCs w:val="20"/>
                <w:lang w:eastAsia="zh-CN"/>
              </w:rPr>
            </w:pPr>
            <w:r>
              <w:rPr>
                <w:rFonts w:hint="eastAsia" w:ascii="仿宋_GB2312" w:hAnsi="仿宋_GB2312" w:eastAsia="仿宋_GB2312" w:cs="仿宋_GB2312"/>
                <w:color w:val="auto"/>
                <w:spacing w:val="4"/>
                <w:sz w:val="20"/>
                <w:szCs w:val="20"/>
              </w:rPr>
              <w:t>教育部《中等职业学校专业设置管理办法</w:t>
            </w:r>
            <w:r>
              <w:rPr>
                <w:rFonts w:hint="eastAsia" w:ascii="仿宋_GB2312" w:hAnsi="仿宋_GB2312" w:eastAsia="仿宋_GB2312" w:cs="仿宋_GB2312"/>
                <w:color w:val="auto"/>
                <w:spacing w:val="4"/>
                <w:sz w:val="20"/>
                <w:szCs w:val="20"/>
                <w:lang w:eastAsia="zh-CN"/>
              </w:rPr>
              <w:t>（试行）</w:t>
            </w:r>
            <w:r>
              <w:rPr>
                <w:rFonts w:hint="eastAsia" w:ascii="仿宋_GB2312" w:hAnsi="仿宋_GB2312" w:eastAsia="仿宋_GB2312" w:cs="仿宋_GB2312"/>
                <w:color w:val="auto"/>
                <w:spacing w:val="4"/>
                <w:sz w:val="20"/>
                <w:szCs w:val="20"/>
              </w:rPr>
              <w:t>》</w:t>
            </w:r>
            <w:r>
              <w:rPr>
                <w:rFonts w:hint="eastAsia" w:ascii="仿宋_GB2312" w:hAnsi="仿宋_GB2312" w:eastAsia="仿宋_GB2312" w:cs="仿宋_GB2312"/>
                <w:color w:val="auto"/>
                <w:spacing w:val="4"/>
                <w:sz w:val="20"/>
                <w:szCs w:val="20"/>
                <w:lang w:eastAsia="zh-CN"/>
              </w:rPr>
              <w:t>（</w:t>
            </w:r>
            <w:r>
              <w:rPr>
                <w:rFonts w:hint="eastAsia" w:ascii="仿宋_GB2312" w:hAnsi="仿宋_GB2312" w:eastAsia="仿宋_GB2312" w:cs="仿宋_GB2312"/>
                <w:color w:val="auto"/>
                <w:spacing w:val="4"/>
                <w:sz w:val="20"/>
                <w:szCs w:val="20"/>
              </w:rPr>
              <w:t>教职成厅〔2010〕9号</w:t>
            </w:r>
            <w:r>
              <w:rPr>
                <w:rFonts w:hint="eastAsia" w:ascii="仿宋_GB2312" w:hAnsi="仿宋_GB2312" w:eastAsia="仿宋_GB2312" w:cs="仿宋_GB2312"/>
                <w:color w:val="auto"/>
                <w:spacing w:val="4"/>
                <w:sz w:val="20"/>
                <w:szCs w:val="20"/>
                <w:lang w:eastAsia="zh-CN"/>
              </w:rPr>
              <w:t>）</w:t>
            </w:r>
            <w:r>
              <w:rPr>
                <w:rFonts w:hint="eastAsia" w:ascii="仿宋_GB2312" w:hAnsi="仿宋_GB2312" w:eastAsia="仿宋_GB2312" w:cs="仿宋_GB2312"/>
                <w:color w:val="auto"/>
                <w:spacing w:val="4"/>
                <w:sz w:val="20"/>
                <w:szCs w:val="20"/>
              </w:rPr>
              <w:t>第</w:t>
            </w:r>
            <w:r>
              <w:rPr>
                <w:rFonts w:hint="eastAsia" w:ascii="仿宋_GB2312" w:hAnsi="仿宋_GB2312" w:eastAsia="仿宋_GB2312" w:cs="仿宋_GB2312"/>
                <w:color w:val="auto"/>
                <w:spacing w:val="4"/>
                <w:sz w:val="20"/>
                <w:szCs w:val="20"/>
                <w:lang w:eastAsia="zh-CN"/>
              </w:rPr>
              <w:t>十二条“</w:t>
            </w:r>
            <w:r>
              <w:rPr>
                <w:rFonts w:hint="eastAsia" w:ascii="仿宋_GB2312" w:hAnsi="仿宋_GB2312" w:eastAsia="仿宋_GB2312" w:cs="仿宋_GB2312"/>
                <w:color w:val="auto"/>
                <w:spacing w:val="4"/>
                <w:sz w:val="20"/>
                <w:szCs w:val="20"/>
              </w:rPr>
              <w:t>中等职业学校开设《目录》内专业，须经学校主管部门同意，报省级教育行政部门备案；开设《目录》外专业，须经省级教育行政部门备案后试办，按国家有关规定进行管理。</w:t>
            </w:r>
            <w:r>
              <w:rPr>
                <w:rFonts w:hint="eastAsia" w:ascii="仿宋_GB2312" w:hAnsi="仿宋_GB2312" w:eastAsia="仿宋_GB2312" w:cs="仿宋_GB2312"/>
                <w:color w:val="auto"/>
                <w:spacing w:val="4"/>
                <w:sz w:val="20"/>
                <w:szCs w:val="20"/>
                <w:lang w:eastAsia="zh-CN"/>
              </w:rPr>
              <w:t>”</w:t>
            </w:r>
            <w:r>
              <w:rPr>
                <w:rFonts w:hint="eastAsia" w:ascii="仿宋_GB2312" w:hAnsi="仿宋_GB2312" w:eastAsia="仿宋_GB2312" w:cs="仿宋_GB2312"/>
                <w:color w:val="auto"/>
                <w:spacing w:val="4"/>
                <w:sz w:val="20"/>
                <w:szCs w:val="20"/>
              </w:rPr>
              <w:t>第</w:t>
            </w:r>
            <w:r>
              <w:rPr>
                <w:rFonts w:hint="eastAsia" w:ascii="仿宋_GB2312" w:hAnsi="仿宋_GB2312" w:eastAsia="仿宋_GB2312" w:cs="仿宋_GB2312"/>
                <w:color w:val="auto"/>
                <w:spacing w:val="4"/>
                <w:sz w:val="20"/>
                <w:szCs w:val="20"/>
                <w:lang w:eastAsia="zh-CN"/>
              </w:rPr>
              <w:t>十四条第二款“</w:t>
            </w:r>
            <w:r>
              <w:rPr>
                <w:rFonts w:hint="eastAsia" w:ascii="仿宋_GB2312" w:hAnsi="仿宋_GB2312" w:eastAsia="仿宋_GB2312" w:cs="仿宋_GB2312"/>
                <w:color w:val="auto"/>
                <w:spacing w:val="4"/>
                <w:sz w:val="20"/>
                <w:szCs w:val="20"/>
              </w:rPr>
              <w:t>中等职业学校根据办学实际停办已开设的专业，报市（地）级教育行政部门备案。</w:t>
            </w:r>
            <w:r>
              <w:rPr>
                <w:rFonts w:hint="eastAsia" w:ascii="仿宋_GB2312" w:hAnsi="仿宋_GB2312" w:eastAsia="仿宋_GB2312" w:cs="仿宋_GB2312"/>
                <w:color w:val="auto"/>
                <w:spacing w:val="4"/>
                <w:sz w:val="20"/>
                <w:szCs w:val="20"/>
                <w:lang w:eastAsia="zh-CN"/>
              </w:rPr>
              <w:t>”</w:t>
            </w:r>
          </w:p>
          <w:p>
            <w:pPr>
              <w:widowControl/>
              <w:wordWrap/>
              <w:spacing w:beforeAutospacing="0" w:afterAutospacing="0" w:line="240" w:lineRule="exact"/>
              <w:ind w:left="0" w:leftChars="0" w:right="0" w:firstLine="0" w:firstLineChars="0"/>
              <w:jc w:val="left"/>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val="en-US" w:eastAsia="zh-CN"/>
              </w:rPr>
              <w:t>2.</w:t>
            </w:r>
            <w:r>
              <w:rPr>
                <w:rFonts w:hint="eastAsia" w:ascii="仿宋_GB2312" w:hAnsi="仿宋_GB2312" w:eastAsia="仿宋_GB2312" w:cs="仿宋_GB2312"/>
                <w:color w:val="auto"/>
                <w:sz w:val="20"/>
                <w:szCs w:val="20"/>
              </w:rPr>
              <w:t>河北省中等职业学校专业设置管理办法实施细则（冀教职成[2011]17号）</w:t>
            </w:r>
            <w:r>
              <w:rPr>
                <w:rFonts w:hint="eastAsia" w:ascii="仿宋_GB2312" w:hAnsi="仿宋_GB2312" w:eastAsia="仿宋_GB2312" w:cs="仿宋_GB2312"/>
                <w:color w:val="auto"/>
                <w:sz w:val="20"/>
                <w:szCs w:val="20"/>
                <w:lang w:val="en-US" w:eastAsia="zh-CN"/>
              </w:rPr>
              <w:t>第十条“中等职业学校开设《目录》内专业，应经学校主管部门同意，报设区市（或省）教育行政部门备案，同时提交《河北省中等职业学校新增专业备案表》（附件2)1式2份及电子版。开设《目录》外专业，应经省级教育行政部门备案后试办，并按国家有关规定进行管理，除需提交上述材料外，还需提交专业论证报告和规范的专业简介1式2份及电子版。</w:t>
            </w:r>
          </w:p>
        </w:tc>
        <w:tc>
          <w:tcPr>
            <w:tcW w:w="3895" w:type="dxa"/>
            <w:vAlign w:val="top"/>
          </w:tcPr>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eastAsia="zh-CN"/>
              </w:rPr>
              <w:t>1.受理责任：提交申请的材料；依法决定受理或不予受理（不予受理应当告知理由）；</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eastAsia="zh-CN"/>
              </w:rPr>
              <w:t>2.核查责任：对申请学校提交的材料严格按照标准提出是否同意的备案意见；</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eastAsia="zh-CN"/>
              </w:rPr>
              <w:t>3.备案责任：对核查后的材料进行备案；</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val="en-US" w:eastAsia="zh-CN"/>
              </w:rPr>
              <w:t>4</w:t>
            </w:r>
            <w:r>
              <w:rPr>
                <w:rFonts w:hint="eastAsia" w:ascii="仿宋_GB2312" w:hAnsi="仿宋_GB2312" w:eastAsia="仿宋_GB2312" w:cs="仿宋_GB2312"/>
                <w:color w:val="auto"/>
                <w:sz w:val="20"/>
                <w:szCs w:val="20"/>
                <w:lang w:eastAsia="zh-CN"/>
              </w:rPr>
              <w:t>.其他法律法规规章文件规定应履行的责任。</w:t>
            </w:r>
          </w:p>
        </w:tc>
        <w:tc>
          <w:tcPr>
            <w:tcW w:w="1620" w:type="dxa"/>
            <w:vAlign w:val="top"/>
          </w:tcPr>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eastAsia="zh-CN"/>
              </w:rPr>
              <w:t>因不履行或不正确履行行政职责，有下列情形的，行政机关及其工作人员应承担相应责任：</w:t>
            </w:r>
          </w:p>
          <w:p>
            <w:pPr>
              <w:wordWrap/>
              <w:spacing w:line="240" w:lineRule="exact"/>
              <w:ind w:left="0" w:leftChars="0" w:right="0" w:firstLine="0" w:firstLineChars="0"/>
              <w:rPr>
                <w:rFonts w:hint="eastAsia"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1.对符合法定条件的申请不予受理的；</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val="en-US" w:eastAsia="zh-CN"/>
              </w:rPr>
              <w:t>2.对不符合法定条件的申请人出具同意意见或者超越法定职权出具同意意见的</w:t>
            </w:r>
            <w:r>
              <w:rPr>
                <w:rFonts w:hint="eastAsia" w:ascii="仿宋_GB2312" w:hAnsi="仿宋_GB2312" w:eastAsia="仿宋_GB2312" w:cs="仿宋_GB2312"/>
                <w:color w:val="auto"/>
                <w:sz w:val="20"/>
                <w:szCs w:val="20"/>
                <w:lang w:eastAsia="zh-CN"/>
              </w:rPr>
              <w:t>； 　　</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val="en-US" w:eastAsia="zh-CN"/>
              </w:rPr>
              <w:t>3.在备案过程中有</w:t>
            </w:r>
            <w:r>
              <w:rPr>
                <w:rFonts w:hint="eastAsia" w:ascii="仿宋_GB2312" w:hAnsi="仿宋_GB2312" w:eastAsia="仿宋_GB2312" w:cs="仿宋_GB2312"/>
                <w:color w:val="auto"/>
                <w:sz w:val="20"/>
                <w:szCs w:val="20"/>
                <w:lang w:eastAsia="zh-CN"/>
              </w:rPr>
              <w:t>徇私舞弊或者有其他渎职、失职行为； 　　</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val="en-US" w:eastAsia="zh-CN"/>
              </w:rPr>
              <w:t>4</w:t>
            </w:r>
            <w:r>
              <w:rPr>
                <w:rFonts w:hint="eastAsia" w:ascii="仿宋_GB2312" w:hAnsi="仿宋_GB2312" w:eastAsia="仿宋_GB2312" w:cs="仿宋_GB2312"/>
                <w:color w:val="auto"/>
                <w:sz w:val="20"/>
                <w:szCs w:val="20"/>
                <w:lang w:eastAsia="zh-CN"/>
              </w:rPr>
              <w:t>.其他违反法律法规规章文件规定的行为。</w:t>
            </w:r>
          </w:p>
        </w:tc>
        <w:tc>
          <w:tcPr>
            <w:tcW w:w="1335"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40" w:type="dxa"/>
            <w:vAlign w:val="center"/>
          </w:tcPr>
          <w:p>
            <w:pPr>
              <w:wordWrap/>
              <w:spacing w:line="240" w:lineRule="exact"/>
              <w:ind w:left="0" w:leftChars="0" w:right="0" w:firstLine="0" w:firstLineChars="0"/>
              <w:jc w:val="center"/>
              <w:rPr>
                <w:rFonts w:hint="default"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27</w:t>
            </w:r>
          </w:p>
        </w:tc>
        <w:tc>
          <w:tcPr>
            <w:tcW w:w="807"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eastAsia="zh-CN"/>
              </w:rPr>
              <w:t>其他类</w:t>
            </w:r>
          </w:p>
        </w:tc>
        <w:tc>
          <w:tcPr>
            <w:tcW w:w="1225"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rPr>
              <w:t>学籍管理</w:t>
            </w:r>
          </w:p>
        </w:tc>
        <w:tc>
          <w:tcPr>
            <w:tcW w:w="1002"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val="en-US" w:eastAsia="zh-CN"/>
              </w:rPr>
              <w:t>高邑县</w:t>
            </w:r>
            <w:r>
              <w:rPr>
                <w:rFonts w:hint="eastAsia" w:ascii="仿宋_GB2312" w:hAnsi="仿宋_GB2312" w:eastAsia="仿宋_GB2312" w:cs="仿宋_GB2312"/>
                <w:color w:val="auto"/>
                <w:sz w:val="20"/>
                <w:szCs w:val="20"/>
                <w:lang w:eastAsia="zh-CN"/>
              </w:rPr>
              <w:t>教育局</w:t>
            </w:r>
          </w:p>
        </w:tc>
        <w:tc>
          <w:tcPr>
            <w:tcW w:w="3488" w:type="dxa"/>
            <w:vAlign w:val="top"/>
          </w:tcPr>
          <w:p>
            <w:pPr>
              <w:numPr>
                <w:ilvl w:val="0"/>
                <w:numId w:val="6"/>
              </w:numPr>
              <w:wordWrap/>
              <w:spacing w:line="240" w:lineRule="exact"/>
              <w:ind w:left="0" w:leftChars="0" w:right="0" w:firstLine="0" w:firstLineChars="0"/>
              <w:rPr>
                <w:rFonts w:hint="eastAsia" w:ascii="仿宋_GB2312" w:hAnsi="仿宋_GB2312" w:eastAsia="仿宋_GB2312" w:cs="仿宋_GB2312"/>
                <w:color w:val="auto"/>
                <w:spacing w:val="4"/>
                <w:sz w:val="20"/>
                <w:szCs w:val="20"/>
              </w:rPr>
            </w:pPr>
            <w:r>
              <w:rPr>
                <w:rFonts w:hint="eastAsia" w:ascii="仿宋_GB2312" w:hAnsi="仿宋_GB2312" w:eastAsia="仿宋_GB2312" w:cs="仿宋_GB2312"/>
                <w:color w:val="auto"/>
                <w:spacing w:val="4"/>
                <w:sz w:val="20"/>
                <w:szCs w:val="20"/>
              </w:rPr>
              <w:t>《中小学生学籍管理办法》（教基一〔2013〕7号）第</w:t>
            </w:r>
            <w:r>
              <w:rPr>
                <w:rFonts w:hint="eastAsia" w:ascii="仿宋_GB2312" w:hAnsi="仿宋_GB2312" w:eastAsia="仿宋_GB2312" w:cs="仿宋_GB2312"/>
                <w:color w:val="auto"/>
                <w:sz w:val="20"/>
                <w:szCs w:val="20"/>
              </w:rPr>
              <w:t>十三条</w:t>
            </w:r>
            <w:r>
              <w:rPr>
                <w:rFonts w:hint="eastAsia" w:ascii="仿宋_GB2312" w:hAnsi="仿宋_GB2312" w:eastAsia="仿宋_GB2312" w:cs="仿宋_GB2312"/>
                <w:color w:val="auto"/>
                <w:sz w:val="20"/>
                <w:szCs w:val="20"/>
                <w:lang w:eastAsia="zh-CN"/>
              </w:rPr>
              <w:t>：</w:t>
            </w:r>
            <w:r>
              <w:rPr>
                <w:rFonts w:hint="eastAsia" w:ascii="仿宋_GB2312" w:hAnsi="仿宋_GB2312" w:eastAsia="仿宋_GB2312" w:cs="仿宋_GB2312"/>
                <w:color w:val="auto"/>
                <w:sz w:val="20"/>
                <w:szCs w:val="20"/>
              </w:rPr>
              <w:t>学生学籍信息发生变化，学籍进行转接或学生毕业（结业、肄业）时，学校应及时维护电子学籍系统中的有关信息，并将证明材料归入学生学籍档案。学籍主管部门应及时对学生学籍变动信息进行更新。</w:t>
            </w:r>
          </w:p>
          <w:p>
            <w:pPr>
              <w:numPr>
                <w:ilvl w:val="0"/>
                <w:numId w:val="6"/>
              </w:numPr>
              <w:wordWrap/>
              <w:spacing w:line="240" w:lineRule="exact"/>
              <w:ind w:left="0" w:leftChars="0" w:right="0" w:firstLine="0" w:firstLineChars="0"/>
              <w:rPr>
                <w:rFonts w:hint="eastAsia" w:ascii="仿宋_GB2312" w:hAnsi="仿宋_GB2312" w:eastAsia="仿宋_GB2312" w:cs="仿宋_GB2312"/>
                <w:color w:val="auto"/>
                <w:spacing w:val="4"/>
                <w:sz w:val="20"/>
                <w:szCs w:val="20"/>
              </w:rPr>
            </w:pPr>
            <w:r>
              <w:rPr>
                <w:rFonts w:hint="eastAsia" w:ascii="仿宋_GB2312" w:hAnsi="仿宋_GB2312" w:eastAsia="仿宋_GB2312" w:cs="仿宋_GB2312"/>
                <w:color w:val="auto"/>
                <w:spacing w:val="4"/>
                <w:sz w:val="20"/>
                <w:szCs w:val="20"/>
              </w:rPr>
              <w:t>《河北省普通高中学生学籍管理办法实施细则（修订）》（冀教基〔201</w:t>
            </w:r>
            <w:r>
              <w:rPr>
                <w:rFonts w:hint="eastAsia" w:ascii="仿宋_GB2312" w:hAnsi="仿宋_GB2312" w:eastAsia="仿宋_GB2312" w:cs="仿宋_GB2312"/>
                <w:color w:val="auto"/>
                <w:spacing w:val="4"/>
                <w:sz w:val="20"/>
                <w:szCs w:val="20"/>
                <w:lang w:eastAsia="zh-CN"/>
              </w:rPr>
              <w:t>7</w:t>
            </w:r>
            <w:r>
              <w:rPr>
                <w:rFonts w:hint="eastAsia" w:ascii="仿宋_GB2312" w:hAnsi="仿宋_GB2312" w:eastAsia="仿宋_GB2312" w:cs="仿宋_GB2312"/>
                <w:color w:val="auto"/>
                <w:spacing w:val="4"/>
                <w:sz w:val="20"/>
                <w:szCs w:val="20"/>
              </w:rPr>
              <w:t>〕3</w:t>
            </w:r>
            <w:r>
              <w:rPr>
                <w:rFonts w:hint="eastAsia" w:ascii="仿宋_GB2312" w:hAnsi="仿宋_GB2312" w:eastAsia="仿宋_GB2312" w:cs="仿宋_GB2312"/>
                <w:color w:val="auto"/>
                <w:spacing w:val="4"/>
                <w:sz w:val="20"/>
                <w:szCs w:val="20"/>
                <w:lang w:eastAsia="zh-CN"/>
              </w:rPr>
              <w:t>7</w:t>
            </w:r>
            <w:r>
              <w:rPr>
                <w:rFonts w:hint="eastAsia" w:ascii="仿宋_GB2312" w:hAnsi="仿宋_GB2312" w:eastAsia="仿宋_GB2312" w:cs="仿宋_GB2312"/>
                <w:color w:val="auto"/>
                <w:spacing w:val="4"/>
                <w:sz w:val="20"/>
                <w:szCs w:val="20"/>
              </w:rPr>
              <w:t>号）</w:t>
            </w:r>
          </w:p>
          <w:p>
            <w:pPr>
              <w:numPr>
                <w:ilvl w:val="0"/>
                <w:numId w:val="6"/>
              </w:numPr>
              <w:wordWrap/>
              <w:spacing w:line="240" w:lineRule="exact"/>
              <w:ind w:left="0" w:leftChars="0" w:right="0" w:firstLine="0" w:firstLineChars="0"/>
              <w:rPr>
                <w:rFonts w:hint="eastAsia" w:ascii="仿宋_GB2312" w:hAnsi="仿宋_GB2312" w:eastAsia="仿宋_GB2312" w:cs="仿宋_GB2312"/>
                <w:color w:val="auto"/>
                <w:spacing w:val="4"/>
                <w:sz w:val="20"/>
                <w:szCs w:val="20"/>
                <w:lang w:val="en-US" w:eastAsia="zh-CN"/>
              </w:rPr>
            </w:pPr>
            <w:r>
              <w:rPr>
                <w:rFonts w:hint="eastAsia" w:ascii="仿宋_GB2312" w:hAnsi="仿宋_GB2312" w:eastAsia="仿宋_GB2312" w:cs="仿宋_GB2312"/>
                <w:color w:val="auto"/>
                <w:sz w:val="20"/>
                <w:szCs w:val="20"/>
              </w:rPr>
              <w:t>河北省义务教育阶段学生学籍管理办法实施细则（试行）</w:t>
            </w:r>
          </w:p>
          <w:p>
            <w:pPr>
              <w:widowControl w:val="0"/>
              <w:numPr>
                <w:ilvl w:val="0"/>
                <w:numId w:val="0"/>
              </w:numPr>
              <w:wordWrap/>
              <w:spacing w:line="240" w:lineRule="exact"/>
              <w:ind w:left="0" w:leftChars="0" w:right="0" w:firstLine="0" w:firstLineChars="0"/>
              <w:jc w:val="both"/>
              <w:rPr>
                <w:rFonts w:hint="eastAsia" w:ascii="仿宋_GB2312" w:hAnsi="仿宋_GB2312" w:eastAsia="仿宋_GB2312" w:cs="仿宋_GB2312"/>
                <w:color w:val="auto"/>
                <w:spacing w:val="4"/>
                <w:sz w:val="20"/>
                <w:szCs w:val="20"/>
                <w:lang w:val="en-US" w:eastAsia="zh-CN"/>
              </w:rPr>
            </w:pPr>
            <w:r>
              <w:rPr>
                <w:rFonts w:hint="eastAsia" w:ascii="仿宋_GB2312" w:hAnsi="仿宋_GB2312" w:eastAsia="仿宋_GB2312" w:cs="仿宋_GB2312"/>
                <w:color w:val="auto"/>
                <w:spacing w:val="4"/>
                <w:sz w:val="20"/>
                <w:szCs w:val="20"/>
                <w:lang w:val="en-US" w:eastAsia="zh-CN"/>
              </w:rPr>
              <w:t>4.</w:t>
            </w:r>
            <w:r>
              <w:rPr>
                <w:rFonts w:hint="eastAsia" w:ascii="仿宋_GB2312" w:hAnsi="仿宋_GB2312" w:eastAsia="仿宋_GB2312" w:cs="仿宋_GB2312"/>
                <w:color w:val="auto"/>
                <w:sz w:val="20"/>
                <w:szCs w:val="20"/>
              </w:rPr>
              <w:t>河北省教育厅关于印发《河北省中等职业学校学生学籍管理办法》实施细则的通知（冀教职成[2010]22号）</w:t>
            </w:r>
          </w:p>
        </w:tc>
        <w:tc>
          <w:tcPr>
            <w:tcW w:w="3895" w:type="dxa"/>
            <w:vAlign w:val="top"/>
          </w:tcPr>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eastAsia="zh-CN"/>
              </w:rPr>
            </w:pPr>
            <w:r>
              <w:rPr>
                <w:rFonts w:hint="eastAsia" w:ascii="仿宋_GB2312" w:hAnsi="仿宋_GB2312" w:eastAsia="仿宋_GB2312" w:cs="仿宋_GB2312"/>
                <w:color w:val="auto"/>
                <w:sz w:val="20"/>
                <w:szCs w:val="20"/>
                <w:shd w:val="clear" w:color="auto" w:fill="FFFFFF"/>
                <w:lang w:eastAsia="zh-CN"/>
              </w:rPr>
              <w:t>1.受理责任：公示应当提交的材料；一次性告知补正材料；依法决定受理或不予受理（不予受理应当告知理由）。</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eastAsia="zh-CN"/>
              </w:rPr>
            </w:pPr>
            <w:r>
              <w:rPr>
                <w:rFonts w:hint="eastAsia" w:ascii="仿宋_GB2312" w:hAnsi="仿宋_GB2312" w:eastAsia="仿宋_GB2312" w:cs="仿宋_GB2312"/>
                <w:color w:val="auto"/>
                <w:sz w:val="20"/>
                <w:szCs w:val="20"/>
                <w:shd w:val="clear" w:color="auto" w:fill="FFFFFF"/>
                <w:lang w:eastAsia="zh-CN"/>
              </w:rPr>
              <w:t>2.审查责任：对申请人提交的材料进行审查，提出审核意见。</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eastAsia="zh-CN"/>
              </w:rPr>
            </w:pPr>
            <w:r>
              <w:rPr>
                <w:rFonts w:hint="eastAsia" w:ascii="仿宋_GB2312" w:hAnsi="仿宋_GB2312" w:eastAsia="仿宋_GB2312" w:cs="仿宋_GB2312"/>
                <w:color w:val="auto"/>
                <w:sz w:val="20"/>
                <w:szCs w:val="20"/>
                <w:shd w:val="clear" w:color="auto" w:fill="FFFFFF"/>
                <w:lang w:eastAsia="zh-CN"/>
              </w:rPr>
              <w:t>3.决定责任：根据审核意见，决定是否办理学籍注册、异动。</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shd w:val="clear" w:color="auto" w:fill="FFFFFF"/>
                <w:lang w:val="en-US" w:eastAsia="zh-CN"/>
              </w:rPr>
              <w:t>4</w:t>
            </w:r>
            <w:r>
              <w:rPr>
                <w:rFonts w:hint="eastAsia" w:ascii="仿宋_GB2312" w:hAnsi="仿宋_GB2312" w:eastAsia="仿宋_GB2312" w:cs="仿宋_GB2312"/>
                <w:color w:val="FF0000"/>
                <w:sz w:val="20"/>
                <w:szCs w:val="20"/>
                <w:shd w:val="clear" w:color="auto" w:fill="FFFFFF"/>
                <w:lang w:val="en-US" w:eastAsia="zh-CN"/>
              </w:rPr>
              <w:t>.</w:t>
            </w:r>
            <w:r>
              <w:rPr>
                <w:rFonts w:hint="eastAsia" w:ascii="仿宋_GB2312" w:hAnsi="仿宋_GB2312" w:eastAsia="仿宋_GB2312" w:cs="仿宋_GB2312"/>
                <w:color w:val="000000"/>
                <w:sz w:val="20"/>
                <w:szCs w:val="20"/>
                <w:shd w:val="clear" w:color="auto" w:fill="FFFFFF"/>
                <w:lang w:eastAsia="zh-CN"/>
              </w:rPr>
              <w:t>其他法律法规规章文件规定应履行的责任。</w:t>
            </w:r>
          </w:p>
        </w:tc>
        <w:tc>
          <w:tcPr>
            <w:tcW w:w="1620" w:type="dxa"/>
            <w:vAlign w:val="top"/>
          </w:tcPr>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eastAsia="zh-CN"/>
              </w:rPr>
            </w:pPr>
            <w:r>
              <w:rPr>
                <w:rFonts w:hint="eastAsia" w:ascii="仿宋_GB2312" w:hAnsi="仿宋_GB2312" w:eastAsia="仿宋_GB2312" w:cs="仿宋_GB2312"/>
                <w:color w:val="auto"/>
                <w:sz w:val="20"/>
                <w:szCs w:val="20"/>
                <w:shd w:val="clear" w:color="auto" w:fill="FFFFFF"/>
                <w:lang w:eastAsia="zh-CN"/>
              </w:rPr>
              <w:t>因不履行或不正确履行行政职责，有下列情形的，行政机关及其工作人员应承担相应责任：</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val="en-US" w:eastAsia="zh-CN"/>
              </w:rPr>
            </w:pPr>
            <w:r>
              <w:rPr>
                <w:rFonts w:hint="eastAsia" w:ascii="仿宋_GB2312" w:hAnsi="仿宋_GB2312" w:eastAsia="仿宋_GB2312" w:cs="仿宋_GB2312"/>
                <w:color w:val="auto"/>
                <w:sz w:val="20"/>
                <w:szCs w:val="20"/>
                <w:shd w:val="clear" w:color="auto" w:fill="FFFFFF"/>
                <w:lang w:val="en-US" w:eastAsia="zh-CN"/>
              </w:rPr>
              <w:t>1.无正当理由不予受理当事人申请；</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eastAsia="zh-CN"/>
              </w:rPr>
            </w:pPr>
            <w:r>
              <w:rPr>
                <w:rFonts w:hint="eastAsia" w:ascii="仿宋_GB2312" w:hAnsi="仿宋_GB2312" w:eastAsia="仿宋_GB2312" w:cs="仿宋_GB2312"/>
                <w:color w:val="auto"/>
                <w:sz w:val="20"/>
                <w:szCs w:val="20"/>
                <w:shd w:val="clear" w:color="auto" w:fill="FFFFFF"/>
                <w:lang w:val="en-US" w:eastAsia="zh-CN"/>
              </w:rPr>
              <w:t>2.在处理过程中有</w:t>
            </w:r>
            <w:r>
              <w:rPr>
                <w:rFonts w:hint="eastAsia" w:ascii="仿宋_GB2312" w:hAnsi="仿宋_GB2312" w:eastAsia="仿宋_GB2312" w:cs="仿宋_GB2312"/>
                <w:color w:val="auto"/>
                <w:sz w:val="20"/>
                <w:szCs w:val="20"/>
                <w:shd w:val="clear" w:color="auto" w:fill="FFFFFF"/>
              </w:rPr>
              <w:t>徇私舞弊或者有其他渎职、失职行为</w:t>
            </w:r>
            <w:r>
              <w:rPr>
                <w:rFonts w:hint="eastAsia" w:ascii="仿宋_GB2312" w:hAnsi="仿宋_GB2312" w:eastAsia="仿宋_GB2312" w:cs="仿宋_GB2312"/>
                <w:color w:val="auto"/>
                <w:sz w:val="20"/>
                <w:szCs w:val="20"/>
                <w:shd w:val="clear" w:color="auto" w:fill="FFFFFF"/>
                <w:lang w:eastAsia="zh-CN"/>
              </w:rPr>
              <w:t>； 　　</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shd w:val="clear" w:color="auto" w:fill="FFFFFF"/>
                <w:lang w:val="en-US" w:eastAsia="zh-CN"/>
              </w:rPr>
              <w:t>3</w:t>
            </w:r>
            <w:r>
              <w:rPr>
                <w:rFonts w:hint="eastAsia" w:ascii="仿宋_GB2312" w:hAnsi="仿宋_GB2312" w:eastAsia="仿宋_GB2312" w:cs="仿宋_GB2312"/>
                <w:color w:val="auto"/>
                <w:sz w:val="20"/>
                <w:szCs w:val="20"/>
                <w:shd w:val="clear" w:color="auto" w:fill="FFFFFF"/>
                <w:lang w:eastAsia="zh-CN"/>
              </w:rPr>
              <w:t>.其他违反法律法规规章文件规定的行为。</w:t>
            </w:r>
          </w:p>
        </w:tc>
        <w:tc>
          <w:tcPr>
            <w:tcW w:w="1335"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eastAsia="zh-CN"/>
              </w:rPr>
              <w:t>普通中小学校和</w:t>
            </w:r>
            <w:r>
              <w:rPr>
                <w:rFonts w:hint="eastAsia" w:ascii="仿宋_GB2312" w:hAnsi="仿宋_GB2312" w:eastAsia="仿宋_GB2312" w:cs="仿宋_GB2312"/>
                <w:color w:val="auto"/>
                <w:sz w:val="20"/>
                <w:szCs w:val="20"/>
                <w:lang w:val="en-US" w:eastAsia="zh-CN"/>
              </w:rPr>
              <w:t>县</w:t>
            </w:r>
            <w:r>
              <w:rPr>
                <w:rFonts w:hint="eastAsia" w:ascii="仿宋_GB2312" w:hAnsi="仿宋_GB2312" w:eastAsia="仿宋_GB2312" w:cs="仿宋_GB2312"/>
                <w:color w:val="auto"/>
                <w:sz w:val="20"/>
                <w:szCs w:val="20"/>
                <w:lang w:eastAsia="zh-CN"/>
              </w:rPr>
              <w:t>管中等职业学校学生学籍管理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40" w:type="dxa"/>
            <w:vAlign w:val="center"/>
          </w:tcPr>
          <w:p>
            <w:pPr>
              <w:wordWrap/>
              <w:spacing w:line="240" w:lineRule="exact"/>
              <w:ind w:left="0" w:leftChars="0" w:right="0" w:firstLine="0" w:firstLineChars="0"/>
              <w:jc w:val="center"/>
              <w:rPr>
                <w:rFonts w:hint="default"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28</w:t>
            </w:r>
          </w:p>
        </w:tc>
        <w:tc>
          <w:tcPr>
            <w:tcW w:w="807"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eastAsia="zh-CN"/>
              </w:rPr>
              <w:t>其他类</w:t>
            </w:r>
          </w:p>
        </w:tc>
        <w:tc>
          <w:tcPr>
            <w:tcW w:w="1225" w:type="dxa"/>
            <w:vAlign w:val="center"/>
          </w:tcPr>
          <w:p>
            <w:pPr>
              <w:wordWrap/>
              <w:adjustRightInd w:val="0"/>
              <w:snapToGrid w:val="0"/>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pacing w:val="4"/>
                <w:sz w:val="20"/>
                <w:szCs w:val="20"/>
              </w:rPr>
              <w:t>民办学校招生简章和广告备案</w:t>
            </w:r>
          </w:p>
        </w:tc>
        <w:tc>
          <w:tcPr>
            <w:tcW w:w="1002"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val="en-US" w:eastAsia="zh-CN"/>
              </w:rPr>
              <w:t>高邑县</w:t>
            </w:r>
            <w:r>
              <w:rPr>
                <w:rFonts w:hint="eastAsia" w:ascii="仿宋_GB2312" w:hAnsi="仿宋_GB2312" w:eastAsia="仿宋_GB2312" w:cs="仿宋_GB2312"/>
                <w:color w:val="auto"/>
                <w:sz w:val="20"/>
                <w:szCs w:val="20"/>
                <w:lang w:eastAsia="zh-CN"/>
              </w:rPr>
              <w:t>教育局</w:t>
            </w:r>
          </w:p>
        </w:tc>
        <w:tc>
          <w:tcPr>
            <w:tcW w:w="3488" w:type="dxa"/>
            <w:vAlign w:val="center"/>
          </w:tcPr>
          <w:p>
            <w:pPr>
              <w:numPr>
                <w:ilvl w:val="0"/>
                <w:numId w:val="7"/>
              </w:numPr>
              <w:wordWrap/>
              <w:adjustRightInd w:val="0"/>
              <w:snapToGrid w:val="0"/>
              <w:spacing w:line="240" w:lineRule="exact"/>
              <w:ind w:left="0" w:leftChars="0" w:right="0" w:firstLine="0" w:firstLineChars="0"/>
              <w:rPr>
                <w:rFonts w:hint="eastAsia" w:ascii="仿宋_GB2312" w:hAnsi="仿宋_GB2312" w:eastAsia="仿宋_GB2312" w:cs="仿宋_GB2312"/>
                <w:color w:val="auto"/>
                <w:spacing w:val="4"/>
                <w:sz w:val="20"/>
                <w:szCs w:val="20"/>
                <w:lang w:eastAsia="zh-CN"/>
              </w:rPr>
            </w:pPr>
            <w:r>
              <w:rPr>
                <w:rFonts w:hint="eastAsia" w:ascii="仿宋_GB2312" w:hAnsi="仿宋_GB2312" w:eastAsia="仿宋_GB2312" w:cs="仿宋_GB2312"/>
                <w:color w:val="auto"/>
                <w:spacing w:val="4"/>
                <w:sz w:val="20"/>
                <w:szCs w:val="20"/>
              </w:rPr>
              <w:t>《中华人民共和国民办教育促进法》第四十</w:t>
            </w:r>
            <w:r>
              <w:rPr>
                <w:rFonts w:hint="eastAsia" w:ascii="仿宋_GB2312" w:hAnsi="仿宋_GB2312" w:eastAsia="仿宋_GB2312" w:cs="仿宋_GB2312"/>
                <w:color w:val="auto"/>
                <w:spacing w:val="4"/>
                <w:sz w:val="20"/>
                <w:szCs w:val="20"/>
                <w:lang w:eastAsia="zh-CN"/>
              </w:rPr>
              <w:t>二</w:t>
            </w:r>
            <w:r>
              <w:rPr>
                <w:rFonts w:hint="eastAsia" w:ascii="仿宋_GB2312" w:hAnsi="仿宋_GB2312" w:eastAsia="仿宋_GB2312" w:cs="仿宋_GB2312"/>
                <w:color w:val="auto"/>
                <w:spacing w:val="4"/>
                <w:sz w:val="20"/>
                <w:szCs w:val="20"/>
              </w:rPr>
              <w:t>条</w:t>
            </w:r>
            <w:r>
              <w:rPr>
                <w:rFonts w:hint="eastAsia" w:ascii="仿宋_GB2312" w:hAnsi="仿宋_GB2312" w:eastAsia="仿宋_GB2312" w:cs="仿宋_GB2312"/>
                <w:color w:val="auto"/>
                <w:spacing w:val="4"/>
                <w:sz w:val="20"/>
                <w:szCs w:val="20"/>
                <w:lang w:eastAsia="zh-CN"/>
              </w:rPr>
              <w:t>“民办学校的招生简章和广告，应当报审批机关备案”。</w:t>
            </w:r>
          </w:p>
          <w:p>
            <w:pPr>
              <w:numPr>
                <w:ilvl w:val="0"/>
                <w:numId w:val="0"/>
              </w:num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lang w:eastAsia="zh-CN"/>
              </w:rPr>
            </w:pPr>
          </w:p>
        </w:tc>
        <w:tc>
          <w:tcPr>
            <w:tcW w:w="3895" w:type="dxa"/>
            <w:vAlign w:val="top"/>
          </w:tcPr>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eastAsia="zh-CN"/>
              </w:rPr>
            </w:pPr>
            <w:r>
              <w:rPr>
                <w:rFonts w:hint="eastAsia" w:ascii="仿宋_GB2312" w:hAnsi="仿宋_GB2312" w:eastAsia="仿宋_GB2312" w:cs="仿宋_GB2312"/>
                <w:color w:val="auto"/>
                <w:sz w:val="20"/>
                <w:szCs w:val="20"/>
                <w:shd w:val="clear" w:color="auto" w:fill="FFFFFF"/>
                <w:lang w:eastAsia="zh-CN"/>
              </w:rPr>
              <w:t>1.受理责任：一次性告知备案应当提交的材料，依法决定受理或不予受理（不予受理应当告知理由）；</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eastAsia="zh-CN"/>
              </w:rPr>
            </w:pPr>
            <w:r>
              <w:rPr>
                <w:rFonts w:hint="eastAsia" w:ascii="仿宋_GB2312" w:hAnsi="仿宋_GB2312" w:eastAsia="仿宋_GB2312" w:cs="仿宋_GB2312"/>
                <w:color w:val="auto"/>
                <w:sz w:val="20"/>
                <w:szCs w:val="20"/>
                <w:shd w:val="clear" w:color="auto" w:fill="FFFFFF"/>
                <w:lang w:eastAsia="zh-CN"/>
              </w:rPr>
              <w:t>2.核查责任：申请学校提交的备案材料进行查验，有无违规宣传等内容；</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eastAsia="zh-CN"/>
              </w:rPr>
            </w:pPr>
            <w:r>
              <w:rPr>
                <w:rFonts w:hint="eastAsia" w:ascii="仿宋_GB2312" w:hAnsi="仿宋_GB2312" w:eastAsia="仿宋_GB2312" w:cs="仿宋_GB2312"/>
                <w:color w:val="auto"/>
                <w:sz w:val="20"/>
                <w:szCs w:val="20"/>
                <w:shd w:val="clear" w:color="auto" w:fill="FFFFFF"/>
                <w:lang w:eastAsia="zh-CN"/>
              </w:rPr>
              <w:t>3.备案责任：经查验后，制作备案表，接受备案；</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shd w:val="clear" w:color="auto" w:fill="FFFFFF"/>
                <w:lang w:val="en-US" w:eastAsia="zh-CN"/>
              </w:rPr>
              <w:t>4</w:t>
            </w:r>
            <w:r>
              <w:rPr>
                <w:rFonts w:hint="eastAsia" w:ascii="仿宋_GB2312" w:hAnsi="仿宋_GB2312" w:eastAsia="仿宋_GB2312" w:cs="仿宋_GB2312"/>
                <w:color w:val="auto"/>
                <w:sz w:val="20"/>
                <w:szCs w:val="20"/>
                <w:shd w:val="clear" w:color="auto" w:fill="FFFFFF"/>
                <w:lang w:eastAsia="zh-CN"/>
              </w:rPr>
              <w:t>.其他法律法规规章文件规定应履行的责任。</w:t>
            </w:r>
          </w:p>
        </w:tc>
        <w:tc>
          <w:tcPr>
            <w:tcW w:w="1620" w:type="dxa"/>
            <w:vAlign w:val="top"/>
          </w:tcPr>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eastAsia="zh-CN"/>
              </w:rPr>
            </w:pPr>
            <w:r>
              <w:rPr>
                <w:rFonts w:hint="eastAsia" w:ascii="仿宋_GB2312" w:hAnsi="仿宋_GB2312" w:eastAsia="仿宋_GB2312" w:cs="仿宋_GB2312"/>
                <w:color w:val="auto"/>
                <w:sz w:val="20"/>
                <w:szCs w:val="20"/>
                <w:shd w:val="clear" w:color="auto" w:fill="FFFFFF"/>
                <w:lang w:eastAsia="zh-CN"/>
              </w:rPr>
              <w:t>因不履行或不正确履行行政职责，有下列情形的，行政机关及其工作人员应承担相应责任：</w:t>
            </w:r>
          </w:p>
          <w:p>
            <w:pPr>
              <w:numPr>
                <w:ilvl w:val="0"/>
                <w:numId w:val="0"/>
              </w:numPr>
              <w:wordWrap/>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eastAsia="zh-CN"/>
              </w:rPr>
            </w:pPr>
            <w:r>
              <w:rPr>
                <w:rFonts w:hint="eastAsia" w:ascii="仿宋_GB2312" w:hAnsi="仿宋_GB2312" w:eastAsia="仿宋_GB2312" w:cs="仿宋_GB2312"/>
                <w:color w:val="auto"/>
                <w:sz w:val="20"/>
                <w:szCs w:val="20"/>
                <w:shd w:val="clear" w:color="auto" w:fill="FFFFFF"/>
                <w:lang w:val="en-US" w:eastAsia="zh-CN"/>
              </w:rPr>
              <w:t>1.在备案查验过程中有</w:t>
            </w:r>
            <w:r>
              <w:rPr>
                <w:rFonts w:hint="eastAsia" w:ascii="仿宋_GB2312" w:hAnsi="仿宋_GB2312" w:eastAsia="仿宋_GB2312" w:cs="仿宋_GB2312"/>
                <w:color w:val="auto"/>
                <w:sz w:val="20"/>
                <w:szCs w:val="20"/>
                <w:shd w:val="clear" w:color="auto" w:fill="FFFFFF"/>
              </w:rPr>
              <w:t>徇私舞弊或者有其他渎职、失职行为</w:t>
            </w:r>
            <w:r>
              <w:rPr>
                <w:rFonts w:hint="eastAsia" w:ascii="仿宋_GB2312" w:hAnsi="仿宋_GB2312" w:eastAsia="仿宋_GB2312" w:cs="仿宋_GB2312"/>
                <w:color w:val="auto"/>
                <w:sz w:val="20"/>
                <w:szCs w:val="20"/>
                <w:shd w:val="clear" w:color="auto" w:fill="FFFFFF"/>
                <w:lang w:eastAsia="zh-CN"/>
              </w:rPr>
              <w:t>的；</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shd w:val="clear" w:color="auto" w:fill="FFFFFF"/>
                <w:lang w:val="en-US" w:eastAsia="zh-CN"/>
              </w:rPr>
              <w:t>2.</w:t>
            </w:r>
            <w:r>
              <w:rPr>
                <w:rFonts w:hint="eastAsia" w:ascii="仿宋_GB2312" w:hAnsi="仿宋_GB2312" w:eastAsia="仿宋_GB2312" w:cs="仿宋_GB2312"/>
                <w:color w:val="auto"/>
                <w:sz w:val="20"/>
                <w:szCs w:val="20"/>
                <w:shd w:val="clear" w:color="auto" w:fill="FFFFFF"/>
                <w:lang w:eastAsia="zh-CN"/>
              </w:rPr>
              <w:t>其他违反法律法规规章文件规定的行为。</w:t>
            </w:r>
          </w:p>
        </w:tc>
        <w:tc>
          <w:tcPr>
            <w:tcW w:w="1335"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40" w:type="dxa"/>
            <w:vAlign w:val="center"/>
          </w:tcPr>
          <w:p>
            <w:pPr>
              <w:wordWrap/>
              <w:spacing w:line="240" w:lineRule="exact"/>
              <w:ind w:left="0" w:leftChars="0" w:right="0" w:firstLine="0" w:firstLineChars="0"/>
              <w:jc w:val="center"/>
              <w:rPr>
                <w:rFonts w:hint="default"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29</w:t>
            </w:r>
          </w:p>
        </w:tc>
        <w:tc>
          <w:tcPr>
            <w:tcW w:w="807"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eastAsia="zh-CN"/>
              </w:rPr>
              <w:t>其他类</w:t>
            </w:r>
          </w:p>
        </w:tc>
        <w:tc>
          <w:tcPr>
            <w:tcW w:w="1225" w:type="dxa"/>
            <w:vAlign w:val="center"/>
          </w:tcPr>
          <w:p>
            <w:pPr>
              <w:wordWrap/>
              <w:adjustRightInd w:val="0"/>
              <w:snapToGrid w:val="0"/>
              <w:spacing w:line="240" w:lineRule="exact"/>
              <w:ind w:left="0" w:leftChars="0" w:right="0" w:firstLine="0" w:firstLineChars="0"/>
              <w:jc w:val="center"/>
              <w:rPr>
                <w:rFonts w:hint="eastAsia" w:ascii="仿宋_GB2312" w:hAnsi="仿宋_GB2312" w:eastAsia="仿宋_GB2312" w:cs="仿宋_GB2312"/>
                <w:color w:val="000000"/>
                <w:sz w:val="20"/>
                <w:szCs w:val="20"/>
                <w:lang w:eastAsia="zh-CN"/>
              </w:rPr>
            </w:pPr>
            <w:r>
              <w:rPr>
                <w:rFonts w:hint="eastAsia" w:ascii="仿宋_GB2312" w:hAnsi="仿宋_GB2312" w:eastAsia="仿宋_GB2312" w:cs="仿宋_GB2312"/>
                <w:color w:val="000000"/>
                <w:spacing w:val="4"/>
                <w:sz w:val="20"/>
                <w:szCs w:val="20"/>
                <w:lang w:val="en-US" w:eastAsia="zh-CN"/>
              </w:rPr>
              <w:t>高邑县</w:t>
            </w:r>
            <w:r>
              <w:rPr>
                <w:rFonts w:hint="eastAsia" w:ascii="仿宋_GB2312" w:hAnsi="仿宋_GB2312" w:eastAsia="仿宋_GB2312" w:cs="仿宋_GB2312"/>
                <w:color w:val="000000"/>
                <w:spacing w:val="4"/>
                <w:sz w:val="20"/>
                <w:szCs w:val="20"/>
              </w:rPr>
              <w:t>学科名师、骨干教师</w:t>
            </w:r>
            <w:r>
              <w:rPr>
                <w:rFonts w:hint="eastAsia" w:ascii="仿宋_GB2312" w:hAnsi="仿宋_GB2312" w:eastAsia="仿宋_GB2312" w:cs="仿宋_GB2312"/>
                <w:color w:val="000000"/>
                <w:spacing w:val="4"/>
                <w:sz w:val="20"/>
                <w:szCs w:val="20"/>
                <w:lang w:eastAsia="zh-CN"/>
              </w:rPr>
              <w:t>的</w:t>
            </w:r>
            <w:r>
              <w:rPr>
                <w:rFonts w:hint="eastAsia" w:ascii="仿宋_GB2312" w:hAnsi="仿宋_GB2312" w:eastAsia="仿宋_GB2312" w:cs="仿宋_GB2312"/>
                <w:color w:val="000000"/>
                <w:spacing w:val="4"/>
                <w:sz w:val="20"/>
                <w:szCs w:val="20"/>
              </w:rPr>
              <w:t>评选</w:t>
            </w:r>
          </w:p>
        </w:tc>
        <w:tc>
          <w:tcPr>
            <w:tcW w:w="1002"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000000"/>
                <w:sz w:val="20"/>
                <w:szCs w:val="20"/>
                <w:lang w:eastAsia="zh-CN"/>
              </w:rPr>
            </w:pPr>
            <w:r>
              <w:rPr>
                <w:rFonts w:hint="eastAsia" w:ascii="仿宋_GB2312" w:hAnsi="仿宋_GB2312" w:eastAsia="仿宋_GB2312" w:cs="仿宋_GB2312"/>
                <w:color w:val="000000"/>
                <w:sz w:val="20"/>
                <w:szCs w:val="20"/>
                <w:lang w:val="en-US" w:eastAsia="zh-CN"/>
              </w:rPr>
              <w:t>高邑县</w:t>
            </w:r>
            <w:r>
              <w:rPr>
                <w:rFonts w:hint="eastAsia" w:ascii="仿宋_GB2312" w:hAnsi="仿宋_GB2312" w:eastAsia="仿宋_GB2312" w:cs="仿宋_GB2312"/>
                <w:color w:val="000000"/>
                <w:sz w:val="20"/>
                <w:szCs w:val="20"/>
                <w:lang w:eastAsia="zh-CN"/>
              </w:rPr>
              <w:t>教育局</w:t>
            </w:r>
          </w:p>
        </w:tc>
        <w:tc>
          <w:tcPr>
            <w:tcW w:w="3488" w:type="dxa"/>
            <w:vAlign w:val="center"/>
          </w:tcPr>
          <w:p>
            <w:pPr>
              <w:numPr>
                <w:ilvl w:val="0"/>
                <w:numId w:val="0"/>
              </w:numPr>
              <w:wordWrap/>
              <w:adjustRightInd w:val="0"/>
              <w:snapToGrid w:val="0"/>
              <w:spacing w:line="240" w:lineRule="exact"/>
              <w:ind w:left="0" w:leftChars="0" w:right="0" w:firstLine="0" w:firstLineChars="0"/>
              <w:rPr>
                <w:rFonts w:hint="eastAsia" w:ascii="仿宋_GB2312" w:hAnsi="仿宋_GB2312" w:eastAsia="仿宋_GB2312" w:cs="仿宋_GB2312"/>
                <w:color w:val="000000"/>
                <w:spacing w:val="4"/>
                <w:sz w:val="20"/>
                <w:szCs w:val="20"/>
              </w:rPr>
            </w:pPr>
            <w:r>
              <w:rPr>
                <w:rFonts w:hint="eastAsia" w:ascii="仿宋_GB2312" w:hAnsi="仿宋_GB2312" w:eastAsia="仿宋_GB2312" w:cs="仿宋_GB2312"/>
                <w:color w:val="000000"/>
                <w:spacing w:val="4"/>
                <w:sz w:val="20"/>
                <w:szCs w:val="20"/>
              </w:rPr>
              <w:t xml:space="preserve">                                         </w:t>
            </w:r>
            <w:r>
              <w:rPr>
                <w:rFonts w:hint="eastAsia" w:ascii="仿宋_GB2312" w:hAnsi="仿宋_GB2312" w:eastAsia="仿宋_GB2312" w:cs="仿宋_GB2312"/>
                <w:color w:val="000000"/>
                <w:spacing w:val="4"/>
                <w:sz w:val="20"/>
                <w:szCs w:val="20"/>
                <w:lang w:val="en-US" w:eastAsia="zh-CN"/>
              </w:rPr>
              <w:t>1.</w:t>
            </w:r>
            <w:r>
              <w:rPr>
                <w:rFonts w:hint="eastAsia" w:ascii="仿宋_GB2312" w:hAnsi="仿宋_GB2312" w:eastAsia="仿宋_GB2312" w:cs="仿宋_GB2312"/>
                <w:color w:val="000000"/>
                <w:spacing w:val="4"/>
                <w:sz w:val="20"/>
                <w:szCs w:val="20"/>
              </w:rPr>
              <w:t>《河北省教育厅关于印发河北省中小学教师学科名师工程实施方案的通知》（冀教师[2009]25号）</w:t>
            </w:r>
            <w:r>
              <w:rPr>
                <w:rFonts w:hint="eastAsia" w:ascii="仿宋_GB2312" w:hAnsi="仿宋_GB2312" w:eastAsia="仿宋_GB2312" w:cs="仿宋_GB2312"/>
                <w:color w:val="000000"/>
                <w:spacing w:val="4"/>
                <w:sz w:val="20"/>
                <w:szCs w:val="20"/>
                <w:lang w:eastAsia="zh-CN"/>
              </w:rPr>
              <w:t>第一项：在全省建设一支数量适当、品德高尚、专业精湛、具有持续发展能力和辐射作用的中小学学科名师队伍，第二项中（一）：坚持分级实施、分级管理原则。各市、县（市、区）教育局负责本市、县（市、区）中小学学科名师的评选、管理与使用工作。</w:t>
            </w:r>
          </w:p>
          <w:p>
            <w:pPr>
              <w:numPr>
                <w:ilvl w:val="0"/>
                <w:numId w:val="8"/>
              </w:numPr>
              <w:wordWrap/>
              <w:adjustRightInd w:val="0"/>
              <w:snapToGrid w:val="0"/>
              <w:spacing w:line="240" w:lineRule="exact"/>
              <w:ind w:leftChars="0" w:right="0"/>
              <w:rPr>
                <w:rFonts w:hint="eastAsia" w:ascii="仿宋_GB2312" w:hAnsi="仿宋_GB2312" w:eastAsia="仿宋_GB2312" w:cs="仿宋_GB2312"/>
                <w:color w:val="000000"/>
                <w:spacing w:val="4"/>
                <w:sz w:val="20"/>
                <w:szCs w:val="20"/>
                <w:lang w:val="en-US" w:eastAsia="zh-CN"/>
              </w:rPr>
            </w:pPr>
            <w:r>
              <w:rPr>
                <w:rFonts w:hint="eastAsia" w:ascii="仿宋_GB2312" w:hAnsi="仿宋_GB2312" w:eastAsia="仿宋_GB2312" w:cs="仿宋_GB2312"/>
                <w:color w:val="000000"/>
                <w:spacing w:val="4"/>
                <w:sz w:val="20"/>
                <w:szCs w:val="20"/>
                <w:lang w:val="en-US" w:eastAsia="zh-CN"/>
              </w:rPr>
              <w:t>《中共河北省委 河北省人民政府关于全面深化新时代教师队伍建设改革的实施意见》（冀发〔2018〕42号）中第2条：培养造就数以万计骨干教师、数以千计燕赵名师和数以百计教育家型教师；第8条：建立省级骨干教师、特级教师、燕赵名师、教育家型教师的梯队成长机制。</w:t>
            </w:r>
          </w:p>
        </w:tc>
        <w:tc>
          <w:tcPr>
            <w:tcW w:w="3895" w:type="dxa"/>
            <w:vAlign w:val="top"/>
          </w:tcPr>
          <w:p>
            <w:pPr>
              <w:wordWrap/>
              <w:spacing w:line="240" w:lineRule="exact"/>
              <w:ind w:left="0" w:leftChars="0" w:right="0" w:firstLine="0" w:firstLineChars="0"/>
              <w:rPr>
                <w:rFonts w:hint="eastAsia" w:ascii="仿宋_GB2312" w:hAnsi="仿宋_GB2312" w:eastAsia="仿宋_GB2312" w:cs="仿宋_GB2312"/>
                <w:color w:val="000000"/>
                <w:sz w:val="20"/>
                <w:szCs w:val="20"/>
                <w:lang w:eastAsia="zh-CN"/>
              </w:rPr>
            </w:pPr>
            <w:r>
              <w:rPr>
                <w:rFonts w:hint="eastAsia" w:ascii="仿宋_GB2312" w:hAnsi="仿宋_GB2312" w:eastAsia="仿宋_GB2312" w:cs="仿宋_GB2312"/>
                <w:color w:val="000000"/>
                <w:sz w:val="20"/>
                <w:szCs w:val="20"/>
                <w:lang w:eastAsia="zh-CN"/>
              </w:rPr>
              <w:t xml:space="preserve">1.制定评选计划责任：下发评选通知，确定评选标准、名额和程序。                           </w:t>
            </w:r>
          </w:p>
          <w:p>
            <w:pPr>
              <w:wordWrap/>
              <w:spacing w:line="240" w:lineRule="exact"/>
              <w:ind w:left="0" w:leftChars="0" w:right="0" w:firstLine="0" w:firstLineChars="0"/>
              <w:rPr>
                <w:rFonts w:hint="eastAsia" w:ascii="仿宋_GB2312" w:hAnsi="仿宋_GB2312" w:eastAsia="仿宋_GB2312" w:cs="仿宋_GB2312"/>
                <w:color w:val="000000"/>
                <w:sz w:val="20"/>
                <w:szCs w:val="20"/>
                <w:lang w:eastAsia="zh-CN"/>
              </w:rPr>
            </w:pPr>
            <w:r>
              <w:rPr>
                <w:rFonts w:hint="eastAsia" w:ascii="仿宋_GB2312" w:hAnsi="仿宋_GB2312" w:eastAsia="仿宋_GB2312" w:cs="仿宋_GB2312"/>
                <w:color w:val="000000"/>
                <w:sz w:val="20"/>
                <w:szCs w:val="20"/>
                <w:lang w:eastAsia="zh-CN"/>
              </w:rPr>
              <w:t>2.受理责任：收集和审查申报材料。</w:t>
            </w:r>
          </w:p>
          <w:p>
            <w:pPr>
              <w:wordWrap/>
              <w:spacing w:line="240" w:lineRule="exact"/>
              <w:ind w:left="0" w:leftChars="0" w:right="0" w:firstLine="0" w:firstLineChars="0"/>
              <w:rPr>
                <w:rFonts w:hint="eastAsia" w:ascii="仿宋_GB2312" w:hAnsi="仿宋_GB2312" w:eastAsia="仿宋_GB2312" w:cs="仿宋_GB2312"/>
                <w:color w:val="000000"/>
                <w:sz w:val="20"/>
                <w:szCs w:val="20"/>
                <w:lang w:eastAsia="zh-CN"/>
              </w:rPr>
            </w:pPr>
            <w:r>
              <w:rPr>
                <w:rFonts w:hint="eastAsia" w:ascii="仿宋_GB2312" w:hAnsi="仿宋_GB2312" w:eastAsia="仿宋_GB2312" w:cs="仿宋_GB2312"/>
                <w:color w:val="000000"/>
                <w:sz w:val="20"/>
                <w:szCs w:val="20"/>
                <w:lang w:eastAsia="zh-CN"/>
              </w:rPr>
              <w:t>3.评审责任：组织专家对申报材料进行评议，提出评议意见；</w:t>
            </w:r>
          </w:p>
          <w:p>
            <w:pPr>
              <w:wordWrap/>
              <w:spacing w:line="240" w:lineRule="exact"/>
              <w:ind w:left="0" w:leftChars="0" w:right="0" w:firstLine="0" w:firstLineChars="0"/>
              <w:rPr>
                <w:rFonts w:hint="eastAsia" w:ascii="仿宋_GB2312" w:hAnsi="仿宋_GB2312" w:eastAsia="仿宋_GB2312" w:cs="仿宋_GB2312"/>
                <w:color w:val="000000"/>
                <w:sz w:val="20"/>
                <w:szCs w:val="20"/>
                <w:lang w:eastAsia="zh-CN"/>
              </w:rPr>
            </w:pPr>
            <w:r>
              <w:rPr>
                <w:rFonts w:hint="eastAsia" w:ascii="仿宋_GB2312" w:hAnsi="仿宋_GB2312" w:eastAsia="仿宋_GB2312" w:cs="仿宋_GB2312"/>
                <w:color w:val="000000"/>
                <w:sz w:val="20"/>
                <w:szCs w:val="20"/>
                <w:lang w:eastAsia="zh-CN"/>
              </w:rPr>
              <w:t>4.决定责任：经集体审议，确定评选对象名单，公示后制作证书；</w:t>
            </w:r>
          </w:p>
          <w:p>
            <w:pPr>
              <w:wordWrap/>
              <w:spacing w:line="240" w:lineRule="exact"/>
              <w:ind w:left="0" w:leftChars="0" w:right="0" w:firstLine="0" w:firstLineChars="0"/>
              <w:rPr>
                <w:rFonts w:hint="eastAsia" w:ascii="仿宋_GB2312" w:hAnsi="仿宋_GB2312" w:eastAsia="仿宋_GB2312" w:cs="仿宋_GB2312"/>
                <w:color w:val="000000"/>
                <w:sz w:val="20"/>
                <w:szCs w:val="20"/>
                <w:lang w:eastAsia="zh-CN"/>
              </w:rPr>
            </w:pPr>
            <w:r>
              <w:rPr>
                <w:rFonts w:hint="eastAsia" w:ascii="仿宋_GB2312" w:hAnsi="仿宋_GB2312" w:eastAsia="仿宋_GB2312" w:cs="仿宋_GB2312"/>
                <w:color w:val="000000"/>
                <w:sz w:val="20"/>
                <w:szCs w:val="20"/>
                <w:lang w:val="en-US" w:eastAsia="zh-CN"/>
              </w:rPr>
              <w:t>5</w:t>
            </w:r>
            <w:r>
              <w:rPr>
                <w:rFonts w:hint="eastAsia" w:ascii="仿宋_GB2312" w:hAnsi="仿宋_GB2312" w:eastAsia="仿宋_GB2312" w:cs="仿宋_GB2312"/>
                <w:color w:val="000000"/>
                <w:sz w:val="20"/>
                <w:szCs w:val="20"/>
                <w:lang w:eastAsia="zh-CN"/>
              </w:rPr>
              <w:t>.其他法律法规规章文件规定应履行的责任。</w:t>
            </w:r>
          </w:p>
        </w:tc>
        <w:tc>
          <w:tcPr>
            <w:tcW w:w="1620" w:type="dxa"/>
            <w:vAlign w:val="top"/>
          </w:tcPr>
          <w:p>
            <w:pPr>
              <w:wordWrap/>
              <w:adjustRightInd w:val="0"/>
              <w:snapToGrid w:val="0"/>
              <w:spacing w:line="240" w:lineRule="exact"/>
              <w:ind w:left="0" w:leftChars="0" w:right="0" w:firstLine="0" w:firstLineChars="0"/>
              <w:rPr>
                <w:rFonts w:hint="eastAsia" w:ascii="仿宋_GB2312" w:hAnsi="仿宋_GB2312" w:eastAsia="仿宋_GB2312" w:cs="仿宋_GB2312"/>
                <w:color w:val="auto"/>
                <w:spacing w:val="4"/>
                <w:sz w:val="18"/>
                <w:szCs w:val="18"/>
                <w:lang w:eastAsia="zh-CN"/>
              </w:rPr>
            </w:pPr>
            <w:r>
              <w:rPr>
                <w:rFonts w:hint="eastAsia" w:ascii="仿宋_GB2312" w:hAnsi="仿宋_GB2312" w:eastAsia="仿宋_GB2312" w:cs="仿宋_GB2312"/>
                <w:color w:val="auto"/>
                <w:spacing w:val="4"/>
                <w:sz w:val="18"/>
                <w:szCs w:val="18"/>
                <w:lang w:eastAsia="zh-CN"/>
              </w:rPr>
              <w:t>因不履行或不正确履行行政职责，有下列情形的，行政机关及其工作人员应承担相应责任：</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eastAsia="zh-CN"/>
              </w:rPr>
            </w:pPr>
            <w:r>
              <w:rPr>
                <w:rFonts w:hint="eastAsia" w:ascii="仿宋_GB2312" w:hAnsi="仿宋_GB2312" w:eastAsia="仿宋_GB2312" w:cs="仿宋_GB2312"/>
                <w:color w:val="auto"/>
                <w:spacing w:val="4"/>
                <w:sz w:val="18"/>
                <w:szCs w:val="18"/>
                <w:lang w:val="en-US" w:eastAsia="zh-CN"/>
              </w:rPr>
              <w:t>1.</w:t>
            </w:r>
            <w:r>
              <w:rPr>
                <w:rFonts w:hint="eastAsia" w:ascii="仿宋_GB2312" w:hAnsi="仿宋_GB2312" w:eastAsia="仿宋_GB2312" w:cs="仿宋_GB2312"/>
                <w:color w:val="auto"/>
                <w:sz w:val="20"/>
                <w:szCs w:val="20"/>
                <w:shd w:val="clear" w:color="auto" w:fill="FFFFFF"/>
                <w:lang w:val="en-US" w:eastAsia="zh-CN"/>
              </w:rPr>
              <w:t>在评选过程中有</w:t>
            </w:r>
            <w:r>
              <w:rPr>
                <w:rFonts w:hint="eastAsia" w:ascii="仿宋_GB2312" w:hAnsi="仿宋_GB2312" w:eastAsia="仿宋_GB2312" w:cs="仿宋_GB2312"/>
                <w:color w:val="auto"/>
                <w:sz w:val="20"/>
                <w:szCs w:val="20"/>
                <w:shd w:val="clear" w:color="auto" w:fill="FFFFFF"/>
              </w:rPr>
              <w:t>徇私舞弊或者有其他渎职、失职行为</w:t>
            </w:r>
            <w:r>
              <w:rPr>
                <w:rFonts w:hint="eastAsia" w:ascii="仿宋_GB2312" w:hAnsi="仿宋_GB2312" w:eastAsia="仿宋_GB2312" w:cs="仿宋_GB2312"/>
                <w:color w:val="auto"/>
                <w:sz w:val="20"/>
                <w:szCs w:val="20"/>
                <w:shd w:val="clear" w:color="auto" w:fill="FFFFFF"/>
                <w:lang w:eastAsia="zh-CN"/>
              </w:rPr>
              <w:t>； 　　</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eastAsia="zh-CN"/>
              </w:rPr>
            </w:pPr>
            <w:r>
              <w:rPr>
                <w:rFonts w:hint="eastAsia" w:ascii="仿宋_GB2312" w:hAnsi="仿宋_GB2312" w:eastAsia="仿宋_GB2312" w:cs="仿宋_GB2312"/>
                <w:color w:val="auto"/>
                <w:sz w:val="20"/>
                <w:szCs w:val="20"/>
                <w:shd w:val="clear" w:color="auto" w:fill="FFFFFF"/>
                <w:lang w:val="en-US" w:eastAsia="zh-CN"/>
              </w:rPr>
              <w:t>2</w:t>
            </w:r>
            <w:r>
              <w:rPr>
                <w:rFonts w:hint="eastAsia" w:ascii="仿宋_GB2312" w:hAnsi="仿宋_GB2312" w:eastAsia="仿宋_GB2312" w:cs="仿宋_GB2312"/>
                <w:color w:val="auto"/>
                <w:sz w:val="20"/>
                <w:szCs w:val="20"/>
                <w:shd w:val="clear" w:color="auto" w:fill="FFFFFF"/>
                <w:lang w:eastAsia="zh-CN"/>
              </w:rPr>
              <w:t>.其他违反法律法规规章文件规定的行为。</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p>
        </w:tc>
        <w:tc>
          <w:tcPr>
            <w:tcW w:w="1335"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40" w:type="dxa"/>
            <w:vAlign w:val="center"/>
          </w:tcPr>
          <w:p>
            <w:pPr>
              <w:wordWrap/>
              <w:spacing w:line="240" w:lineRule="exact"/>
              <w:ind w:left="0" w:leftChars="0" w:right="0" w:firstLine="0" w:firstLineChars="0"/>
              <w:jc w:val="center"/>
              <w:rPr>
                <w:rFonts w:hint="default"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30</w:t>
            </w:r>
          </w:p>
        </w:tc>
        <w:tc>
          <w:tcPr>
            <w:tcW w:w="807"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eastAsia="zh-CN"/>
              </w:rPr>
              <w:t>其他类</w:t>
            </w:r>
          </w:p>
        </w:tc>
        <w:tc>
          <w:tcPr>
            <w:tcW w:w="1225" w:type="dxa"/>
            <w:vAlign w:val="center"/>
          </w:tcPr>
          <w:p>
            <w:pPr>
              <w:wordWrap/>
              <w:adjustRightInd w:val="0"/>
              <w:snapToGrid w:val="0"/>
              <w:spacing w:line="240" w:lineRule="exact"/>
              <w:ind w:left="0" w:leftChars="0" w:right="0" w:firstLine="0" w:firstLineChars="0"/>
              <w:jc w:val="center"/>
              <w:rPr>
                <w:rFonts w:hint="eastAsia" w:ascii="仿宋_GB2312" w:hAnsi="仿宋_GB2312" w:eastAsia="仿宋_GB2312" w:cs="仿宋_GB2312"/>
                <w:color w:val="000000"/>
                <w:sz w:val="20"/>
                <w:szCs w:val="20"/>
                <w:lang w:eastAsia="zh-CN"/>
              </w:rPr>
            </w:pPr>
            <w:r>
              <w:rPr>
                <w:rFonts w:hint="eastAsia" w:ascii="仿宋_GB2312" w:hAnsi="仿宋_GB2312" w:eastAsia="仿宋_GB2312" w:cs="仿宋_GB2312"/>
                <w:color w:val="000000"/>
                <w:spacing w:val="4"/>
                <w:sz w:val="20"/>
                <w:szCs w:val="20"/>
              </w:rPr>
              <w:t>民办学校年检</w:t>
            </w:r>
          </w:p>
        </w:tc>
        <w:tc>
          <w:tcPr>
            <w:tcW w:w="1002"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000000"/>
                <w:sz w:val="20"/>
                <w:szCs w:val="20"/>
                <w:lang w:eastAsia="zh-CN"/>
              </w:rPr>
            </w:pPr>
            <w:r>
              <w:rPr>
                <w:rFonts w:hint="eastAsia" w:ascii="仿宋_GB2312" w:hAnsi="仿宋_GB2312" w:eastAsia="仿宋_GB2312" w:cs="仿宋_GB2312"/>
                <w:color w:val="000000"/>
                <w:sz w:val="20"/>
                <w:szCs w:val="20"/>
                <w:lang w:val="en-US" w:eastAsia="zh-CN"/>
              </w:rPr>
              <w:t>高邑县</w:t>
            </w:r>
            <w:r>
              <w:rPr>
                <w:rFonts w:hint="eastAsia" w:ascii="仿宋_GB2312" w:hAnsi="仿宋_GB2312" w:eastAsia="仿宋_GB2312" w:cs="仿宋_GB2312"/>
                <w:color w:val="000000"/>
                <w:sz w:val="20"/>
                <w:szCs w:val="20"/>
                <w:lang w:eastAsia="zh-CN"/>
              </w:rPr>
              <w:t>教育局</w:t>
            </w:r>
          </w:p>
        </w:tc>
        <w:tc>
          <w:tcPr>
            <w:tcW w:w="3488" w:type="dxa"/>
            <w:vAlign w:val="center"/>
          </w:tcPr>
          <w:p>
            <w:pPr>
              <w:wordWrap/>
              <w:adjustRightInd w:val="0"/>
              <w:snapToGrid w:val="0"/>
              <w:spacing w:line="240" w:lineRule="exact"/>
              <w:ind w:left="0" w:leftChars="0" w:right="0" w:firstLine="0" w:firstLineChars="0"/>
              <w:rPr>
                <w:rFonts w:hint="eastAsia" w:ascii="仿宋_GB2312" w:hAnsi="仿宋_GB2312" w:eastAsia="仿宋_GB2312" w:cs="仿宋_GB2312"/>
                <w:color w:val="000000"/>
                <w:spacing w:val="4"/>
                <w:sz w:val="20"/>
                <w:szCs w:val="20"/>
                <w:lang w:eastAsia="zh-CN"/>
              </w:rPr>
            </w:pPr>
            <w:r>
              <w:rPr>
                <w:rFonts w:hint="eastAsia" w:ascii="仿宋_GB2312" w:hAnsi="仿宋_GB2312" w:eastAsia="仿宋_GB2312" w:cs="仿宋_GB2312"/>
                <w:color w:val="000000"/>
                <w:spacing w:val="4"/>
                <w:sz w:val="20"/>
                <w:szCs w:val="20"/>
              </w:rPr>
              <w:t>1</w:t>
            </w:r>
            <w:r>
              <w:rPr>
                <w:rFonts w:hint="eastAsia" w:ascii="仿宋_GB2312" w:hAnsi="仿宋_GB2312" w:eastAsia="仿宋_GB2312" w:cs="仿宋_GB2312"/>
                <w:color w:val="000000"/>
                <w:spacing w:val="4"/>
                <w:sz w:val="20"/>
                <w:szCs w:val="20"/>
                <w:lang w:val="en-US" w:eastAsia="zh-CN"/>
              </w:rPr>
              <w:t>.</w:t>
            </w:r>
            <w:r>
              <w:rPr>
                <w:rFonts w:hint="eastAsia" w:ascii="仿宋_GB2312" w:hAnsi="仿宋_GB2312" w:eastAsia="仿宋_GB2312" w:cs="仿宋_GB2312"/>
                <w:color w:val="000000"/>
                <w:spacing w:val="4"/>
                <w:sz w:val="20"/>
                <w:szCs w:val="20"/>
              </w:rPr>
              <w:t>《中华人民共和国民办教育促进法》第八条</w:t>
            </w:r>
            <w:r>
              <w:rPr>
                <w:rFonts w:hint="eastAsia" w:ascii="仿宋_GB2312" w:hAnsi="仿宋_GB2312" w:eastAsia="仿宋_GB2312" w:cs="仿宋_GB2312"/>
                <w:color w:val="000000"/>
                <w:spacing w:val="4"/>
                <w:sz w:val="20"/>
                <w:szCs w:val="20"/>
                <w:lang w:eastAsia="zh-CN"/>
              </w:rPr>
              <w:t>：</w:t>
            </w:r>
            <w:r>
              <w:rPr>
                <w:rFonts w:hint="eastAsia" w:ascii="仿宋_GB2312" w:hAnsi="仿宋_GB2312" w:eastAsia="仿宋_GB2312" w:cs="仿宋_GB2312"/>
                <w:color w:val="000000"/>
                <w:spacing w:val="4"/>
                <w:sz w:val="20"/>
                <w:szCs w:val="20"/>
              </w:rPr>
              <w:t>县级以上地方各级人民政府教育行政部门主管本行政区域内的民办教育工作。第四十</w:t>
            </w:r>
            <w:r>
              <w:rPr>
                <w:rFonts w:hint="eastAsia" w:ascii="仿宋_GB2312" w:hAnsi="仿宋_GB2312" w:eastAsia="仿宋_GB2312" w:cs="仿宋_GB2312"/>
                <w:color w:val="000000"/>
                <w:spacing w:val="4"/>
                <w:sz w:val="20"/>
                <w:szCs w:val="20"/>
                <w:lang w:eastAsia="zh-CN"/>
              </w:rPr>
              <w:t>一</w:t>
            </w:r>
            <w:r>
              <w:rPr>
                <w:rFonts w:hint="eastAsia" w:ascii="仿宋_GB2312" w:hAnsi="仿宋_GB2312" w:eastAsia="仿宋_GB2312" w:cs="仿宋_GB2312"/>
                <w:color w:val="000000"/>
                <w:spacing w:val="4"/>
                <w:sz w:val="20"/>
                <w:szCs w:val="20"/>
              </w:rPr>
              <w:t>条</w:t>
            </w:r>
            <w:r>
              <w:rPr>
                <w:rFonts w:hint="eastAsia" w:ascii="仿宋_GB2312" w:hAnsi="仿宋_GB2312" w:eastAsia="仿宋_GB2312" w:cs="仿宋_GB2312"/>
                <w:color w:val="000000"/>
                <w:spacing w:val="4"/>
                <w:sz w:val="20"/>
                <w:szCs w:val="20"/>
                <w:lang w:eastAsia="zh-CN"/>
              </w:rPr>
              <w:t>“教育行政部门及有关部门依法对民办学校实行督导，建立民办学校信息公示和信用档案制度，促进提高办学质量；组织或者委托社会中介组织评估办学水平和教育质量，并将评估结果向社会公布”；</w:t>
            </w:r>
          </w:p>
          <w:p>
            <w:pPr>
              <w:wordWrap/>
              <w:adjustRightInd w:val="0"/>
              <w:snapToGrid w:val="0"/>
              <w:spacing w:line="240" w:lineRule="exact"/>
              <w:ind w:left="0" w:leftChars="0" w:right="0" w:firstLine="0" w:firstLineChars="0"/>
              <w:rPr>
                <w:rFonts w:hint="eastAsia" w:ascii="仿宋_GB2312" w:hAnsi="仿宋_GB2312" w:eastAsia="仿宋_GB2312" w:cs="仿宋_GB2312"/>
                <w:color w:val="000000"/>
                <w:spacing w:val="4"/>
                <w:sz w:val="20"/>
                <w:szCs w:val="20"/>
                <w:lang w:eastAsia="zh-CN"/>
              </w:rPr>
            </w:pPr>
            <w:r>
              <w:rPr>
                <w:rFonts w:hint="eastAsia" w:ascii="仿宋_GB2312" w:hAnsi="仿宋_GB2312" w:eastAsia="仿宋_GB2312" w:cs="仿宋_GB2312"/>
                <w:color w:val="000000"/>
                <w:spacing w:val="4"/>
                <w:sz w:val="20"/>
                <w:szCs w:val="20"/>
                <w:lang w:eastAsia="zh-CN"/>
              </w:rPr>
              <w:t>2</w:t>
            </w:r>
            <w:r>
              <w:rPr>
                <w:rFonts w:hint="eastAsia" w:ascii="仿宋_GB2312" w:hAnsi="仿宋_GB2312" w:eastAsia="仿宋_GB2312" w:cs="仿宋_GB2312"/>
                <w:color w:val="000000"/>
                <w:spacing w:val="4"/>
                <w:sz w:val="20"/>
                <w:szCs w:val="20"/>
                <w:lang w:val="en-US" w:eastAsia="zh-CN"/>
              </w:rPr>
              <w:t>.</w:t>
            </w:r>
            <w:r>
              <w:rPr>
                <w:rFonts w:hint="eastAsia" w:ascii="仿宋_GB2312" w:hAnsi="仿宋_GB2312" w:eastAsia="仿宋_GB2312" w:cs="仿宋_GB2312"/>
                <w:color w:val="000000"/>
                <w:spacing w:val="4"/>
                <w:sz w:val="20"/>
                <w:szCs w:val="20"/>
                <w:lang w:eastAsia="zh-CN"/>
              </w:rPr>
              <w:t>《中华人民共和国</w:t>
            </w:r>
            <w:r>
              <w:rPr>
                <w:rFonts w:hint="eastAsia" w:ascii="仿宋_GB2312" w:hAnsi="仿宋_GB2312" w:eastAsia="仿宋_GB2312" w:cs="仿宋_GB2312"/>
                <w:color w:val="000000"/>
                <w:spacing w:val="4"/>
                <w:sz w:val="20"/>
                <w:szCs w:val="20"/>
                <w:lang w:val="en-US" w:eastAsia="zh-CN"/>
              </w:rPr>
              <w:t>民办教育促进法实施条例》（2004年3月5日中华人民共和国国务院令第399号公布，2021年4月7日中华人民共和国国务院令第741号修订）第四十七条“县级以上地方人民政府应当建立民办教育工作联席会议制度。教育、人力资源社会保障、民政、市场监督管理等部门应当根据职责会同有关部门建立民办学校年度检查和年度报告制度，健全日常监管机制”；</w:t>
            </w:r>
          </w:p>
          <w:p>
            <w:pPr>
              <w:wordWrap/>
              <w:adjustRightInd w:val="0"/>
              <w:snapToGrid w:val="0"/>
              <w:spacing w:line="240" w:lineRule="exact"/>
              <w:ind w:left="0" w:leftChars="0" w:right="0" w:firstLine="0" w:firstLineChars="0"/>
              <w:rPr>
                <w:rFonts w:hint="eastAsia" w:ascii="仿宋_GB2312" w:hAnsi="仿宋_GB2312" w:eastAsia="仿宋_GB2312" w:cs="仿宋_GB2312"/>
                <w:color w:val="000000"/>
                <w:sz w:val="20"/>
                <w:szCs w:val="20"/>
                <w:lang w:eastAsia="zh-CN"/>
              </w:rPr>
            </w:pPr>
            <w:r>
              <w:rPr>
                <w:rFonts w:hint="eastAsia" w:ascii="仿宋_GB2312" w:hAnsi="仿宋_GB2312" w:eastAsia="仿宋_GB2312" w:cs="仿宋_GB2312"/>
                <w:color w:val="000000"/>
                <w:spacing w:val="4"/>
                <w:sz w:val="20"/>
                <w:szCs w:val="20"/>
                <w:lang w:val="en-US" w:eastAsia="zh-CN"/>
              </w:rPr>
              <w:t>3.</w:t>
            </w:r>
            <w:r>
              <w:rPr>
                <w:rFonts w:hint="eastAsia" w:ascii="仿宋_GB2312" w:hAnsi="仿宋_GB2312" w:eastAsia="仿宋_GB2312" w:cs="仿宋_GB2312"/>
                <w:color w:val="000000"/>
                <w:spacing w:val="4"/>
                <w:sz w:val="20"/>
                <w:szCs w:val="20"/>
              </w:rPr>
              <w:t>河北省民办学校年度检查办法（冀教政法[2014]4号）</w:t>
            </w:r>
            <w:r>
              <w:rPr>
                <w:rFonts w:hint="eastAsia" w:ascii="仿宋_GB2312" w:hAnsi="仿宋_GB2312" w:eastAsia="仿宋_GB2312" w:cs="仿宋_GB2312"/>
                <w:color w:val="000000"/>
                <w:spacing w:val="4"/>
                <w:sz w:val="20"/>
                <w:szCs w:val="20"/>
                <w:lang w:eastAsia="zh-CN"/>
              </w:rPr>
              <w:t>第二条“</w:t>
            </w:r>
            <w:r>
              <w:rPr>
                <w:rFonts w:hint="eastAsia" w:ascii="仿宋_GB2312" w:hAnsi="仿宋_GB2312" w:eastAsia="仿宋_GB2312" w:cs="仿宋_GB2312"/>
                <w:color w:val="000000"/>
                <w:spacing w:val="4"/>
                <w:sz w:val="20"/>
                <w:szCs w:val="20"/>
              </w:rPr>
              <w:t>经各级教育行政主管部门（以下称审批机关）审批设立的由国家机构以外的社会组织或者个人，利用非国家财政性经费，面向社会举办的学校及其他教育机构（以下统称“民办学校”），按规定接受审批机关的年度检查（以下称年检），适用本办法</w:t>
            </w:r>
            <w:r>
              <w:rPr>
                <w:rFonts w:hint="eastAsia" w:ascii="仿宋_GB2312" w:hAnsi="仿宋_GB2312" w:eastAsia="仿宋_GB2312" w:cs="仿宋_GB2312"/>
                <w:color w:val="000000"/>
                <w:spacing w:val="4"/>
                <w:sz w:val="20"/>
                <w:szCs w:val="20"/>
                <w:lang w:eastAsia="zh-CN"/>
              </w:rPr>
              <w:t>”。</w:t>
            </w:r>
          </w:p>
        </w:tc>
        <w:tc>
          <w:tcPr>
            <w:tcW w:w="3895" w:type="dxa"/>
            <w:vAlign w:val="top"/>
          </w:tcPr>
          <w:p>
            <w:pPr>
              <w:wordWrap/>
              <w:adjustRightInd w:val="0"/>
              <w:snapToGrid w:val="0"/>
              <w:spacing w:line="240" w:lineRule="exact"/>
              <w:ind w:left="0" w:leftChars="0" w:right="0" w:firstLine="0" w:firstLineChars="0"/>
              <w:rPr>
                <w:rFonts w:hint="eastAsia" w:ascii="仿宋_GB2312" w:hAnsi="仿宋_GB2312" w:eastAsia="仿宋_GB2312" w:cs="仿宋_GB2312"/>
                <w:color w:val="000000"/>
                <w:sz w:val="20"/>
                <w:szCs w:val="20"/>
                <w:shd w:val="clear" w:color="auto" w:fill="FFFFFF"/>
                <w:lang w:eastAsia="zh-CN"/>
              </w:rPr>
            </w:pPr>
            <w:r>
              <w:rPr>
                <w:rFonts w:hint="eastAsia" w:ascii="仿宋_GB2312" w:hAnsi="仿宋_GB2312" w:eastAsia="仿宋_GB2312" w:cs="仿宋_GB2312"/>
                <w:color w:val="000000"/>
                <w:sz w:val="20"/>
                <w:szCs w:val="20"/>
                <w:shd w:val="clear" w:color="auto" w:fill="FFFFFF"/>
                <w:lang w:eastAsia="zh-CN"/>
              </w:rPr>
              <w:t>1.制定计划责任：制定年检计划，明确年检时间、安排及年检内容。</w:t>
            </w:r>
          </w:p>
          <w:p>
            <w:pPr>
              <w:wordWrap/>
              <w:adjustRightInd w:val="0"/>
              <w:snapToGrid w:val="0"/>
              <w:spacing w:line="240" w:lineRule="exact"/>
              <w:ind w:left="0" w:leftChars="0" w:right="0" w:firstLine="0" w:firstLineChars="0"/>
              <w:rPr>
                <w:rFonts w:hint="eastAsia" w:ascii="仿宋_GB2312" w:hAnsi="仿宋_GB2312" w:eastAsia="仿宋_GB2312" w:cs="仿宋_GB2312"/>
                <w:color w:val="000000"/>
                <w:sz w:val="20"/>
                <w:szCs w:val="20"/>
                <w:shd w:val="clear" w:color="auto" w:fill="FFFFFF"/>
                <w:lang w:eastAsia="zh-CN"/>
              </w:rPr>
            </w:pPr>
            <w:r>
              <w:rPr>
                <w:rFonts w:hint="eastAsia" w:ascii="仿宋_GB2312" w:hAnsi="仿宋_GB2312" w:eastAsia="仿宋_GB2312" w:cs="仿宋_GB2312"/>
                <w:color w:val="000000"/>
                <w:sz w:val="20"/>
                <w:szCs w:val="20"/>
                <w:shd w:val="clear" w:color="auto" w:fill="FFFFFF"/>
                <w:lang w:eastAsia="zh-CN"/>
              </w:rPr>
              <w:t>2.受理年检材料责任：承办处室收集民办学校提交的年检材料。</w:t>
            </w:r>
          </w:p>
          <w:p>
            <w:pPr>
              <w:wordWrap/>
              <w:adjustRightInd w:val="0"/>
              <w:snapToGrid w:val="0"/>
              <w:spacing w:line="240" w:lineRule="exact"/>
              <w:ind w:left="0" w:leftChars="0" w:right="0" w:firstLine="0" w:firstLineChars="0"/>
              <w:rPr>
                <w:rFonts w:hint="eastAsia" w:ascii="仿宋_GB2312" w:hAnsi="仿宋_GB2312" w:eastAsia="仿宋_GB2312" w:cs="仿宋_GB2312"/>
                <w:color w:val="000000"/>
                <w:sz w:val="20"/>
                <w:szCs w:val="20"/>
                <w:shd w:val="clear" w:color="auto" w:fill="FFFFFF"/>
                <w:lang w:eastAsia="zh-CN"/>
              </w:rPr>
            </w:pPr>
            <w:r>
              <w:rPr>
                <w:rFonts w:hint="eastAsia" w:ascii="仿宋_GB2312" w:hAnsi="仿宋_GB2312" w:eastAsia="仿宋_GB2312" w:cs="仿宋_GB2312"/>
                <w:color w:val="000000"/>
                <w:sz w:val="20"/>
                <w:szCs w:val="20"/>
                <w:shd w:val="clear" w:color="auto" w:fill="FFFFFF"/>
                <w:lang w:eastAsia="zh-CN"/>
              </w:rPr>
              <w:t>3.实地检查责任：组织人员按照年检标准，评估民办学校办学水平和教育质量。</w:t>
            </w:r>
          </w:p>
          <w:p>
            <w:pPr>
              <w:wordWrap/>
              <w:adjustRightInd w:val="0"/>
              <w:snapToGrid w:val="0"/>
              <w:spacing w:line="240" w:lineRule="exact"/>
              <w:ind w:left="0" w:leftChars="0" w:right="0" w:firstLine="0" w:firstLineChars="0"/>
              <w:rPr>
                <w:rFonts w:hint="eastAsia" w:ascii="仿宋_GB2312" w:hAnsi="仿宋_GB2312" w:eastAsia="仿宋_GB2312" w:cs="仿宋_GB2312"/>
                <w:color w:val="000000"/>
                <w:sz w:val="20"/>
                <w:szCs w:val="20"/>
                <w:shd w:val="clear" w:color="auto" w:fill="FFFFFF"/>
                <w:lang w:val="en-US" w:eastAsia="zh-CN"/>
              </w:rPr>
            </w:pPr>
            <w:r>
              <w:rPr>
                <w:rFonts w:hint="eastAsia" w:ascii="仿宋_GB2312" w:hAnsi="仿宋_GB2312" w:eastAsia="仿宋_GB2312" w:cs="仿宋_GB2312"/>
                <w:color w:val="000000"/>
                <w:sz w:val="20"/>
                <w:szCs w:val="20"/>
                <w:shd w:val="clear" w:color="auto" w:fill="FFFFFF"/>
                <w:lang w:val="en-US" w:eastAsia="zh-CN"/>
              </w:rPr>
              <w:t>4.确定年检等次责任：根据材料审核和实地检查情况，确定民办学校年检等次。</w:t>
            </w:r>
          </w:p>
          <w:p>
            <w:pPr>
              <w:wordWrap/>
              <w:adjustRightInd w:val="0"/>
              <w:snapToGrid w:val="0"/>
              <w:spacing w:line="240" w:lineRule="exact"/>
              <w:ind w:left="0" w:leftChars="0" w:right="0" w:firstLine="0" w:firstLineChars="0"/>
              <w:rPr>
                <w:rFonts w:hint="eastAsia" w:ascii="仿宋_GB2312" w:hAnsi="仿宋_GB2312" w:eastAsia="仿宋_GB2312" w:cs="仿宋_GB2312"/>
                <w:color w:val="000000"/>
                <w:sz w:val="20"/>
                <w:szCs w:val="20"/>
                <w:shd w:val="clear" w:color="auto" w:fill="FFFFFF"/>
                <w:lang w:eastAsia="zh-CN"/>
              </w:rPr>
            </w:pPr>
            <w:r>
              <w:rPr>
                <w:rFonts w:hint="eastAsia" w:ascii="仿宋_GB2312" w:hAnsi="仿宋_GB2312" w:eastAsia="仿宋_GB2312" w:cs="仿宋_GB2312"/>
                <w:color w:val="000000"/>
                <w:sz w:val="20"/>
                <w:szCs w:val="20"/>
                <w:shd w:val="clear" w:color="auto" w:fill="FFFFFF"/>
                <w:lang w:val="en-US" w:eastAsia="zh-CN"/>
              </w:rPr>
              <w:t>5.公示责任：制作民办学校年检通报，对外公示年检结果。</w:t>
            </w:r>
            <w:r>
              <w:rPr>
                <w:rFonts w:hint="eastAsia" w:ascii="仿宋_GB2312" w:hAnsi="仿宋_GB2312" w:eastAsia="仿宋_GB2312" w:cs="仿宋_GB2312"/>
                <w:color w:val="000000"/>
                <w:sz w:val="20"/>
                <w:szCs w:val="20"/>
                <w:shd w:val="clear" w:color="auto" w:fill="FFFFFF"/>
                <w:lang w:eastAsia="zh-CN"/>
              </w:rPr>
              <w:t>决定责任：根据调查的结果，针对申请人的诉求进行审查后作出处理决定；</w:t>
            </w:r>
          </w:p>
          <w:p>
            <w:pPr>
              <w:wordWrap/>
              <w:spacing w:line="240" w:lineRule="exact"/>
              <w:ind w:left="0" w:leftChars="0" w:right="0" w:firstLine="0" w:firstLineChars="0"/>
              <w:rPr>
                <w:rFonts w:hint="eastAsia" w:ascii="仿宋_GB2312" w:hAnsi="仿宋_GB2312" w:eastAsia="仿宋_GB2312" w:cs="仿宋_GB2312"/>
                <w:color w:val="000000"/>
                <w:sz w:val="20"/>
                <w:szCs w:val="20"/>
                <w:lang w:eastAsia="zh-CN"/>
              </w:rPr>
            </w:pPr>
            <w:r>
              <w:rPr>
                <w:rFonts w:hint="eastAsia" w:ascii="仿宋_GB2312" w:hAnsi="仿宋_GB2312" w:eastAsia="仿宋_GB2312" w:cs="仿宋_GB2312"/>
                <w:color w:val="000000"/>
                <w:sz w:val="20"/>
                <w:szCs w:val="20"/>
                <w:shd w:val="clear" w:color="auto" w:fill="FFFFFF"/>
                <w:lang w:val="en-US" w:eastAsia="zh-CN"/>
              </w:rPr>
              <w:t>6.</w:t>
            </w:r>
            <w:r>
              <w:rPr>
                <w:rFonts w:hint="eastAsia" w:ascii="仿宋_GB2312" w:hAnsi="仿宋_GB2312" w:eastAsia="仿宋_GB2312" w:cs="仿宋_GB2312"/>
                <w:color w:val="000000"/>
                <w:sz w:val="20"/>
                <w:szCs w:val="20"/>
                <w:shd w:val="clear" w:color="auto" w:fill="FFFFFF"/>
                <w:lang w:eastAsia="zh-CN"/>
              </w:rPr>
              <w:t>其他法律法规规章文件规定应履行的责任。</w:t>
            </w:r>
          </w:p>
        </w:tc>
        <w:tc>
          <w:tcPr>
            <w:tcW w:w="1620" w:type="dxa"/>
            <w:vAlign w:val="top"/>
          </w:tcPr>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eastAsia="zh-CN"/>
              </w:rPr>
            </w:pPr>
            <w:r>
              <w:rPr>
                <w:rFonts w:hint="eastAsia" w:ascii="仿宋_GB2312" w:hAnsi="仿宋_GB2312" w:eastAsia="仿宋_GB2312" w:cs="仿宋_GB2312"/>
                <w:color w:val="auto"/>
                <w:sz w:val="20"/>
                <w:szCs w:val="20"/>
                <w:shd w:val="clear" w:color="auto" w:fill="FFFFFF"/>
                <w:lang w:eastAsia="zh-CN"/>
              </w:rPr>
              <w:t>因不履行或不正确履行行政职责，有下列情形的，行政机关及其工作人员应承担相应责任：</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eastAsia="zh-CN"/>
              </w:rPr>
            </w:pPr>
            <w:r>
              <w:rPr>
                <w:rFonts w:hint="eastAsia" w:ascii="仿宋_GB2312" w:hAnsi="仿宋_GB2312" w:eastAsia="仿宋_GB2312" w:cs="仿宋_GB2312"/>
                <w:color w:val="auto"/>
                <w:sz w:val="20"/>
                <w:szCs w:val="20"/>
                <w:shd w:val="clear" w:color="auto" w:fill="FFFFFF"/>
                <w:lang w:val="en-US" w:eastAsia="zh-CN"/>
              </w:rPr>
              <w:t>1.在年检过程中有</w:t>
            </w:r>
            <w:r>
              <w:rPr>
                <w:rFonts w:hint="eastAsia" w:ascii="仿宋_GB2312" w:hAnsi="仿宋_GB2312" w:eastAsia="仿宋_GB2312" w:cs="仿宋_GB2312"/>
                <w:color w:val="auto"/>
                <w:sz w:val="20"/>
                <w:szCs w:val="20"/>
                <w:shd w:val="clear" w:color="auto" w:fill="FFFFFF"/>
              </w:rPr>
              <w:t>徇私舞弊或者有其他渎职、失职行为</w:t>
            </w:r>
            <w:r>
              <w:rPr>
                <w:rFonts w:hint="eastAsia" w:ascii="仿宋_GB2312" w:hAnsi="仿宋_GB2312" w:eastAsia="仿宋_GB2312" w:cs="仿宋_GB2312"/>
                <w:color w:val="auto"/>
                <w:sz w:val="20"/>
                <w:szCs w:val="20"/>
                <w:shd w:val="clear" w:color="auto" w:fill="FFFFFF"/>
                <w:lang w:eastAsia="zh-CN"/>
              </w:rPr>
              <w:t>； 　　</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eastAsia="zh-CN"/>
              </w:rPr>
            </w:pPr>
            <w:r>
              <w:rPr>
                <w:rFonts w:hint="eastAsia" w:ascii="仿宋_GB2312" w:hAnsi="仿宋_GB2312" w:eastAsia="仿宋_GB2312" w:cs="仿宋_GB2312"/>
                <w:color w:val="auto"/>
                <w:sz w:val="20"/>
                <w:szCs w:val="20"/>
                <w:shd w:val="clear" w:color="auto" w:fill="FFFFFF"/>
                <w:lang w:val="en-US" w:eastAsia="zh-CN"/>
              </w:rPr>
              <w:t>2</w:t>
            </w:r>
            <w:r>
              <w:rPr>
                <w:rFonts w:hint="eastAsia" w:ascii="仿宋_GB2312" w:hAnsi="仿宋_GB2312" w:eastAsia="仿宋_GB2312" w:cs="仿宋_GB2312"/>
                <w:color w:val="auto"/>
                <w:sz w:val="20"/>
                <w:szCs w:val="20"/>
                <w:shd w:val="clear" w:color="auto" w:fill="FFFFFF"/>
                <w:lang w:eastAsia="zh-CN"/>
              </w:rPr>
              <w:t>.其他违反法律法规规章文件规定的行为。</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p>
        </w:tc>
        <w:tc>
          <w:tcPr>
            <w:tcW w:w="1335"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40" w:type="dxa"/>
            <w:vAlign w:val="center"/>
          </w:tcPr>
          <w:p>
            <w:pPr>
              <w:wordWrap/>
              <w:spacing w:line="240" w:lineRule="exact"/>
              <w:ind w:left="0" w:leftChars="0" w:right="0" w:firstLine="0" w:firstLineChars="0"/>
              <w:jc w:val="center"/>
              <w:rPr>
                <w:rFonts w:hint="default"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31</w:t>
            </w:r>
          </w:p>
        </w:tc>
        <w:tc>
          <w:tcPr>
            <w:tcW w:w="807"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eastAsia="zh-CN"/>
              </w:rPr>
              <w:t>其他类</w:t>
            </w:r>
          </w:p>
        </w:tc>
        <w:tc>
          <w:tcPr>
            <w:tcW w:w="1225" w:type="dxa"/>
            <w:vAlign w:val="center"/>
          </w:tcPr>
          <w:p>
            <w:pPr>
              <w:wordWrap/>
              <w:adjustRightInd w:val="0"/>
              <w:snapToGrid w:val="0"/>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shd w:val="clear" w:color="auto" w:fill="FFFFFF"/>
              </w:rPr>
              <w:t>对教师申诉的</w:t>
            </w:r>
            <w:r>
              <w:rPr>
                <w:rFonts w:hint="eastAsia" w:ascii="仿宋_GB2312" w:hAnsi="仿宋_GB2312" w:eastAsia="仿宋_GB2312" w:cs="仿宋_GB2312"/>
                <w:color w:val="auto"/>
                <w:sz w:val="20"/>
                <w:szCs w:val="20"/>
                <w:shd w:val="clear" w:color="auto" w:fill="FFFFFF"/>
                <w:lang w:eastAsia="zh-CN"/>
              </w:rPr>
              <w:t>处理</w:t>
            </w:r>
          </w:p>
        </w:tc>
        <w:tc>
          <w:tcPr>
            <w:tcW w:w="1002"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val="en-US" w:eastAsia="zh-CN"/>
              </w:rPr>
              <w:t>高邑县</w:t>
            </w:r>
            <w:r>
              <w:rPr>
                <w:rFonts w:hint="eastAsia" w:ascii="仿宋_GB2312" w:hAnsi="仿宋_GB2312" w:eastAsia="仿宋_GB2312" w:cs="仿宋_GB2312"/>
                <w:color w:val="auto"/>
                <w:sz w:val="20"/>
                <w:szCs w:val="20"/>
                <w:lang w:eastAsia="zh-CN"/>
              </w:rPr>
              <w:t>教育局</w:t>
            </w:r>
          </w:p>
        </w:tc>
        <w:tc>
          <w:tcPr>
            <w:tcW w:w="3488" w:type="dxa"/>
            <w:vAlign w:val="center"/>
          </w:tcPr>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eastAsia="zh-CN"/>
              </w:rPr>
            </w:pPr>
            <w:r>
              <w:rPr>
                <w:rFonts w:hint="eastAsia" w:ascii="仿宋_GB2312" w:hAnsi="仿宋_GB2312" w:eastAsia="仿宋_GB2312" w:cs="仿宋_GB2312"/>
                <w:color w:val="auto"/>
                <w:sz w:val="20"/>
                <w:szCs w:val="20"/>
                <w:shd w:val="clear" w:color="auto" w:fill="FFFFFF"/>
                <w:lang w:val="en-US" w:eastAsia="zh-CN"/>
              </w:rPr>
              <w:t>1.</w:t>
            </w:r>
            <w:r>
              <w:rPr>
                <w:rFonts w:hint="eastAsia" w:ascii="仿宋_GB2312" w:hAnsi="仿宋_GB2312" w:eastAsia="仿宋_GB2312" w:cs="仿宋_GB2312"/>
                <w:color w:val="auto"/>
                <w:sz w:val="20"/>
                <w:szCs w:val="20"/>
                <w:shd w:val="clear" w:color="auto" w:fill="FFFFFF"/>
              </w:rPr>
              <w:t>《中华人民共和国教师法》第三十九条</w:t>
            </w:r>
            <w:r>
              <w:rPr>
                <w:rFonts w:hint="eastAsia" w:ascii="仿宋_GB2312" w:hAnsi="仿宋_GB2312" w:eastAsia="仿宋_GB2312" w:cs="仿宋_GB2312"/>
                <w:color w:val="auto"/>
                <w:sz w:val="20"/>
                <w:szCs w:val="20"/>
                <w:shd w:val="clear" w:color="auto" w:fill="FFFFFF"/>
                <w:lang w:eastAsia="zh-CN"/>
              </w:rPr>
              <w:t>“</w:t>
            </w:r>
            <w:r>
              <w:rPr>
                <w:rFonts w:hint="eastAsia" w:ascii="仿宋_GB2312" w:hAnsi="仿宋_GB2312" w:eastAsia="仿宋_GB2312" w:cs="仿宋_GB2312"/>
                <w:color w:val="auto"/>
                <w:sz w:val="20"/>
                <w:szCs w:val="20"/>
                <w:shd w:val="clear" w:color="auto" w:fill="FFFFFF"/>
              </w:rPr>
              <w:t>教师对学校或者其他教育机构侵犯其合法权益，或者对学校或者其他教育机构作出的处理不服的，可以向教育行政部门提出申诉，教育行政部门应当在接到申诉的三十日内，作出处理。</w:t>
            </w:r>
            <w:r>
              <w:rPr>
                <w:rFonts w:hint="eastAsia" w:ascii="仿宋_GB2312" w:hAnsi="仿宋_GB2312" w:eastAsia="仿宋_GB2312" w:cs="仿宋_GB2312"/>
                <w:color w:val="auto"/>
                <w:sz w:val="20"/>
                <w:szCs w:val="20"/>
                <w:shd w:val="clear" w:color="auto" w:fill="FFFFFF"/>
                <w:lang w:eastAsia="zh-CN"/>
              </w:rPr>
              <w:t>”</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rPr>
            </w:pPr>
            <w:r>
              <w:rPr>
                <w:rFonts w:hint="eastAsia" w:ascii="仿宋_GB2312" w:hAnsi="仿宋_GB2312" w:eastAsia="仿宋_GB2312" w:cs="仿宋_GB2312"/>
                <w:color w:val="auto"/>
                <w:sz w:val="20"/>
                <w:szCs w:val="20"/>
                <w:shd w:val="clear" w:color="auto" w:fill="FFFFFF"/>
                <w:lang w:val="en-US" w:eastAsia="zh-CN"/>
              </w:rPr>
              <w:t>2.</w:t>
            </w:r>
            <w:r>
              <w:rPr>
                <w:rFonts w:hint="eastAsia" w:ascii="仿宋_GB2312" w:hAnsi="仿宋_GB2312" w:eastAsia="仿宋_GB2312" w:cs="仿宋_GB2312"/>
                <w:color w:val="auto"/>
                <w:sz w:val="20"/>
                <w:szCs w:val="20"/>
                <w:shd w:val="clear" w:color="auto" w:fill="FFFFFF"/>
              </w:rPr>
              <w:t>《中小学教师违反职业道德行为处理办法（2018年修订）》</w:t>
            </w:r>
            <w:r>
              <w:rPr>
                <w:rFonts w:hint="eastAsia" w:ascii="仿宋_GB2312" w:hAnsi="仿宋_GB2312" w:eastAsia="仿宋_GB2312" w:cs="仿宋_GB2312"/>
                <w:color w:val="auto"/>
                <w:sz w:val="20"/>
                <w:szCs w:val="20"/>
                <w:shd w:val="clear" w:color="auto" w:fill="FFFFFF"/>
                <w:lang w:eastAsia="zh-CN"/>
              </w:rPr>
              <w:t>（</w:t>
            </w:r>
            <w:r>
              <w:rPr>
                <w:rFonts w:hint="eastAsia" w:ascii="仿宋_GB2312" w:hAnsi="仿宋_GB2312" w:eastAsia="仿宋_GB2312" w:cs="仿宋_GB2312"/>
                <w:color w:val="auto"/>
                <w:sz w:val="20"/>
                <w:szCs w:val="20"/>
                <w:shd w:val="clear" w:color="auto" w:fill="FFFFFF"/>
              </w:rPr>
              <w:t>教师〔2018〕18号</w:t>
            </w:r>
            <w:r>
              <w:rPr>
                <w:rFonts w:hint="eastAsia" w:ascii="仿宋_GB2312" w:hAnsi="仿宋_GB2312" w:eastAsia="仿宋_GB2312" w:cs="仿宋_GB2312"/>
                <w:color w:val="auto"/>
                <w:sz w:val="20"/>
                <w:szCs w:val="20"/>
                <w:shd w:val="clear" w:color="auto" w:fill="FFFFFF"/>
                <w:lang w:eastAsia="zh-CN"/>
              </w:rPr>
              <w:t>）</w:t>
            </w:r>
            <w:r>
              <w:rPr>
                <w:rFonts w:hint="eastAsia" w:ascii="仿宋_GB2312" w:hAnsi="仿宋_GB2312" w:eastAsia="仿宋_GB2312" w:cs="仿宋_GB2312"/>
                <w:color w:val="auto"/>
                <w:sz w:val="20"/>
                <w:szCs w:val="20"/>
                <w:shd w:val="clear" w:color="auto" w:fill="FFFFFF"/>
              </w:rPr>
              <w:t>第九条</w:t>
            </w:r>
            <w:r>
              <w:rPr>
                <w:rFonts w:hint="eastAsia" w:ascii="仿宋_GB2312" w:hAnsi="仿宋_GB2312" w:eastAsia="仿宋_GB2312" w:cs="仿宋_GB2312"/>
                <w:color w:val="auto"/>
                <w:sz w:val="20"/>
                <w:szCs w:val="20"/>
                <w:shd w:val="clear" w:color="auto" w:fill="FFFFFF"/>
                <w:lang w:eastAsia="zh-CN"/>
              </w:rPr>
              <w:t>第一款“</w:t>
            </w:r>
            <w:r>
              <w:rPr>
                <w:rFonts w:hint="eastAsia" w:ascii="仿宋_GB2312" w:hAnsi="仿宋_GB2312" w:eastAsia="仿宋_GB2312" w:cs="仿宋_GB2312"/>
                <w:color w:val="auto"/>
                <w:sz w:val="20"/>
                <w:szCs w:val="20"/>
                <w:shd w:val="clear" w:color="auto" w:fill="FFFFFF"/>
              </w:rPr>
              <w:t>教师不服处理决定的，可以向学校主管教育部门申请复核。对复核结果不服的，可以向学校主管教育部门的上一级行政部门提出申诉。</w:t>
            </w:r>
            <w:r>
              <w:rPr>
                <w:rFonts w:hint="eastAsia" w:ascii="仿宋_GB2312" w:hAnsi="仿宋_GB2312" w:eastAsia="仿宋_GB2312" w:cs="仿宋_GB2312"/>
                <w:color w:val="auto"/>
                <w:sz w:val="20"/>
                <w:szCs w:val="20"/>
                <w:shd w:val="clear" w:color="auto" w:fill="FFFFFF"/>
                <w:lang w:eastAsia="zh-CN"/>
              </w:rPr>
              <w:t>”</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val="en-US" w:eastAsia="zh-CN"/>
              </w:rPr>
            </w:pPr>
          </w:p>
        </w:tc>
        <w:tc>
          <w:tcPr>
            <w:tcW w:w="3895" w:type="dxa"/>
            <w:vAlign w:val="top"/>
          </w:tcPr>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eastAsia="zh-CN"/>
              </w:rPr>
            </w:pPr>
            <w:r>
              <w:rPr>
                <w:rFonts w:hint="eastAsia" w:ascii="仿宋_GB2312" w:hAnsi="仿宋_GB2312" w:eastAsia="仿宋_GB2312" w:cs="仿宋_GB2312"/>
                <w:color w:val="auto"/>
                <w:sz w:val="20"/>
                <w:szCs w:val="20"/>
                <w:shd w:val="clear" w:color="auto" w:fill="FFFFFF"/>
                <w:lang w:eastAsia="zh-CN"/>
              </w:rPr>
              <w:t xml:space="preserve"> 1.受理责任：公示应当提交的材料；一次性告知补正材料；依法决定受理或不予受理（不予受理应当告知理由）；</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eastAsia="zh-CN"/>
              </w:rPr>
            </w:pPr>
            <w:r>
              <w:rPr>
                <w:rFonts w:hint="eastAsia" w:ascii="仿宋_GB2312" w:hAnsi="仿宋_GB2312" w:eastAsia="仿宋_GB2312" w:cs="仿宋_GB2312"/>
                <w:color w:val="auto"/>
                <w:sz w:val="20"/>
                <w:szCs w:val="20"/>
                <w:shd w:val="clear" w:color="auto" w:fill="FFFFFF"/>
                <w:lang w:eastAsia="zh-CN"/>
              </w:rPr>
              <w:t xml:space="preserve"> 2.调查责任：严格按照规定程序进行调查、收集相关证据，听取双方当事人的陈述意见；</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eastAsia="zh-CN"/>
              </w:rPr>
            </w:pPr>
            <w:r>
              <w:rPr>
                <w:rFonts w:hint="eastAsia" w:ascii="仿宋_GB2312" w:hAnsi="仿宋_GB2312" w:eastAsia="仿宋_GB2312" w:cs="仿宋_GB2312"/>
                <w:color w:val="auto"/>
                <w:sz w:val="20"/>
                <w:szCs w:val="20"/>
                <w:shd w:val="clear" w:color="auto" w:fill="FFFFFF"/>
                <w:lang w:eastAsia="zh-CN"/>
              </w:rPr>
              <w:t>3.决定责任：根据调查的结果，针对申请人的诉求进行审查后作出处理决定；</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eastAsia="zh-CN"/>
              </w:rPr>
            </w:pPr>
            <w:r>
              <w:rPr>
                <w:rFonts w:hint="eastAsia" w:ascii="仿宋_GB2312" w:hAnsi="仿宋_GB2312" w:eastAsia="仿宋_GB2312" w:cs="仿宋_GB2312"/>
                <w:color w:val="auto"/>
                <w:sz w:val="20"/>
                <w:szCs w:val="20"/>
                <w:shd w:val="clear" w:color="auto" w:fill="FFFFFF"/>
                <w:lang w:eastAsia="zh-CN"/>
              </w:rPr>
              <w:t xml:space="preserve"> 4.送达责任：制发相关文书并按相关规定送达当事人；</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eastAsia="zh-CN"/>
              </w:rPr>
            </w:pPr>
            <w:r>
              <w:rPr>
                <w:rFonts w:hint="eastAsia" w:ascii="仿宋_GB2312" w:hAnsi="仿宋_GB2312" w:eastAsia="仿宋_GB2312" w:cs="仿宋_GB2312"/>
                <w:color w:val="auto"/>
                <w:sz w:val="20"/>
                <w:szCs w:val="20"/>
                <w:shd w:val="clear" w:color="auto" w:fill="FFFFFF"/>
                <w:lang w:eastAsia="zh-CN"/>
              </w:rPr>
              <w:t xml:space="preserve"> 5.其他法律法规规章文件规定应履行的责任。</w:t>
            </w:r>
          </w:p>
        </w:tc>
        <w:tc>
          <w:tcPr>
            <w:tcW w:w="1620" w:type="dxa"/>
            <w:vAlign w:val="top"/>
          </w:tcPr>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eastAsia="zh-CN"/>
              </w:rPr>
            </w:pPr>
            <w:r>
              <w:rPr>
                <w:rFonts w:hint="eastAsia" w:ascii="仿宋_GB2312" w:hAnsi="仿宋_GB2312" w:eastAsia="仿宋_GB2312" w:cs="仿宋_GB2312"/>
                <w:color w:val="auto"/>
                <w:sz w:val="20"/>
                <w:szCs w:val="20"/>
                <w:shd w:val="clear" w:color="auto" w:fill="FFFFFF"/>
                <w:lang w:eastAsia="zh-CN"/>
              </w:rPr>
              <w:t>因不履行或不正确履行行政职责，有下列情形的，行政机关及其工作人员应承担相应责任：</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val="en-US" w:eastAsia="zh-CN"/>
              </w:rPr>
            </w:pPr>
            <w:r>
              <w:rPr>
                <w:rFonts w:hint="eastAsia" w:ascii="仿宋_GB2312" w:hAnsi="仿宋_GB2312" w:eastAsia="仿宋_GB2312" w:cs="仿宋_GB2312"/>
                <w:color w:val="auto"/>
                <w:sz w:val="20"/>
                <w:szCs w:val="20"/>
                <w:shd w:val="clear" w:color="auto" w:fill="FFFFFF"/>
                <w:lang w:val="en-US" w:eastAsia="zh-CN"/>
              </w:rPr>
              <w:t>1.无正当理由不予受理当事人申诉申请；</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eastAsia="zh-CN"/>
              </w:rPr>
            </w:pPr>
            <w:r>
              <w:rPr>
                <w:rFonts w:hint="eastAsia" w:ascii="仿宋_GB2312" w:hAnsi="仿宋_GB2312" w:eastAsia="仿宋_GB2312" w:cs="仿宋_GB2312"/>
                <w:color w:val="auto"/>
                <w:sz w:val="20"/>
                <w:szCs w:val="20"/>
                <w:shd w:val="clear" w:color="auto" w:fill="FFFFFF"/>
                <w:lang w:val="en-US" w:eastAsia="zh-CN"/>
              </w:rPr>
              <w:t>2.</w:t>
            </w:r>
            <w:r>
              <w:rPr>
                <w:rFonts w:hint="eastAsia" w:ascii="仿宋_GB2312" w:hAnsi="仿宋_GB2312" w:eastAsia="仿宋_GB2312" w:cs="仿宋_GB2312"/>
                <w:color w:val="auto"/>
                <w:sz w:val="20"/>
                <w:szCs w:val="20"/>
                <w:shd w:val="clear" w:color="auto" w:fill="FFFFFF"/>
                <w:lang w:eastAsia="zh-CN"/>
              </w:rPr>
              <w:t>依法应当回避不回避； 　　</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eastAsia="zh-CN"/>
              </w:rPr>
            </w:pPr>
            <w:r>
              <w:rPr>
                <w:rFonts w:hint="eastAsia" w:ascii="仿宋_GB2312" w:hAnsi="仿宋_GB2312" w:eastAsia="仿宋_GB2312" w:cs="仿宋_GB2312"/>
                <w:color w:val="auto"/>
                <w:sz w:val="20"/>
                <w:szCs w:val="20"/>
                <w:shd w:val="clear" w:color="auto" w:fill="FFFFFF"/>
                <w:lang w:val="en-US" w:eastAsia="zh-CN"/>
              </w:rPr>
              <w:t>3.在处理过程中有</w:t>
            </w:r>
            <w:r>
              <w:rPr>
                <w:rFonts w:hint="eastAsia" w:ascii="仿宋_GB2312" w:hAnsi="仿宋_GB2312" w:eastAsia="仿宋_GB2312" w:cs="仿宋_GB2312"/>
                <w:color w:val="auto"/>
                <w:sz w:val="20"/>
                <w:szCs w:val="20"/>
                <w:shd w:val="clear" w:color="auto" w:fill="FFFFFF"/>
              </w:rPr>
              <w:t>徇私舞弊或者有其他渎职、失职行为</w:t>
            </w:r>
            <w:r>
              <w:rPr>
                <w:rFonts w:hint="eastAsia" w:ascii="仿宋_GB2312" w:hAnsi="仿宋_GB2312" w:eastAsia="仿宋_GB2312" w:cs="仿宋_GB2312"/>
                <w:color w:val="auto"/>
                <w:sz w:val="20"/>
                <w:szCs w:val="20"/>
                <w:shd w:val="clear" w:color="auto" w:fill="FFFFFF"/>
                <w:lang w:eastAsia="zh-CN"/>
              </w:rPr>
              <w:t>； 　　</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eastAsia="zh-CN"/>
              </w:rPr>
            </w:pPr>
            <w:r>
              <w:rPr>
                <w:rFonts w:hint="eastAsia" w:ascii="仿宋_GB2312" w:hAnsi="仿宋_GB2312" w:eastAsia="仿宋_GB2312" w:cs="仿宋_GB2312"/>
                <w:color w:val="auto"/>
                <w:sz w:val="20"/>
                <w:szCs w:val="20"/>
                <w:shd w:val="clear" w:color="auto" w:fill="FFFFFF"/>
                <w:lang w:val="en-US" w:eastAsia="zh-CN"/>
              </w:rPr>
              <w:t>4</w:t>
            </w:r>
            <w:r>
              <w:rPr>
                <w:rFonts w:hint="eastAsia" w:ascii="仿宋_GB2312" w:hAnsi="仿宋_GB2312" w:eastAsia="仿宋_GB2312" w:cs="仿宋_GB2312"/>
                <w:color w:val="auto"/>
                <w:sz w:val="20"/>
                <w:szCs w:val="20"/>
                <w:shd w:val="clear" w:color="auto" w:fill="FFFFFF"/>
                <w:lang w:eastAsia="zh-CN"/>
              </w:rPr>
              <w:t>.其他违反法律法规规章文件规定的行为。</w:t>
            </w:r>
          </w:p>
        </w:tc>
        <w:tc>
          <w:tcPr>
            <w:tcW w:w="1335"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050" w:hRule="atLeast"/>
        </w:trPr>
        <w:tc>
          <w:tcPr>
            <w:tcW w:w="540" w:type="dxa"/>
            <w:vAlign w:val="center"/>
          </w:tcPr>
          <w:p>
            <w:pPr>
              <w:wordWrap/>
              <w:spacing w:line="240" w:lineRule="exact"/>
              <w:ind w:left="0" w:leftChars="0" w:right="0" w:firstLine="0" w:firstLineChars="0"/>
              <w:jc w:val="center"/>
              <w:rPr>
                <w:rFonts w:hint="default"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32</w:t>
            </w:r>
          </w:p>
        </w:tc>
        <w:tc>
          <w:tcPr>
            <w:tcW w:w="807"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eastAsia="zh-CN"/>
              </w:rPr>
              <w:t>其他类</w:t>
            </w:r>
          </w:p>
        </w:tc>
        <w:tc>
          <w:tcPr>
            <w:tcW w:w="1225" w:type="dxa"/>
            <w:vAlign w:val="center"/>
          </w:tcPr>
          <w:p>
            <w:pPr>
              <w:wordWrap/>
              <w:adjustRightInd w:val="0"/>
              <w:snapToGrid w:val="0"/>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shd w:val="clear" w:color="auto" w:fill="FFFFFF"/>
              </w:rPr>
              <w:t>对学生申诉</w:t>
            </w:r>
            <w:r>
              <w:rPr>
                <w:rFonts w:hint="eastAsia" w:ascii="仿宋_GB2312" w:hAnsi="仿宋_GB2312" w:eastAsia="仿宋_GB2312" w:cs="仿宋_GB2312"/>
                <w:color w:val="auto"/>
                <w:sz w:val="20"/>
                <w:szCs w:val="20"/>
                <w:shd w:val="clear" w:color="auto" w:fill="FFFFFF"/>
                <w:lang w:eastAsia="zh-CN"/>
              </w:rPr>
              <w:t>的处理</w:t>
            </w:r>
          </w:p>
        </w:tc>
        <w:tc>
          <w:tcPr>
            <w:tcW w:w="1002"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val="en-US" w:eastAsia="zh-CN"/>
              </w:rPr>
              <w:t>高邑县</w:t>
            </w:r>
            <w:r>
              <w:rPr>
                <w:rFonts w:hint="eastAsia" w:ascii="仿宋_GB2312" w:hAnsi="仿宋_GB2312" w:eastAsia="仿宋_GB2312" w:cs="仿宋_GB2312"/>
                <w:color w:val="auto"/>
                <w:sz w:val="20"/>
                <w:szCs w:val="20"/>
                <w:lang w:eastAsia="zh-CN"/>
              </w:rPr>
              <w:t>教育局</w:t>
            </w:r>
          </w:p>
        </w:tc>
        <w:tc>
          <w:tcPr>
            <w:tcW w:w="3488" w:type="dxa"/>
            <w:vAlign w:val="center"/>
          </w:tcPr>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rPr>
            </w:pPr>
            <w:r>
              <w:rPr>
                <w:rFonts w:hint="eastAsia" w:ascii="仿宋_GB2312" w:hAnsi="仿宋_GB2312" w:eastAsia="仿宋_GB2312" w:cs="仿宋_GB2312"/>
                <w:color w:val="auto"/>
                <w:sz w:val="20"/>
                <w:szCs w:val="20"/>
                <w:shd w:val="clear" w:color="auto" w:fill="FFFFFF"/>
              </w:rPr>
              <w:t>1.《中华人民共和国教育法》第四十二条第（四）项</w:t>
            </w:r>
            <w:r>
              <w:rPr>
                <w:rFonts w:hint="eastAsia" w:ascii="仿宋_GB2312" w:hAnsi="仿宋_GB2312" w:eastAsia="仿宋_GB2312" w:cs="仿宋_GB2312"/>
                <w:color w:val="auto"/>
                <w:sz w:val="20"/>
                <w:szCs w:val="20"/>
                <w:shd w:val="clear" w:color="auto" w:fill="FFFFFF"/>
                <w:lang w:eastAsia="zh-CN"/>
              </w:rPr>
              <w:t>“</w:t>
            </w:r>
            <w:r>
              <w:rPr>
                <w:rFonts w:hint="eastAsia" w:ascii="仿宋_GB2312" w:hAnsi="仿宋_GB2312" w:eastAsia="仿宋_GB2312" w:cs="仿宋_GB2312"/>
                <w:color w:val="auto"/>
                <w:sz w:val="20"/>
                <w:szCs w:val="20"/>
                <w:shd w:val="clear" w:color="auto" w:fill="FFFFFF"/>
              </w:rPr>
              <w:t>受教育者享有下列权利：（四）对学校给予的处分不服向有关部门提出申诉，对学校、教师侵犯其人身权、财产权等合法权益，提出申诉或者依法提出诉讼。</w:t>
            </w:r>
            <w:r>
              <w:rPr>
                <w:rFonts w:hint="eastAsia" w:ascii="仿宋_GB2312" w:hAnsi="仿宋_GB2312" w:eastAsia="仿宋_GB2312" w:cs="仿宋_GB2312"/>
                <w:color w:val="auto"/>
                <w:sz w:val="20"/>
                <w:szCs w:val="20"/>
                <w:shd w:val="clear" w:color="auto" w:fill="FFFFFF"/>
                <w:lang w:eastAsia="zh-CN"/>
              </w:rPr>
              <w:t>”</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shd w:val="clear" w:color="auto" w:fill="FFFFFF"/>
              </w:rPr>
              <w:t>2.《河北省学生申诉办法（试行）》</w:t>
            </w:r>
            <w:r>
              <w:rPr>
                <w:rFonts w:hint="eastAsia" w:ascii="仿宋_GB2312" w:hAnsi="仿宋_GB2312" w:eastAsia="仿宋_GB2312" w:cs="仿宋_GB2312"/>
                <w:color w:val="auto"/>
                <w:sz w:val="20"/>
                <w:szCs w:val="20"/>
                <w:shd w:val="clear" w:color="auto" w:fill="FFFFFF"/>
                <w:lang w:eastAsia="zh-CN"/>
              </w:rPr>
              <w:t>（</w:t>
            </w:r>
            <w:r>
              <w:rPr>
                <w:rFonts w:hint="eastAsia" w:ascii="仿宋_GB2312" w:hAnsi="仿宋_GB2312" w:eastAsia="仿宋_GB2312" w:cs="仿宋_GB2312"/>
                <w:color w:val="auto"/>
                <w:sz w:val="20"/>
                <w:szCs w:val="20"/>
                <w:shd w:val="clear" w:color="auto" w:fill="FFFFFF"/>
              </w:rPr>
              <w:t>冀教规[2005]3号</w:t>
            </w:r>
            <w:r>
              <w:rPr>
                <w:rFonts w:hint="eastAsia" w:ascii="仿宋_GB2312" w:hAnsi="仿宋_GB2312" w:eastAsia="仿宋_GB2312" w:cs="仿宋_GB2312"/>
                <w:color w:val="auto"/>
                <w:sz w:val="20"/>
                <w:szCs w:val="20"/>
                <w:shd w:val="clear" w:color="auto" w:fill="FFFFFF"/>
                <w:lang w:eastAsia="zh-CN"/>
              </w:rPr>
              <w:t>)</w:t>
            </w:r>
            <w:r>
              <w:rPr>
                <w:rFonts w:hint="eastAsia" w:ascii="仿宋_GB2312" w:hAnsi="仿宋_GB2312" w:eastAsia="仿宋_GB2312" w:cs="仿宋_GB2312"/>
                <w:color w:val="auto"/>
                <w:sz w:val="20"/>
                <w:szCs w:val="20"/>
                <w:shd w:val="clear" w:color="auto" w:fill="FFFFFF"/>
              </w:rPr>
              <w:t>第二条 </w:t>
            </w:r>
            <w:r>
              <w:rPr>
                <w:rFonts w:hint="eastAsia" w:ascii="仿宋_GB2312" w:hAnsi="仿宋_GB2312" w:eastAsia="仿宋_GB2312" w:cs="仿宋_GB2312"/>
                <w:color w:val="auto"/>
                <w:sz w:val="20"/>
                <w:szCs w:val="20"/>
                <w:shd w:val="clear" w:color="auto" w:fill="FFFFFF"/>
                <w:lang w:eastAsia="zh-CN"/>
              </w:rPr>
              <w:t>“</w:t>
            </w:r>
            <w:r>
              <w:rPr>
                <w:rFonts w:hint="eastAsia" w:ascii="仿宋_GB2312" w:hAnsi="仿宋_GB2312" w:eastAsia="仿宋_GB2312" w:cs="仿宋_GB2312"/>
                <w:color w:val="auto"/>
                <w:sz w:val="20"/>
                <w:szCs w:val="20"/>
                <w:shd w:val="clear" w:color="auto" w:fill="FFFFFF"/>
              </w:rPr>
              <w:t>学生对学校作出的取消入学资格、退学处理或者纪律处分不服，可以向学校提出申诉。学生对学校作出的申诉复查决定不服，可以向教育行政主管部门提出不服学校处理、处分决定的申诉。</w:t>
            </w:r>
            <w:r>
              <w:rPr>
                <w:rFonts w:hint="eastAsia" w:ascii="仿宋_GB2312" w:hAnsi="仿宋_GB2312" w:eastAsia="仿宋_GB2312" w:cs="仿宋_GB2312"/>
                <w:color w:val="auto"/>
                <w:sz w:val="20"/>
                <w:szCs w:val="20"/>
                <w:shd w:val="clear" w:color="auto" w:fill="FFFFFF"/>
                <w:lang w:eastAsia="zh-CN"/>
              </w:rPr>
              <w:t>”</w:t>
            </w:r>
          </w:p>
        </w:tc>
        <w:tc>
          <w:tcPr>
            <w:tcW w:w="3895" w:type="dxa"/>
            <w:vAlign w:val="top"/>
          </w:tcPr>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eastAsia="zh-CN"/>
              </w:rPr>
            </w:pPr>
            <w:r>
              <w:rPr>
                <w:rFonts w:hint="eastAsia" w:ascii="仿宋_GB2312" w:hAnsi="仿宋_GB2312" w:eastAsia="仿宋_GB2312" w:cs="仿宋_GB2312"/>
                <w:color w:val="auto"/>
                <w:sz w:val="20"/>
                <w:szCs w:val="20"/>
                <w:shd w:val="clear" w:color="auto" w:fill="FFFFFF"/>
                <w:lang w:eastAsia="zh-CN"/>
              </w:rPr>
              <w:t>1.受理责任：公示应当提交的材料；一次性告知补正材料；依法决定受理或不予受理（不予受理应当告知理由）；</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eastAsia="zh-CN"/>
              </w:rPr>
            </w:pPr>
            <w:r>
              <w:rPr>
                <w:rFonts w:hint="eastAsia" w:ascii="仿宋_GB2312" w:hAnsi="仿宋_GB2312" w:eastAsia="仿宋_GB2312" w:cs="仿宋_GB2312"/>
                <w:color w:val="auto"/>
                <w:sz w:val="20"/>
                <w:szCs w:val="20"/>
                <w:shd w:val="clear" w:color="auto" w:fill="FFFFFF"/>
                <w:lang w:eastAsia="zh-CN"/>
              </w:rPr>
              <w:t xml:space="preserve"> 2.调查责任：严格按照规定程序进行调查、收集相关证据，听取双方当事人的陈述意见；</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eastAsia="zh-CN"/>
              </w:rPr>
            </w:pPr>
            <w:r>
              <w:rPr>
                <w:rFonts w:hint="eastAsia" w:ascii="仿宋_GB2312" w:hAnsi="仿宋_GB2312" w:eastAsia="仿宋_GB2312" w:cs="仿宋_GB2312"/>
                <w:color w:val="auto"/>
                <w:sz w:val="20"/>
                <w:szCs w:val="20"/>
                <w:shd w:val="clear" w:color="auto" w:fill="FFFFFF"/>
                <w:lang w:eastAsia="zh-CN"/>
              </w:rPr>
              <w:t>3.决定责任：根据调查的结果，针对申请人的诉求进行审查后作出处理决定；</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eastAsia="zh-CN"/>
              </w:rPr>
            </w:pPr>
            <w:r>
              <w:rPr>
                <w:rFonts w:hint="eastAsia" w:ascii="仿宋_GB2312" w:hAnsi="仿宋_GB2312" w:eastAsia="仿宋_GB2312" w:cs="仿宋_GB2312"/>
                <w:color w:val="auto"/>
                <w:sz w:val="20"/>
                <w:szCs w:val="20"/>
                <w:shd w:val="clear" w:color="auto" w:fill="FFFFFF"/>
                <w:lang w:eastAsia="zh-CN"/>
              </w:rPr>
              <w:t xml:space="preserve"> 4.送达责任：制发相关文书并按相关规定送达当事人；</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shd w:val="clear" w:color="auto" w:fill="FFFFFF"/>
                <w:lang w:eastAsia="zh-CN"/>
              </w:rPr>
              <w:t xml:space="preserve"> 5.其他法律法规规章文件规定应履行的责任。</w:t>
            </w:r>
          </w:p>
        </w:tc>
        <w:tc>
          <w:tcPr>
            <w:tcW w:w="1620" w:type="dxa"/>
            <w:vAlign w:val="top"/>
          </w:tcPr>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eastAsia="zh-CN"/>
              </w:rPr>
            </w:pPr>
            <w:r>
              <w:rPr>
                <w:rFonts w:hint="eastAsia" w:ascii="仿宋_GB2312" w:hAnsi="仿宋_GB2312" w:eastAsia="仿宋_GB2312" w:cs="仿宋_GB2312"/>
                <w:color w:val="auto"/>
                <w:sz w:val="20"/>
                <w:szCs w:val="20"/>
                <w:shd w:val="clear" w:color="auto" w:fill="FFFFFF"/>
                <w:lang w:eastAsia="zh-CN"/>
              </w:rPr>
              <w:t>因不履行或不正确履行行政职责，有下列情形的，行政机关及其工作人员应承担相应责任：</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val="en-US" w:eastAsia="zh-CN"/>
              </w:rPr>
            </w:pPr>
            <w:r>
              <w:rPr>
                <w:rFonts w:hint="eastAsia" w:ascii="仿宋_GB2312" w:hAnsi="仿宋_GB2312" w:eastAsia="仿宋_GB2312" w:cs="仿宋_GB2312"/>
                <w:color w:val="auto"/>
                <w:sz w:val="20"/>
                <w:szCs w:val="20"/>
                <w:shd w:val="clear" w:color="auto" w:fill="FFFFFF"/>
                <w:lang w:val="en-US" w:eastAsia="zh-CN"/>
              </w:rPr>
              <w:t>1.无正当理由不予受理当事人申诉申请；</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eastAsia="zh-CN"/>
              </w:rPr>
            </w:pPr>
            <w:r>
              <w:rPr>
                <w:rFonts w:hint="eastAsia" w:ascii="仿宋_GB2312" w:hAnsi="仿宋_GB2312" w:eastAsia="仿宋_GB2312" w:cs="仿宋_GB2312"/>
                <w:color w:val="auto"/>
                <w:sz w:val="20"/>
                <w:szCs w:val="20"/>
                <w:shd w:val="clear" w:color="auto" w:fill="FFFFFF"/>
                <w:lang w:val="en-US" w:eastAsia="zh-CN"/>
              </w:rPr>
              <w:t>2.</w:t>
            </w:r>
            <w:r>
              <w:rPr>
                <w:rFonts w:hint="eastAsia" w:ascii="仿宋_GB2312" w:hAnsi="仿宋_GB2312" w:eastAsia="仿宋_GB2312" w:cs="仿宋_GB2312"/>
                <w:color w:val="auto"/>
                <w:sz w:val="20"/>
                <w:szCs w:val="20"/>
                <w:shd w:val="clear" w:color="auto" w:fill="FFFFFF"/>
                <w:lang w:eastAsia="zh-CN"/>
              </w:rPr>
              <w:t>依法应当回避不回避； 　　</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eastAsia="zh-CN"/>
              </w:rPr>
            </w:pPr>
            <w:r>
              <w:rPr>
                <w:rFonts w:hint="eastAsia" w:ascii="仿宋_GB2312" w:hAnsi="仿宋_GB2312" w:eastAsia="仿宋_GB2312" w:cs="仿宋_GB2312"/>
                <w:color w:val="auto"/>
                <w:sz w:val="20"/>
                <w:szCs w:val="20"/>
                <w:shd w:val="clear" w:color="auto" w:fill="FFFFFF"/>
                <w:lang w:val="en-US" w:eastAsia="zh-CN"/>
              </w:rPr>
              <w:t>3.在处理过程中有</w:t>
            </w:r>
            <w:r>
              <w:rPr>
                <w:rFonts w:hint="eastAsia" w:ascii="仿宋_GB2312" w:hAnsi="仿宋_GB2312" w:eastAsia="仿宋_GB2312" w:cs="仿宋_GB2312"/>
                <w:color w:val="auto"/>
                <w:sz w:val="20"/>
                <w:szCs w:val="20"/>
                <w:shd w:val="clear" w:color="auto" w:fill="FFFFFF"/>
              </w:rPr>
              <w:t>徇私舞弊或者有其他渎职、失职行为</w:t>
            </w:r>
            <w:r>
              <w:rPr>
                <w:rFonts w:hint="eastAsia" w:ascii="仿宋_GB2312" w:hAnsi="仿宋_GB2312" w:eastAsia="仿宋_GB2312" w:cs="仿宋_GB2312"/>
                <w:color w:val="auto"/>
                <w:sz w:val="20"/>
                <w:szCs w:val="20"/>
                <w:shd w:val="clear" w:color="auto" w:fill="FFFFFF"/>
                <w:lang w:eastAsia="zh-CN"/>
              </w:rPr>
              <w:t>； 　　</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shd w:val="clear" w:color="auto" w:fill="FFFFFF"/>
                <w:lang w:val="en-US" w:eastAsia="zh-CN"/>
              </w:rPr>
              <w:t>4</w:t>
            </w:r>
            <w:r>
              <w:rPr>
                <w:rFonts w:hint="eastAsia" w:ascii="仿宋_GB2312" w:hAnsi="仿宋_GB2312" w:eastAsia="仿宋_GB2312" w:cs="仿宋_GB2312"/>
                <w:color w:val="auto"/>
                <w:sz w:val="20"/>
                <w:szCs w:val="20"/>
                <w:shd w:val="clear" w:color="auto" w:fill="FFFFFF"/>
                <w:lang w:eastAsia="zh-CN"/>
              </w:rPr>
              <w:t>.其他违反法律法规规章文件规定的行为。</w:t>
            </w:r>
          </w:p>
        </w:tc>
        <w:tc>
          <w:tcPr>
            <w:tcW w:w="1335"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40" w:type="dxa"/>
            <w:vAlign w:val="center"/>
          </w:tcPr>
          <w:p>
            <w:pPr>
              <w:wordWrap/>
              <w:spacing w:line="240" w:lineRule="exact"/>
              <w:ind w:left="0" w:leftChars="0" w:right="0" w:firstLine="0" w:firstLineChars="0"/>
              <w:jc w:val="center"/>
              <w:rPr>
                <w:rFonts w:hint="default"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33</w:t>
            </w:r>
          </w:p>
        </w:tc>
        <w:tc>
          <w:tcPr>
            <w:tcW w:w="807"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eastAsia="zh-CN"/>
              </w:rPr>
              <w:t>其他类</w:t>
            </w:r>
          </w:p>
        </w:tc>
        <w:tc>
          <w:tcPr>
            <w:tcW w:w="1225" w:type="dxa"/>
            <w:vAlign w:val="center"/>
          </w:tcPr>
          <w:p>
            <w:pPr>
              <w:wordWrap/>
              <w:adjustRightInd w:val="0"/>
              <w:snapToGrid w:val="0"/>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pacing w:val="4"/>
                <w:sz w:val="20"/>
                <w:szCs w:val="20"/>
              </w:rPr>
              <w:t>普通高中毕业证验印</w:t>
            </w:r>
          </w:p>
        </w:tc>
        <w:tc>
          <w:tcPr>
            <w:tcW w:w="1002"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val="en-US" w:eastAsia="zh-CN"/>
              </w:rPr>
              <w:t>高邑县</w:t>
            </w:r>
            <w:r>
              <w:rPr>
                <w:rFonts w:hint="eastAsia" w:ascii="仿宋_GB2312" w:hAnsi="仿宋_GB2312" w:eastAsia="仿宋_GB2312" w:cs="仿宋_GB2312"/>
                <w:color w:val="auto"/>
                <w:sz w:val="20"/>
                <w:szCs w:val="20"/>
                <w:lang w:eastAsia="zh-CN"/>
              </w:rPr>
              <w:t>教育局</w:t>
            </w:r>
          </w:p>
        </w:tc>
        <w:tc>
          <w:tcPr>
            <w:tcW w:w="3488" w:type="dxa"/>
            <w:vAlign w:val="top"/>
          </w:tcPr>
          <w:p>
            <w:pPr>
              <w:wordWrap/>
              <w:adjustRightInd w:val="0"/>
              <w:snapToGrid w:val="0"/>
              <w:spacing w:line="240" w:lineRule="exact"/>
              <w:ind w:left="0" w:leftChars="0" w:right="0" w:firstLine="0" w:firstLineChars="0"/>
              <w:rPr>
                <w:rFonts w:hint="eastAsia" w:ascii="仿宋_GB2312" w:hAnsi="仿宋_GB2312" w:eastAsia="仿宋_GB2312" w:cs="仿宋_GB2312"/>
                <w:b w:val="0"/>
                <w:bCs w:val="0"/>
                <w:color w:val="auto"/>
                <w:sz w:val="20"/>
                <w:szCs w:val="20"/>
                <w:shd w:val="clear" w:color="auto" w:fill="FFFFFF"/>
                <w:lang w:eastAsia="zh-CN"/>
              </w:rPr>
            </w:pPr>
            <w:r>
              <w:rPr>
                <w:rFonts w:hint="eastAsia" w:ascii="仿宋_GB2312" w:hAnsi="仿宋_GB2312" w:eastAsia="仿宋_GB2312" w:cs="仿宋_GB2312"/>
                <w:b w:val="0"/>
                <w:bCs w:val="0"/>
                <w:color w:val="auto"/>
                <w:sz w:val="20"/>
                <w:szCs w:val="20"/>
                <w:shd w:val="clear" w:color="auto" w:fill="FFFFFF"/>
                <w:lang w:val="en-US" w:eastAsia="zh-CN"/>
              </w:rPr>
              <w:t>1.</w:t>
            </w:r>
            <w:r>
              <w:rPr>
                <w:rFonts w:hint="eastAsia" w:ascii="仿宋_GB2312" w:hAnsi="仿宋_GB2312" w:eastAsia="仿宋_GB2312" w:cs="仿宋_GB2312"/>
                <w:b w:val="0"/>
                <w:bCs w:val="0"/>
                <w:color w:val="auto"/>
                <w:sz w:val="20"/>
                <w:szCs w:val="20"/>
                <w:shd w:val="clear" w:color="auto" w:fill="FFFFFF"/>
                <w:lang w:eastAsia="zh-CN"/>
              </w:rPr>
              <w:t>《河北省普通高中学生学籍管理办法实施细则（修订）》（冀教基〔2017〕37号）第三十条“学生修业期满，总学分达到144个学分，综合素质评价符合要求，学业水平考试成绩全部合格，体育成绩达标者，准予毕业。由电子学籍系统统一生成毕业生信息，学校编制毕业生名册，并打印毕业证书，报上级主管教育行政部门核准后，由设区的市级教育行政部门加盖印章有效，由学校负责颁发。”</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pacing w:val="4"/>
                <w:sz w:val="20"/>
                <w:szCs w:val="20"/>
                <w:lang w:eastAsia="zh-CN"/>
              </w:rPr>
            </w:pPr>
          </w:p>
        </w:tc>
        <w:tc>
          <w:tcPr>
            <w:tcW w:w="3895" w:type="dxa"/>
            <w:vAlign w:val="top"/>
          </w:tcPr>
          <w:p>
            <w:pPr>
              <w:wordWrap/>
              <w:spacing w:line="240" w:lineRule="exact"/>
              <w:ind w:left="0" w:leftChars="0" w:right="0" w:firstLine="0" w:firstLineChars="0"/>
              <w:rPr>
                <w:rFonts w:hint="eastAsia" w:ascii="仿宋_GB2312" w:hAnsi="仿宋_GB2312" w:eastAsia="仿宋_GB2312" w:cs="仿宋_GB2312"/>
                <w:b w:val="0"/>
                <w:bCs w:val="0"/>
                <w:color w:val="auto"/>
                <w:sz w:val="20"/>
                <w:szCs w:val="20"/>
                <w:shd w:val="clear" w:color="auto" w:fill="FFFFFF"/>
                <w:lang w:val="en-US" w:eastAsia="zh-CN"/>
              </w:rPr>
            </w:pPr>
            <w:r>
              <w:rPr>
                <w:rFonts w:hint="eastAsia" w:ascii="仿宋_GB2312" w:hAnsi="仿宋_GB2312" w:eastAsia="仿宋_GB2312" w:cs="仿宋_GB2312"/>
                <w:b w:val="0"/>
                <w:bCs w:val="0"/>
                <w:color w:val="auto"/>
                <w:sz w:val="20"/>
                <w:szCs w:val="20"/>
                <w:shd w:val="clear" w:color="auto" w:fill="FFFFFF"/>
                <w:lang w:val="en-US" w:eastAsia="zh-CN"/>
              </w:rPr>
              <w:t>1.验印责任：通过学籍系统核验毕业学生信息，加盖普通高中毕业证验印专用章。</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b w:val="0"/>
                <w:bCs w:val="0"/>
                <w:color w:val="auto"/>
                <w:sz w:val="20"/>
                <w:szCs w:val="20"/>
                <w:shd w:val="clear" w:color="auto" w:fill="FFFFFF"/>
                <w:lang w:val="en-US" w:eastAsia="zh-CN"/>
              </w:rPr>
              <w:t>2.</w:t>
            </w:r>
            <w:r>
              <w:rPr>
                <w:rFonts w:hint="eastAsia" w:ascii="仿宋_GB2312" w:hAnsi="仿宋_GB2312" w:eastAsia="仿宋_GB2312" w:cs="仿宋_GB2312"/>
                <w:b w:val="0"/>
                <w:bCs w:val="0"/>
                <w:color w:val="auto"/>
                <w:sz w:val="20"/>
                <w:szCs w:val="20"/>
                <w:shd w:val="clear" w:color="auto" w:fill="FFFFFF"/>
                <w:lang w:eastAsia="zh-CN"/>
              </w:rPr>
              <w:t>其他法律法规规章文件规定应履行的责任。</w:t>
            </w:r>
          </w:p>
        </w:tc>
        <w:tc>
          <w:tcPr>
            <w:tcW w:w="1620" w:type="dxa"/>
            <w:vAlign w:val="top"/>
          </w:tcPr>
          <w:p>
            <w:pPr>
              <w:wordWrap/>
              <w:adjustRightInd w:val="0"/>
              <w:snapToGrid w:val="0"/>
              <w:spacing w:line="240" w:lineRule="exact"/>
              <w:ind w:left="0" w:leftChars="0" w:right="0" w:firstLine="0" w:firstLineChars="0"/>
              <w:rPr>
                <w:rFonts w:hint="eastAsia" w:ascii="仿宋_GB2312" w:hAnsi="仿宋_GB2312" w:eastAsia="仿宋_GB2312" w:cs="仿宋_GB2312"/>
                <w:b w:val="0"/>
                <w:bCs w:val="0"/>
                <w:color w:val="auto"/>
                <w:sz w:val="20"/>
                <w:szCs w:val="20"/>
                <w:shd w:val="clear" w:color="auto" w:fill="FFFFFF"/>
                <w:lang w:eastAsia="zh-CN"/>
              </w:rPr>
            </w:pPr>
            <w:r>
              <w:rPr>
                <w:rFonts w:hint="eastAsia" w:ascii="仿宋_GB2312" w:hAnsi="仿宋_GB2312" w:eastAsia="仿宋_GB2312" w:cs="仿宋_GB2312"/>
                <w:b w:val="0"/>
                <w:bCs w:val="0"/>
                <w:color w:val="auto"/>
                <w:sz w:val="20"/>
                <w:szCs w:val="20"/>
                <w:shd w:val="clear" w:color="auto" w:fill="FFFFFF"/>
                <w:lang w:eastAsia="zh-CN"/>
              </w:rPr>
              <w:t>履行行政职责，有下列情形的，行政机关及其工作人员应承担相应责任：</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eastAsia="zh-CN"/>
              </w:rPr>
            </w:pPr>
            <w:r>
              <w:rPr>
                <w:rFonts w:hint="eastAsia" w:ascii="仿宋_GB2312" w:hAnsi="仿宋_GB2312" w:eastAsia="仿宋_GB2312" w:cs="仿宋_GB2312"/>
                <w:b w:val="0"/>
                <w:bCs w:val="0"/>
                <w:color w:val="auto"/>
                <w:sz w:val="20"/>
                <w:szCs w:val="20"/>
                <w:shd w:val="clear" w:color="auto" w:fill="FFFFFF"/>
                <w:lang w:val="en-US" w:eastAsia="zh-CN"/>
              </w:rPr>
              <w:t>1.</w:t>
            </w:r>
            <w:r>
              <w:rPr>
                <w:rFonts w:hint="eastAsia" w:ascii="仿宋_GB2312" w:hAnsi="仿宋_GB2312" w:eastAsia="仿宋_GB2312" w:cs="仿宋_GB2312"/>
                <w:color w:val="auto"/>
                <w:sz w:val="20"/>
                <w:szCs w:val="20"/>
                <w:shd w:val="clear" w:color="auto" w:fill="FFFFFF"/>
                <w:lang w:val="en-US" w:eastAsia="zh-CN"/>
              </w:rPr>
              <w:t>在办理过程中有</w:t>
            </w:r>
            <w:r>
              <w:rPr>
                <w:rFonts w:hint="eastAsia" w:ascii="仿宋_GB2312" w:hAnsi="仿宋_GB2312" w:eastAsia="仿宋_GB2312" w:cs="仿宋_GB2312"/>
                <w:color w:val="auto"/>
                <w:sz w:val="20"/>
                <w:szCs w:val="20"/>
                <w:shd w:val="clear" w:color="auto" w:fill="FFFFFF"/>
              </w:rPr>
              <w:t>徇私舞弊或者有其他渎职、失职行为</w:t>
            </w:r>
            <w:r>
              <w:rPr>
                <w:rFonts w:hint="eastAsia" w:ascii="仿宋_GB2312" w:hAnsi="仿宋_GB2312" w:eastAsia="仿宋_GB2312" w:cs="仿宋_GB2312"/>
                <w:color w:val="auto"/>
                <w:sz w:val="20"/>
                <w:szCs w:val="20"/>
                <w:shd w:val="clear" w:color="auto" w:fill="FFFFFF"/>
                <w:lang w:eastAsia="zh-CN"/>
              </w:rPr>
              <w:t>； 　　</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shd w:val="clear" w:color="auto" w:fill="FFFFFF"/>
                <w:lang w:val="en-US" w:eastAsia="zh-CN"/>
              </w:rPr>
              <w:t>2</w:t>
            </w:r>
            <w:r>
              <w:rPr>
                <w:rFonts w:hint="eastAsia" w:ascii="仿宋_GB2312" w:hAnsi="仿宋_GB2312" w:eastAsia="仿宋_GB2312" w:cs="仿宋_GB2312"/>
                <w:color w:val="auto"/>
                <w:sz w:val="20"/>
                <w:szCs w:val="20"/>
                <w:shd w:val="clear" w:color="auto" w:fill="FFFFFF"/>
                <w:lang w:eastAsia="zh-CN"/>
              </w:rPr>
              <w:t>.其他违反法律法规规章文件规定的行为。</w:t>
            </w:r>
          </w:p>
        </w:tc>
        <w:tc>
          <w:tcPr>
            <w:tcW w:w="1335"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40" w:type="dxa"/>
            <w:vAlign w:val="center"/>
          </w:tcPr>
          <w:p>
            <w:pPr>
              <w:wordWrap/>
              <w:spacing w:line="240" w:lineRule="exact"/>
              <w:ind w:left="0" w:leftChars="0" w:right="0" w:firstLine="0" w:firstLineChars="0"/>
              <w:jc w:val="center"/>
              <w:rPr>
                <w:rFonts w:hint="default"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34</w:t>
            </w:r>
          </w:p>
        </w:tc>
        <w:tc>
          <w:tcPr>
            <w:tcW w:w="807"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eastAsia="zh-CN"/>
              </w:rPr>
              <w:t>其他类</w:t>
            </w:r>
          </w:p>
        </w:tc>
        <w:tc>
          <w:tcPr>
            <w:tcW w:w="1225" w:type="dxa"/>
            <w:vAlign w:val="center"/>
          </w:tcPr>
          <w:p>
            <w:pPr>
              <w:wordWrap/>
              <w:adjustRightInd w:val="0"/>
              <w:snapToGrid w:val="0"/>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eastAsia="zh-CN"/>
              </w:rPr>
              <w:t>中等职业学校补办毕业证明书</w:t>
            </w:r>
          </w:p>
        </w:tc>
        <w:tc>
          <w:tcPr>
            <w:tcW w:w="1002"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val="en-US" w:eastAsia="zh-CN"/>
              </w:rPr>
              <w:t>高邑县</w:t>
            </w:r>
            <w:r>
              <w:rPr>
                <w:rFonts w:hint="eastAsia" w:ascii="仿宋_GB2312" w:hAnsi="仿宋_GB2312" w:eastAsia="仿宋_GB2312" w:cs="仿宋_GB2312"/>
                <w:color w:val="auto"/>
                <w:sz w:val="20"/>
                <w:szCs w:val="20"/>
                <w:lang w:eastAsia="zh-CN"/>
              </w:rPr>
              <w:t>教育局</w:t>
            </w:r>
          </w:p>
        </w:tc>
        <w:tc>
          <w:tcPr>
            <w:tcW w:w="3488" w:type="dxa"/>
            <w:vAlign w:val="center"/>
          </w:tcPr>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val="en-US" w:eastAsia="zh-CN"/>
              </w:rPr>
            </w:pPr>
            <w:r>
              <w:rPr>
                <w:rFonts w:hint="eastAsia" w:ascii="仿宋_GB2312" w:hAnsi="仿宋_GB2312" w:eastAsia="仿宋_GB2312" w:cs="仿宋_GB2312"/>
                <w:color w:val="auto"/>
                <w:sz w:val="20"/>
                <w:szCs w:val="20"/>
                <w:shd w:val="clear" w:color="auto" w:fill="FFFFFF"/>
                <w:lang w:val="en-US" w:eastAsia="zh-CN"/>
              </w:rPr>
              <w:t>教育部关于印发《中等职业学校学生学籍管理办法》的通知第三十八条“毕业证书遗失可以由省级教育行政部门或其委托的机构出具学历证明书，补办学历证明书所需证明材料由省级教育行政部门规定。学历证明书与毕业证书具有同等效力。”</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lang w:eastAsia="zh-CN"/>
              </w:rPr>
            </w:pPr>
          </w:p>
        </w:tc>
        <w:tc>
          <w:tcPr>
            <w:tcW w:w="3895" w:type="dxa"/>
            <w:vAlign w:val="top"/>
          </w:tcPr>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eastAsia="zh-CN"/>
              </w:rPr>
            </w:pPr>
            <w:r>
              <w:rPr>
                <w:rFonts w:hint="eastAsia" w:ascii="仿宋_GB2312" w:hAnsi="仿宋_GB2312" w:eastAsia="仿宋_GB2312" w:cs="仿宋_GB2312"/>
                <w:color w:val="auto"/>
                <w:sz w:val="20"/>
                <w:szCs w:val="20"/>
                <w:shd w:val="clear" w:color="auto" w:fill="FFFFFF"/>
                <w:lang w:eastAsia="zh-CN"/>
              </w:rPr>
              <w:t>1.受理责任：审核申请人提交申请的材料，依法决定受理或不予受理（不予受理应当告知理由）；</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eastAsia="zh-CN"/>
              </w:rPr>
            </w:pPr>
            <w:r>
              <w:rPr>
                <w:rFonts w:hint="eastAsia" w:ascii="仿宋_GB2312" w:hAnsi="仿宋_GB2312" w:eastAsia="仿宋_GB2312" w:cs="仿宋_GB2312"/>
                <w:color w:val="auto"/>
                <w:sz w:val="20"/>
                <w:szCs w:val="20"/>
                <w:shd w:val="clear" w:color="auto" w:fill="FFFFFF"/>
                <w:lang w:eastAsia="zh-CN"/>
              </w:rPr>
              <w:t>2.核查责任：对申请学校提交的材料严格按照标准进行核查，提出是否同意验印意见；</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eastAsia="zh-CN"/>
              </w:rPr>
            </w:pPr>
            <w:r>
              <w:rPr>
                <w:rFonts w:hint="eastAsia" w:ascii="仿宋_GB2312" w:hAnsi="仿宋_GB2312" w:eastAsia="仿宋_GB2312" w:cs="仿宋_GB2312"/>
                <w:color w:val="auto"/>
                <w:sz w:val="20"/>
                <w:szCs w:val="20"/>
                <w:shd w:val="clear" w:color="auto" w:fill="FFFFFF"/>
                <w:lang w:eastAsia="zh-CN"/>
              </w:rPr>
              <w:t>3.决定责任：核查无误后，毕业证明书上加盖毕业证专用钢印；</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shd w:val="clear" w:color="auto" w:fill="FFFFFF"/>
                <w:lang w:val="en-US" w:eastAsia="zh-CN"/>
              </w:rPr>
              <w:t>4</w:t>
            </w:r>
            <w:r>
              <w:rPr>
                <w:rFonts w:hint="eastAsia" w:ascii="仿宋_GB2312" w:hAnsi="仿宋_GB2312" w:eastAsia="仿宋_GB2312" w:cs="仿宋_GB2312"/>
                <w:color w:val="auto"/>
                <w:sz w:val="20"/>
                <w:szCs w:val="20"/>
                <w:shd w:val="clear" w:color="auto" w:fill="FFFFFF"/>
                <w:lang w:eastAsia="zh-CN"/>
              </w:rPr>
              <w:t>..其他法律法规规章文件规定应履行的责任。</w:t>
            </w:r>
          </w:p>
        </w:tc>
        <w:tc>
          <w:tcPr>
            <w:tcW w:w="1620" w:type="dxa"/>
            <w:vAlign w:val="top"/>
          </w:tcPr>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eastAsia="zh-CN"/>
              </w:rPr>
            </w:pPr>
            <w:r>
              <w:rPr>
                <w:rFonts w:hint="eastAsia" w:ascii="仿宋_GB2312" w:hAnsi="仿宋_GB2312" w:eastAsia="仿宋_GB2312" w:cs="仿宋_GB2312"/>
                <w:color w:val="auto"/>
                <w:sz w:val="20"/>
                <w:szCs w:val="20"/>
                <w:shd w:val="clear" w:color="auto" w:fill="FFFFFF"/>
                <w:lang w:eastAsia="zh-CN"/>
              </w:rPr>
              <w:t>因不履行或不正确履行行政职责，有下列情形的，行政机关及其工作人员应承担相应责任：</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val="en-US" w:eastAsia="zh-CN"/>
              </w:rPr>
            </w:pPr>
            <w:r>
              <w:rPr>
                <w:rFonts w:hint="eastAsia" w:ascii="仿宋_GB2312" w:hAnsi="仿宋_GB2312" w:eastAsia="仿宋_GB2312" w:cs="仿宋_GB2312"/>
                <w:color w:val="auto"/>
                <w:sz w:val="20"/>
                <w:szCs w:val="20"/>
                <w:shd w:val="clear" w:color="auto" w:fill="FFFFFF"/>
                <w:lang w:val="en-US" w:eastAsia="zh-CN"/>
              </w:rPr>
              <w:t>1.对符合法定条件的申请不予受理的；</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eastAsia="zh-CN"/>
              </w:rPr>
            </w:pPr>
            <w:r>
              <w:rPr>
                <w:rFonts w:hint="eastAsia" w:ascii="仿宋_GB2312" w:hAnsi="仿宋_GB2312" w:eastAsia="仿宋_GB2312" w:cs="仿宋_GB2312"/>
                <w:color w:val="auto"/>
                <w:sz w:val="20"/>
                <w:szCs w:val="20"/>
                <w:shd w:val="clear" w:color="auto" w:fill="FFFFFF"/>
                <w:lang w:val="en-US" w:eastAsia="zh-CN"/>
              </w:rPr>
              <w:t>2.对不符合法定条件的申请人出具同意意见或者超越法定职权出具同意意见的</w:t>
            </w:r>
            <w:r>
              <w:rPr>
                <w:rFonts w:hint="eastAsia" w:ascii="仿宋_GB2312" w:hAnsi="仿宋_GB2312" w:eastAsia="仿宋_GB2312" w:cs="仿宋_GB2312"/>
                <w:color w:val="auto"/>
                <w:sz w:val="20"/>
                <w:szCs w:val="20"/>
                <w:shd w:val="clear" w:color="auto" w:fill="FFFFFF"/>
                <w:lang w:eastAsia="zh-CN"/>
              </w:rPr>
              <w:t>； 　　</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eastAsia="zh-CN"/>
              </w:rPr>
            </w:pPr>
            <w:r>
              <w:rPr>
                <w:rFonts w:hint="eastAsia" w:ascii="仿宋_GB2312" w:hAnsi="仿宋_GB2312" w:eastAsia="仿宋_GB2312" w:cs="仿宋_GB2312"/>
                <w:color w:val="auto"/>
                <w:sz w:val="20"/>
                <w:szCs w:val="20"/>
                <w:shd w:val="clear" w:color="auto" w:fill="FFFFFF"/>
                <w:lang w:val="en-US" w:eastAsia="zh-CN"/>
              </w:rPr>
              <w:t>3.在核阅过程中有</w:t>
            </w:r>
            <w:r>
              <w:rPr>
                <w:rFonts w:hint="eastAsia" w:ascii="仿宋_GB2312" w:hAnsi="仿宋_GB2312" w:eastAsia="仿宋_GB2312" w:cs="仿宋_GB2312"/>
                <w:color w:val="auto"/>
                <w:sz w:val="20"/>
                <w:szCs w:val="20"/>
                <w:shd w:val="clear" w:color="auto" w:fill="FFFFFF"/>
              </w:rPr>
              <w:t>徇私舞弊或者有其他渎职、失职行为</w:t>
            </w:r>
            <w:r>
              <w:rPr>
                <w:rFonts w:hint="eastAsia" w:ascii="仿宋_GB2312" w:hAnsi="仿宋_GB2312" w:eastAsia="仿宋_GB2312" w:cs="仿宋_GB2312"/>
                <w:color w:val="auto"/>
                <w:sz w:val="20"/>
                <w:szCs w:val="20"/>
                <w:shd w:val="clear" w:color="auto" w:fill="FFFFFF"/>
                <w:lang w:eastAsia="zh-CN"/>
              </w:rPr>
              <w:t>； 　　</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shd w:val="clear" w:color="auto" w:fill="FFFFFF"/>
                <w:lang w:val="en-US" w:eastAsia="zh-CN"/>
              </w:rPr>
              <w:t>4</w:t>
            </w:r>
            <w:r>
              <w:rPr>
                <w:rFonts w:hint="eastAsia" w:ascii="仿宋_GB2312" w:hAnsi="仿宋_GB2312" w:eastAsia="仿宋_GB2312" w:cs="仿宋_GB2312"/>
                <w:color w:val="auto"/>
                <w:sz w:val="20"/>
                <w:szCs w:val="20"/>
                <w:shd w:val="clear" w:color="auto" w:fill="FFFFFF"/>
                <w:lang w:eastAsia="zh-CN"/>
              </w:rPr>
              <w:t>.其他违反法律法规规章文件规定的行为。</w:t>
            </w:r>
          </w:p>
        </w:tc>
        <w:tc>
          <w:tcPr>
            <w:tcW w:w="1335"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40" w:type="dxa"/>
            <w:vAlign w:val="center"/>
          </w:tcPr>
          <w:p>
            <w:pPr>
              <w:wordWrap/>
              <w:spacing w:line="240" w:lineRule="exact"/>
              <w:ind w:left="0" w:leftChars="0" w:right="0" w:firstLine="0" w:firstLineChars="0"/>
              <w:jc w:val="center"/>
              <w:rPr>
                <w:rFonts w:hint="default"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35</w:t>
            </w:r>
          </w:p>
        </w:tc>
        <w:tc>
          <w:tcPr>
            <w:tcW w:w="807"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eastAsia="zh-CN"/>
              </w:rPr>
              <w:t>其他类</w:t>
            </w:r>
          </w:p>
        </w:tc>
        <w:tc>
          <w:tcPr>
            <w:tcW w:w="1225"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eastAsia="zh-CN"/>
              </w:rPr>
              <w:t>特级教师的评选推荐</w:t>
            </w:r>
          </w:p>
        </w:tc>
        <w:tc>
          <w:tcPr>
            <w:tcW w:w="1002"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val="en-US" w:eastAsia="zh-CN"/>
              </w:rPr>
              <w:t>高邑县</w:t>
            </w:r>
            <w:r>
              <w:rPr>
                <w:rFonts w:hint="eastAsia" w:ascii="仿宋_GB2312" w:hAnsi="仿宋_GB2312" w:eastAsia="仿宋_GB2312" w:cs="仿宋_GB2312"/>
                <w:color w:val="auto"/>
                <w:sz w:val="20"/>
                <w:szCs w:val="20"/>
                <w:lang w:eastAsia="zh-CN"/>
              </w:rPr>
              <w:t>教育局</w:t>
            </w:r>
          </w:p>
        </w:tc>
        <w:tc>
          <w:tcPr>
            <w:tcW w:w="3488" w:type="dxa"/>
            <w:vAlign w:val="top"/>
          </w:tcPr>
          <w:p>
            <w:pPr>
              <w:numPr>
                <w:ilvl w:val="0"/>
                <w:numId w:val="0"/>
              </w:numPr>
              <w:wordWrap/>
              <w:adjustRightInd w:val="0"/>
              <w:snapToGrid w:val="0"/>
              <w:spacing w:line="240" w:lineRule="exact"/>
              <w:ind w:left="0" w:leftChars="0" w:right="0" w:firstLine="0" w:firstLineChars="0"/>
              <w:rPr>
                <w:rFonts w:hint="eastAsia" w:ascii="仿宋_GB2312" w:hAnsi="仿宋_GB2312" w:eastAsia="仿宋_GB2312" w:cs="仿宋_GB2312"/>
                <w:color w:val="auto"/>
                <w:spacing w:val="4"/>
                <w:sz w:val="20"/>
                <w:szCs w:val="20"/>
                <w:lang w:val="en-US" w:eastAsia="zh-CN"/>
              </w:rPr>
            </w:pPr>
            <w:r>
              <w:rPr>
                <w:rFonts w:hint="eastAsia" w:ascii="仿宋_GB2312" w:hAnsi="仿宋_GB2312" w:eastAsia="仿宋_GB2312" w:cs="仿宋_GB2312"/>
                <w:color w:val="auto"/>
                <w:sz w:val="20"/>
                <w:szCs w:val="20"/>
                <w:lang w:val="en-US" w:eastAsia="zh-CN"/>
              </w:rPr>
              <w:t>1.《</w:t>
            </w:r>
            <w:r>
              <w:rPr>
                <w:rFonts w:hint="eastAsia" w:ascii="仿宋_GB2312" w:hAnsi="仿宋_GB2312" w:eastAsia="仿宋_GB2312" w:cs="仿宋_GB2312"/>
                <w:color w:val="auto"/>
                <w:spacing w:val="4"/>
                <w:sz w:val="20"/>
                <w:szCs w:val="20"/>
                <w:lang w:val="en-US" w:eastAsia="zh-CN"/>
              </w:rPr>
              <w:t>中共中央 国务院关于全面深化新时代教师队伍建设改革的意见》（中发〔2018〕4号）“25.提升教师社会地位。加大教师表彰力度。大力宣传教师中的‘时代楷模’和‘最美教师’。开展国家级教学名师、国家级教学成果奖评选表彰，重点奖励贡献突出的教学一线教师。做好特级教师评选，发挥引领作用。做好乡村学校从教30年教师荣誉证书颁发工作。各地要按照国家有关规定，因地制宜开展多种形式的教师表彰奖励活动，并落实相关优待政策。”</w:t>
            </w:r>
          </w:p>
          <w:p>
            <w:pPr>
              <w:numPr>
                <w:ilvl w:val="0"/>
                <w:numId w:val="0"/>
              </w:num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pacing w:val="4"/>
                <w:sz w:val="20"/>
                <w:szCs w:val="20"/>
                <w:lang w:val="en-US" w:eastAsia="zh-CN"/>
              </w:rPr>
              <w:t>2.《国家教委 人事部 财政部关于颁发&lt;特级教师评选规定&gt;的通知》（教人〔1993〕38号）第二条：“‘特级教师’是国家为了表彰特别优秀的中小学教师而特设的一种既具先进性、又有专业性的称号。特级教师应是师德的表率、育人的模范、教学的专家。”第六条：“评选特级教师的程序：（一）在学校组织教师酝酿提名的基础上，地（市）、县教育行政部门可在适当范围内，广泛征求意见，通过全面考核，确定推荐人选，报省自治区、直辖市教育行政部门。（二）省自治区、直辖市教育行政部门对地（市）、县的推荐人选审核后，送交由教育行政部门领导、特级教师、对中小学教育有研究的专家、校长组成的评审组织评审。（三）省自治区、直辖市教育行政部门根据特级教师评审组织的意见确定正式人选报省自治区、直辖市人民政府批准，并报国务院教育行政部门备案。”</w:t>
            </w:r>
          </w:p>
        </w:tc>
        <w:tc>
          <w:tcPr>
            <w:tcW w:w="3895" w:type="dxa"/>
            <w:vAlign w:val="top"/>
          </w:tcPr>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eastAsia="zh-CN"/>
              </w:rPr>
              <w:t xml:space="preserve">1.公告（含通知）责任：根据上级安排，制定下发评选推荐通知，告知评比的对象、方式、内容和标准。                           </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eastAsia="zh-CN"/>
              </w:rPr>
              <w:t>2.受理责任：受理申报对象提交的申报材料。</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eastAsia="zh-CN"/>
              </w:rPr>
              <w:t>3.评审责任：根据评选标准和上级名额分配，审查申报材料，提出评审意见；</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eastAsia="zh-CN"/>
              </w:rPr>
              <w:t>4.推荐公示责任：经集体审议，确定推荐名单和意见，并公示后，报省教育厅；</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000000"/>
                <w:sz w:val="20"/>
                <w:szCs w:val="20"/>
                <w:lang w:eastAsia="zh-CN"/>
              </w:rPr>
              <w:t>5.其他法律法规规章文件规定应履行的责任。</w:t>
            </w:r>
          </w:p>
        </w:tc>
        <w:tc>
          <w:tcPr>
            <w:tcW w:w="1620" w:type="dxa"/>
            <w:vAlign w:val="top"/>
          </w:tcPr>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eastAsia="zh-CN"/>
              </w:rPr>
              <w:t>因不履行或不正确履行行政职责，有下列情形的，行政机关及其工作人员应承担相应责任：</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eastAsia="zh-CN"/>
              </w:rPr>
            </w:pPr>
            <w:r>
              <w:rPr>
                <w:rFonts w:hint="eastAsia" w:ascii="仿宋_GB2312" w:hAnsi="仿宋_GB2312" w:eastAsia="仿宋_GB2312" w:cs="仿宋_GB2312"/>
                <w:b w:val="0"/>
                <w:bCs w:val="0"/>
                <w:color w:val="auto"/>
                <w:sz w:val="20"/>
                <w:szCs w:val="20"/>
                <w:shd w:val="clear" w:color="auto" w:fill="FFFFFF"/>
                <w:lang w:val="en-US" w:eastAsia="zh-CN"/>
              </w:rPr>
              <w:t>1.</w:t>
            </w:r>
            <w:r>
              <w:rPr>
                <w:rFonts w:hint="eastAsia" w:ascii="仿宋_GB2312" w:hAnsi="仿宋_GB2312" w:eastAsia="仿宋_GB2312" w:cs="仿宋_GB2312"/>
                <w:color w:val="auto"/>
                <w:sz w:val="20"/>
                <w:szCs w:val="20"/>
                <w:shd w:val="clear" w:color="auto" w:fill="FFFFFF"/>
                <w:lang w:val="en-US" w:eastAsia="zh-CN"/>
              </w:rPr>
              <w:t>在办理过程中有</w:t>
            </w:r>
            <w:r>
              <w:rPr>
                <w:rFonts w:hint="eastAsia" w:ascii="仿宋_GB2312" w:hAnsi="仿宋_GB2312" w:eastAsia="仿宋_GB2312" w:cs="仿宋_GB2312"/>
                <w:color w:val="auto"/>
                <w:sz w:val="20"/>
                <w:szCs w:val="20"/>
                <w:shd w:val="clear" w:color="auto" w:fill="FFFFFF"/>
              </w:rPr>
              <w:t>徇私舞弊或者有其他渎职、失职行为</w:t>
            </w:r>
            <w:r>
              <w:rPr>
                <w:rFonts w:hint="eastAsia" w:ascii="仿宋_GB2312" w:hAnsi="仿宋_GB2312" w:eastAsia="仿宋_GB2312" w:cs="仿宋_GB2312"/>
                <w:color w:val="auto"/>
                <w:sz w:val="20"/>
                <w:szCs w:val="20"/>
                <w:shd w:val="clear" w:color="auto" w:fill="FFFFFF"/>
                <w:lang w:eastAsia="zh-CN"/>
              </w:rPr>
              <w:t>； 　　</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shd w:val="clear" w:color="auto" w:fill="FFFFFF"/>
                <w:lang w:val="en-US" w:eastAsia="zh-CN"/>
              </w:rPr>
              <w:t>2</w:t>
            </w:r>
            <w:r>
              <w:rPr>
                <w:rFonts w:hint="eastAsia" w:ascii="仿宋_GB2312" w:hAnsi="仿宋_GB2312" w:eastAsia="仿宋_GB2312" w:cs="仿宋_GB2312"/>
                <w:color w:val="auto"/>
                <w:sz w:val="20"/>
                <w:szCs w:val="20"/>
                <w:shd w:val="clear" w:color="auto" w:fill="FFFFFF"/>
                <w:lang w:eastAsia="zh-CN"/>
              </w:rPr>
              <w:t>.其他违反法律法规规章文件规定的行为。</w:t>
            </w:r>
          </w:p>
        </w:tc>
        <w:tc>
          <w:tcPr>
            <w:tcW w:w="1335"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40" w:type="dxa"/>
            <w:vAlign w:val="center"/>
          </w:tcPr>
          <w:p>
            <w:pPr>
              <w:wordWrap/>
              <w:spacing w:line="240" w:lineRule="exact"/>
              <w:ind w:left="0" w:leftChars="0" w:right="0" w:firstLine="0" w:firstLineChars="0"/>
              <w:jc w:val="center"/>
              <w:rPr>
                <w:rFonts w:hint="default"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36</w:t>
            </w:r>
          </w:p>
        </w:tc>
        <w:tc>
          <w:tcPr>
            <w:tcW w:w="807"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eastAsia="zh-CN"/>
              </w:rPr>
              <w:t>其他类</w:t>
            </w:r>
          </w:p>
        </w:tc>
        <w:tc>
          <w:tcPr>
            <w:tcW w:w="1225"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eastAsia="zh-CN"/>
              </w:rPr>
              <w:t>学校安全事故纠纷调解</w:t>
            </w:r>
          </w:p>
        </w:tc>
        <w:tc>
          <w:tcPr>
            <w:tcW w:w="1002"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val="en-US" w:eastAsia="zh-CN"/>
              </w:rPr>
              <w:t>高邑县</w:t>
            </w:r>
            <w:r>
              <w:rPr>
                <w:rFonts w:hint="eastAsia" w:ascii="仿宋_GB2312" w:hAnsi="仿宋_GB2312" w:eastAsia="仿宋_GB2312" w:cs="仿宋_GB2312"/>
                <w:color w:val="auto"/>
                <w:sz w:val="20"/>
                <w:szCs w:val="20"/>
                <w:lang w:eastAsia="zh-CN"/>
              </w:rPr>
              <w:t>教育局</w:t>
            </w:r>
          </w:p>
        </w:tc>
        <w:tc>
          <w:tcPr>
            <w:tcW w:w="3488" w:type="dxa"/>
            <w:vAlign w:val="top"/>
          </w:tcPr>
          <w:p>
            <w:pPr>
              <w:wordWrap/>
              <w:spacing w:line="240" w:lineRule="exact"/>
              <w:ind w:left="0" w:leftChars="0" w:right="0" w:firstLine="0" w:firstLineChars="0"/>
              <w:rPr>
                <w:rFonts w:hint="eastAsia"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河北省学校安全条例》第五十九条“因学校安全事故引起的纠纷，当事人可以通过协商、调解方式解决，也可以通过诉讼方式解决。设区的市和县（市、区）人民政府教育行政部门、司法行政部门可以根据需要会同其他有关部门设立学校安全事故人民调解委员会，对学校难以自行协商或者协商不成的安全事故纠纷进行调解。人民调解员由具有较强专业知识和社会公信力、影响力，热心调解工作和教育事业的社会人士担任。”</w:t>
            </w:r>
          </w:p>
        </w:tc>
        <w:tc>
          <w:tcPr>
            <w:tcW w:w="3895" w:type="dxa"/>
            <w:vAlign w:val="top"/>
          </w:tcPr>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val="en-US" w:eastAsia="zh-CN"/>
              </w:rPr>
              <w:t>1.</w:t>
            </w:r>
            <w:r>
              <w:rPr>
                <w:rFonts w:hint="eastAsia" w:ascii="仿宋_GB2312" w:hAnsi="仿宋_GB2312" w:eastAsia="仿宋_GB2312" w:cs="仿宋_GB2312"/>
                <w:color w:val="auto"/>
                <w:sz w:val="20"/>
                <w:szCs w:val="20"/>
                <w:lang w:eastAsia="zh-CN"/>
              </w:rPr>
              <w:t>受理责任：调委会接到当事人申请后，应及时登记，并在5个工作日内完成材料审查。符合条件的，出具受理凭证，并组成调解小组。对不符合条件的，应当及时书面告知申请人，并说明理由。</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val="en-US" w:eastAsia="zh-CN"/>
              </w:rPr>
              <w:t>2.</w:t>
            </w:r>
            <w:r>
              <w:rPr>
                <w:rFonts w:hint="eastAsia" w:ascii="仿宋_GB2312" w:hAnsi="仿宋_GB2312" w:eastAsia="仿宋_GB2312" w:cs="仿宋_GB2312"/>
                <w:color w:val="auto"/>
                <w:sz w:val="20"/>
                <w:szCs w:val="20"/>
                <w:lang w:eastAsia="zh-CN"/>
              </w:rPr>
              <w:t>调查和调解责任：由调解小组根据争议内容，进行必要的调查。调解小组在实施调解时，应当听取当事人陈述事实和理由，并做好调解笔录。需要核实有关情况的，可以向其他组织和人员进行核实。争议纠纷涉及第三人的，应当通知第三人参加行政调解。调解结果涉及第三人利益的，应当征得第三人同意，第三人不同意的，终止调解。</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val="en-US" w:eastAsia="zh-CN"/>
              </w:rPr>
              <w:t>3.</w:t>
            </w:r>
            <w:r>
              <w:rPr>
                <w:rFonts w:hint="eastAsia" w:ascii="仿宋_GB2312" w:hAnsi="仿宋_GB2312" w:eastAsia="仿宋_GB2312" w:cs="仿宋_GB2312"/>
                <w:color w:val="auto"/>
                <w:sz w:val="20"/>
                <w:szCs w:val="20"/>
                <w:lang w:eastAsia="zh-CN"/>
              </w:rPr>
              <w:t>制作调解书责任：调解达成协议后，双方当事人一般应当签订书面调解协议。调解协议书一式三份，由双方当事人各执一份，调委会留存一份备案存档。调解协议不得对各方当事人增设超过法律法规规定的权力和义务。</w:t>
            </w:r>
          </w:p>
          <w:p>
            <w:pPr>
              <w:wordWrap/>
              <w:spacing w:line="240" w:lineRule="exact"/>
              <w:ind w:left="0" w:leftChars="0" w:right="0" w:firstLine="0" w:firstLineChars="0"/>
              <w:rPr>
                <w:rFonts w:hint="eastAsia"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4</w:t>
            </w:r>
            <w:r>
              <w:rPr>
                <w:rFonts w:hint="eastAsia" w:ascii="仿宋_GB2312" w:hAnsi="仿宋_GB2312" w:eastAsia="仿宋_GB2312" w:cs="仿宋_GB2312"/>
                <w:color w:val="FF0000"/>
                <w:sz w:val="20"/>
                <w:szCs w:val="20"/>
                <w:lang w:val="en-US" w:eastAsia="zh-CN"/>
              </w:rPr>
              <w:t>.</w:t>
            </w:r>
            <w:r>
              <w:rPr>
                <w:rFonts w:hint="eastAsia" w:ascii="仿宋_GB2312" w:hAnsi="仿宋_GB2312" w:eastAsia="仿宋_GB2312" w:cs="仿宋_GB2312"/>
                <w:color w:val="000000"/>
                <w:sz w:val="20"/>
                <w:szCs w:val="20"/>
                <w:lang w:eastAsia="zh-CN"/>
              </w:rPr>
              <w:t>.其他法律法规规章文件规定应履行的责任。</w:t>
            </w:r>
          </w:p>
        </w:tc>
        <w:tc>
          <w:tcPr>
            <w:tcW w:w="1620" w:type="dxa"/>
            <w:vAlign w:val="top"/>
          </w:tcPr>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eastAsia="zh-CN"/>
              </w:rPr>
              <w:t>因不履行或不正确履行职责，有下列情形的，行政机关及相关工作人员应承担相应责任：</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eastAsia="zh-CN"/>
              </w:rPr>
              <w:t>1.没有法律和事实依据的；</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eastAsia="zh-CN"/>
              </w:rPr>
              <w:t>2.调解显失公正的；</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eastAsia="zh-CN"/>
              </w:rPr>
              <w:t>3.符合调解条件、应予组织调解而不组织调解的；</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eastAsia="zh-CN"/>
              </w:rPr>
              <w:t>4.在调解过程中发生腐败行为的；</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eastAsia="zh-CN"/>
              </w:rPr>
              <w:t>5.其他违反法律法规规章文件规定的行为。</w:t>
            </w:r>
          </w:p>
        </w:tc>
        <w:tc>
          <w:tcPr>
            <w:tcW w:w="1335"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40" w:type="dxa"/>
            <w:vAlign w:val="center"/>
          </w:tcPr>
          <w:p>
            <w:pPr>
              <w:wordWrap/>
              <w:spacing w:line="240" w:lineRule="exact"/>
              <w:ind w:left="0" w:leftChars="0" w:right="0" w:firstLine="0" w:firstLineChars="0"/>
              <w:jc w:val="center"/>
              <w:rPr>
                <w:rFonts w:hint="default"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lang w:val="en-US" w:eastAsia="zh-CN"/>
              </w:rPr>
              <w:t>37</w:t>
            </w:r>
          </w:p>
        </w:tc>
        <w:tc>
          <w:tcPr>
            <w:tcW w:w="807"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eastAsia="zh-CN"/>
              </w:rPr>
              <w:t>其他类</w:t>
            </w:r>
          </w:p>
        </w:tc>
        <w:tc>
          <w:tcPr>
            <w:tcW w:w="1225"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val="en-US" w:eastAsia="zh-CN"/>
              </w:rPr>
              <w:t>教育类社会团体筹备申请、成立登记、变更登记、注销登记前的审查</w:t>
            </w:r>
          </w:p>
        </w:tc>
        <w:tc>
          <w:tcPr>
            <w:tcW w:w="1002"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lang w:val="en-US" w:eastAsia="zh-CN"/>
              </w:rPr>
              <w:t>高邑县</w:t>
            </w:r>
            <w:r>
              <w:rPr>
                <w:rFonts w:hint="eastAsia" w:ascii="仿宋_GB2312" w:hAnsi="仿宋_GB2312" w:eastAsia="仿宋_GB2312" w:cs="仿宋_GB2312"/>
                <w:color w:val="auto"/>
                <w:sz w:val="20"/>
                <w:szCs w:val="20"/>
                <w:lang w:eastAsia="zh-CN"/>
              </w:rPr>
              <w:t>教育局</w:t>
            </w:r>
          </w:p>
        </w:tc>
        <w:tc>
          <w:tcPr>
            <w:tcW w:w="3488" w:type="dxa"/>
            <w:vAlign w:val="top"/>
          </w:tcPr>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val="en-US" w:eastAsia="zh-CN"/>
              </w:rPr>
            </w:pPr>
            <w:r>
              <w:rPr>
                <w:rFonts w:hint="eastAsia" w:ascii="仿宋_GB2312" w:hAnsi="仿宋_GB2312" w:eastAsia="仿宋_GB2312" w:cs="仿宋_GB2312"/>
                <w:color w:val="auto"/>
                <w:sz w:val="20"/>
                <w:szCs w:val="20"/>
                <w:shd w:val="clear" w:color="auto" w:fill="FFFFFF"/>
                <w:lang w:val="en-US" w:eastAsia="zh-CN"/>
              </w:rPr>
              <w:t>1.《社会团体登记管理条例》第三条第一款“成立社会团体，应当经其业务主管单位审查同意，并依照本条例的规定进行登记。”</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val="en-US" w:eastAsia="zh-CN"/>
              </w:rPr>
            </w:pPr>
            <w:r>
              <w:rPr>
                <w:rFonts w:hint="eastAsia" w:ascii="仿宋_GB2312" w:hAnsi="仿宋_GB2312" w:eastAsia="仿宋_GB2312" w:cs="仿宋_GB2312"/>
                <w:color w:val="auto"/>
                <w:sz w:val="20"/>
                <w:szCs w:val="20"/>
                <w:shd w:val="clear" w:color="auto" w:fill="FFFFFF"/>
                <w:lang w:val="en-US" w:eastAsia="zh-CN"/>
              </w:rPr>
              <w:t>2.《社会团体登记管理条例》第十八条“社会团体的登记事项需要变更的，应当自业务主管单位审查同意之日起30日内，向登记管理机关申请变更登记。”</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lang w:val="en-US" w:eastAsia="zh-CN"/>
              </w:rPr>
            </w:pPr>
            <w:r>
              <w:rPr>
                <w:rFonts w:hint="eastAsia" w:ascii="仿宋_GB2312" w:hAnsi="仿宋_GB2312" w:eastAsia="仿宋_GB2312" w:cs="仿宋_GB2312"/>
                <w:color w:val="auto"/>
                <w:sz w:val="20"/>
                <w:szCs w:val="20"/>
                <w:shd w:val="clear" w:color="auto" w:fill="FFFFFF"/>
                <w:lang w:val="en-US" w:eastAsia="zh-CN"/>
              </w:rPr>
              <w:t>3.《社会团体登记管理条例》第十九条“社会团体有下列情形之一的，应当在业务主管单位审查同意后，向登记管理机关申请注销登记：（一）完成社会团体章程规定的宗旨的；（二）自行解散的；（三）分立、合并的；（四）由于其他原因终止的。”</w:t>
            </w:r>
          </w:p>
        </w:tc>
        <w:tc>
          <w:tcPr>
            <w:tcW w:w="3895" w:type="dxa"/>
            <w:vAlign w:val="top"/>
          </w:tcPr>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eastAsia="zh-CN"/>
              </w:rPr>
            </w:pPr>
            <w:r>
              <w:rPr>
                <w:rFonts w:hint="eastAsia" w:ascii="仿宋_GB2312" w:hAnsi="仿宋_GB2312" w:eastAsia="仿宋_GB2312" w:cs="仿宋_GB2312"/>
                <w:color w:val="auto"/>
                <w:sz w:val="20"/>
                <w:szCs w:val="20"/>
                <w:shd w:val="clear" w:color="auto" w:fill="FFFFFF"/>
                <w:lang w:eastAsia="zh-CN"/>
              </w:rPr>
              <w:t>1.受理责任：公示应当提交的材料；一次性告知补正材料；依法决定受理或不予受理（不予受理应当告知理由）；</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eastAsia="zh-CN"/>
              </w:rPr>
            </w:pPr>
            <w:r>
              <w:rPr>
                <w:rFonts w:hint="eastAsia" w:ascii="仿宋_GB2312" w:hAnsi="仿宋_GB2312" w:eastAsia="仿宋_GB2312" w:cs="仿宋_GB2312"/>
                <w:color w:val="auto"/>
                <w:sz w:val="20"/>
                <w:szCs w:val="20"/>
                <w:shd w:val="clear" w:color="auto" w:fill="FFFFFF"/>
                <w:lang w:eastAsia="zh-CN"/>
              </w:rPr>
              <w:t xml:space="preserve"> 2.审查责任：对申请人提交的材料严格按照标准进行审查，提出是否同意的审核意见；</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eastAsia="zh-CN"/>
              </w:rPr>
            </w:pPr>
            <w:r>
              <w:rPr>
                <w:rFonts w:hint="eastAsia" w:ascii="仿宋_GB2312" w:hAnsi="仿宋_GB2312" w:eastAsia="仿宋_GB2312" w:cs="仿宋_GB2312"/>
                <w:color w:val="auto"/>
                <w:sz w:val="20"/>
                <w:szCs w:val="20"/>
                <w:shd w:val="clear" w:color="auto" w:fill="FFFFFF"/>
                <w:lang w:eastAsia="zh-CN"/>
              </w:rPr>
              <w:t>3.决定责任：作出同意或者不同意的批文，并法定告知；</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eastAsia="zh-CN"/>
              </w:rPr>
            </w:pPr>
            <w:r>
              <w:rPr>
                <w:rFonts w:hint="eastAsia" w:ascii="仿宋_GB2312" w:hAnsi="仿宋_GB2312" w:eastAsia="仿宋_GB2312" w:cs="仿宋_GB2312"/>
                <w:color w:val="auto"/>
                <w:sz w:val="20"/>
                <w:szCs w:val="20"/>
                <w:shd w:val="clear" w:color="auto" w:fill="FFFFFF"/>
                <w:lang w:eastAsia="zh-CN"/>
              </w:rPr>
              <w:t xml:space="preserve"> 4.送达责任：制发批文并按相关规定送达申请人；</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shd w:val="clear" w:color="auto" w:fill="FFFFFF"/>
                <w:lang w:eastAsia="zh-CN"/>
              </w:rPr>
              <w:t xml:space="preserve"> 5..其他法律法规规章文件规定应履行的责任。</w:t>
            </w:r>
          </w:p>
        </w:tc>
        <w:tc>
          <w:tcPr>
            <w:tcW w:w="1620" w:type="dxa"/>
            <w:vAlign w:val="top"/>
          </w:tcPr>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eastAsia="zh-CN"/>
              </w:rPr>
            </w:pPr>
            <w:r>
              <w:rPr>
                <w:rFonts w:hint="eastAsia" w:ascii="仿宋_GB2312" w:hAnsi="仿宋_GB2312" w:eastAsia="仿宋_GB2312" w:cs="仿宋_GB2312"/>
                <w:color w:val="auto"/>
                <w:sz w:val="20"/>
                <w:szCs w:val="20"/>
                <w:shd w:val="clear" w:color="auto" w:fill="FFFFFF"/>
                <w:lang w:eastAsia="zh-CN"/>
              </w:rPr>
              <w:t>因不履行或不正确履行行政职责，有下列情形的，行政机关及其工作人员应承担相应责任：</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val="en-US" w:eastAsia="zh-CN"/>
              </w:rPr>
            </w:pPr>
            <w:r>
              <w:rPr>
                <w:rFonts w:hint="eastAsia" w:ascii="仿宋_GB2312" w:hAnsi="仿宋_GB2312" w:eastAsia="仿宋_GB2312" w:cs="仿宋_GB2312"/>
                <w:color w:val="auto"/>
                <w:sz w:val="20"/>
                <w:szCs w:val="20"/>
                <w:shd w:val="clear" w:color="auto" w:fill="FFFFFF"/>
                <w:lang w:val="en-US" w:eastAsia="zh-CN"/>
              </w:rPr>
              <w:t>1.对符合法定条件的申请不予受理的；</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eastAsia="zh-CN"/>
              </w:rPr>
            </w:pPr>
            <w:r>
              <w:rPr>
                <w:rFonts w:hint="eastAsia" w:ascii="仿宋_GB2312" w:hAnsi="仿宋_GB2312" w:eastAsia="仿宋_GB2312" w:cs="仿宋_GB2312"/>
                <w:color w:val="auto"/>
                <w:sz w:val="20"/>
                <w:szCs w:val="20"/>
                <w:shd w:val="clear" w:color="auto" w:fill="FFFFFF"/>
                <w:lang w:val="en-US" w:eastAsia="zh-CN"/>
              </w:rPr>
              <w:t>2.对不符合法定条件的申请人出具同意意见或者超越法定职权出具同意意见的</w:t>
            </w:r>
            <w:r>
              <w:rPr>
                <w:rFonts w:hint="eastAsia" w:ascii="仿宋_GB2312" w:hAnsi="仿宋_GB2312" w:eastAsia="仿宋_GB2312" w:cs="仿宋_GB2312"/>
                <w:color w:val="auto"/>
                <w:sz w:val="20"/>
                <w:szCs w:val="20"/>
                <w:shd w:val="clear" w:color="auto" w:fill="FFFFFF"/>
                <w:lang w:eastAsia="zh-CN"/>
              </w:rPr>
              <w:t>； 　　</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val="en-US" w:eastAsia="zh-CN"/>
              </w:rPr>
            </w:pPr>
            <w:r>
              <w:rPr>
                <w:rFonts w:hint="eastAsia" w:ascii="仿宋_GB2312" w:hAnsi="仿宋_GB2312" w:eastAsia="仿宋_GB2312" w:cs="仿宋_GB2312"/>
                <w:color w:val="auto"/>
                <w:sz w:val="20"/>
                <w:szCs w:val="20"/>
                <w:shd w:val="clear" w:color="auto" w:fill="FFFFFF"/>
                <w:lang w:val="en-US" w:eastAsia="zh-CN"/>
              </w:rPr>
              <w:t>3.对符合法定条件的申请人不予同意或者不在法定期限内作出批复的；</w:t>
            </w:r>
          </w:p>
          <w:p>
            <w:pPr>
              <w:wordWrap/>
              <w:adjustRightInd w:val="0"/>
              <w:snapToGrid w:val="0"/>
              <w:spacing w:line="240" w:lineRule="exact"/>
              <w:ind w:left="0" w:leftChars="0" w:right="0" w:firstLine="0" w:firstLineChars="0"/>
              <w:rPr>
                <w:rFonts w:hint="eastAsia" w:ascii="仿宋_GB2312" w:hAnsi="仿宋_GB2312" w:eastAsia="仿宋_GB2312" w:cs="仿宋_GB2312"/>
                <w:color w:val="auto"/>
                <w:sz w:val="20"/>
                <w:szCs w:val="20"/>
                <w:shd w:val="clear" w:color="auto" w:fill="FFFFFF"/>
                <w:lang w:eastAsia="zh-CN"/>
              </w:rPr>
            </w:pPr>
            <w:r>
              <w:rPr>
                <w:rFonts w:hint="eastAsia" w:ascii="仿宋_GB2312" w:hAnsi="仿宋_GB2312" w:eastAsia="仿宋_GB2312" w:cs="仿宋_GB2312"/>
                <w:color w:val="auto"/>
                <w:sz w:val="20"/>
                <w:szCs w:val="20"/>
                <w:shd w:val="clear" w:color="auto" w:fill="FFFFFF"/>
                <w:lang w:val="en-US" w:eastAsia="zh-CN"/>
              </w:rPr>
              <w:t>4.在审查过程中有</w:t>
            </w:r>
            <w:r>
              <w:rPr>
                <w:rFonts w:hint="eastAsia" w:ascii="仿宋_GB2312" w:hAnsi="仿宋_GB2312" w:eastAsia="仿宋_GB2312" w:cs="仿宋_GB2312"/>
                <w:color w:val="auto"/>
                <w:sz w:val="20"/>
                <w:szCs w:val="20"/>
                <w:shd w:val="clear" w:color="auto" w:fill="FFFFFF"/>
              </w:rPr>
              <w:t>徇私舞弊或者有其他渎职、失职行为</w:t>
            </w:r>
            <w:r>
              <w:rPr>
                <w:rFonts w:hint="eastAsia" w:ascii="仿宋_GB2312" w:hAnsi="仿宋_GB2312" w:eastAsia="仿宋_GB2312" w:cs="仿宋_GB2312"/>
                <w:color w:val="auto"/>
                <w:sz w:val="20"/>
                <w:szCs w:val="20"/>
                <w:shd w:val="clear" w:color="auto" w:fill="FFFFFF"/>
                <w:lang w:eastAsia="zh-CN"/>
              </w:rPr>
              <w:t>； 　　</w:t>
            </w:r>
          </w:p>
          <w:p>
            <w:pPr>
              <w:wordWrap/>
              <w:spacing w:line="240" w:lineRule="exact"/>
              <w:ind w:left="0" w:leftChars="0" w:right="0" w:firstLine="0" w:firstLineChars="0"/>
              <w:rPr>
                <w:rFonts w:hint="eastAsia" w:ascii="仿宋_GB2312" w:hAnsi="仿宋_GB2312" w:eastAsia="仿宋_GB2312" w:cs="仿宋_GB2312"/>
                <w:color w:val="auto"/>
                <w:sz w:val="20"/>
                <w:szCs w:val="20"/>
                <w:lang w:eastAsia="zh-CN"/>
              </w:rPr>
            </w:pPr>
            <w:r>
              <w:rPr>
                <w:rFonts w:hint="eastAsia" w:ascii="仿宋_GB2312" w:hAnsi="仿宋_GB2312" w:eastAsia="仿宋_GB2312" w:cs="仿宋_GB2312"/>
                <w:color w:val="auto"/>
                <w:sz w:val="20"/>
                <w:szCs w:val="20"/>
                <w:shd w:val="clear" w:color="auto" w:fill="FFFFFF"/>
                <w:lang w:val="en-US" w:eastAsia="zh-CN"/>
              </w:rPr>
              <w:t>5</w:t>
            </w:r>
            <w:r>
              <w:rPr>
                <w:rFonts w:hint="eastAsia" w:ascii="仿宋_GB2312" w:hAnsi="仿宋_GB2312" w:eastAsia="仿宋_GB2312" w:cs="仿宋_GB2312"/>
                <w:color w:val="auto"/>
                <w:sz w:val="20"/>
                <w:szCs w:val="20"/>
                <w:shd w:val="clear" w:color="auto" w:fill="FFFFFF"/>
                <w:lang w:eastAsia="zh-CN"/>
              </w:rPr>
              <w:t>.其他违反法律法规规章文件规定的行为。</w:t>
            </w:r>
          </w:p>
        </w:tc>
        <w:tc>
          <w:tcPr>
            <w:tcW w:w="1335" w:type="dxa"/>
            <w:vAlign w:val="center"/>
          </w:tcPr>
          <w:p>
            <w:pPr>
              <w:wordWrap/>
              <w:spacing w:line="240" w:lineRule="exact"/>
              <w:ind w:left="0" w:leftChars="0" w:right="0" w:firstLine="0" w:firstLineChars="0"/>
              <w:jc w:val="center"/>
              <w:rPr>
                <w:rFonts w:hint="eastAsia" w:ascii="仿宋_GB2312" w:hAnsi="仿宋_GB2312" w:eastAsia="仿宋_GB2312" w:cs="仿宋_GB2312"/>
                <w:color w:val="auto"/>
                <w:sz w:val="20"/>
                <w:szCs w:val="20"/>
                <w:lang w:eastAsia="zh-CN"/>
              </w:rPr>
            </w:pPr>
          </w:p>
        </w:tc>
      </w:tr>
    </w:tbl>
    <w:p>
      <w:pPr>
        <w:wordWrap/>
        <w:spacing w:line="240" w:lineRule="exact"/>
        <w:ind w:left="0" w:leftChars="0" w:right="0" w:firstLine="0" w:firstLineChars="0"/>
        <w:rPr>
          <w:rFonts w:hint="eastAsia" w:ascii="仿宋_GB2312" w:hAnsi="仿宋_GB2312" w:eastAsia="仿宋_GB2312" w:cs="仿宋_GB2312"/>
          <w:lang w:eastAsia="zh-CN"/>
        </w:rPr>
      </w:pP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ascii="Calibri" w:hAnsi="Calibri" w:eastAsia="宋体" w:cs="黑体"/>
        <w:kern w:val="2"/>
        <w:sz w:val="18"/>
        <w:szCs w:val="24"/>
        <w:lang w:val="en-US" w:eastAsia="zh-CN" w:bidi="ar-SA"/>
      </w:rPr>
      <w:pict>
        <v:rect id="文本框 1" o:spid="_x0000_s4097" o:spt="1" style="position:absolute;left:0pt;margin-top:0pt;height:144pt;width:144pt;mso-position-horizontal:center;mso-position-horizontal-relative:margin;mso-wrap-style:none;z-index:251658240;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rFonts w:hint="eastAsia"/>
                    <w:sz w:val="18"/>
                    <w:lang w:eastAsia="zh-CN"/>
                  </w:rPr>
                  <w:t>1</w:t>
                </w:r>
                <w:r>
                  <w:rPr>
                    <w:rFonts w:hint="eastAsia"/>
                    <w:sz w:val="18"/>
                    <w:lang w:eastAsia="zh-CN"/>
                  </w:rPr>
                  <w:fldChar w:fldCharType="end"/>
                </w:r>
              </w:p>
            </w:txbxContent>
          </v:textbox>
        </v:rect>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F90F7C5"/>
    <w:multiLevelType w:val="singleLevel"/>
    <w:tmpl w:val="5F90F7C5"/>
    <w:lvl w:ilvl="0" w:tentative="0">
      <w:start w:val="1"/>
      <w:numFmt w:val="decimal"/>
      <w:suff w:val="nothing"/>
      <w:lvlText w:val="%1."/>
      <w:lvlJc w:val="left"/>
    </w:lvl>
  </w:abstractNum>
  <w:abstractNum w:abstractNumId="1">
    <w:nsid w:val="5F922EC6"/>
    <w:multiLevelType w:val="singleLevel"/>
    <w:tmpl w:val="5F922EC6"/>
    <w:lvl w:ilvl="0" w:tentative="0">
      <w:start w:val="1"/>
      <w:numFmt w:val="decimal"/>
      <w:suff w:val="nothing"/>
      <w:lvlText w:val="%1."/>
      <w:lvlJc w:val="left"/>
    </w:lvl>
  </w:abstractNum>
  <w:abstractNum w:abstractNumId="2">
    <w:nsid w:val="5F963BFD"/>
    <w:multiLevelType w:val="singleLevel"/>
    <w:tmpl w:val="5F963BFD"/>
    <w:lvl w:ilvl="0" w:tentative="0">
      <w:start w:val="1"/>
      <w:numFmt w:val="decimal"/>
      <w:suff w:val="nothing"/>
      <w:lvlText w:val="%1."/>
      <w:lvlJc w:val="left"/>
    </w:lvl>
  </w:abstractNum>
  <w:abstractNum w:abstractNumId="3">
    <w:nsid w:val="601F43AB"/>
    <w:multiLevelType w:val="singleLevel"/>
    <w:tmpl w:val="601F43AB"/>
    <w:lvl w:ilvl="0" w:tentative="0">
      <w:start w:val="1"/>
      <w:numFmt w:val="decimal"/>
      <w:suff w:val="nothing"/>
      <w:lvlText w:val="%1."/>
      <w:lvlJc w:val="left"/>
    </w:lvl>
  </w:abstractNum>
  <w:abstractNum w:abstractNumId="4">
    <w:nsid w:val="601F4E72"/>
    <w:multiLevelType w:val="singleLevel"/>
    <w:tmpl w:val="601F4E72"/>
    <w:lvl w:ilvl="0" w:tentative="0">
      <w:start w:val="1"/>
      <w:numFmt w:val="decimal"/>
      <w:suff w:val="nothing"/>
      <w:lvlText w:val="%1."/>
      <w:lvlJc w:val="left"/>
    </w:lvl>
  </w:abstractNum>
  <w:abstractNum w:abstractNumId="5">
    <w:nsid w:val="6049C420"/>
    <w:multiLevelType w:val="singleLevel"/>
    <w:tmpl w:val="6049C420"/>
    <w:lvl w:ilvl="0" w:tentative="0">
      <w:start w:val="1"/>
      <w:numFmt w:val="decimal"/>
      <w:suff w:val="nothing"/>
      <w:lvlText w:val="%1."/>
      <w:lvlJc w:val="left"/>
    </w:lvl>
  </w:abstractNum>
  <w:abstractNum w:abstractNumId="6">
    <w:nsid w:val="604ADA3B"/>
    <w:multiLevelType w:val="singleLevel"/>
    <w:tmpl w:val="604ADA3B"/>
    <w:lvl w:ilvl="0" w:tentative="0">
      <w:start w:val="2"/>
      <w:numFmt w:val="decimal"/>
      <w:suff w:val="nothing"/>
      <w:lvlText w:val="%1."/>
      <w:lvlJc w:val="left"/>
    </w:lvl>
  </w:abstractNum>
  <w:abstractNum w:abstractNumId="7">
    <w:nsid w:val="60583690"/>
    <w:multiLevelType w:val="singleLevel"/>
    <w:tmpl w:val="60583690"/>
    <w:lvl w:ilvl="0" w:tentative="0">
      <w:start w:val="2"/>
      <w:numFmt w:val="decimal"/>
      <w:suff w:val="nothing"/>
      <w:lvlText w:val="%1."/>
      <w:lvlJc w:val="left"/>
    </w:lvl>
  </w:abstractNum>
  <w:num w:numId="1">
    <w:abstractNumId w:val="0"/>
  </w:num>
  <w:num w:numId="2">
    <w:abstractNumId w:val="7"/>
  </w:num>
  <w:num w:numId="3">
    <w:abstractNumId w:val="5"/>
  </w:num>
  <w:num w:numId="4">
    <w:abstractNumId w:val="4"/>
  </w:num>
  <w:num w:numId="5">
    <w:abstractNumId w:val="2"/>
  </w:num>
  <w:num w:numId="6">
    <w:abstractNumId w:val="1"/>
  </w:num>
  <w:num w:numId="7">
    <w:abstractNumId w:val="3"/>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07562F89"/>
    <w:rsid w:val="36C57AB1"/>
    <w:rsid w:val="60BF3735"/>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kern w:val="44"/>
      <w:sz w:val="48"/>
      <w:szCs w:val="48"/>
      <w:lang w:val="en-US" w:eastAsia="zh-CN"/>
    </w:rPr>
  </w:style>
  <w:style w:type="paragraph" w:styleId="3">
    <w:name w:val="heading 2"/>
    <w:basedOn w:val="1"/>
    <w:next w:val="1"/>
    <w:unhideWhenUsed/>
    <w:qFormat/>
    <w:uiPriority w:val="0"/>
    <w:pPr>
      <w:spacing w:before="0" w:beforeAutospacing="1" w:after="0" w:afterAutospacing="1"/>
      <w:jc w:val="left"/>
    </w:pPr>
    <w:rPr>
      <w:rFonts w:hint="eastAsia" w:ascii="宋体" w:hAnsi="宋体" w:eastAsia="宋体" w:cs="宋体"/>
      <w:b/>
      <w:kern w:val="0"/>
      <w:sz w:val="36"/>
      <w:szCs w:val="36"/>
      <w:lang w:val="en-US" w:eastAsia="zh-CN"/>
    </w:rPr>
  </w:style>
  <w:style w:type="paragraph" w:styleId="4">
    <w:name w:val="heading 4"/>
    <w:basedOn w:val="1"/>
    <w:next w:val="1"/>
    <w:unhideWhenUsed/>
    <w:qFormat/>
    <w:uiPriority w:val="0"/>
    <w:pPr>
      <w:spacing w:before="0" w:beforeAutospacing="1" w:after="0" w:afterAutospacing="1"/>
      <w:jc w:val="left"/>
    </w:pPr>
    <w:rPr>
      <w:rFonts w:hint="eastAsia" w:ascii="宋体" w:hAnsi="宋体" w:eastAsia="宋体" w:cs="宋体"/>
      <w:b/>
      <w:kern w:val="0"/>
      <w:sz w:val="24"/>
      <w:szCs w:val="24"/>
      <w:lang w:val="en-US" w:eastAsia="zh-CN"/>
    </w:rPr>
  </w:style>
  <w:style w:type="character" w:default="1" w:styleId="8">
    <w:name w:val="Default Paragraph Font"/>
    <w:semiHidden/>
    <w:qFormat/>
    <w:uiPriority w:val="0"/>
  </w:style>
  <w:style w:type="table" w:default="1" w:styleId="21">
    <w:name w:val="Normal Table"/>
    <w:semiHidden/>
    <w:qFormat/>
    <w:uiPriority w:val="0"/>
    <w:tblPr>
      <w:tblLayout w:type="fixed"/>
      <w:tblCellMar>
        <w:top w:w="0" w:type="dxa"/>
        <w:left w:w="108" w:type="dxa"/>
        <w:bottom w:w="0" w:type="dxa"/>
        <w:right w:w="108" w:type="dxa"/>
      </w:tblCellMar>
    </w:tbl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Normal (Web)"/>
    <w:basedOn w:val="1"/>
    <w:qFormat/>
    <w:uiPriority w:val="0"/>
    <w:pPr>
      <w:pBdr>
        <w:top w:val="none" w:color="auto" w:sz="0" w:space="0"/>
        <w:left w:val="none" w:color="auto" w:sz="0" w:space="0"/>
        <w:bottom w:val="none" w:color="auto" w:sz="0" w:space="0"/>
        <w:right w:val="none" w:color="auto" w:sz="0" w:space="0"/>
      </w:pBdr>
      <w:spacing w:before="0" w:beforeAutospacing="0" w:after="0" w:afterAutospacing="0"/>
      <w:ind w:left="0" w:right="0"/>
      <w:jc w:val="left"/>
    </w:pPr>
    <w:rPr>
      <w:kern w:val="0"/>
      <w:sz w:val="24"/>
      <w:lang w:val="en-US" w:eastAsia="zh-CN"/>
    </w:rPr>
  </w:style>
  <w:style w:type="character" w:styleId="9">
    <w:name w:val="Strong"/>
    <w:basedOn w:val="8"/>
    <w:qFormat/>
    <w:uiPriority w:val="0"/>
    <w:rPr>
      <w:b/>
    </w:rPr>
  </w:style>
  <w:style w:type="character" w:styleId="10">
    <w:name w:val="FollowedHyperlink"/>
    <w:basedOn w:val="8"/>
    <w:qFormat/>
    <w:uiPriority w:val="0"/>
    <w:rPr>
      <w:color w:val="000000"/>
      <w:u w:val="none"/>
    </w:rPr>
  </w:style>
  <w:style w:type="character" w:styleId="11">
    <w:name w:val="Emphasis"/>
    <w:basedOn w:val="8"/>
    <w:qFormat/>
    <w:uiPriority w:val="0"/>
  </w:style>
  <w:style w:type="character" w:styleId="12">
    <w:name w:val="HTML Definition"/>
    <w:basedOn w:val="8"/>
    <w:qFormat/>
    <w:uiPriority w:val="0"/>
  </w:style>
  <w:style w:type="character" w:styleId="13">
    <w:name w:val="HTML Typewriter"/>
    <w:basedOn w:val="8"/>
    <w:qFormat/>
    <w:uiPriority w:val="0"/>
    <w:rPr>
      <w:rFonts w:ascii="Courier New" w:hAnsi="Courier New"/>
      <w:sz w:val="24"/>
      <w:szCs w:val="24"/>
    </w:rPr>
  </w:style>
  <w:style w:type="character" w:styleId="14">
    <w:name w:val="HTML Acronym"/>
    <w:basedOn w:val="8"/>
    <w:qFormat/>
    <w:uiPriority w:val="0"/>
  </w:style>
  <w:style w:type="character" w:styleId="15">
    <w:name w:val="HTML Variable"/>
    <w:basedOn w:val="8"/>
    <w:qFormat/>
    <w:uiPriority w:val="0"/>
  </w:style>
  <w:style w:type="character" w:styleId="16">
    <w:name w:val="Hyperlink"/>
    <w:basedOn w:val="8"/>
    <w:qFormat/>
    <w:uiPriority w:val="0"/>
    <w:rPr>
      <w:color w:val="0000FF"/>
      <w:u w:val="single"/>
    </w:rPr>
  </w:style>
  <w:style w:type="character" w:styleId="17">
    <w:name w:val="HTML Code"/>
    <w:basedOn w:val="8"/>
    <w:qFormat/>
    <w:uiPriority w:val="0"/>
    <w:rPr>
      <w:rFonts w:ascii="Courier New" w:hAnsi="Courier New"/>
      <w:sz w:val="24"/>
      <w:szCs w:val="24"/>
    </w:rPr>
  </w:style>
  <w:style w:type="character" w:styleId="18">
    <w:name w:val="HTML Cite"/>
    <w:basedOn w:val="8"/>
    <w:qFormat/>
    <w:uiPriority w:val="0"/>
  </w:style>
  <w:style w:type="character" w:styleId="19">
    <w:name w:val="HTML Keyboard"/>
    <w:basedOn w:val="8"/>
    <w:qFormat/>
    <w:uiPriority w:val="0"/>
    <w:rPr>
      <w:rFonts w:ascii="Courier New" w:hAnsi="Courier New"/>
      <w:sz w:val="24"/>
      <w:szCs w:val="24"/>
    </w:rPr>
  </w:style>
  <w:style w:type="character" w:styleId="20">
    <w:name w:val="HTML Sample"/>
    <w:basedOn w:val="8"/>
    <w:qFormat/>
    <w:uiPriority w:val="0"/>
    <w:rPr>
      <w:rFonts w:ascii="Courier New" w:hAnsi="Courier New"/>
      <w:sz w:val="24"/>
      <w:szCs w:val="24"/>
    </w:rPr>
  </w:style>
  <w:style w:type="table" w:styleId="22">
    <w:name w:val="Table Grid"/>
    <w:basedOn w:val="2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23">
    <w:name w:val="cjk"/>
    <w:basedOn w:val="1"/>
    <w:qFormat/>
    <w:uiPriority w:val="99"/>
    <w:pPr>
      <w:widowControl/>
      <w:spacing w:before="100" w:beforeAutospacing="1" w:after="142" w:line="288" w:lineRule="auto"/>
    </w:pPr>
    <w:rPr>
      <w:rFonts w:ascii="宋体" w:hAnsi="宋体" w:eastAsia="宋体" w:cs="宋体"/>
      <w:color w:val="000000"/>
      <w:kern w:val="0"/>
    </w:rPr>
  </w:style>
  <w:style w:type="character" w:customStyle="1" w:styleId="24">
    <w:name w:val="font"/>
    <w:basedOn w:val="8"/>
    <w:qFormat/>
    <w:uiPriority w:val="0"/>
  </w:style>
  <w:style w:type="character" w:customStyle="1" w:styleId="25">
    <w:name w:val="font1"/>
    <w:basedOn w:val="8"/>
    <w:qFormat/>
    <w:uiPriority w:val="0"/>
  </w:style>
  <w:style w:type="character" w:customStyle="1" w:styleId="26">
    <w:name w:val="place"/>
    <w:basedOn w:val="8"/>
    <w:qFormat/>
    <w:uiPriority w:val="0"/>
  </w:style>
  <w:style w:type="character" w:customStyle="1" w:styleId="27">
    <w:name w:val="place1"/>
    <w:basedOn w:val="8"/>
    <w:qFormat/>
    <w:uiPriority w:val="0"/>
  </w:style>
  <w:style w:type="character" w:customStyle="1" w:styleId="28">
    <w:name w:val="place2"/>
    <w:basedOn w:val="8"/>
    <w:qFormat/>
    <w:uiPriority w:val="0"/>
  </w:style>
  <w:style w:type="character" w:customStyle="1" w:styleId="29">
    <w:name w:val="place3"/>
    <w:basedOn w:val="8"/>
    <w:qFormat/>
    <w:uiPriority w:val="0"/>
    <w:rPr>
      <w:rFonts w:ascii="微软雅黑" w:hAnsi="微软雅黑" w:eastAsia="微软雅黑" w:cs="微软雅黑"/>
      <w:color w:val="888888"/>
      <w:sz w:val="25"/>
      <w:szCs w:val="25"/>
    </w:rPr>
  </w:style>
  <w:style w:type="character" w:customStyle="1" w:styleId="30">
    <w:name w:val="gwds_nopic"/>
    <w:basedOn w:val="8"/>
    <w:qFormat/>
    <w:uiPriority w:val="0"/>
  </w:style>
  <w:style w:type="character" w:customStyle="1" w:styleId="31">
    <w:name w:val="gwds_nopic1"/>
    <w:basedOn w:val="8"/>
    <w:qFormat/>
    <w:uiPriority w:val="0"/>
  </w:style>
  <w:style w:type="character" w:customStyle="1" w:styleId="32">
    <w:name w:val="gwds_nopic2"/>
    <w:basedOn w:val="8"/>
    <w:qFormat/>
    <w:uiPriority w:val="0"/>
  </w:style>
  <w:style w:type="character" w:customStyle="1" w:styleId="33">
    <w:name w:val="laypage_curr"/>
    <w:basedOn w:val="8"/>
    <w:qFormat/>
    <w:uiPriority w:val="0"/>
    <w:rPr>
      <w:color w:val="FFFDF4"/>
      <w:shd w:val="clear" w:color="010000" w:fill="0B67A6"/>
    </w:rPr>
  </w:style>
  <w:style w:type="character" w:customStyle="1" w:styleId="34">
    <w:name w:val="noline"/>
    <w:basedOn w:val="8"/>
    <w:qFormat/>
    <w:uiPriority w:val="0"/>
  </w:style>
  <w:style w:type="character" w:customStyle="1" w:styleId="35">
    <w:name w:val="hover20"/>
    <w:basedOn w:val="8"/>
    <w:qFormat/>
    <w:uiPriority w:val="0"/>
    <w:rPr>
      <w:color w:val="025291"/>
    </w:rPr>
  </w:style>
  <w:style w:type="character" w:customStyle="1" w:styleId="36">
    <w:name w:val="hover18"/>
    <w:basedOn w:val="8"/>
    <w:qFormat/>
    <w:uiPriority w:val="0"/>
    <w:rPr>
      <w:color w:val="557EE7"/>
    </w:rPr>
  </w:style>
  <w:style w:type="character" w:customStyle="1" w:styleId="37">
    <w:name w:val="disabled"/>
    <w:basedOn w:val="8"/>
    <w:qFormat/>
    <w:uiPriority w:val="0"/>
    <w:rPr>
      <w:color w:val="777777"/>
    </w:rPr>
  </w:style>
  <w:style w:type="character" w:customStyle="1" w:styleId="38">
    <w:name w:val="current"/>
    <w:basedOn w:val="8"/>
    <w:qFormat/>
    <w:uiPriority w:val="0"/>
    <w:rPr>
      <w:b/>
      <w:color w:val="FFFFFF"/>
      <w:shd w:val="clear" w:color="020000" w:fill="2951A8"/>
    </w:rPr>
  </w:style>
  <w:style w:type="character" w:customStyle="1" w:styleId="39">
    <w:name w:val="hover"/>
    <w:basedOn w:val="8"/>
    <w:qFormat/>
    <w:uiPriority w:val="0"/>
    <w:rPr>
      <w:color w:val="557EE7"/>
    </w:rPr>
  </w:style>
  <w:style w:type="character" w:customStyle="1" w:styleId="40">
    <w:name w:val="hover19"/>
    <w:basedOn w:val="8"/>
    <w:qFormat/>
    <w:uiPriority w:val="0"/>
    <w:rPr>
      <w:color w:val="025291"/>
    </w:rPr>
  </w:style>
  <w:style w:type="character" w:customStyle="1" w:styleId="41">
    <w:name w:val="hover21"/>
    <w:basedOn w:val="8"/>
    <w:qFormat/>
    <w:uiPriority w:val="0"/>
    <w:rPr>
      <w:color w:val="557EE7"/>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Office_10.8.2.6948_F1E327BC-269C-435d-A152-05C5408002CA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2020-10-13T10:32:00Z</dcterms:created>
  <dc:creator>Administrator</dc:creator>
  <cp:lastModifiedBy>WPS_928764801</cp:lastModifiedBy>
  <cp:lastPrinted>2020-12-16T09:23:00Z</cp:lastPrinted>
  <dcterms:modified xsi:type="dcterms:W3CDTF">2026-06-12T03:34:35Z</dcterms:modified>
  <dc:title>高邑县教育局权责清单事项分表</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y fmtid="{D5CDD505-2E9C-101B-9397-08002B2CF9AE}" pid="3" name="ICV">
    <vt:lpwstr>C1950E578BBA4A0C89811F5F0E505993</vt:lpwstr>
  </property>
</Properties>
</file>