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417.09</w:t>
            </w:r>
          </w:p>
        </w:tc>
        <w:tc>
          <w:tcPr>
            <w:tcW w:w="4535" w:type="dxa"/>
            <w:vAlign w:val="center"/>
          </w:tcPr>
          <w:p>
            <w:pPr>
              <w:pStyle w:val="13"/>
            </w:pPr>
            <w:r>
              <w:t>一、一般公共服务支出</w:t>
            </w:r>
          </w:p>
        </w:tc>
        <w:tc>
          <w:tcPr>
            <w:tcW w:w="2126" w:type="dxa"/>
            <w:vAlign w:val="center"/>
          </w:tcPr>
          <w:p>
            <w:pPr>
              <w:pStyle w:val="12"/>
            </w:pPr>
            <w:r>
              <w:t>293.55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417.09</w:t>
            </w:r>
          </w:p>
        </w:tc>
        <w:tc>
          <w:tcPr>
            <w:tcW w:w="4535" w:type="dxa"/>
            <w:vAlign w:val="center"/>
          </w:tcPr>
          <w:p>
            <w:pPr>
              <w:pStyle w:val="15"/>
            </w:pPr>
            <w:r>
              <w:t>本年支出合计</w:t>
            </w:r>
          </w:p>
        </w:tc>
        <w:tc>
          <w:tcPr>
            <w:tcW w:w="2126" w:type="dxa"/>
            <w:vAlign w:val="center"/>
          </w:tcPr>
          <w:p>
            <w:pPr>
              <w:pStyle w:val="16"/>
            </w:pPr>
            <w:r>
              <w:t>417.09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417.09</w:t>
            </w:r>
          </w:p>
        </w:tc>
        <w:tc>
          <w:tcPr>
            <w:tcW w:w="4535" w:type="dxa"/>
            <w:vAlign w:val="center"/>
          </w:tcPr>
          <w:p>
            <w:pPr>
              <w:pStyle w:val="15"/>
            </w:pPr>
            <w:r>
              <w:t>支出总计</w:t>
            </w:r>
          </w:p>
        </w:tc>
        <w:tc>
          <w:tcPr>
            <w:tcW w:w="2126" w:type="dxa"/>
            <w:vAlign w:val="center"/>
          </w:tcPr>
          <w:p>
            <w:pPr>
              <w:pStyle w:val="16"/>
            </w:pPr>
            <w:r>
              <w:t>417.09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417.09</w:t>
            </w:r>
          </w:p>
        </w:tc>
        <w:tc>
          <w:tcPr>
            <w:tcW w:w="1134" w:type="dxa"/>
            <w:vAlign w:val="center"/>
          </w:tcPr>
          <w:p>
            <w:pPr>
              <w:pStyle w:val="16"/>
            </w:pPr>
            <w:r>
              <w:t>417.09</w:t>
            </w:r>
          </w:p>
        </w:tc>
        <w:tc>
          <w:tcPr>
            <w:tcW w:w="1134" w:type="dxa"/>
            <w:vAlign w:val="center"/>
          </w:tcPr>
          <w:p>
            <w:pPr>
              <w:pStyle w:val="16"/>
            </w:pPr>
            <w:r>
              <w:t>417.09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293.55</w:t>
            </w:r>
          </w:p>
        </w:tc>
        <w:tc>
          <w:tcPr>
            <w:tcW w:w="1134" w:type="dxa"/>
            <w:vAlign w:val="center"/>
          </w:tcPr>
          <w:p>
            <w:pPr>
              <w:pStyle w:val="12"/>
            </w:pPr>
            <w:r>
              <w:t>293.55</w:t>
            </w:r>
          </w:p>
        </w:tc>
        <w:tc>
          <w:tcPr>
            <w:tcW w:w="1134" w:type="dxa"/>
            <w:vAlign w:val="center"/>
          </w:tcPr>
          <w:p>
            <w:pPr>
              <w:pStyle w:val="12"/>
            </w:pPr>
            <w:r>
              <w:t>293.55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293.55</w:t>
            </w:r>
          </w:p>
        </w:tc>
        <w:tc>
          <w:tcPr>
            <w:tcW w:w="1134" w:type="dxa"/>
            <w:vAlign w:val="center"/>
          </w:tcPr>
          <w:p>
            <w:pPr>
              <w:pStyle w:val="12"/>
            </w:pPr>
            <w:r>
              <w:t>293.55</w:t>
            </w:r>
          </w:p>
        </w:tc>
        <w:tc>
          <w:tcPr>
            <w:tcW w:w="1134" w:type="dxa"/>
            <w:vAlign w:val="center"/>
          </w:tcPr>
          <w:p>
            <w:pPr>
              <w:pStyle w:val="12"/>
            </w:pPr>
            <w:r>
              <w:t>293.55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275.55</w:t>
            </w:r>
          </w:p>
        </w:tc>
        <w:tc>
          <w:tcPr>
            <w:tcW w:w="1134" w:type="dxa"/>
            <w:vAlign w:val="center"/>
          </w:tcPr>
          <w:p>
            <w:pPr>
              <w:pStyle w:val="12"/>
            </w:pPr>
            <w:r>
              <w:t>275.55</w:t>
            </w:r>
          </w:p>
        </w:tc>
        <w:tc>
          <w:tcPr>
            <w:tcW w:w="1134" w:type="dxa"/>
            <w:vAlign w:val="center"/>
          </w:tcPr>
          <w:p>
            <w:pPr>
              <w:pStyle w:val="12"/>
            </w:pPr>
            <w:r>
              <w:t>275.55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2010102</w:t>
            </w:r>
          </w:p>
        </w:tc>
        <w:tc>
          <w:tcPr>
            <w:tcW w:w="1559" w:type="dxa"/>
            <w:vAlign w:val="center"/>
          </w:tcPr>
          <w:p>
            <w:pPr>
              <w:pStyle w:val="13"/>
            </w:pPr>
            <w:r>
              <w:t>一般行政管理事务</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2010104</w:t>
            </w:r>
          </w:p>
        </w:tc>
        <w:tc>
          <w:tcPr>
            <w:tcW w:w="1559" w:type="dxa"/>
            <w:vAlign w:val="center"/>
          </w:tcPr>
          <w:p>
            <w:pPr>
              <w:pStyle w:val="13"/>
            </w:pPr>
            <w:r>
              <w:t>人大会议</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2010106</w:t>
            </w:r>
          </w:p>
        </w:tc>
        <w:tc>
          <w:tcPr>
            <w:tcW w:w="1559" w:type="dxa"/>
            <w:vAlign w:val="center"/>
          </w:tcPr>
          <w:p>
            <w:pPr>
              <w:pStyle w:val="13"/>
            </w:pPr>
            <w:r>
              <w:t>人大监督</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52.54</w:t>
            </w:r>
          </w:p>
        </w:tc>
        <w:tc>
          <w:tcPr>
            <w:tcW w:w="1134" w:type="dxa"/>
            <w:vAlign w:val="center"/>
          </w:tcPr>
          <w:p>
            <w:pPr>
              <w:pStyle w:val="12"/>
            </w:pPr>
            <w:r>
              <w:t>52.54</w:t>
            </w:r>
          </w:p>
        </w:tc>
        <w:tc>
          <w:tcPr>
            <w:tcW w:w="1134" w:type="dxa"/>
            <w:vAlign w:val="center"/>
          </w:tcPr>
          <w:p>
            <w:pPr>
              <w:pStyle w:val="12"/>
            </w:pPr>
            <w:r>
              <w:t>52.54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50.54</w:t>
            </w:r>
          </w:p>
        </w:tc>
        <w:tc>
          <w:tcPr>
            <w:tcW w:w="1134" w:type="dxa"/>
            <w:vAlign w:val="center"/>
          </w:tcPr>
          <w:p>
            <w:pPr>
              <w:pStyle w:val="12"/>
            </w:pPr>
            <w:r>
              <w:t>50.54</w:t>
            </w:r>
          </w:p>
        </w:tc>
        <w:tc>
          <w:tcPr>
            <w:tcW w:w="1134" w:type="dxa"/>
            <w:vAlign w:val="center"/>
          </w:tcPr>
          <w:p>
            <w:pPr>
              <w:pStyle w:val="12"/>
            </w:pPr>
            <w:r>
              <w:t>50.54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4.54</w:t>
            </w:r>
          </w:p>
        </w:tc>
        <w:tc>
          <w:tcPr>
            <w:tcW w:w="1134" w:type="dxa"/>
            <w:vAlign w:val="center"/>
          </w:tcPr>
          <w:p>
            <w:pPr>
              <w:pStyle w:val="12"/>
            </w:pPr>
            <w:r>
              <w:t>4.54</w:t>
            </w:r>
          </w:p>
        </w:tc>
        <w:tc>
          <w:tcPr>
            <w:tcW w:w="1134" w:type="dxa"/>
            <w:vAlign w:val="center"/>
          </w:tcPr>
          <w:p>
            <w:pPr>
              <w:pStyle w:val="12"/>
            </w:pPr>
            <w:r>
              <w:t>4.54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46.00</w:t>
            </w:r>
          </w:p>
        </w:tc>
        <w:tc>
          <w:tcPr>
            <w:tcW w:w="1134" w:type="dxa"/>
            <w:vAlign w:val="center"/>
          </w:tcPr>
          <w:p>
            <w:pPr>
              <w:pStyle w:val="12"/>
            </w:pPr>
            <w:r>
              <w:t>46.00</w:t>
            </w:r>
          </w:p>
        </w:tc>
        <w:tc>
          <w:tcPr>
            <w:tcW w:w="1134" w:type="dxa"/>
            <w:vAlign w:val="center"/>
          </w:tcPr>
          <w:p>
            <w:pPr>
              <w:pStyle w:val="12"/>
            </w:pPr>
            <w:r>
              <w:t>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417.09</w:t>
            </w:r>
          </w:p>
        </w:tc>
        <w:tc>
          <w:tcPr>
            <w:tcW w:w="1361" w:type="dxa"/>
            <w:vAlign w:val="center"/>
          </w:tcPr>
          <w:p>
            <w:pPr>
              <w:pStyle w:val="16"/>
            </w:pPr>
            <w:r>
              <w:t>399.09</w:t>
            </w:r>
          </w:p>
        </w:tc>
        <w:tc>
          <w:tcPr>
            <w:tcW w:w="1361" w:type="dxa"/>
            <w:vAlign w:val="center"/>
          </w:tcPr>
          <w:p>
            <w:pPr>
              <w:pStyle w:val="16"/>
            </w:pPr>
            <w:r>
              <w:t>18.00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293.55</w:t>
            </w:r>
          </w:p>
        </w:tc>
        <w:tc>
          <w:tcPr>
            <w:tcW w:w="1361" w:type="dxa"/>
            <w:vAlign w:val="center"/>
          </w:tcPr>
          <w:p>
            <w:pPr>
              <w:pStyle w:val="12"/>
            </w:pPr>
            <w:r>
              <w:t>275.55</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293.55</w:t>
            </w:r>
          </w:p>
        </w:tc>
        <w:tc>
          <w:tcPr>
            <w:tcW w:w="1361" w:type="dxa"/>
            <w:vAlign w:val="center"/>
          </w:tcPr>
          <w:p>
            <w:pPr>
              <w:pStyle w:val="12"/>
            </w:pPr>
            <w:r>
              <w:t>275.55</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275.55</w:t>
            </w:r>
          </w:p>
        </w:tc>
        <w:tc>
          <w:tcPr>
            <w:tcW w:w="1361" w:type="dxa"/>
            <w:vAlign w:val="center"/>
          </w:tcPr>
          <w:p>
            <w:pPr>
              <w:pStyle w:val="12"/>
            </w:pPr>
            <w:r>
              <w:t>275.55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2010102</w:t>
            </w:r>
          </w:p>
        </w:tc>
        <w:tc>
          <w:tcPr>
            <w:tcW w:w="4535" w:type="dxa"/>
            <w:vAlign w:val="center"/>
          </w:tcPr>
          <w:p>
            <w:pPr>
              <w:pStyle w:val="13"/>
            </w:pPr>
            <w:r>
              <w:t>一般行政管理事务</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2010104</w:t>
            </w:r>
          </w:p>
        </w:tc>
        <w:tc>
          <w:tcPr>
            <w:tcW w:w="4535" w:type="dxa"/>
            <w:vAlign w:val="center"/>
          </w:tcPr>
          <w:p>
            <w:pPr>
              <w:pStyle w:val="13"/>
            </w:pPr>
            <w:r>
              <w:t>人大会议</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2010106</w:t>
            </w:r>
          </w:p>
        </w:tc>
        <w:tc>
          <w:tcPr>
            <w:tcW w:w="4535" w:type="dxa"/>
            <w:vAlign w:val="center"/>
          </w:tcPr>
          <w:p>
            <w:pPr>
              <w:pStyle w:val="13"/>
            </w:pPr>
            <w:r>
              <w:t>人大监督</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52.54</w:t>
            </w:r>
          </w:p>
        </w:tc>
        <w:tc>
          <w:tcPr>
            <w:tcW w:w="1361" w:type="dxa"/>
            <w:vAlign w:val="center"/>
          </w:tcPr>
          <w:p>
            <w:pPr>
              <w:pStyle w:val="12"/>
            </w:pPr>
            <w:r>
              <w:t>52.54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50.54</w:t>
            </w:r>
          </w:p>
        </w:tc>
        <w:tc>
          <w:tcPr>
            <w:tcW w:w="1361" w:type="dxa"/>
            <w:vAlign w:val="center"/>
          </w:tcPr>
          <w:p>
            <w:pPr>
              <w:pStyle w:val="12"/>
            </w:pPr>
            <w:r>
              <w:t>50.54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4.54</w:t>
            </w:r>
          </w:p>
        </w:tc>
        <w:tc>
          <w:tcPr>
            <w:tcW w:w="1361" w:type="dxa"/>
            <w:vAlign w:val="center"/>
          </w:tcPr>
          <w:p>
            <w:pPr>
              <w:pStyle w:val="12"/>
            </w:pPr>
            <w:r>
              <w:t>4.54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46.00</w:t>
            </w:r>
          </w:p>
        </w:tc>
        <w:tc>
          <w:tcPr>
            <w:tcW w:w="1361" w:type="dxa"/>
            <w:vAlign w:val="center"/>
          </w:tcPr>
          <w:p>
            <w:pPr>
              <w:pStyle w:val="12"/>
            </w:pPr>
            <w:r>
              <w:t>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44.00</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44.00</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44.00</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417.09</w:t>
            </w:r>
          </w:p>
        </w:tc>
        <w:tc>
          <w:tcPr>
            <w:tcW w:w="3402" w:type="dxa"/>
            <w:vAlign w:val="center"/>
          </w:tcPr>
          <w:p>
            <w:pPr>
              <w:pStyle w:val="13"/>
            </w:pPr>
            <w:r>
              <w:t>一、一般公共服务支出</w:t>
            </w:r>
          </w:p>
        </w:tc>
        <w:tc>
          <w:tcPr>
            <w:tcW w:w="1474" w:type="dxa"/>
            <w:vAlign w:val="center"/>
          </w:tcPr>
          <w:p>
            <w:pPr>
              <w:pStyle w:val="12"/>
            </w:pPr>
            <w:r>
              <w:t>293.55</w:t>
            </w:r>
          </w:p>
        </w:tc>
        <w:tc>
          <w:tcPr>
            <w:tcW w:w="1474" w:type="dxa"/>
            <w:vAlign w:val="center"/>
          </w:tcPr>
          <w:p>
            <w:pPr>
              <w:pStyle w:val="12"/>
            </w:pPr>
            <w:r>
              <w:t>293.55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52.54</w:t>
            </w:r>
          </w:p>
        </w:tc>
        <w:tc>
          <w:tcPr>
            <w:tcW w:w="1474" w:type="dxa"/>
            <w:vAlign w:val="center"/>
          </w:tcPr>
          <w:p>
            <w:pPr>
              <w:pStyle w:val="12"/>
            </w:pPr>
            <w:r>
              <w:t>52.54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27.00</w:t>
            </w:r>
          </w:p>
        </w:tc>
        <w:tc>
          <w:tcPr>
            <w:tcW w:w="1474" w:type="dxa"/>
            <w:vAlign w:val="center"/>
          </w:tcPr>
          <w:p>
            <w:pPr>
              <w:pStyle w:val="12"/>
            </w:pPr>
            <w:r>
              <w:t>27.00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44.00</w:t>
            </w:r>
          </w:p>
        </w:tc>
        <w:tc>
          <w:tcPr>
            <w:tcW w:w="1474" w:type="dxa"/>
            <w:vAlign w:val="center"/>
          </w:tcPr>
          <w:p>
            <w:pPr>
              <w:pStyle w:val="12"/>
            </w:pPr>
            <w:r>
              <w:t>44.00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417.09</w:t>
            </w:r>
          </w:p>
        </w:tc>
        <w:tc>
          <w:tcPr>
            <w:tcW w:w="3402" w:type="dxa"/>
            <w:vAlign w:val="center"/>
          </w:tcPr>
          <w:p>
            <w:pPr>
              <w:pStyle w:val="15"/>
            </w:pPr>
            <w:r>
              <w:t>本年支出合计</w:t>
            </w:r>
          </w:p>
        </w:tc>
        <w:tc>
          <w:tcPr>
            <w:tcW w:w="1474" w:type="dxa"/>
            <w:vAlign w:val="center"/>
          </w:tcPr>
          <w:p>
            <w:pPr>
              <w:pStyle w:val="16"/>
            </w:pPr>
            <w:r>
              <w:t>417.09</w:t>
            </w:r>
          </w:p>
        </w:tc>
        <w:tc>
          <w:tcPr>
            <w:tcW w:w="1474" w:type="dxa"/>
            <w:vAlign w:val="center"/>
          </w:tcPr>
          <w:p>
            <w:pPr>
              <w:pStyle w:val="16"/>
            </w:pPr>
            <w:r>
              <w:t>417.09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417.09</w:t>
            </w:r>
          </w:p>
        </w:tc>
        <w:tc>
          <w:tcPr>
            <w:tcW w:w="3402" w:type="dxa"/>
            <w:vAlign w:val="center"/>
          </w:tcPr>
          <w:p>
            <w:pPr>
              <w:pStyle w:val="15"/>
            </w:pPr>
            <w:r>
              <w:t>支出总计</w:t>
            </w:r>
          </w:p>
        </w:tc>
        <w:tc>
          <w:tcPr>
            <w:tcW w:w="1474" w:type="dxa"/>
            <w:vAlign w:val="center"/>
          </w:tcPr>
          <w:p>
            <w:pPr>
              <w:pStyle w:val="16"/>
            </w:pPr>
            <w:r>
              <w:t>417.09</w:t>
            </w:r>
          </w:p>
        </w:tc>
        <w:tc>
          <w:tcPr>
            <w:tcW w:w="1474" w:type="dxa"/>
            <w:vAlign w:val="center"/>
          </w:tcPr>
          <w:p>
            <w:pPr>
              <w:pStyle w:val="16"/>
            </w:pPr>
            <w:r>
              <w:t>417.09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417.09</w:t>
            </w:r>
          </w:p>
        </w:tc>
        <w:tc>
          <w:tcPr>
            <w:tcW w:w="2551" w:type="dxa"/>
            <w:vAlign w:val="center"/>
          </w:tcPr>
          <w:p>
            <w:pPr>
              <w:pStyle w:val="16"/>
            </w:pPr>
            <w:r>
              <w:t>399.09</w:t>
            </w:r>
          </w:p>
        </w:tc>
        <w:tc>
          <w:tcPr>
            <w:tcW w:w="2551" w:type="dxa"/>
            <w:vAlign w:val="center"/>
          </w:tcPr>
          <w:p>
            <w:pPr>
              <w:pStyle w:val="16"/>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293.55</w:t>
            </w:r>
          </w:p>
        </w:tc>
        <w:tc>
          <w:tcPr>
            <w:tcW w:w="2551" w:type="dxa"/>
            <w:vAlign w:val="center"/>
          </w:tcPr>
          <w:p>
            <w:pPr>
              <w:pStyle w:val="12"/>
            </w:pPr>
            <w:r>
              <w:t>275.55</w:t>
            </w: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293.55</w:t>
            </w:r>
          </w:p>
        </w:tc>
        <w:tc>
          <w:tcPr>
            <w:tcW w:w="2551" w:type="dxa"/>
            <w:vAlign w:val="center"/>
          </w:tcPr>
          <w:p>
            <w:pPr>
              <w:pStyle w:val="12"/>
            </w:pPr>
            <w:r>
              <w:t>275.55</w:t>
            </w: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275.55</w:t>
            </w:r>
          </w:p>
        </w:tc>
        <w:tc>
          <w:tcPr>
            <w:tcW w:w="2551" w:type="dxa"/>
            <w:vAlign w:val="center"/>
          </w:tcPr>
          <w:p>
            <w:pPr>
              <w:pStyle w:val="12"/>
            </w:pPr>
            <w:r>
              <w:t>275.55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2010102</w:t>
            </w:r>
          </w:p>
        </w:tc>
        <w:tc>
          <w:tcPr>
            <w:tcW w:w="4535" w:type="dxa"/>
            <w:vAlign w:val="center"/>
          </w:tcPr>
          <w:p>
            <w:pPr>
              <w:pStyle w:val="13"/>
            </w:pPr>
            <w:r>
              <w:t>一般行政管理事务</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2010104</w:t>
            </w:r>
          </w:p>
        </w:tc>
        <w:tc>
          <w:tcPr>
            <w:tcW w:w="4535" w:type="dxa"/>
            <w:vAlign w:val="center"/>
          </w:tcPr>
          <w:p>
            <w:pPr>
              <w:pStyle w:val="13"/>
            </w:pPr>
            <w:r>
              <w:t>人大会议</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2010106</w:t>
            </w:r>
          </w:p>
        </w:tc>
        <w:tc>
          <w:tcPr>
            <w:tcW w:w="4535" w:type="dxa"/>
            <w:vAlign w:val="center"/>
          </w:tcPr>
          <w:p>
            <w:pPr>
              <w:pStyle w:val="13"/>
            </w:pPr>
            <w:r>
              <w:t>人大监督</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52.54</w:t>
            </w:r>
          </w:p>
        </w:tc>
        <w:tc>
          <w:tcPr>
            <w:tcW w:w="2551" w:type="dxa"/>
            <w:vAlign w:val="center"/>
          </w:tcPr>
          <w:p>
            <w:pPr>
              <w:pStyle w:val="12"/>
            </w:pPr>
            <w:r>
              <w:t>52.54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50.54</w:t>
            </w:r>
          </w:p>
        </w:tc>
        <w:tc>
          <w:tcPr>
            <w:tcW w:w="2551" w:type="dxa"/>
            <w:vAlign w:val="center"/>
          </w:tcPr>
          <w:p>
            <w:pPr>
              <w:pStyle w:val="12"/>
            </w:pPr>
            <w:r>
              <w:t>50.54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4.54</w:t>
            </w:r>
          </w:p>
        </w:tc>
        <w:tc>
          <w:tcPr>
            <w:tcW w:w="2551" w:type="dxa"/>
            <w:vAlign w:val="center"/>
          </w:tcPr>
          <w:p>
            <w:pPr>
              <w:pStyle w:val="12"/>
            </w:pPr>
            <w:r>
              <w:t>4.54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46.00</w:t>
            </w:r>
          </w:p>
        </w:tc>
        <w:tc>
          <w:tcPr>
            <w:tcW w:w="2551" w:type="dxa"/>
            <w:vAlign w:val="center"/>
          </w:tcPr>
          <w:p>
            <w:pPr>
              <w:pStyle w:val="12"/>
            </w:pPr>
            <w:r>
              <w:t>46.00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399.09</w:t>
            </w:r>
          </w:p>
        </w:tc>
        <w:tc>
          <w:tcPr>
            <w:tcW w:w="2551" w:type="dxa"/>
            <w:vAlign w:val="center"/>
          </w:tcPr>
          <w:p>
            <w:pPr>
              <w:pStyle w:val="16"/>
            </w:pPr>
            <w:r>
              <w:t>362.75</w:t>
            </w:r>
          </w:p>
        </w:tc>
        <w:tc>
          <w:tcPr>
            <w:tcW w:w="2551" w:type="dxa"/>
            <w:vAlign w:val="center"/>
          </w:tcPr>
          <w:p>
            <w:pPr>
              <w:pStyle w:val="16"/>
            </w:pPr>
            <w:r>
              <w:t>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357.05</w:t>
            </w:r>
          </w:p>
        </w:tc>
        <w:tc>
          <w:tcPr>
            <w:tcW w:w="2551" w:type="dxa"/>
            <w:vAlign w:val="center"/>
          </w:tcPr>
          <w:p>
            <w:pPr>
              <w:pStyle w:val="12"/>
            </w:pPr>
            <w:r>
              <w:t>357.05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149.35</w:t>
            </w:r>
          </w:p>
        </w:tc>
        <w:tc>
          <w:tcPr>
            <w:tcW w:w="2551" w:type="dxa"/>
            <w:vAlign w:val="center"/>
          </w:tcPr>
          <w:p>
            <w:pPr>
              <w:pStyle w:val="12"/>
            </w:pPr>
            <w:r>
              <w:t>149.35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26.45</w:t>
            </w:r>
          </w:p>
        </w:tc>
        <w:tc>
          <w:tcPr>
            <w:tcW w:w="2551" w:type="dxa"/>
            <w:vAlign w:val="center"/>
          </w:tcPr>
          <w:p>
            <w:pPr>
              <w:pStyle w:val="12"/>
            </w:pPr>
            <w:r>
              <w:t>26.45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51.50</w:t>
            </w:r>
          </w:p>
        </w:tc>
        <w:tc>
          <w:tcPr>
            <w:tcW w:w="2551" w:type="dxa"/>
            <w:vAlign w:val="center"/>
          </w:tcPr>
          <w:p>
            <w:pPr>
              <w:pStyle w:val="12"/>
            </w:pPr>
            <w:r>
              <w:t>51.50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10.75</w:t>
            </w:r>
          </w:p>
        </w:tc>
        <w:tc>
          <w:tcPr>
            <w:tcW w:w="2551" w:type="dxa"/>
            <w:vAlign w:val="center"/>
          </w:tcPr>
          <w:p>
            <w:pPr>
              <w:pStyle w:val="12"/>
            </w:pPr>
            <w:r>
              <w:t>10.75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46.00</w:t>
            </w:r>
          </w:p>
        </w:tc>
        <w:tc>
          <w:tcPr>
            <w:tcW w:w="2551" w:type="dxa"/>
            <w:vAlign w:val="center"/>
          </w:tcPr>
          <w:p>
            <w:pPr>
              <w:pStyle w:val="12"/>
            </w:pPr>
            <w:r>
              <w:t>46.00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36.34</w:t>
            </w:r>
          </w:p>
        </w:tc>
        <w:tc>
          <w:tcPr>
            <w:tcW w:w="2551" w:type="dxa"/>
            <w:vAlign w:val="center"/>
          </w:tcPr>
          <w:p>
            <w:pPr>
              <w:pStyle w:val="12"/>
            </w:pPr>
          </w:p>
        </w:tc>
        <w:tc>
          <w:tcPr>
            <w:tcW w:w="2551" w:type="dxa"/>
            <w:vAlign w:val="center"/>
          </w:tcPr>
          <w:p>
            <w:pPr>
              <w:pStyle w:val="12"/>
            </w:pPr>
            <w:r>
              <w:t>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12.13</w:t>
            </w:r>
          </w:p>
        </w:tc>
        <w:tc>
          <w:tcPr>
            <w:tcW w:w="2551" w:type="dxa"/>
            <w:vAlign w:val="center"/>
          </w:tcPr>
          <w:p>
            <w:pPr>
              <w:pStyle w:val="12"/>
            </w:pPr>
          </w:p>
        </w:tc>
        <w:tc>
          <w:tcPr>
            <w:tcW w:w="2551" w:type="dxa"/>
            <w:vAlign w:val="center"/>
          </w:tcPr>
          <w:p>
            <w:pPr>
              <w:pStyle w:val="12"/>
            </w:pPr>
            <w:r>
              <w:t>12.13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14.27</w:t>
            </w:r>
          </w:p>
        </w:tc>
        <w:tc>
          <w:tcPr>
            <w:tcW w:w="2551" w:type="dxa"/>
            <w:vAlign w:val="center"/>
          </w:tcPr>
          <w:p>
            <w:pPr>
              <w:pStyle w:val="12"/>
            </w:pPr>
          </w:p>
        </w:tc>
        <w:tc>
          <w:tcPr>
            <w:tcW w:w="2551" w:type="dxa"/>
            <w:vAlign w:val="center"/>
          </w:tcPr>
          <w:p>
            <w:pPr>
              <w:pStyle w:val="12"/>
            </w:pPr>
            <w:r>
              <w:t>14.27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1.34</w:t>
            </w:r>
          </w:p>
        </w:tc>
        <w:tc>
          <w:tcPr>
            <w:tcW w:w="2551" w:type="dxa"/>
            <w:vAlign w:val="center"/>
          </w:tcPr>
          <w:p>
            <w:pPr>
              <w:pStyle w:val="12"/>
            </w:pPr>
          </w:p>
        </w:tc>
        <w:tc>
          <w:tcPr>
            <w:tcW w:w="2551" w:type="dxa"/>
            <w:vAlign w:val="center"/>
          </w:tcPr>
          <w:p>
            <w:pPr>
              <w:pStyle w:val="12"/>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5.70</w:t>
            </w:r>
          </w:p>
        </w:tc>
        <w:tc>
          <w:tcPr>
            <w:tcW w:w="2551" w:type="dxa"/>
            <w:vAlign w:val="center"/>
          </w:tcPr>
          <w:p>
            <w:pPr>
              <w:pStyle w:val="12"/>
            </w:pPr>
            <w:r>
              <w:t>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高邑县人民代表大会常务委员会办公室2026年部门预算信息公开情况说明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高邑县人民代表大会常务委员会办公室2026年部门预算信息公开情况说明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按照《中华人民共和国预算法》、《地方预决算公开操作规程》和《关于进一步推进预算公开工作的实施意见》规定，现将高邑县人民代表大会常务委员会办公室2026年部门预算公开如下：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高邑县人民代表大会常务委员会办公室本级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按照预算管理有关规定，目前我省部门预算的编制实行综合预算管理，即全部收入和支出都反映在预算中。高邑县人民代表大会常务委员会办公室机关及所属事业单位的收支包含在部门预算中。</w:t>
      </w:r>
    </w:p>
    <w:p>
      <w:pPr>
        <w:pStyle w:val="19"/>
      </w:pPr>
      <w:r>
        <w:t>1、收入说明  石家庄市高邑县人大常委会2026年预算收入总计417.09万元。其中，一般公共预算收入 417.09万元、政府性基金收入 0 万元、国有资本经营预算收入 0 元、财政专户核拨收入 0 万元，上年结转结余 0万元。</w:t>
      </w:r>
    </w:p>
    <w:p>
      <w:pPr>
        <w:pStyle w:val="19"/>
      </w:pPr>
      <w:r>
        <w:t>2、支出说明  2026年预算支出417.09万元。其中，人员经费支出362.75万元，日常公用经费36.34          万元，项目支出18万元。主要为人大会议、人大代表、人大监督、人大事务管理等费用支出。</w:t>
      </w:r>
    </w:p>
    <w:p>
      <w:pPr>
        <w:pStyle w:val="19"/>
      </w:pPr>
      <w:r>
        <w:t xml:space="preserve">3、比上年增减情况  </w:t>
      </w:r>
    </w:p>
    <w:p>
      <w:pPr>
        <w:pStyle w:val="19"/>
      </w:pPr>
      <w:r>
        <w:t>2026年部门预算收支安排417.09万元，较2025年预算增加1.35万元，其中：人员经费支出增加6.61万元，主要是人员增加，工资标准提高，相应增加了工资支出和社会保障缴费；日常公用支出减少3.66万元，主要是减少办公经费的开支：项目支出减少1.6万元，项目支出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36.34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三公”经费支出0.1992万元，与上年相比减少0.0208万元。其中，因公出国（境）费0万元，与上年相比持平，无增减变化；公务用车购置及运行维护费0万元(其中公务用车购置0万元，公务用车运行维护费0万元）；公务接待费0.1992万元，与上年减少0.0208万元，主要是控制接待费开支，减少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高邑县人大办办公室年度工作计划，认真履行各项法定职责，积极推进人大工作创新发展，为建设现代省会、经济强市提供法治保障。制定和修订地方法规，做好报批、公告和报备等项工作；围绕全县经济社会发展中的重大问题和人民群众普遍关注的难点问题，找准监督重点，创新监督方式，进一步加大监督力度；加强闭会期间代表活动的组织工作，做好代表议案、建议、批评和意见的监办工作，进一步提升“人大代表之家”建设，为代表履职提供平台、组织活动创造平台，组织活动创造条件；依法做好选举、人事任免工作，切实加强对被任免干部的监督；审议决定常务委员会认为应当依法审议、决定的其他重大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1）人大立法</w:t>
      </w:r>
    </w:p>
    <w:p>
      <w:pPr>
        <w:pStyle w:val="23"/>
      </w:pPr>
      <w:r>
        <w:t>绩效目标：完成《高邑县人大常委会2026年立法计划》</w:t>
      </w:r>
    </w:p>
    <w:p>
      <w:pPr>
        <w:pStyle w:val="23"/>
      </w:pPr>
      <w:r>
        <w:t>绩效指标：抓好年度立法计划落实，加强重点领域立法，坚持科学立法，探索公民有序参与立法的途径和方法，立法任务完成率100%，2025年预备立法项目完成率100%，2025年立法调研任免完成率100%</w:t>
      </w:r>
    </w:p>
    <w:p>
      <w:pPr>
        <w:pStyle w:val="23"/>
      </w:pPr>
      <w:r>
        <w:t>2）人大监督</w:t>
      </w:r>
    </w:p>
    <w:p>
      <w:pPr>
        <w:pStyle w:val="23"/>
      </w:pPr>
      <w:r>
        <w:t>绩效目标：按照《高邑县人大常委会2026年立法计划》，完成监督工作任务。</w:t>
      </w:r>
    </w:p>
    <w:p>
      <w:pPr>
        <w:pStyle w:val="23"/>
      </w:pPr>
      <w:r>
        <w:t>绩效指标：加大监督力度，开展视察、调研、专题询问、执法检查等监督活动督促和支持“一府一院两院”依法行政，公正司法，监督任务完成率100%。</w:t>
      </w:r>
    </w:p>
    <w:p>
      <w:pPr>
        <w:pStyle w:val="23"/>
      </w:pPr>
      <w:r>
        <w:t>3）人大会议</w:t>
      </w:r>
    </w:p>
    <w:p>
      <w:pPr>
        <w:pStyle w:val="23"/>
      </w:pPr>
      <w:r>
        <w:t>绩效目标：召开人民代表大会1次、人大常委会会议6次、各专门委员会召开专委会议2次（含）以上。</w:t>
      </w:r>
    </w:p>
    <w:p>
      <w:pPr>
        <w:pStyle w:val="23"/>
      </w:pPr>
      <w:r>
        <w:t>绩效指标：完成法定的人代会、常委会会议召开，会议召开率100%，会议政治任务实现率100%。按照县人大各专门委员会工作计划，专委会会议完成率100%，会议任免实现率100%。</w:t>
      </w:r>
    </w:p>
    <w:p>
      <w:pPr>
        <w:pStyle w:val="23"/>
      </w:pPr>
      <w:r>
        <w:t>4）人大选举及任免</w:t>
      </w:r>
    </w:p>
    <w:p>
      <w:pPr>
        <w:pStyle w:val="23"/>
      </w:pPr>
      <w:r>
        <w:t>绩效目标：依法依规完成选举及人事任免工作。</w:t>
      </w:r>
    </w:p>
    <w:p>
      <w:pPr>
        <w:pStyle w:val="23"/>
      </w:pPr>
      <w:r>
        <w:t>绩效指标：依法任免县级国家机关工作人员，工作完成率100%，政治任务实现率100%。</w:t>
      </w:r>
    </w:p>
    <w:p>
      <w:pPr>
        <w:pStyle w:val="23"/>
      </w:pPr>
      <w:r>
        <w:t>5）人大代表工作</w:t>
      </w:r>
    </w:p>
    <w:p>
      <w:pPr>
        <w:pStyle w:val="23"/>
      </w:pPr>
      <w:r>
        <w:t>绩效目标：按照工作需要依法依规组织省人大代表、市人大常委会组成人员及人大代表进行执法检查和集中视察；开展代表建议督办；组织对常委会组成人员及代表培训。</w:t>
      </w:r>
    </w:p>
    <w:p>
      <w:pPr>
        <w:pStyle w:val="23"/>
      </w:pPr>
      <w:r>
        <w:t>绩效指标：组织代表执法检查和集中视察任务完成率100%，代表建议督办完成率90%，常委会组成人员及代表培训计划完成率100%。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进一步健全和完善机关人事、财务、会务保障、接待、公文办理、党建、信访、纪检等各项工作制度，建立健全机关预算绩效管理制度，围绕年度总体目标和分类绩效目标,细化工作方案，明确责任专题，实施进度监控，确保绩效目标如期实现。</w:t>
      </w:r>
    </w:p>
    <w:p>
      <w:pPr>
        <w:pStyle w:val="24"/>
      </w:pPr>
      <w:r>
        <w:t>2）加强支出管理。通过优化支出结构、编细编实预算、加快履行政府采购手</w:t>
      </w:r>
      <w:bookmarkStart w:id="20" w:name="_GoBack"/>
      <w:bookmarkEnd w:id="20"/>
      <w:r>
        <w:t>续、尽快启动项目、及时支付资金等多种措施，确保支出进度达标。</w:t>
      </w:r>
    </w:p>
    <w:p>
      <w:pPr>
        <w:pStyle w:val="24"/>
      </w:pPr>
      <w:r>
        <w:t>3）加强绩效运行监控。按要求开展绩效运行监控，发现问题及时采取措施，确保绩效目标如期实现。</w:t>
      </w:r>
    </w:p>
    <w:p>
      <w:pPr>
        <w:pStyle w:val="24"/>
      </w:pPr>
      <w:r>
        <w:t>4）做好绩效自评。按要求开展上年度部门预算绩效自评和重点评价，对评价中发现的问题及时整改，调整优化支出结构，提高财政资金使用效益。</w:t>
      </w:r>
    </w:p>
    <w:p>
      <w:pPr>
        <w:pStyle w:val="24"/>
        <w:sectPr>
          <w:pgSz w:w="16840" w:h="11900" w:orient="landscape"/>
          <w:pgMar w:top="1361" w:right="1020" w:bottom="1361" w:left="1020" w:header="720" w:footer="720" w:gutter="0"/>
          <w:cols w:space="720" w:num="1"/>
        </w:sectPr>
      </w:pPr>
      <w:r>
        <w:t>5）规范财务资产管理。完善财务管理制度，严格审批程序，加强固定资产登记、使用和报废处置管理，做到支出合理，物尽其用。</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1、监督专项经费绩效目标表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13012726P00012910001E</w:t>
            </w:r>
          </w:p>
        </w:tc>
        <w:tc>
          <w:tcPr>
            <w:tcW w:w="2835" w:type="dxa"/>
            <w:vAlign w:val="center"/>
          </w:tcPr>
          <w:p>
            <w:pPr>
              <w:pStyle w:val="11"/>
            </w:pPr>
            <w:r>
              <w:t>项目名称</w:t>
            </w:r>
          </w:p>
        </w:tc>
        <w:tc>
          <w:tcPr>
            <w:tcW w:w="6095" w:type="dxa"/>
            <w:gridSpan w:val="3"/>
            <w:vAlign w:val="center"/>
          </w:tcPr>
          <w:p>
            <w:pPr>
              <w:pStyle w:val="13"/>
            </w:pPr>
            <w:r>
              <w:t>监督专项经费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用于监督政府部门日常工作，维护社会稳定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1.综合运用行之有效的监督方式，加大监督力度，提高监督实效。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开展视察、调研执法检查等监督活动次数</w:t>
            </w:r>
          </w:p>
        </w:tc>
        <w:tc>
          <w:tcPr>
            <w:tcW w:w="5386" w:type="dxa"/>
            <w:vAlign w:val="center"/>
          </w:tcPr>
          <w:p>
            <w:pPr>
              <w:pStyle w:val="13"/>
            </w:pPr>
            <w:r>
              <w:t>开展视察、调研执法检查等监督活动次数</w:t>
            </w:r>
          </w:p>
        </w:tc>
        <w:tc>
          <w:tcPr>
            <w:tcW w:w="2268" w:type="dxa"/>
            <w:vAlign w:val="center"/>
          </w:tcPr>
          <w:p>
            <w:pPr>
              <w:pStyle w:val="13"/>
            </w:pPr>
            <w:r>
              <w:t>按工作计划</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按要求完成监督工作</w:t>
            </w:r>
          </w:p>
        </w:tc>
        <w:tc>
          <w:tcPr>
            <w:tcW w:w="5386" w:type="dxa"/>
            <w:vAlign w:val="center"/>
          </w:tcPr>
          <w:p>
            <w:pPr>
              <w:pStyle w:val="13"/>
            </w:pPr>
            <w:r>
              <w:t>按要求完成监督工作</w:t>
            </w:r>
          </w:p>
        </w:tc>
        <w:tc>
          <w:tcPr>
            <w:tcW w:w="2268" w:type="dxa"/>
            <w:vAlign w:val="center"/>
          </w:tcPr>
          <w:p>
            <w:pPr>
              <w:pStyle w:val="13"/>
            </w:pPr>
            <w:r>
              <w:t>按要求完成监督工作</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完成工作量与计划的比例</w:t>
            </w:r>
          </w:p>
        </w:tc>
        <w:tc>
          <w:tcPr>
            <w:tcW w:w="5386" w:type="dxa"/>
            <w:vAlign w:val="center"/>
          </w:tcPr>
          <w:p>
            <w:pPr>
              <w:pStyle w:val="13"/>
            </w:pPr>
            <w:r>
              <w:t>完成工作量与计划的比例</w:t>
            </w:r>
          </w:p>
        </w:tc>
        <w:tc>
          <w:tcPr>
            <w:tcW w:w="2268" w:type="dxa"/>
            <w:vAlign w:val="center"/>
          </w:tcPr>
          <w:p>
            <w:pPr>
              <w:pStyle w:val="13"/>
            </w:pPr>
            <w:r>
              <w:t>≥95%</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预算项目金额</w:t>
            </w:r>
          </w:p>
        </w:tc>
        <w:tc>
          <w:tcPr>
            <w:tcW w:w="5386" w:type="dxa"/>
            <w:vAlign w:val="center"/>
          </w:tcPr>
          <w:p>
            <w:pPr>
              <w:pStyle w:val="13"/>
            </w:pPr>
            <w:r>
              <w:t>预算项目金额</w:t>
            </w:r>
          </w:p>
        </w:tc>
        <w:tc>
          <w:tcPr>
            <w:tcW w:w="2268" w:type="dxa"/>
            <w:vAlign w:val="center"/>
          </w:tcPr>
          <w:p>
            <w:pPr>
              <w:pStyle w:val="13"/>
            </w:pPr>
            <w:r>
              <w:t>≥1万元</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以往经验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2、人大常委会经费绩效目标表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13012726P00009210004C</w:t>
            </w:r>
          </w:p>
        </w:tc>
        <w:tc>
          <w:tcPr>
            <w:tcW w:w="2835" w:type="dxa"/>
            <w:vAlign w:val="center"/>
          </w:tcPr>
          <w:p>
            <w:pPr>
              <w:pStyle w:val="11"/>
            </w:pPr>
            <w:r>
              <w:t>项目名称</w:t>
            </w:r>
          </w:p>
        </w:tc>
        <w:tc>
          <w:tcPr>
            <w:tcW w:w="6095" w:type="dxa"/>
            <w:gridSpan w:val="3"/>
            <w:vAlign w:val="center"/>
          </w:tcPr>
          <w:p>
            <w:pPr>
              <w:pStyle w:val="13"/>
            </w:pPr>
            <w:r>
              <w:t>人大常委会经费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用于保障按时召开常委会会议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1.按法律规定，每年召开常委会6次以上。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召开常会委次数</w:t>
            </w:r>
          </w:p>
        </w:tc>
        <w:tc>
          <w:tcPr>
            <w:tcW w:w="5386" w:type="dxa"/>
            <w:vAlign w:val="center"/>
          </w:tcPr>
          <w:p>
            <w:pPr>
              <w:pStyle w:val="13"/>
            </w:pPr>
            <w:r>
              <w:t>召开常会委次数</w:t>
            </w:r>
          </w:p>
        </w:tc>
        <w:tc>
          <w:tcPr>
            <w:tcW w:w="2268" w:type="dxa"/>
            <w:vAlign w:val="center"/>
          </w:tcPr>
          <w:p>
            <w:pPr>
              <w:pStyle w:val="13"/>
            </w:pPr>
            <w:r>
              <w:t>≥6次</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会议会务工作完成率</w:t>
            </w:r>
          </w:p>
        </w:tc>
        <w:tc>
          <w:tcPr>
            <w:tcW w:w="5386" w:type="dxa"/>
            <w:vAlign w:val="center"/>
          </w:tcPr>
          <w:p>
            <w:pPr>
              <w:pStyle w:val="13"/>
            </w:pPr>
            <w:r>
              <w:t>会议会务工作完成率</w:t>
            </w:r>
          </w:p>
        </w:tc>
        <w:tc>
          <w:tcPr>
            <w:tcW w:w="2268" w:type="dxa"/>
            <w:vAlign w:val="center"/>
          </w:tcPr>
          <w:p>
            <w:pPr>
              <w:pStyle w:val="13"/>
            </w:pPr>
            <w:r>
              <w:t>≥95%</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会议按规定时间召开</w:t>
            </w:r>
          </w:p>
        </w:tc>
        <w:tc>
          <w:tcPr>
            <w:tcW w:w="5386" w:type="dxa"/>
            <w:vAlign w:val="center"/>
          </w:tcPr>
          <w:p>
            <w:pPr>
              <w:pStyle w:val="13"/>
            </w:pPr>
            <w:r>
              <w:t>会议按规定时间召开</w:t>
            </w:r>
          </w:p>
        </w:tc>
        <w:tc>
          <w:tcPr>
            <w:tcW w:w="2268" w:type="dxa"/>
            <w:vAlign w:val="center"/>
          </w:tcPr>
          <w:p>
            <w:pPr>
              <w:pStyle w:val="13"/>
            </w:pPr>
            <w:r>
              <w:t>≥95%</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项目预算金额</w:t>
            </w:r>
          </w:p>
        </w:tc>
        <w:tc>
          <w:tcPr>
            <w:tcW w:w="5386" w:type="dxa"/>
            <w:vAlign w:val="center"/>
          </w:tcPr>
          <w:p>
            <w:pPr>
              <w:pStyle w:val="13"/>
            </w:pPr>
            <w:r>
              <w:t>项目预算金额</w:t>
            </w:r>
          </w:p>
        </w:tc>
        <w:tc>
          <w:tcPr>
            <w:tcW w:w="2268" w:type="dxa"/>
            <w:vAlign w:val="center"/>
          </w:tcPr>
          <w:p>
            <w:pPr>
              <w:pStyle w:val="13"/>
            </w:pPr>
            <w:r>
              <w:t>≥95%</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完成大会各项政治任务</w:t>
            </w:r>
          </w:p>
        </w:tc>
        <w:tc>
          <w:tcPr>
            <w:tcW w:w="5386" w:type="dxa"/>
            <w:vAlign w:val="center"/>
          </w:tcPr>
          <w:p>
            <w:pPr>
              <w:pStyle w:val="13"/>
            </w:pPr>
            <w:r>
              <w:t>完成大会各项政治任务</w:t>
            </w:r>
          </w:p>
        </w:tc>
        <w:tc>
          <w:tcPr>
            <w:tcW w:w="2268" w:type="dxa"/>
            <w:vAlign w:val="center"/>
          </w:tcPr>
          <w:p>
            <w:pPr>
              <w:pStyle w:val="13"/>
            </w:pPr>
            <w:r>
              <w:t>≥95%</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与会人员满意度</w:t>
            </w:r>
          </w:p>
        </w:tc>
        <w:tc>
          <w:tcPr>
            <w:tcW w:w="5386" w:type="dxa"/>
            <w:vAlign w:val="center"/>
          </w:tcPr>
          <w:p>
            <w:pPr>
              <w:pStyle w:val="13"/>
            </w:pPr>
            <w:r>
              <w:t>与会人员满意度</w:t>
            </w:r>
          </w:p>
        </w:tc>
        <w:tc>
          <w:tcPr>
            <w:tcW w:w="2268" w:type="dxa"/>
            <w:vAlign w:val="center"/>
          </w:tcPr>
          <w:p>
            <w:pPr>
              <w:pStyle w:val="13"/>
            </w:pPr>
            <w:r>
              <w:t>≥95%</w:t>
            </w:r>
          </w:p>
        </w:tc>
        <w:tc>
          <w:tcPr>
            <w:tcW w:w="1276" w:type="dxa"/>
            <w:vAlign w:val="center"/>
          </w:tcPr>
          <w:p>
            <w:pPr>
              <w:pStyle w:val="13"/>
            </w:pPr>
            <w:r>
              <w:t>以往经验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3、人大代表活动经费绩效目标表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13012726P00010110003R</w:t>
            </w:r>
          </w:p>
        </w:tc>
        <w:tc>
          <w:tcPr>
            <w:tcW w:w="2835" w:type="dxa"/>
            <w:vAlign w:val="center"/>
          </w:tcPr>
          <w:p>
            <w:pPr>
              <w:pStyle w:val="11"/>
            </w:pPr>
            <w:r>
              <w:t>项目名称</w:t>
            </w:r>
          </w:p>
        </w:tc>
        <w:tc>
          <w:tcPr>
            <w:tcW w:w="6095" w:type="dxa"/>
            <w:gridSpan w:val="3"/>
            <w:vAlign w:val="center"/>
          </w:tcPr>
          <w:p>
            <w:pPr>
              <w:pStyle w:val="13"/>
            </w:pPr>
            <w:r>
              <w:t>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主要用于县人大代表在闭会期间组织开展执行代表职务的各项活动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1.主要用于县人大代表在闭会期间组织开展执行代表职务的各项活动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人大代表参与人数</w:t>
            </w:r>
          </w:p>
        </w:tc>
        <w:tc>
          <w:tcPr>
            <w:tcW w:w="5386" w:type="dxa"/>
            <w:vAlign w:val="center"/>
          </w:tcPr>
          <w:p>
            <w:pPr>
              <w:pStyle w:val="13"/>
            </w:pPr>
            <w:r>
              <w:t>人大代表参与人数</w:t>
            </w:r>
          </w:p>
        </w:tc>
        <w:tc>
          <w:tcPr>
            <w:tcW w:w="2268" w:type="dxa"/>
            <w:vAlign w:val="center"/>
          </w:tcPr>
          <w:p>
            <w:pPr>
              <w:pStyle w:val="13"/>
            </w:pPr>
            <w:r>
              <w:t>≤173人</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代表参与率</w:t>
            </w:r>
          </w:p>
        </w:tc>
        <w:tc>
          <w:tcPr>
            <w:tcW w:w="5386" w:type="dxa"/>
            <w:vAlign w:val="center"/>
          </w:tcPr>
          <w:p>
            <w:pPr>
              <w:pStyle w:val="13"/>
            </w:pPr>
            <w:r>
              <w:t>代表参与率</w:t>
            </w:r>
          </w:p>
        </w:tc>
        <w:tc>
          <w:tcPr>
            <w:tcW w:w="2268" w:type="dxa"/>
            <w:vAlign w:val="center"/>
          </w:tcPr>
          <w:p>
            <w:pPr>
              <w:pStyle w:val="13"/>
            </w:pPr>
            <w:r>
              <w:t>≥95%</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代表工作开展及时率</w:t>
            </w:r>
          </w:p>
        </w:tc>
        <w:tc>
          <w:tcPr>
            <w:tcW w:w="5386" w:type="dxa"/>
            <w:vAlign w:val="center"/>
          </w:tcPr>
          <w:p>
            <w:pPr>
              <w:pStyle w:val="13"/>
            </w:pPr>
            <w:r>
              <w:t>代表工作开展及时率</w:t>
            </w:r>
          </w:p>
        </w:tc>
        <w:tc>
          <w:tcPr>
            <w:tcW w:w="2268" w:type="dxa"/>
            <w:vAlign w:val="center"/>
          </w:tcPr>
          <w:p>
            <w:pPr>
              <w:pStyle w:val="13"/>
            </w:pPr>
            <w:r>
              <w:t>≥90%</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项目预算金额</w:t>
            </w:r>
          </w:p>
        </w:tc>
        <w:tc>
          <w:tcPr>
            <w:tcW w:w="5386" w:type="dxa"/>
            <w:vAlign w:val="center"/>
          </w:tcPr>
          <w:p>
            <w:pPr>
              <w:pStyle w:val="13"/>
            </w:pPr>
            <w:r>
              <w:t>项目预算金额</w:t>
            </w:r>
          </w:p>
        </w:tc>
        <w:tc>
          <w:tcPr>
            <w:tcW w:w="2268" w:type="dxa"/>
            <w:vAlign w:val="center"/>
          </w:tcPr>
          <w:p>
            <w:pPr>
              <w:pStyle w:val="13"/>
            </w:pPr>
            <w:r>
              <w:t>≤1万元</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提升代表履职能力</w:t>
            </w:r>
          </w:p>
        </w:tc>
        <w:tc>
          <w:tcPr>
            <w:tcW w:w="5386" w:type="dxa"/>
            <w:vAlign w:val="center"/>
          </w:tcPr>
          <w:p>
            <w:pPr>
              <w:pStyle w:val="13"/>
            </w:pPr>
            <w:r>
              <w:t>提升代表履职能力</w:t>
            </w:r>
          </w:p>
        </w:tc>
        <w:tc>
          <w:tcPr>
            <w:tcW w:w="2268" w:type="dxa"/>
            <w:vAlign w:val="center"/>
          </w:tcPr>
          <w:p>
            <w:pPr>
              <w:pStyle w:val="13"/>
            </w:pPr>
            <w:r>
              <w:t>≥90%</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代表满意度</w:t>
            </w:r>
          </w:p>
        </w:tc>
        <w:tc>
          <w:tcPr>
            <w:tcW w:w="5386" w:type="dxa"/>
            <w:vAlign w:val="center"/>
          </w:tcPr>
          <w:p>
            <w:pPr>
              <w:pStyle w:val="13"/>
            </w:pPr>
            <w:r>
              <w:t>代表满意度</w:t>
            </w:r>
          </w:p>
        </w:tc>
        <w:tc>
          <w:tcPr>
            <w:tcW w:w="2268" w:type="dxa"/>
            <w:vAlign w:val="center"/>
          </w:tcPr>
          <w:p>
            <w:pPr>
              <w:pStyle w:val="13"/>
            </w:pPr>
            <w:r>
              <w:t>≥95%</w:t>
            </w:r>
          </w:p>
        </w:tc>
        <w:tc>
          <w:tcPr>
            <w:tcW w:w="1276" w:type="dxa"/>
            <w:vAlign w:val="center"/>
          </w:tcPr>
          <w:p>
            <w:pPr>
              <w:pStyle w:val="13"/>
            </w:pPr>
            <w:r>
              <w:t>以往经验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4、人大代表视察费绩效目标表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13012726P00009010002R</w:t>
            </w:r>
          </w:p>
        </w:tc>
        <w:tc>
          <w:tcPr>
            <w:tcW w:w="2835" w:type="dxa"/>
            <w:vAlign w:val="center"/>
          </w:tcPr>
          <w:p>
            <w:pPr>
              <w:pStyle w:val="11"/>
            </w:pPr>
            <w:r>
              <w:t>项目名称</w:t>
            </w:r>
          </w:p>
        </w:tc>
        <w:tc>
          <w:tcPr>
            <w:tcW w:w="6095" w:type="dxa"/>
            <w:gridSpan w:val="3"/>
            <w:vAlign w:val="center"/>
          </w:tcPr>
          <w:p>
            <w:pPr>
              <w:pStyle w:val="13"/>
            </w:pPr>
            <w:r>
              <w:t>人大代表视察费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人大代表视察经费主要用于保障县人大代表开展执行代表职务的各项视察工作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1.人大代表视察经费主要用于保障县人大代表开展执行代表职务的各项视察工作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代表视察工作完成率</w:t>
            </w:r>
          </w:p>
        </w:tc>
        <w:tc>
          <w:tcPr>
            <w:tcW w:w="5386" w:type="dxa"/>
            <w:vAlign w:val="center"/>
          </w:tcPr>
          <w:p>
            <w:pPr>
              <w:pStyle w:val="13"/>
            </w:pPr>
            <w:r>
              <w:t>代表视察工作完成率</w:t>
            </w:r>
          </w:p>
        </w:tc>
        <w:tc>
          <w:tcPr>
            <w:tcW w:w="2268" w:type="dxa"/>
            <w:vAlign w:val="center"/>
          </w:tcPr>
          <w:p>
            <w:pPr>
              <w:pStyle w:val="13"/>
            </w:pPr>
            <w:r>
              <w:t>≥90%</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代表参与率</w:t>
            </w:r>
          </w:p>
        </w:tc>
        <w:tc>
          <w:tcPr>
            <w:tcW w:w="5386" w:type="dxa"/>
            <w:vAlign w:val="center"/>
          </w:tcPr>
          <w:p>
            <w:pPr>
              <w:pStyle w:val="13"/>
            </w:pPr>
            <w:r>
              <w:t>代表参与率</w:t>
            </w:r>
          </w:p>
        </w:tc>
        <w:tc>
          <w:tcPr>
            <w:tcW w:w="2268" w:type="dxa"/>
            <w:vAlign w:val="center"/>
          </w:tcPr>
          <w:p>
            <w:pPr>
              <w:pStyle w:val="13"/>
            </w:pPr>
            <w:r>
              <w:t>≥95%</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代表工作开展及时率</w:t>
            </w:r>
          </w:p>
        </w:tc>
        <w:tc>
          <w:tcPr>
            <w:tcW w:w="5386" w:type="dxa"/>
            <w:vAlign w:val="center"/>
          </w:tcPr>
          <w:p>
            <w:pPr>
              <w:pStyle w:val="13"/>
            </w:pPr>
            <w:r>
              <w:t>代表工作开展及时率</w:t>
            </w:r>
          </w:p>
        </w:tc>
        <w:tc>
          <w:tcPr>
            <w:tcW w:w="2268" w:type="dxa"/>
            <w:vAlign w:val="center"/>
          </w:tcPr>
          <w:p>
            <w:pPr>
              <w:pStyle w:val="13"/>
            </w:pPr>
            <w:r>
              <w:t>≥90%</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项目预算金额</w:t>
            </w:r>
          </w:p>
        </w:tc>
        <w:tc>
          <w:tcPr>
            <w:tcW w:w="5386" w:type="dxa"/>
            <w:vAlign w:val="center"/>
          </w:tcPr>
          <w:p>
            <w:pPr>
              <w:pStyle w:val="13"/>
            </w:pPr>
            <w:r>
              <w:t>项目预算金额</w:t>
            </w:r>
          </w:p>
        </w:tc>
        <w:tc>
          <w:tcPr>
            <w:tcW w:w="2268" w:type="dxa"/>
            <w:vAlign w:val="center"/>
          </w:tcPr>
          <w:p>
            <w:pPr>
              <w:pStyle w:val="13"/>
            </w:pPr>
            <w:r>
              <w:t>≤1万元</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提升代表履职能力</w:t>
            </w:r>
          </w:p>
        </w:tc>
        <w:tc>
          <w:tcPr>
            <w:tcW w:w="5386" w:type="dxa"/>
            <w:vAlign w:val="center"/>
          </w:tcPr>
          <w:p>
            <w:pPr>
              <w:pStyle w:val="13"/>
            </w:pPr>
            <w:r>
              <w:t>提升代表履职能力</w:t>
            </w:r>
          </w:p>
        </w:tc>
        <w:tc>
          <w:tcPr>
            <w:tcW w:w="2268" w:type="dxa"/>
            <w:vAlign w:val="center"/>
          </w:tcPr>
          <w:p>
            <w:pPr>
              <w:pStyle w:val="13"/>
            </w:pPr>
            <w:r>
              <w:t>≥90%</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代表满意度</w:t>
            </w:r>
          </w:p>
        </w:tc>
        <w:tc>
          <w:tcPr>
            <w:tcW w:w="5386" w:type="dxa"/>
            <w:vAlign w:val="center"/>
          </w:tcPr>
          <w:p>
            <w:pPr>
              <w:pStyle w:val="13"/>
            </w:pPr>
            <w:r>
              <w:t>代表满意度</w:t>
            </w:r>
          </w:p>
        </w:tc>
        <w:tc>
          <w:tcPr>
            <w:tcW w:w="2268" w:type="dxa"/>
            <w:vAlign w:val="center"/>
          </w:tcPr>
          <w:p>
            <w:pPr>
              <w:pStyle w:val="13"/>
            </w:pPr>
            <w:r>
              <w:t>≥95%</w:t>
            </w:r>
          </w:p>
        </w:tc>
        <w:tc>
          <w:tcPr>
            <w:tcW w:w="1276" w:type="dxa"/>
            <w:vAlign w:val="center"/>
          </w:tcPr>
          <w:p>
            <w:pPr>
              <w:pStyle w:val="13"/>
            </w:pPr>
            <w:r>
              <w:t>以往经验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5、人代会经费绩效目标表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13012726P00008910002M</w:t>
            </w:r>
          </w:p>
        </w:tc>
        <w:tc>
          <w:tcPr>
            <w:tcW w:w="2835" w:type="dxa"/>
            <w:vAlign w:val="center"/>
          </w:tcPr>
          <w:p>
            <w:pPr>
              <w:pStyle w:val="11"/>
            </w:pPr>
            <w:r>
              <w:t>项目名称</w:t>
            </w:r>
          </w:p>
        </w:tc>
        <w:tc>
          <w:tcPr>
            <w:tcW w:w="6095" w:type="dxa"/>
            <w:gridSpan w:val="3"/>
            <w:vAlign w:val="center"/>
          </w:tcPr>
          <w:p>
            <w:pPr>
              <w:pStyle w:val="13"/>
            </w:pPr>
            <w:r>
              <w:t>人代会经费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保障人代会正常召开，完成大会的各项政治任务。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3.25</w:t>
            </w:r>
          </w:p>
        </w:tc>
        <w:tc>
          <w:tcPr>
            <w:tcW w:w="2835" w:type="dxa"/>
            <w:vAlign w:val="center"/>
          </w:tcPr>
          <w:p>
            <w:pPr>
              <w:pStyle w:val="14"/>
            </w:pPr>
            <w:r>
              <w:t>6.50</w:t>
            </w:r>
          </w:p>
        </w:tc>
        <w:tc>
          <w:tcPr>
            <w:tcW w:w="2551" w:type="dxa"/>
            <w:vAlign w:val="center"/>
          </w:tcPr>
          <w:p>
            <w:pPr>
              <w:pStyle w:val="14"/>
            </w:pPr>
            <w:r>
              <w:t>9.75</w:t>
            </w:r>
          </w:p>
        </w:tc>
        <w:tc>
          <w:tcPr>
            <w:tcW w:w="3544" w:type="dxa"/>
            <w:gridSpan w:val="2"/>
            <w:vAlign w:val="center"/>
          </w:tcPr>
          <w:p>
            <w:pPr>
              <w:pStyle w:val="14"/>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1.保障人代会正常召开，完成大会的各项政治任务。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出席会议代表</w:t>
            </w:r>
          </w:p>
        </w:tc>
        <w:tc>
          <w:tcPr>
            <w:tcW w:w="5386" w:type="dxa"/>
            <w:vAlign w:val="center"/>
          </w:tcPr>
          <w:p>
            <w:pPr>
              <w:pStyle w:val="13"/>
            </w:pPr>
            <w:r>
              <w:t>出席会议代表</w:t>
            </w:r>
          </w:p>
        </w:tc>
        <w:tc>
          <w:tcPr>
            <w:tcW w:w="2268" w:type="dxa"/>
            <w:vAlign w:val="center"/>
          </w:tcPr>
          <w:p>
            <w:pPr>
              <w:pStyle w:val="13"/>
            </w:pPr>
            <w:r>
              <w:t>≥95%</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会议会务工作完成率</w:t>
            </w:r>
          </w:p>
        </w:tc>
        <w:tc>
          <w:tcPr>
            <w:tcW w:w="5386" w:type="dxa"/>
            <w:vAlign w:val="center"/>
          </w:tcPr>
          <w:p>
            <w:pPr>
              <w:pStyle w:val="13"/>
            </w:pPr>
            <w:r>
              <w:t>已完成的会议会务工作量占计划量比例</w:t>
            </w:r>
          </w:p>
        </w:tc>
        <w:tc>
          <w:tcPr>
            <w:tcW w:w="2268" w:type="dxa"/>
            <w:vAlign w:val="center"/>
          </w:tcPr>
          <w:p>
            <w:pPr>
              <w:pStyle w:val="13"/>
            </w:pPr>
            <w:r>
              <w:t>≥95%</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会议安时召开</w:t>
            </w:r>
          </w:p>
        </w:tc>
        <w:tc>
          <w:tcPr>
            <w:tcW w:w="5386" w:type="dxa"/>
            <w:vAlign w:val="center"/>
          </w:tcPr>
          <w:p>
            <w:pPr>
              <w:pStyle w:val="13"/>
            </w:pPr>
            <w:r>
              <w:t>人代会按规定时间正常召开</w:t>
            </w:r>
          </w:p>
        </w:tc>
        <w:tc>
          <w:tcPr>
            <w:tcW w:w="2268" w:type="dxa"/>
            <w:vAlign w:val="center"/>
          </w:tcPr>
          <w:p>
            <w:pPr>
              <w:pStyle w:val="13"/>
            </w:pPr>
            <w:r>
              <w:t>在规定时间内召开</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项目预算金额</w:t>
            </w:r>
          </w:p>
        </w:tc>
        <w:tc>
          <w:tcPr>
            <w:tcW w:w="5386" w:type="dxa"/>
            <w:vAlign w:val="center"/>
          </w:tcPr>
          <w:p>
            <w:pPr>
              <w:pStyle w:val="13"/>
            </w:pPr>
            <w:r>
              <w:t>项目预算金额</w:t>
            </w:r>
          </w:p>
        </w:tc>
        <w:tc>
          <w:tcPr>
            <w:tcW w:w="2268" w:type="dxa"/>
            <w:vAlign w:val="center"/>
          </w:tcPr>
          <w:p>
            <w:pPr>
              <w:pStyle w:val="13"/>
            </w:pPr>
            <w:r>
              <w:t>≤13万元</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完成大会各项政治任务</w:t>
            </w:r>
          </w:p>
        </w:tc>
        <w:tc>
          <w:tcPr>
            <w:tcW w:w="5386" w:type="dxa"/>
            <w:vAlign w:val="center"/>
          </w:tcPr>
          <w:p>
            <w:pPr>
              <w:pStyle w:val="13"/>
            </w:pPr>
            <w:r>
              <w:t>完成大会各项政治任务</w:t>
            </w:r>
          </w:p>
        </w:tc>
        <w:tc>
          <w:tcPr>
            <w:tcW w:w="2268" w:type="dxa"/>
            <w:vAlign w:val="center"/>
          </w:tcPr>
          <w:p>
            <w:pPr>
              <w:pStyle w:val="13"/>
            </w:pPr>
            <w:r>
              <w:t>≥100%</w:t>
            </w:r>
          </w:p>
        </w:tc>
        <w:tc>
          <w:tcPr>
            <w:tcW w:w="1276" w:type="dxa"/>
            <w:vAlign w:val="center"/>
          </w:tcPr>
          <w:p>
            <w:pPr>
              <w:pStyle w:val="13"/>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参会代表满意度</w:t>
            </w:r>
          </w:p>
        </w:tc>
        <w:tc>
          <w:tcPr>
            <w:tcW w:w="5386" w:type="dxa"/>
            <w:vAlign w:val="center"/>
          </w:tcPr>
          <w:p>
            <w:pPr>
              <w:pStyle w:val="13"/>
            </w:pPr>
            <w:r>
              <w:t>参会代表满意度</w:t>
            </w:r>
          </w:p>
        </w:tc>
        <w:tc>
          <w:tcPr>
            <w:tcW w:w="2268" w:type="dxa"/>
            <w:vAlign w:val="center"/>
          </w:tcPr>
          <w:p>
            <w:pPr>
              <w:pStyle w:val="13"/>
            </w:pPr>
            <w:r>
              <w:t>≥95%</w:t>
            </w:r>
          </w:p>
        </w:tc>
        <w:tc>
          <w:tcPr>
            <w:tcW w:w="1276" w:type="dxa"/>
            <w:vAlign w:val="center"/>
          </w:tcPr>
          <w:p>
            <w:pPr>
              <w:pStyle w:val="13"/>
            </w:pPr>
            <w:r>
              <w:t>以往经验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高邑县人民代表大会常务委员会办公室（含所属单位）上年末固定资产金额为142.38万元（详见下表）。本年度拟购置固定资产总额为0.00万元，已按要求列入政府采购预算，详见政府采购预算表。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101高邑县人民代表大会常务委员会办公室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72.92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258</w:t>
            </w:r>
          </w:p>
        </w:tc>
        <w:tc>
          <w:tcPr>
            <w:tcW w:w="2835" w:type="dxa"/>
            <w:vAlign w:val="center"/>
          </w:tcPr>
          <w:p>
            <w:pPr>
              <w:pStyle w:val="12"/>
            </w:pPr>
            <w:r>
              <w:t>69.46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C871D5"/>
    <w:rsid w:val="64234EC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0</TotalTime>
  <ScaleCrop>false</ScaleCrop>
  <LinksUpToDate>false</LinksUpToDate>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2026-02-10T11:02:00Z</dcterms:created>
  <dc:creator>Administrator</dc:creator>
  <cp:lastModifiedBy>Administrator</cp:lastModifiedBy>
  <dcterms:modified xsi:type="dcterms:W3CDTF">2026-05-26T08:32:56Z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6004A7A0C84542CEA01E255DC85B1B8C</vt:lpwstr>
  </property>
</Properties>
</file>