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 w:name="_GoBack"/>
      <w:bookmarkEnd w:id="1"/>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一、高邑县人民代表大会常务委员会办公室本级收支预算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一、高邑县人民代表大会常务委员会办公室本级收支预算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101001高邑县人民代表大会常务委员会办公室本级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417.09</w:t>
            </w:r>
          </w:p>
        </w:tc>
        <w:tc>
          <w:tcPr>
            <w:tcW w:w="4535" w:type="dxa"/>
            <w:vAlign w:val="center"/>
          </w:tcPr>
          <w:p>
            <w:pPr>
              <w:pStyle w:val="12"/>
            </w:pPr>
            <w:r>
              <w:t>一、一般公共服务支出</w:t>
            </w:r>
          </w:p>
        </w:tc>
        <w:tc>
          <w:tcPr>
            <w:tcW w:w="2126" w:type="dxa"/>
            <w:vAlign w:val="center"/>
          </w:tcPr>
          <w:p>
            <w:pPr>
              <w:pStyle w:val="11"/>
            </w:pPr>
            <w:r>
              <w:t>293.55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52.54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44.00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417.09</w:t>
            </w:r>
          </w:p>
        </w:tc>
        <w:tc>
          <w:tcPr>
            <w:tcW w:w="4535" w:type="dxa"/>
            <w:vAlign w:val="center"/>
          </w:tcPr>
          <w:p>
            <w:pPr>
              <w:pStyle w:val="14"/>
            </w:pPr>
            <w:r>
              <w:t>本年支出合计</w:t>
            </w:r>
          </w:p>
        </w:tc>
        <w:tc>
          <w:tcPr>
            <w:tcW w:w="2126" w:type="dxa"/>
            <w:vAlign w:val="center"/>
          </w:tcPr>
          <w:p>
            <w:pPr>
              <w:pStyle w:val="15"/>
            </w:pPr>
            <w:r>
              <w:t>417.09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417.09</w:t>
            </w:r>
          </w:p>
        </w:tc>
        <w:tc>
          <w:tcPr>
            <w:tcW w:w="4535" w:type="dxa"/>
            <w:vAlign w:val="center"/>
          </w:tcPr>
          <w:p>
            <w:pPr>
              <w:pStyle w:val="14"/>
            </w:pPr>
            <w:r>
              <w:t>支出总计</w:t>
            </w:r>
          </w:p>
        </w:tc>
        <w:tc>
          <w:tcPr>
            <w:tcW w:w="2126" w:type="dxa"/>
            <w:vAlign w:val="center"/>
          </w:tcPr>
          <w:p>
            <w:pPr>
              <w:pStyle w:val="15"/>
            </w:pPr>
            <w:r>
              <w:t>417.09</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101001高邑县人民代表大会常务委员会办公室本级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417.09</w:t>
            </w:r>
          </w:p>
        </w:tc>
        <w:tc>
          <w:tcPr>
            <w:tcW w:w="1134" w:type="dxa"/>
            <w:vAlign w:val="center"/>
          </w:tcPr>
          <w:p>
            <w:pPr>
              <w:pStyle w:val="15"/>
            </w:pPr>
            <w:r>
              <w:t>417.09</w:t>
            </w:r>
          </w:p>
        </w:tc>
        <w:tc>
          <w:tcPr>
            <w:tcW w:w="1134" w:type="dxa"/>
            <w:vAlign w:val="center"/>
          </w:tcPr>
          <w:p>
            <w:pPr>
              <w:pStyle w:val="15"/>
            </w:pPr>
            <w:r>
              <w:t>417.09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293.55</w:t>
            </w:r>
          </w:p>
        </w:tc>
        <w:tc>
          <w:tcPr>
            <w:tcW w:w="1134" w:type="dxa"/>
            <w:vAlign w:val="center"/>
          </w:tcPr>
          <w:p>
            <w:pPr>
              <w:pStyle w:val="11"/>
            </w:pPr>
            <w:r>
              <w:t>293.55</w:t>
            </w:r>
          </w:p>
        </w:tc>
        <w:tc>
          <w:tcPr>
            <w:tcW w:w="1134" w:type="dxa"/>
            <w:vAlign w:val="center"/>
          </w:tcPr>
          <w:p>
            <w:pPr>
              <w:pStyle w:val="11"/>
            </w:pPr>
            <w:r>
              <w:t>293.55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20101</w:t>
            </w:r>
          </w:p>
        </w:tc>
        <w:tc>
          <w:tcPr>
            <w:tcW w:w="1559" w:type="dxa"/>
            <w:vAlign w:val="center"/>
          </w:tcPr>
          <w:p>
            <w:pPr>
              <w:pStyle w:val="12"/>
            </w:pPr>
            <w:r>
              <w:t>人大事务</w:t>
            </w:r>
          </w:p>
        </w:tc>
        <w:tc>
          <w:tcPr>
            <w:tcW w:w="1134" w:type="dxa"/>
            <w:vAlign w:val="center"/>
          </w:tcPr>
          <w:p>
            <w:pPr>
              <w:pStyle w:val="11"/>
            </w:pPr>
            <w:r>
              <w:t>293.55</w:t>
            </w:r>
          </w:p>
        </w:tc>
        <w:tc>
          <w:tcPr>
            <w:tcW w:w="1134" w:type="dxa"/>
            <w:vAlign w:val="center"/>
          </w:tcPr>
          <w:p>
            <w:pPr>
              <w:pStyle w:val="11"/>
            </w:pPr>
            <w:r>
              <w:t>293.55</w:t>
            </w:r>
          </w:p>
        </w:tc>
        <w:tc>
          <w:tcPr>
            <w:tcW w:w="1134" w:type="dxa"/>
            <w:vAlign w:val="center"/>
          </w:tcPr>
          <w:p>
            <w:pPr>
              <w:pStyle w:val="11"/>
            </w:pPr>
            <w:r>
              <w:t>293.55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2010101</w:t>
            </w:r>
          </w:p>
        </w:tc>
        <w:tc>
          <w:tcPr>
            <w:tcW w:w="1559" w:type="dxa"/>
            <w:vAlign w:val="center"/>
          </w:tcPr>
          <w:p>
            <w:pPr>
              <w:pStyle w:val="12"/>
            </w:pPr>
            <w:r>
              <w:t>行政运行</w:t>
            </w:r>
          </w:p>
        </w:tc>
        <w:tc>
          <w:tcPr>
            <w:tcW w:w="1134" w:type="dxa"/>
            <w:vAlign w:val="center"/>
          </w:tcPr>
          <w:p>
            <w:pPr>
              <w:pStyle w:val="11"/>
            </w:pPr>
            <w:r>
              <w:t>275.55</w:t>
            </w:r>
          </w:p>
        </w:tc>
        <w:tc>
          <w:tcPr>
            <w:tcW w:w="1134" w:type="dxa"/>
            <w:vAlign w:val="center"/>
          </w:tcPr>
          <w:p>
            <w:pPr>
              <w:pStyle w:val="11"/>
            </w:pPr>
            <w:r>
              <w:t>275.55</w:t>
            </w:r>
          </w:p>
        </w:tc>
        <w:tc>
          <w:tcPr>
            <w:tcW w:w="1134" w:type="dxa"/>
            <w:vAlign w:val="center"/>
          </w:tcPr>
          <w:p>
            <w:pPr>
              <w:pStyle w:val="11"/>
            </w:pPr>
            <w:r>
              <w:t>275.55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2010102</w:t>
            </w:r>
          </w:p>
        </w:tc>
        <w:tc>
          <w:tcPr>
            <w:tcW w:w="1559" w:type="dxa"/>
            <w:vAlign w:val="center"/>
          </w:tcPr>
          <w:p>
            <w:pPr>
              <w:pStyle w:val="12"/>
            </w:pPr>
            <w:r>
              <w:t>一般行政管理事务</w:t>
            </w:r>
          </w:p>
        </w:tc>
        <w:tc>
          <w:tcPr>
            <w:tcW w:w="1134" w:type="dxa"/>
            <w:vAlign w:val="center"/>
          </w:tcPr>
          <w:p>
            <w:pPr>
              <w:pStyle w:val="11"/>
            </w:pPr>
            <w:r>
              <w:t>4.00</w:t>
            </w:r>
          </w:p>
        </w:tc>
        <w:tc>
          <w:tcPr>
            <w:tcW w:w="1134" w:type="dxa"/>
            <w:vAlign w:val="center"/>
          </w:tcPr>
          <w:p>
            <w:pPr>
              <w:pStyle w:val="11"/>
            </w:pPr>
            <w:r>
              <w:t>4.00</w:t>
            </w:r>
          </w:p>
        </w:tc>
        <w:tc>
          <w:tcPr>
            <w:tcW w:w="1134" w:type="dxa"/>
            <w:vAlign w:val="center"/>
          </w:tcPr>
          <w:p>
            <w:pPr>
              <w:pStyle w:val="11"/>
            </w:pPr>
            <w:r>
              <w:t>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2010104</w:t>
            </w:r>
          </w:p>
        </w:tc>
        <w:tc>
          <w:tcPr>
            <w:tcW w:w="1559" w:type="dxa"/>
            <w:vAlign w:val="center"/>
          </w:tcPr>
          <w:p>
            <w:pPr>
              <w:pStyle w:val="12"/>
            </w:pPr>
            <w:r>
              <w:t>人大会议</w:t>
            </w:r>
          </w:p>
        </w:tc>
        <w:tc>
          <w:tcPr>
            <w:tcW w:w="1134" w:type="dxa"/>
            <w:vAlign w:val="center"/>
          </w:tcPr>
          <w:p>
            <w:pPr>
              <w:pStyle w:val="11"/>
            </w:pPr>
            <w:r>
              <w:t>13.00</w:t>
            </w:r>
          </w:p>
        </w:tc>
        <w:tc>
          <w:tcPr>
            <w:tcW w:w="1134" w:type="dxa"/>
            <w:vAlign w:val="center"/>
          </w:tcPr>
          <w:p>
            <w:pPr>
              <w:pStyle w:val="11"/>
            </w:pPr>
            <w:r>
              <w:t>13.00</w:t>
            </w:r>
          </w:p>
        </w:tc>
        <w:tc>
          <w:tcPr>
            <w:tcW w:w="1134" w:type="dxa"/>
            <w:vAlign w:val="center"/>
          </w:tcPr>
          <w:p>
            <w:pPr>
              <w:pStyle w:val="11"/>
            </w:pPr>
            <w:r>
              <w:t>13.00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2010106</w:t>
            </w:r>
          </w:p>
        </w:tc>
        <w:tc>
          <w:tcPr>
            <w:tcW w:w="1559" w:type="dxa"/>
            <w:vAlign w:val="center"/>
          </w:tcPr>
          <w:p>
            <w:pPr>
              <w:pStyle w:val="12"/>
            </w:pPr>
            <w:r>
              <w:t>人大监督</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52.54</w:t>
            </w:r>
          </w:p>
        </w:tc>
        <w:tc>
          <w:tcPr>
            <w:tcW w:w="1134" w:type="dxa"/>
            <w:vAlign w:val="center"/>
          </w:tcPr>
          <w:p>
            <w:pPr>
              <w:pStyle w:val="11"/>
            </w:pPr>
            <w:r>
              <w:t>52.54</w:t>
            </w:r>
          </w:p>
        </w:tc>
        <w:tc>
          <w:tcPr>
            <w:tcW w:w="1134" w:type="dxa"/>
            <w:vAlign w:val="center"/>
          </w:tcPr>
          <w:p>
            <w:pPr>
              <w:pStyle w:val="11"/>
            </w:pPr>
            <w:r>
              <w:t>52.54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50.54</w:t>
            </w:r>
          </w:p>
        </w:tc>
        <w:tc>
          <w:tcPr>
            <w:tcW w:w="1134" w:type="dxa"/>
            <w:vAlign w:val="center"/>
          </w:tcPr>
          <w:p>
            <w:pPr>
              <w:pStyle w:val="11"/>
            </w:pPr>
            <w:r>
              <w:t>50.54</w:t>
            </w:r>
          </w:p>
        </w:tc>
        <w:tc>
          <w:tcPr>
            <w:tcW w:w="1134" w:type="dxa"/>
            <w:vAlign w:val="center"/>
          </w:tcPr>
          <w:p>
            <w:pPr>
              <w:pStyle w:val="11"/>
            </w:pPr>
            <w:r>
              <w:t>50.54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4.54</w:t>
            </w:r>
          </w:p>
        </w:tc>
        <w:tc>
          <w:tcPr>
            <w:tcW w:w="1134" w:type="dxa"/>
            <w:vAlign w:val="center"/>
          </w:tcPr>
          <w:p>
            <w:pPr>
              <w:pStyle w:val="11"/>
            </w:pPr>
            <w:r>
              <w:t>4.54</w:t>
            </w:r>
          </w:p>
        </w:tc>
        <w:tc>
          <w:tcPr>
            <w:tcW w:w="1134" w:type="dxa"/>
            <w:vAlign w:val="center"/>
          </w:tcPr>
          <w:p>
            <w:pPr>
              <w:pStyle w:val="11"/>
            </w:pPr>
            <w:r>
              <w:t>4.54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46.00</w:t>
            </w:r>
          </w:p>
        </w:tc>
        <w:tc>
          <w:tcPr>
            <w:tcW w:w="1134" w:type="dxa"/>
            <w:vAlign w:val="center"/>
          </w:tcPr>
          <w:p>
            <w:pPr>
              <w:pStyle w:val="11"/>
            </w:pPr>
            <w:r>
              <w:t>46.00</w:t>
            </w:r>
          </w:p>
        </w:tc>
        <w:tc>
          <w:tcPr>
            <w:tcW w:w="1134" w:type="dxa"/>
            <w:vAlign w:val="center"/>
          </w:tcPr>
          <w:p>
            <w:pPr>
              <w:pStyle w:val="11"/>
            </w:pPr>
            <w:r>
              <w:t>46.00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27.00</w:t>
            </w:r>
          </w:p>
        </w:tc>
        <w:tc>
          <w:tcPr>
            <w:tcW w:w="1134" w:type="dxa"/>
            <w:vAlign w:val="center"/>
          </w:tcPr>
          <w:p>
            <w:pPr>
              <w:pStyle w:val="11"/>
            </w:pPr>
            <w:r>
              <w:t>27.00</w:t>
            </w:r>
          </w:p>
        </w:tc>
        <w:tc>
          <w:tcPr>
            <w:tcW w:w="1134" w:type="dxa"/>
            <w:vAlign w:val="center"/>
          </w:tcPr>
          <w:p>
            <w:pPr>
              <w:pStyle w:val="11"/>
            </w:pPr>
            <w:r>
              <w:t>27.00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27.00</w:t>
            </w:r>
          </w:p>
        </w:tc>
        <w:tc>
          <w:tcPr>
            <w:tcW w:w="1134" w:type="dxa"/>
            <w:vAlign w:val="center"/>
          </w:tcPr>
          <w:p>
            <w:pPr>
              <w:pStyle w:val="11"/>
            </w:pPr>
            <w:r>
              <w:t>27.00</w:t>
            </w:r>
          </w:p>
        </w:tc>
        <w:tc>
          <w:tcPr>
            <w:tcW w:w="1134" w:type="dxa"/>
            <w:vAlign w:val="center"/>
          </w:tcPr>
          <w:p>
            <w:pPr>
              <w:pStyle w:val="11"/>
            </w:pPr>
            <w:r>
              <w:t>27.00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21.00</w:t>
            </w:r>
          </w:p>
        </w:tc>
        <w:tc>
          <w:tcPr>
            <w:tcW w:w="1134" w:type="dxa"/>
            <w:vAlign w:val="center"/>
          </w:tcPr>
          <w:p>
            <w:pPr>
              <w:pStyle w:val="11"/>
            </w:pPr>
            <w:r>
              <w:t>21.00</w:t>
            </w:r>
          </w:p>
        </w:tc>
        <w:tc>
          <w:tcPr>
            <w:tcW w:w="1134" w:type="dxa"/>
            <w:vAlign w:val="center"/>
          </w:tcPr>
          <w:p>
            <w:pPr>
              <w:pStyle w:val="11"/>
            </w:pPr>
            <w:r>
              <w:t>21.00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2101103</w:t>
            </w:r>
          </w:p>
        </w:tc>
        <w:tc>
          <w:tcPr>
            <w:tcW w:w="1559" w:type="dxa"/>
            <w:vAlign w:val="center"/>
          </w:tcPr>
          <w:p>
            <w:pPr>
              <w:pStyle w:val="12"/>
            </w:pPr>
            <w:r>
              <w:t>公务员医疗补助</w:t>
            </w:r>
          </w:p>
        </w:tc>
        <w:tc>
          <w:tcPr>
            <w:tcW w:w="1134" w:type="dxa"/>
            <w:vAlign w:val="center"/>
          </w:tcPr>
          <w:p>
            <w:pPr>
              <w:pStyle w:val="11"/>
            </w:pPr>
            <w:r>
              <w:t>6.00</w:t>
            </w:r>
          </w:p>
        </w:tc>
        <w:tc>
          <w:tcPr>
            <w:tcW w:w="1134" w:type="dxa"/>
            <w:vAlign w:val="center"/>
          </w:tcPr>
          <w:p>
            <w:pPr>
              <w:pStyle w:val="11"/>
            </w:pPr>
            <w:r>
              <w:t>6.00</w:t>
            </w:r>
          </w:p>
        </w:tc>
        <w:tc>
          <w:tcPr>
            <w:tcW w:w="1134" w:type="dxa"/>
            <w:vAlign w:val="center"/>
          </w:tcPr>
          <w:p>
            <w:pPr>
              <w:pStyle w:val="11"/>
            </w:pPr>
            <w:r>
              <w:t>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44.00</w:t>
            </w:r>
          </w:p>
        </w:tc>
        <w:tc>
          <w:tcPr>
            <w:tcW w:w="1134" w:type="dxa"/>
            <w:vAlign w:val="center"/>
          </w:tcPr>
          <w:p>
            <w:pPr>
              <w:pStyle w:val="11"/>
            </w:pPr>
            <w:r>
              <w:t>44.00</w:t>
            </w:r>
          </w:p>
        </w:tc>
        <w:tc>
          <w:tcPr>
            <w:tcW w:w="1134" w:type="dxa"/>
            <w:vAlign w:val="center"/>
          </w:tcPr>
          <w:p>
            <w:pPr>
              <w:pStyle w:val="11"/>
            </w:pPr>
            <w:r>
              <w:t>44.00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44.00</w:t>
            </w:r>
          </w:p>
        </w:tc>
        <w:tc>
          <w:tcPr>
            <w:tcW w:w="1134" w:type="dxa"/>
            <w:vAlign w:val="center"/>
          </w:tcPr>
          <w:p>
            <w:pPr>
              <w:pStyle w:val="11"/>
            </w:pPr>
            <w:r>
              <w:t>44.00</w:t>
            </w:r>
          </w:p>
        </w:tc>
        <w:tc>
          <w:tcPr>
            <w:tcW w:w="1134" w:type="dxa"/>
            <w:vAlign w:val="center"/>
          </w:tcPr>
          <w:p>
            <w:pPr>
              <w:pStyle w:val="11"/>
            </w:pPr>
            <w:r>
              <w:t>44.00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44.00</w:t>
            </w:r>
          </w:p>
        </w:tc>
        <w:tc>
          <w:tcPr>
            <w:tcW w:w="1134" w:type="dxa"/>
            <w:vAlign w:val="center"/>
          </w:tcPr>
          <w:p>
            <w:pPr>
              <w:pStyle w:val="11"/>
            </w:pPr>
            <w:r>
              <w:t>44.00</w:t>
            </w:r>
          </w:p>
        </w:tc>
        <w:tc>
          <w:tcPr>
            <w:tcW w:w="1134" w:type="dxa"/>
            <w:vAlign w:val="center"/>
          </w:tcPr>
          <w:p>
            <w:pPr>
              <w:pStyle w:val="11"/>
            </w:pPr>
            <w:r>
              <w:t>44.00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101001高邑县人民代表大会常务委员会办公室本级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417.09</w:t>
            </w:r>
          </w:p>
        </w:tc>
        <w:tc>
          <w:tcPr>
            <w:tcW w:w="1361" w:type="dxa"/>
            <w:vAlign w:val="center"/>
          </w:tcPr>
          <w:p>
            <w:pPr>
              <w:pStyle w:val="15"/>
            </w:pPr>
            <w:r>
              <w:t>399.09</w:t>
            </w:r>
          </w:p>
        </w:tc>
        <w:tc>
          <w:tcPr>
            <w:tcW w:w="1361" w:type="dxa"/>
            <w:vAlign w:val="center"/>
          </w:tcPr>
          <w:p>
            <w:pPr>
              <w:pStyle w:val="15"/>
            </w:pPr>
            <w:r>
              <w:t>18.00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293.55</w:t>
            </w:r>
          </w:p>
        </w:tc>
        <w:tc>
          <w:tcPr>
            <w:tcW w:w="1361" w:type="dxa"/>
            <w:vAlign w:val="center"/>
          </w:tcPr>
          <w:p>
            <w:pPr>
              <w:pStyle w:val="11"/>
            </w:pPr>
            <w:r>
              <w:t>275.55</w:t>
            </w:r>
          </w:p>
        </w:tc>
        <w:tc>
          <w:tcPr>
            <w:tcW w:w="1361" w:type="dxa"/>
            <w:vAlign w:val="center"/>
          </w:tcPr>
          <w:p>
            <w:pPr>
              <w:pStyle w:val="11"/>
            </w:pPr>
            <w:r>
              <w:t>18.00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20101</w:t>
            </w:r>
          </w:p>
        </w:tc>
        <w:tc>
          <w:tcPr>
            <w:tcW w:w="4535" w:type="dxa"/>
            <w:vAlign w:val="center"/>
          </w:tcPr>
          <w:p>
            <w:pPr>
              <w:pStyle w:val="12"/>
            </w:pPr>
            <w:r>
              <w:t>人大事务</w:t>
            </w:r>
          </w:p>
        </w:tc>
        <w:tc>
          <w:tcPr>
            <w:tcW w:w="1361" w:type="dxa"/>
            <w:vAlign w:val="center"/>
          </w:tcPr>
          <w:p>
            <w:pPr>
              <w:pStyle w:val="11"/>
            </w:pPr>
            <w:r>
              <w:t>293.55</w:t>
            </w:r>
          </w:p>
        </w:tc>
        <w:tc>
          <w:tcPr>
            <w:tcW w:w="1361" w:type="dxa"/>
            <w:vAlign w:val="center"/>
          </w:tcPr>
          <w:p>
            <w:pPr>
              <w:pStyle w:val="11"/>
            </w:pPr>
            <w:r>
              <w:t>275.55</w:t>
            </w:r>
          </w:p>
        </w:tc>
        <w:tc>
          <w:tcPr>
            <w:tcW w:w="1361" w:type="dxa"/>
            <w:vAlign w:val="center"/>
          </w:tcPr>
          <w:p>
            <w:pPr>
              <w:pStyle w:val="11"/>
            </w:pPr>
            <w:r>
              <w:t>18.00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2010101</w:t>
            </w:r>
          </w:p>
        </w:tc>
        <w:tc>
          <w:tcPr>
            <w:tcW w:w="4535" w:type="dxa"/>
            <w:vAlign w:val="center"/>
          </w:tcPr>
          <w:p>
            <w:pPr>
              <w:pStyle w:val="12"/>
            </w:pPr>
            <w:r>
              <w:t>行政运行</w:t>
            </w:r>
          </w:p>
        </w:tc>
        <w:tc>
          <w:tcPr>
            <w:tcW w:w="1361" w:type="dxa"/>
            <w:vAlign w:val="center"/>
          </w:tcPr>
          <w:p>
            <w:pPr>
              <w:pStyle w:val="11"/>
            </w:pPr>
            <w:r>
              <w:t>275.55</w:t>
            </w:r>
          </w:p>
        </w:tc>
        <w:tc>
          <w:tcPr>
            <w:tcW w:w="1361" w:type="dxa"/>
            <w:vAlign w:val="center"/>
          </w:tcPr>
          <w:p>
            <w:pPr>
              <w:pStyle w:val="11"/>
            </w:pPr>
            <w:r>
              <w:t>275.55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2010102</w:t>
            </w:r>
          </w:p>
        </w:tc>
        <w:tc>
          <w:tcPr>
            <w:tcW w:w="4535" w:type="dxa"/>
            <w:vAlign w:val="center"/>
          </w:tcPr>
          <w:p>
            <w:pPr>
              <w:pStyle w:val="12"/>
            </w:pPr>
            <w:r>
              <w:t>一般行政管理事务</w:t>
            </w:r>
          </w:p>
        </w:tc>
        <w:tc>
          <w:tcPr>
            <w:tcW w:w="1361" w:type="dxa"/>
            <w:vAlign w:val="center"/>
          </w:tcPr>
          <w:p>
            <w:pPr>
              <w:pStyle w:val="11"/>
            </w:pPr>
            <w:r>
              <w:t>4.00</w:t>
            </w:r>
          </w:p>
        </w:tc>
        <w:tc>
          <w:tcPr>
            <w:tcW w:w="1361" w:type="dxa"/>
            <w:vAlign w:val="center"/>
          </w:tcPr>
          <w:p>
            <w:pPr>
              <w:pStyle w:val="11"/>
            </w:pPr>
          </w:p>
        </w:tc>
        <w:tc>
          <w:tcPr>
            <w:tcW w:w="1361" w:type="dxa"/>
            <w:vAlign w:val="center"/>
          </w:tcPr>
          <w:p>
            <w:pPr>
              <w:pStyle w:val="11"/>
            </w:pPr>
            <w:r>
              <w:t>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2010104</w:t>
            </w:r>
          </w:p>
        </w:tc>
        <w:tc>
          <w:tcPr>
            <w:tcW w:w="4535" w:type="dxa"/>
            <w:vAlign w:val="center"/>
          </w:tcPr>
          <w:p>
            <w:pPr>
              <w:pStyle w:val="12"/>
            </w:pPr>
            <w:r>
              <w:t>人大会议</w:t>
            </w:r>
          </w:p>
        </w:tc>
        <w:tc>
          <w:tcPr>
            <w:tcW w:w="1361" w:type="dxa"/>
            <w:vAlign w:val="center"/>
          </w:tcPr>
          <w:p>
            <w:pPr>
              <w:pStyle w:val="11"/>
            </w:pPr>
            <w:r>
              <w:t>13.00</w:t>
            </w:r>
          </w:p>
        </w:tc>
        <w:tc>
          <w:tcPr>
            <w:tcW w:w="1361" w:type="dxa"/>
            <w:vAlign w:val="center"/>
          </w:tcPr>
          <w:p>
            <w:pPr>
              <w:pStyle w:val="11"/>
            </w:pPr>
          </w:p>
        </w:tc>
        <w:tc>
          <w:tcPr>
            <w:tcW w:w="1361" w:type="dxa"/>
            <w:vAlign w:val="center"/>
          </w:tcPr>
          <w:p>
            <w:pPr>
              <w:pStyle w:val="11"/>
            </w:pPr>
            <w:r>
              <w:t>13.00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2010106</w:t>
            </w:r>
          </w:p>
        </w:tc>
        <w:tc>
          <w:tcPr>
            <w:tcW w:w="4535" w:type="dxa"/>
            <w:vAlign w:val="center"/>
          </w:tcPr>
          <w:p>
            <w:pPr>
              <w:pStyle w:val="12"/>
            </w:pPr>
            <w:r>
              <w:t>人大监督</w:t>
            </w:r>
          </w:p>
        </w:tc>
        <w:tc>
          <w:tcPr>
            <w:tcW w:w="1361" w:type="dxa"/>
            <w:vAlign w:val="center"/>
          </w:tcPr>
          <w:p>
            <w:pPr>
              <w:pStyle w:val="11"/>
            </w:pPr>
            <w:r>
              <w:t>1.00</w:t>
            </w:r>
          </w:p>
        </w:tc>
        <w:tc>
          <w:tcPr>
            <w:tcW w:w="1361" w:type="dxa"/>
            <w:vAlign w:val="center"/>
          </w:tcPr>
          <w:p>
            <w:pPr>
              <w:pStyle w:val="11"/>
            </w:pPr>
          </w:p>
        </w:tc>
        <w:tc>
          <w:tcPr>
            <w:tcW w:w="1361" w:type="dxa"/>
            <w:vAlign w:val="center"/>
          </w:tcPr>
          <w:p>
            <w:pPr>
              <w:pStyle w:val="11"/>
            </w:pPr>
            <w:r>
              <w:t>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52.54</w:t>
            </w:r>
          </w:p>
        </w:tc>
        <w:tc>
          <w:tcPr>
            <w:tcW w:w="1361" w:type="dxa"/>
            <w:vAlign w:val="center"/>
          </w:tcPr>
          <w:p>
            <w:pPr>
              <w:pStyle w:val="11"/>
            </w:pPr>
            <w:r>
              <w:t>52.54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50.54</w:t>
            </w:r>
          </w:p>
        </w:tc>
        <w:tc>
          <w:tcPr>
            <w:tcW w:w="1361" w:type="dxa"/>
            <w:vAlign w:val="center"/>
          </w:tcPr>
          <w:p>
            <w:pPr>
              <w:pStyle w:val="11"/>
            </w:pPr>
            <w:r>
              <w:t>50.54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4.54</w:t>
            </w:r>
          </w:p>
        </w:tc>
        <w:tc>
          <w:tcPr>
            <w:tcW w:w="1361" w:type="dxa"/>
            <w:vAlign w:val="center"/>
          </w:tcPr>
          <w:p>
            <w:pPr>
              <w:pStyle w:val="11"/>
            </w:pPr>
            <w:r>
              <w:t>4.54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46.00</w:t>
            </w:r>
          </w:p>
        </w:tc>
        <w:tc>
          <w:tcPr>
            <w:tcW w:w="1361" w:type="dxa"/>
            <w:vAlign w:val="center"/>
          </w:tcPr>
          <w:p>
            <w:pPr>
              <w:pStyle w:val="11"/>
            </w:pPr>
            <w:r>
              <w:t>46.00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2.00</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2.00</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27.00</w:t>
            </w:r>
          </w:p>
        </w:tc>
        <w:tc>
          <w:tcPr>
            <w:tcW w:w="1361" w:type="dxa"/>
            <w:vAlign w:val="center"/>
          </w:tcPr>
          <w:p>
            <w:pPr>
              <w:pStyle w:val="11"/>
            </w:pPr>
            <w:r>
              <w:t>27.00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27.00</w:t>
            </w:r>
          </w:p>
        </w:tc>
        <w:tc>
          <w:tcPr>
            <w:tcW w:w="1361" w:type="dxa"/>
            <w:vAlign w:val="center"/>
          </w:tcPr>
          <w:p>
            <w:pPr>
              <w:pStyle w:val="11"/>
            </w:pPr>
            <w:r>
              <w:t>27.00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21.00</w:t>
            </w:r>
          </w:p>
        </w:tc>
        <w:tc>
          <w:tcPr>
            <w:tcW w:w="1361" w:type="dxa"/>
            <w:vAlign w:val="center"/>
          </w:tcPr>
          <w:p>
            <w:pPr>
              <w:pStyle w:val="11"/>
            </w:pPr>
            <w:r>
              <w:t>21.00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2101103</w:t>
            </w:r>
          </w:p>
        </w:tc>
        <w:tc>
          <w:tcPr>
            <w:tcW w:w="4535" w:type="dxa"/>
            <w:vAlign w:val="center"/>
          </w:tcPr>
          <w:p>
            <w:pPr>
              <w:pStyle w:val="12"/>
            </w:pPr>
            <w:r>
              <w:t>公务员医疗补助</w:t>
            </w:r>
          </w:p>
        </w:tc>
        <w:tc>
          <w:tcPr>
            <w:tcW w:w="1361" w:type="dxa"/>
            <w:vAlign w:val="center"/>
          </w:tcPr>
          <w:p>
            <w:pPr>
              <w:pStyle w:val="11"/>
            </w:pPr>
            <w:r>
              <w:t>6.00</w:t>
            </w:r>
          </w:p>
        </w:tc>
        <w:tc>
          <w:tcPr>
            <w:tcW w:w="1361" w:type="dxa"/>
            <w:vAlign w:val="center"/>
          </w:tcPr>
          <w:p>
            <w:pPr>
              <w:pStyle w:val="11"/>
            </w:pPr>
            <w:r>
              <w:t>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44.00</w:t>
            </w:r>
          </w:p>
        </w:tc>
        <w:tc>
          <w:tcPr>
            <w:tcW w:w="1361" w:type="dxa"/>
            <w:vAlign w:val="center"/>
          </w:tcPr>
          <w:p>
            <w:pPr>
              <w:pStyle w:val="11"/>
            </w:pPr>
            <w:r>
              <w:t>44.00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44.00</w:t>
            </w:r>
          </w:p>
        </w:tc>
        <w:tc>
          <w:tcPr>
            <w:tcW w:w="1361" w:type="dxa"/>
            <w:vAlign w:val="center"/>
          </w:tcPr>
          <w:p>
            <w:pPr>
              <w:pStyle w:val="11"/>
            </w:pPr>
            <w:r>
              <w:t>44.00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44.00</w:t>
            </w:r>
          </w:p>
        </w:tc>
        <w:tc>
          <w:tcPr>
            <w:tcW w:w="1361" w:type="dxa"/>
            <w:vAlign w:val="center"/>
          </w:tcPr>
          <w:p>
            <w:pPr>
              <w:pStyle w:val="11"/>
            </w:pPr>
            <w:r>
              <w:t>44.00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101001高邑县人民代表大会常务委员会办公室本级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417.09</w:t>
            </w:r>
          </w:p>
        </w:tc>
        <w:tc>
          <w:tcPr>
            <w:tcW w:w="3402" w:type="dxa"/>
            <w:vAlign w:val="center"/>
          </w:tcPr>
          <w:p>
            <w:pPr>
              <w:pStyle w:val="12"/>
            </w:pPr>
            <w:r>
              <w:t>一、一般公共服务支出</w:t>
            </w:r>
          </w:p>
        </w:tc>
        <w:tc>
          <w:tcPr>
            <w:tcW w:w="1474" w:type="dxa"/>
            <w:vAlign w:val="center"/>
          </w:tcPr>
          <w:p>
            <w:pPr>
              <w:pStyle w:val="11"/>
            </w:pPr>
            <w:r>
              <w:t>293.55</w:t>
            </w:r>
          </w:p>
        </w:tc>
        <w:tc>
          <w:tcPr>
            <w:tcW w:w="1474" w:type="dxa"/>
            <w:vAlign w:val="center"/>
          </w:tcPr>
          <w:p>
            <w:pPr>
              <w:pStyle w:val="11"/>
            </w:pPr>
            <w:r>
              <w:t>293.55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52.54</w:t>
            </w:r>
          </w:p>
        </w:tc>
        <w:tc>
          <w:tcPr>
            <w:tcW w:w="1474" w:type="dxa"/>
            <w:vAlign w:val="center"/>
          </w:tcPr>
          <w:p>
            <w:pPr>
              <w:pStyle w:val="11"/>
            </w:pPr>
            <w:r>
              <w:t>52.54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27.00</w:t>
            </w:r>
          </w:p>
        </w:tc>
        <w:tc>
          <w:tcPr>
            <w:tcW w:w="1474" w:type="dxa"/>
            <w:vAlign w:val="center"/>
          </w:tcPr>
          <w:p>
            <w:pPr>
              <w:pStyle w:val="11"/>
            </w:pPr>
            <w:r>
              <w:t>27.00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44.00</w:t>
            </w:r>
          </w:p>
        </w:tc>
        <w:tc>
          <w:tcPr>
            <w:tcW w:w="1474" w:type="dxa"/>
            <w:vAlign w:val="center"/>
          </w:tcPr>
          <w:p>
            <w:pPr>
              <w:pStyle w:val="11"/>
            </w:pPr>
            <w:r>
              <w:t>44.00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417.09</w:t>
            </w:r>
          </w:p>
        </w:tc>
        <w:tc>
          <w:tcPr>
            <w:tcW w:w="3402" w:type="dxa"/>
            <w:vAlign w:val="center"/>
          </w:tcPr>
          <w:p>
            <w:pPr>
              <w:pStyle w:val="14"/>
            </w:pPr>
            <w:r>
              <w:t>本年支出合计</w:t>
            </w:r>
          </w:p>
        </w:tc>
        <w:tc>
          <w:tcPr>
            <w:tcW w:w="1474" w:type="dxa"/>
            <w:vAlign w:val="center"/>
          </w:tcPr>
          <w:p>
            <w:pPr>
              <w:pStyle w:val="15"/>
            </w:pPr>
            <w:r>
              <w:t>417.09</w:t>
            </w:r>
          </w:p>
        </w:tc>
        <w:tc>
          <w:tcPr>
            <w:tcW w:w="1474" w:type="dxa"/>
            <w:vAlign w:val="center"/>
          </w:tcPr>
          <w:p>
            <w:pPr>
              <w:pStyle w:val="15"/>
            </w:pPr>
            <w:r>
              <w:t>417.09</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417.09</w:t>
            </w:r>
          </w:p>
        </w:tc>
        <w:tc>
          <w:tcPr>
            <w:tcW w:w="3402" w:type="dxa"/>
            <w:vAlign w:val="center"/>
          </w:tcPr>
          <w:p>
            <w:pPr>
              <w:pStyle w:val="14"/>
            </w:pPr>
            <w:r>
              <w:t>支出总计</w:t>
            </w:r>
          </w:p>
        </w:tc>
        <w:tc>
          <w:tcPr>
            <w:tcW w:w="1474" w:type="dxa"/>
            <w:vAlign w:val="center"/>
          </w:tcPr>
          <w:p>
            <w:pPr>
              <w:pStyle w:val="15"/>
            </w:pPr>
            <w:r>
              <w:t>417.09</w:t>
            </w:r>
          </w:p>
        </w:tc>
        <w:tc>
          <w:tcPr>
            <w:tcW w:w="1474" w:type="dxa"/>
            <w:vAlign w:val="center"/>
          </w:tcPr>
          <w:p>
            <w:pPr>
              <w:pStyle w:val="15"/>
            </w:pPr>
            <w:r>
              <w:t>417.09</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101001高邑县人民代表大会常务委员会办公室本级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417.09</w:t>
            </w:r>
          </w:p>
        </w:tc>
        <w:tc>
          <w:tcPr>
            <w:tcW w:w="2551" w:type="dxa"/>
            <w:vAlign w:val="center"/>
          </w:tcPr>
          <w:p>
            <w:pPr>
              <w:pStyle w:val="15"/>
            </w:pPr>
            <w:r>
              <w:t>399.09</w:t>
            </w:r>
          </w:p>
        </w:tc>
        <w:tc>
          <w:tcPr>
            <w:tcW w:w="2551" w:type="dxa"/>
            <w:vAlign w:val="center"/>
          </w:tcPr>
          <w:p>
            <w:pPr>
              <w:pStyle w:val="15"/>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293.55</w:t>
            </w:r>
          </w:p>
        </w:tc>
        <w:tc>
          <w:tcPr>
            <w:tcW w:w="2551" w:type="dxa"/>
            <w:vAlign w:val="center"/>
          </w:tcPr>
          <w:p>
            <w:pPr>
              <w:pStyle w:val="11"/>
            </w:pPr>
            <w:r>
              <w:t>275.55</w:t>
            </w:r>
          </w:p>
        </w:tc>
        <w:tc>
          <w:tcPr>
            <w:tcW w:w="2551" w:type="dxa"/>
            <w:vAlign w:val="center"/>
          </w:tcPr>
          <w:p>
            <w:pPr>
              <w:pStyle w:val="11"/>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20101</w:t>
            </w:r>
          </w:p>
        </w:tc>
        <w:tc>
          <w:tcPr>
            <w:tcW w:w="4535" w:type="dxa"/>
            <w:vAlign w:val="center"/>
          </w:tcPr>
          <w:p>
            <w:pPr>
              <w:pStyle w:val="12"/>
            </w:pPr>
            <w:r>
              <w:t>人大事务</w:t>
            </w:r>
          </w:p>
        </w:tc>
        <w:tc>
          <w:tcPr>
            <w:tcW w:w="2551" w:type="dxa"/>
            <w:vAlign w:val="center"/>
          </w:tcPr>
          <w:p>
            <w:pPr>
              <w:pStyle w:val="11"/>
            </w:pPr>
            <w:r>
              <w:t>293.55</w:t>
            </w:r>
          </w:p>
        </w:tc>
        <w:tc>
          <w:tcPr>
            <w:tcW w:w="2551" w:type="dxa"/>
            <w:vAlign w:val="center"/>
          </w:tcPr>
          <w:p>
            <w:pPr>
              <w:pStyle w:val="11"/>
            </w:pPr>
            <w:r>
              <w:t>275.55</w:t>
            </w:r>
          </w:p>
        </w:tc>
        <w:tc>
          <w:tcPr>
            <w:tcW w:w="2551" w:type="dxa"/>
            <w:vAlign w:val="center"/>
          </w:tcPr>
          <w:p>
            <w:pPr>
              <w:pStyle w:val="11"/>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2010101</w:t>
            </w:r>
          </w:p>
        </w:tc>
        <w:tc>
          <w:tcPr>
            <w:tcW w:w="4535" w:type="dxa"/>
            <w:vAlign w:val="center"/>
          </w:tcPr>
          <w:p>
            <w:pPr>
              <w:pStyle w:val="12"/>
            </w:pPr>
            <w:r>
              <w:t>行政运行</w:t>
            </w:r>
          </w:p>
        </w:tc>
        <w:tc>
          <w:tcPr>
            <w:tcW w:w="2551" w:type="dxa"/>
            <w:vAlign w:val="center"/>
          </w:tcPr>
          <w:p>
            <w:pPr>
              <w:pStyle w:val="11"/>
            </w:pPr>
            <w:r>
              <w:t>275.55</w:t>
            </w:r>
          </w:p>
        </w:tc>
        <w:tc>
          <w:tcPr>
            <w:tcW w:w="2551" w:type="dxa"/>
            <w:vAlign w:val="center"/>
          </w:tcPr>
          <w:p>
            <w:pPr>
              <w:pStyle w:val="11"/>
            </w:pPr>
            <w:r>
              <w:t>275.55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2010102</w:t>
            </w:r>
          </w:p>
        </w:tc>
        <w:tc>
          <w:tcPr>
            <w:tcW w:w="4535" w:type="dxa"/>
            <w:vAlign w:val="center"/>
          </w:tcPr>
          <w:p>
            <w:pPr>
              <w:pStyle w:val="12"/>
            </w:pPr>
            <w:r>
              <w:t>一般行政管理事务</w:t>
            </w:r>
          </w:p>
        </w:tc>
        <w:tc>
          <w:tcPr>
            <w:tcW w:w="2551" w:type="dxa"/>
            <w:vAlign w:val="center"/>
          </w:tcPr>
          <w:p>
            <w:pPr>
              <w:pStyle w:val="11"/>
            </w:pPr>
            <w:r>
              <w:t>4.00</w:t>
            </w:r>
          </w:p>
        </w:tc>
        <w:tc>
          <w:tcPr>
            <w:tcW w:w="2551" w:type="dxa"/>
            <w:vAlign w:val="center"/>
          </w:tcPr>
          <w:p>
            <w:pPr>
              <w:pStyle w:val="11"/>
            </w:pPr>
          </w:p>
        </w:tc>
        <w:tc>
          <w:tcPr>
            <w:tcW w:w="2551"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2010104</w:t>
            </w:r>
          </w:p>
        </w:tc>
        <w:tc>
          <w:tcPr>
            <w:tcW w:w="4535" w:type="dxa"/>
            <w:vAlign w:val="center"/>
          </w:tcPr>
          <w:p>
            <w:pPr>
              <w:pStyle w:val="12"/>
            </w:pPr>
            <w:r>
              <w:t>人大会议</w:t>
            </w:r>
          </w:p>
        </w:tc>
        <w:tc>
          <w:tcPr>
            <w:tcW w:w="2551" w:type="dxa"/>
            <w:vAlign w:val="center"/>
          </w:tcPr>
          <w:p>
            <w:pPr>
              <w:pStyle w:val="11"/>
            </w:pPr>
            <w:r>
              <w:t>13.00</w:t>
            </w:r>
          </w:p>
        </w:tc>
        <w:tc>
          <w:tcPr>
            <w:tcW w:w="2551" w:type="dxa"/>
            <w:vAlign w:val="center"/>
          </w:tcPr>
          <w:p>
            <w:pPr>
              <w:pStyle w:val="11"/>
            </w:pPr>
          </w:p>
        </w:tc>
        <w:tc>
          <w:tcPr>
            <w:tcW w:w="2551" w:type="dxa"/>
            <w:vAlign w:val="center"/>
          </w:tcPr>
          <w:p>
            <w:pPr>
              <w:pStyle w:val="11"/>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2010106</w:t>
            </w:r>
          </w:p>
        </w:tc>
        <w:tc>
          <w:tcPr>
            <w:tcW w:w="4535" w:type="dxa"/>
            <w:vAlign w:val="center"/>
          </w:tcPr>
          <w:p>
            <w:pPr>
              <w:pStyle w:val="12"/>
            </w:pPr>
            <w:r>
              <w:t>人大监督</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52.54</w:t>
            </w:r>
          </w:p>
        </w:tc>
        <w:tc>
          <w:tcPr>
            <w:tcW w:w="2551" w:type="dxa"/>
            <w:vAlign w:val="center"/>
          </w:tcPr>
          <w:p>
            <w:pPr>
              <w:pStyle w:val="11"/>
            </w:pPr>
            <w:r>
              <w:t>52.54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50.54</w:t>
            </w:r>
          </w:p>
        </w:tc>
        <w:tc>
          <w:tcPr>
            <w:tcW w:w="2551" w:type="dxa"/>
            <w:vAlign w:val="center"/>
          </w:tcPr>
          <w:p>
            <w:pPr>
              <w:pStyle w:val="11"/>
            </w:pPr>
            <w:r>
              <w:t>50.54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4.54</w:t>
            </w:r>
          </w:p>
        </w:tc>
        <w:tc>
          <w:tcPr>
            <w:tcW w:w="2551" w:type="dxa"/>
            <w:vAlign w:val="center"/>
          </w:tcPr>
          <w:p>
            <w:pPr>
              <w:pStyle w:val="11"/>
            </w:pPr>
            <w:r>
              <w:t>4.54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46.00</w:t>
            </w:r>
          </w:p>
        </w:tc>
        <w:tc>
          <w:tcPr>
            <w:tcW w:w="2551" w:type="dxa"/>
            <w:vAlign w:val="center"/>
          </w:tcPr>
          <w:p>
            <w:pPr>
              <w:pStyle w:val="11"/>
            </w:pPr>
            <w:r>
              <w:t>46.00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2.00</w:t>
            </w:r>
          </w:p>
        </w:tc>
        <w:tc>
          <w:tcPr>
            <w:tcW w:w="2551" w:type="dxa"/>
            <w:vAlign w:val="center"/>
          </w:tcPr>
          <w:p>
            <w:pPr>
              <w:pStyle w:val="11"/>
            </w:pPr>
            <w:r>
              <w:t>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2.00</w:t>
            </w:r>
          </w:p>
        </w:tc>
        <w:tc>
          <w:tcPr>
            <w:tcW w:w="2551" w:type="dxa"/>
            <w:vAlign w:val="center"/>
          </w:tcPr>
          <w:p>
            <w:pPr>
              <w:pStyle w:val="11"/>
            </w:pPr>
            <w:r>
              <w:t>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27.00</w:t>
            </w:r>
          </w:p>
        </w:tc>
        <w:tc>
          <w:tcPr>
            <w:tcW w:w="2551" w:type="dxa"/>
            <w:vAlign w:val="center"/>
          </w:tcPr>
          <w:p>
            <w:pPr>
              <w:pStyle w:val="11"/>
            </w:pPr>
            <w:r>
              <w:t>27.00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27.00</w:t>
            </w:r>
          </w:p>
        </w:tc>
        <w:tc>
          <w:tcPr>
            <w:tcW w:w="2551" w:type="dxa"/>
            <w:vAlign w:val="center"/>
          </w:tcPr>
          <w:p>
            <w:pPr>
              <w:pStyle w:val="11"/>
            </w:pPr>
            <w:r>
              <w:t>27.00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21.00</w:t>
            </w:r>
          </w:p>
        </w:tc>
        <w:tc>
          <w:tcPr>
            <w:tcW w:w="2551" w:type="dxa"/>
            <w:vAlign w:val="center"/>
          </w:tcPr>
          <w:p>
            <w:pPr>
              <w:pStyle w:val="11"/>
            </w:pPr>
            <w:r>
              <w:t>21.00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2101103</w:t>
            </w:r>
          </w:p>
        </w:tc>
        <w:tc>
          <w:tcPr>
            <w:tcW w:w="4535" w:type="dxa"/>
            <w:vAlign w:val="center"/>
          </w:tcPr>
          <w:p>
            <w:pPr>
              <w:pStyle w:val="12"/>
            </w:pPr>
            <w:r>
              <w:t>公务员医疗补助</w:t>
            </w:r>
          </w:p>
        </w:tc>
        <w:tc>
          <w:tcPr>
            <w:tcW w:w="2551" w:type="dxa"/>
            <w:vAlign w:val="center"/>
          </w:tcPr>
          <w:p>
            <w:pPr>
              <w:pStyle w:val="11"/>
            </w:pPr>
            <w:r>
              <w:t>6.00</w:t>
            </w:r>
          </w:p>
        </w:tc>
        <w:tc>
          <w:tcPr>
            <w:tcW w:w="2551" w:type="dxa"/>
            <w:vAlign w:val="center"/>
          </w:tcPr>
          <w:p>
            <w:pPr>
              <w:pStyle w:val="11"/>
            </w:pPr>
            <w:r>
              <w:t>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44.00</w:t>
            </w:r>
          </w:p>
        </w:tc>
        <w:tc>
          <w:tcPr>
            <w:tcW w:w="2551" w:type="dxa"/>
            <w:vAlign w:val="center"/>
          </w:tcPr>
          <w:p>
            <w:pPr>
              <w:pStyle w:val="11"/>
            </w:pPr>
            <w:r>
              <w:t>44.00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44.00</w:t>
            </w:r>
          </w:p>
        </w:tc>
        <w:tc>
          <w:tcPr>
            <w:tcW w:w="2551" w:type="dxa"/>
            <w:vAlign w:val="center"/>
          </w:tcPr>
          <w:p>
            <w:pPr>
              <w:pStyle w:val="11"/>
            </w:pPr>
            <w:r>
              <w:t>44.00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44.00</w:t>
            </w:r>
          </w:p>
        </w:tc>
        <w:tc>
          <w:tcPr>
            <w:tcW w:w="2551" w:type="dxa"/>
            <w:vAlign w:val="center"/>
          </w:tcPr>
          <w:p>
            <w:pPr>
              <w:pStyle w:val="11"/>
            </w:pPr>
            <w:r>
              <w:t>44.00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101001高邑县人民代表大会常务委员会办公室本级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399.09</w:t>
            </w:r>
          </w:p>
        </w:tc>
        <w:tc>
          <w:tcPr>
            <w:tcW w:w="2551" w:type="dxa"/>
            <w:vAlign w:val="center"/>
          </w:tcPr>
          <w:p>
            <w:pPr>
              <w:pStyle w:val="15"/>
            </w:pPr>
            <w:r>
              <w:t>362.75</w:t>
            </w:r>
          </w:p>
        </w:tc>
        <w:tc>
          <w:tcPr>
            <w:tcW w:w="2551" w:type="dxa"/>
            <w:vAlign w:val="center"/>
          </w:tcPr>
          <w:p>
            <w:pPr>
              <w:pStyle w:val="15"/>
            </w:pPr>
            <w:r>
              <w:t>36.34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357.05</w:t>
            </w:r>
          </w:p>
        </w:tc>
        <w:tc>
          <w:tcPr>
            <w:tcW w:w="2551" w:type="dxa"/>
            <w:vAlign w:val="center"/>
          </w:tcPr>
          <w:p>
            <w:pPr>
              <w:pStyle w:val="11"/>
            </w:pPr>
            <w:r>
              <w:t>357.05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149.35</w:t>
            </w:r>
          </w:p>
        </w:tc>
        <w:tc>
          <w:tcPr>
            <w:tcW w:w="2551" w:type="dxa"/>
            <w:vAlign w:val="center"/>
          </w:tcPr>
          <w:p>
            <w:pPr>
              <w:pStyle w:val="11"/>
            </w:pPr>
            <w:r>
              <w:t>149.35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26.45</w:t>
            </w:r>
          </w:p>
        </w:tc>
        <w:tc>
          <w:tcPr>
            <w:tcW w:w="2551" w:type="dxa"/>
            <w:vAlign w:val="center"/>
          </w:tcPr>
          <w:p>
            <w:pPr>
              <w:pStyle w:val="11"/>
            </w:pPr>
            <w:r>
              <w:t>26.45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51.50</w:t>
            </w:r>
          </w:p>
        </w:tc>
        <w:tc>
          <w:tcPr>
            <w:tcW w:w="2551" w:type="dxa"/>
            <w:vAlign w:val="center"/>
          </w:tcPr>
          <w:p>
            <w:pPr>
              <w:pStyle w:val="11"/>
            </w:pPr>
            <w:r>
              <w:t>51.50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10.75</w:t>
            </w:r>
          </w:p>
        </w:tc>
        <w:tc>
          <w:tcPr>
            <w:tcW w:w="2551" w:type="dxa"/>
            <w:vAlign w:val="center"/>
          </w:tcPr>
          <w:p>
            <w:pPr>
              <w:pStyle w:val="11"/>
            </w:pPr>
            <w:r>
              <w:t>10.75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46.00</w:t>
            </w:r>
          </w:p>
        </w:tc>
        <w:tc>
          <w:tcPr>
            <w:tcW w:w="2551" w:type="dxa"/>
            <w:vAlign w:val="center"/>
          </w:tcPr>
          <w:p>
            <w:pPr>
              <w:pStyle w:val="11"/>
            </w:pPr>
            <w:r>
              <w:t>46.00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21.00</w:t>
            </w:r>
          </w:p>
        </w:tc>
        <w:tc>
          <w:tcPr>
            <w:tcW w:w="2551" w:type="dxa"/>
            <w:vAlign w:val="center"/>
          </w:tcPr>
          <w:p>
            <w:pPr>
              <w:pStyle w:val="11"/>
            </w:pPr>
            <w:r>
              <w:t>21.00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6.00</w:t>
            </w:r>
          </w:p>
        </w:tc>
        <w:tc>
          <w:tcPr>
            <w:tcW w:w="2551" w:type="dxa"/>
            <w:vAlign w:val="center"/>
          </w:tcPr>
          <w:p>
            <w:pPr>
              <w:pStyle w:val="11"/>
            </w:pPr>
            <w:r>
              <w:t>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2.00</w:t>
            </w:r>
          </w:p>
        </w:tc>
        <w:tc>
          <w:tcPr>
            <w:tcW w:w="2551" w:type="dxa"/>
            <w:vAlign w:val="center"/>
          </w:tcPr>
          <w:p>
            <w:pPr>
              <w:pStyle w:val="11"/>
            </w:pPr>
            <w:r>
              <w:t>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44.00</w:t>
            </w:r>
          </w:p>
        </w:tc>
        <w:tc>
          <w:tcPr>
            <w:tcW w:w="2551" w:type="dxa"/>
            <w:vAlign w:val="center"/>
          </w:tcPr>
          <w:p>
            <w:pPr>
              <w:pStyle w:val="11"/>
            </w:pPr>
            <w:r>
              <w:t>44.00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36.34</w:t>
            </w:r>
          </w:p>
        </w:tc>
        <w:tc>
          <w:tcPr>
            <w:tcW w:w="2551" w:type="dxa"/>
            <w:vAlign w:val="center"/>
          </w:tcPr>
          <w:p>
            <w:pPr>
              <w:pStyle w:val="11"/>
            </w:pPr>
          </w:p>
        </w:tc>
        <w:tc>
          <w:tcPr>
            <w:tcW w:w="2551" w:type="dxa"/>
            <w:vAlign w:val="center"/>
          </w:tcPr>
          <w:p>
            <w:pPr>
              <w:pStyle w:val="11"/>
            </w:pPr>
            <w:r>
              <w:t>36.34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4.00</w:t>
            </w:r>
          </w:p>
        </w:tc>
        <w:tc>
          <w:tcPr>
            <w:tcW w:w="2551" w:type="dxa"/>
            <w:vAlign w:val="center"/>
          </w:tcPr>
          <w:p>
            <w:pPr>
              <w:pStyle w:val="11"/>
            </w:pPr>
          </w:p>
        </w:tc>
        <w:tc>
          <w:tcPr>
            <w:tcW w:w="2551"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3.50</w:t>
            </w:r>
          </w:p>
        </w:tc>
        <w:tc>
          <w:tcPr>
            <w:tcW w:w="2551" w:type="dxa"/>
            <w:vAlign w:val="center"/>
          </w:tcPr>
          <w:p>
            <w:pPr>
              <w:pStyle w:val="11"/>
            </w:pPr>
          </w:p>
        </w:tc>
        <w:tc>
          <w:tcPr>
            <w:tcW w:w="2551" w:type="dxa"/>
            <w:vAlign w:val="center"/>
          </w:tcPr>
          <w:p>
            <w:pPr>
              <w:pStyle w:val="11"/>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12.13</w:t>
            </w:r>
          </w:p>
        </w:tc>
        <w:tc>
          <w:tcPr>
            <w:tcW w:w="2551" w:type="dxa"/>
            <w:vAlign w:val="center"/>
          </w:tcPr>
          <w:p>
            <w:pPr>
              <w:pStyle w:val="11"/>
            </w:pPr>
          </w:p>
        </w:tc>
        <w:tc>
          <w:tcPr>
            <w:tcW w:w="2551" w:type="dxa"/>
            <w:vAlign w:val="center"/>
          </w:tcPr>
          <w:p>
            <w:pPr>
              <w:pStyle w:val="11"/>
            </w:pPr>
            <w:r>
              <w:t>12.13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0.20</w:t>
            </w:r>
          </w:p>
        </w:tc>
        <w:tc>
          <w:tcPr>
            <w:tcW w:w="2551" w:type="dxa"/>
            <w:vAlign w:val="center"/>
          </w:tcPr>
          <w:p>
            <w:pPr>
              <w:pStyle w:val="11"/>
            </w:pPr>
          </w:p>
        </w:tc>
        <w:tc>
          <w:tcPr>
            <w:tcW w:w="2551" w:type="dxa"/>
            <w:vAlign w:val="center"/>
          </w:tcPr>
          <w:p>
            <w:pPr>
              <w:pStyle w:val="11"/>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0.70</w:t>
            </w:r>
          </w:p>
        </w:tc>
        <w:tc>
          <w:tcPr>
            <w:tcW w:w="2551" w:type="dxa"/>
            <w:vAlign w:val="center"/>
          </w:tcPr>
          <w:p>
            <w:pPr>
              <w:pStyle w:val="11"/>
            </w:pPr>
          </w:p>
        </w:tc>
        <w:tc>
          <w:tcPr>
            <w:tcW w:w="2551" w:type="dxa"/>
            <w:vAlign w:val="center"/>
          </w:tcPr>
          <w:p>
            <w:pPr>
              <w:pStyle w:val="11"/>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1"/>
            </w:pPr>
            <w:r>
              <w:t>0.20</w:t>
            </w:r>
          </w:p>
        </w:tc>
        <w:tc>
          <w:tcPr>
            <w:tcW w:w="2551" w:type="dxa"/>
            <w:vAlign w:val="center"/>
          </w:tcPr>
          <w:p>
            <w:pPr>
              <w:pStyle w:val="11"/>
            </w:pPr>
          </w:p>
        </w:tc>
        <w:tc>
          <w:tcPr>
            <w:tcW w:w="2551" w:type="dxa"/>
            <w:vAlign w:val="center"/>
          </w:tcPr>
          <w:p>
            <w:pPr>
              <w:pStyle w:val="11"/>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14.27</w:t>
            </w:r>
          </w:p>
        </w:tc>
        <w:tc>
          <w:tcPr>
            <w:tcW w:w="2551" w:type="dxa"/>
            <w:vAlign w:val="center"/>
          </w:tcPr>
          <w:p>
            <w:pPr>
              <w:pStyle w:val="11"/>
            </w:pPr>
          </w:p>
        </w:tc>
        <w:tc>
          <w:tcPr>
            <w:tcW w:w="2551" w:type="dxa"/>
            <w:vAlign w:val="center"/>
          </w:tcPr>
          <w:p>
            <w:pPr>
              <w:pStyle w:val="11"/>
            </w:pPr>
            <w:r>
              <w:t>14.27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1.34</w:t>
            </w:r>
          </w:p>
        </w:tc>
        <w:tc>
          <w:tcPr>
            <w:tcW w:w="2551" w:type="dxa"/>
            <w:vAlign w:val="center"/>
          </w:tcPr>
          <w:p>
            <w:pPr>
              <w:pStyle w:val="11"/>
            </w:pPr>
          </w:p>
        </w:tc>
        <w:tc>
          <w:tcPr>
            <w:tcW w:w="2551" w:type="dxa"/>
            <w:vAlign w:val="center"/>
          </w:tcPr>
          <w:p>
            <w:pPr>
              <w:pStyle w:val="11"/>
            </w:pPr>
            <w:r>
              <w:t>1.34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5.70</w:t>
            </w:r>
          </w:p>
        </w:tc>
        <w:tc>
          <w:tcPr>
            <w:tcW w:w="2551" w:type="dxa"/>
            <w:vAlign w:val="center"/>
          </w:tcPr>
          <w:p>
            <w:pPr>
              <w:pStyle w:val="11"/>
            </w:pPr>
            <w:r>
              <w:t>5.70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3.20</w:t>
            </w:r>
          </w:p>
        </w:tc>
        <w:tc>
          <w:tcPr>
            <w:tcW w:w="2551" w:type="dxa"/>
            <w:vAlign w:val="center"/>
          </w:tcPr>
          <w:p>
            <w:pPr>
              <w:pStyle w:val="11"/>
            </w:pPr>
            <w:r>
              <w:t>3.20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2.50</w:t>
            </w:r>
          </w:p>
        </w:tc>
        <w:tc>
          <w:tcPr>
            <w:tcW w:w="2551" w:type="dxa"/>
            <w:vAlign w:val="center"/>
          </w:tcPr>
          <w:p>
            <w:pPr>
              <w:pStyle w:val="11"/>
            </w:pPr>
            <w:r>
              <w:t>2.50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101001高邑县人民代表大会常务委员会办公室本级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101001高邑县人民代表大会常务委员会办公室本级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101001高邑县人民代表大会常务委员会办公室本级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高邑县人民代表大会常务委员会办公室本级2026年单位预算信息公开情况说明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按照《中华人民共和国预算法》、《地方预决算公开操作规程》和《关于进一步推进预算公开工作的实施意见》规定，现将高邑县人民代表大会常务委员会办公室本级2026年单位预算公开如下：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高邑县人民代表大会常务委员会办公室本级</w:t>
            </w:r>
          </w:p>
        </w:tc>
        <w:tc>
          <w:tcPr>
            <w:tcW w:w="1843" w:type="dxa"/>
            <w:vAlign w:val="center"/>
          </w:tcPr>
          <w:p>
            <w:pPr>
              <w:pStyle w:val="13"/>
            </w:pPr>
            <w:r>
              <w:t>行政</w:t>
            </w:r>
          </w:p>
        </w:tc>
        <w:tc>
          <w:tcPr>
            <w:tcW w:w="2126" w:type="dxa"/>
            <w:vAlign w:val="center"/>
          </w:tcPr>
          <w:p>
            <w:pPr>
              <w:pStyle w:val="13"/>
            </w:pPr>
            <w:r>
              <w:t>正处（县）级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按照预算管理有关规定，目前我省部门预算的编制实行综合预算管理，即全部收入和支出都反映在预算中。高邑县人民代表大会常务委员会办公室机关及所属事业单位的收支包含在部门预算中。</w:t>
      </w:r>
    </w:p>
    <w:p>
      <w:pPr>
        <w:pStyle w:val="18"/>
      </w:pPr>
      <w:r>
        <w:t>1、收入说明  石家庄市高邑县人大常委会2026年预算收入总计417.09万元。其中，一般公共预算收入 417.09万元、政府性基金收入 0 万元、国有资本经营预算收入 0 元、财政专户核拨收入 0 万元，上年结转结余 0万元。</w:t>
      </w:r>
    </w:p>
    <w:p>
      <w:pPr>
        <w:pStyle w:val="18"/>
      </w:pPr>
      <w:r>
        <w:t>2、支出说明  2026年预算支出417.09万元。其中，人员经费支出362.75万元，日常公用经费36.34          万元，项目支出18万元。主要为人大会议、人大代表、人大监督、人大事务管理等费用支出。</w:t>
      </w:r>
    </w:p>
    <w:p>
      <w:pPr>
        <w:pStyle w:val="18"/>
      </w:pPr>
      <w:r>
        <w:t xml:space="preserve">3、比上年增减情况  </w:t>
      </w:r>
    </w:p>
    <w:p>
      <w:pPr>
        <w:pStyle w:val="18"/>
      </w:pPr>
      <w:r>
        <w:t>2026年部门预算收支安排417.09万元，较2025年预算增加1.35万元，其中：人员经费支出增加6.61万元，主要是人员增加，工资标准提高，相应增加了工资支出和社会保障缴费；日常公用支出减少3.66万元，主要是减少办公经费的开支：项目支出减少1.6万元，项目支出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部门机关运行经费共计安排36.34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三公”经费支出0.1992万元，与上年相比减少0.0208万元。其中，因公出国（境）费0万元，与上年相比持平，无增减变化；公务用车购置及运行维护费0万元(其中公务用车购置0万元，公务用车运行维护费0万元）；公务接待费0.1992万元，与上年减少0.0208万元，主要是控制接待费开支，减少支出。</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1、监督专项经费绩效目标表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13012726P00012910001E</w:t>
            </w:r>
          </w:p>
        </w:tc>
        <w:tc>
          <w:tcPr>
            <w:tcW w:w="2835" w:type="dxa"/>
            <w:vAlign w:val="center"/>
          </w:tcPr>
          <w:p>
            <w:pPr>
              <w:pStyle w:val="10"/>
            </w:pPr>
            <w:r>
              <w:t>项目名称</w:t>
            </w:r>
          </w:p>
        </w:tc>
        <w:tc>
          <w:tcPr>
            <w:tcW w:w="6095" w:type="dxa"/>
            <w:gridSpan w:val="3"/>
            <w:vAlign w:val="center"/>
          </w:tcPr>
          <w:p>
            <w:pPr>
              <w:pStyle w:val="12"/>
            </w:pPr>
            <w:r>
              <w:t>监督专项经费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w:t>
            </w:r>
          </w:p>
        </w:tc>
        <w:tc>
          <w:tcPr>
            <w:tcW w:w="2835" w:type="dxa"/>
            <w:vAlign w:val="center"/>
          </w:tcPr>
          <w:p>
            <w:pPr>
              <w:pStyle w:val="10"/>
            </w:pPr>
            <w:r>
              <w:t>其中：财政    资金</w:t>
            </w:r>
          </w:p>
        </w:tc>
        <w:tc>
          <w:tcPr>
            <w:tcW w:w="2551" w:type="dxa"/>
            <w:vAlign w:val="center"/>
          </w:tcPr>
          <w:p>
            <w:pPr>
              <w:pStyle w:val="12"/>
            </w:pPr>
            <w:r>
              <w:t>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用于监督政府部门日常工作，维护社会稳定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0.25</w:t>
            </w:r>
          </w:p>
        </w:tc>
        <w:tc>
          <w:tcPr>
            <w:tcW w:w="2835" w:type="dxa"/>
            <w:vAlign w:val="center"/>
          </w:tcPr>
          <w:p>
            <w:pPr>
              <w:pStyle w:val="13"/>
            </w:pPr>
            <w:r>
              <w:t>0.50</w:t>
            </w:r>
          </w:p>
        </w:tc>
        <w:tc>
          <w:tcPr>
            <w:tcW w:w="2551" w:type="dxa"/>
            <w:vAlign w:val="center"/>
          </w:tcPr>
          <w:p>
            <w:pPr>
              <w:pStyle w:val="13"/>
            </w:pPr>
            <w:r>
              <w:t>0.75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1.综合运用行之有效的监督方式，加大监督力度，提高监督实效。</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开展视察、调研执法检查等监督活动次数</w:t>
            </w:r>
          </w:p>
        </w:tc>
        <w:tc>
          <w:tcPr>
            <w:tcW w:w="5386" w:type="dxa"/>
            <w:vAlign w:val="center"/>
          </w:tcPr>
          <w:p>
            <w:pPr>
              <w:pStyle w:val="12"/>
            </w:pPr>
            <w:r>
              <w:t>开展视察、调研执法检查等监督活动次数</w:t>
            </w:r>
          </w:p>
        </w:tc>
        <w:tc>
          <w:tcPr>
            <w:tcW w:w="2268" w:type="dxa"/>
            <w:vAlign w:val="center"/>
          </w:tcPr>
          <w:p>
            <w:pPr>
              <w:pStyle w:val="12"/>
            </w:pPr>
            <w:r>
              <w:t>按工作计划</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按要求完成监督工作</w:t>
            </w:r>
          </w:p>
        </w:tc>
        <w:tc>
          <w:tcPr>
            <w:tcW w:w="5386" w:type="dxa"/>
            <w:vAlign w:val="center"/>
          </w:tcPr>
          <w:p>
            <w:pPr>
              <w:pStyle w:val="12"/>
            </w:pPr>
            <w:r>
              <w:t>按要求完成监督工作</w:t>
            </w:r>
          </w:p>
        </w:tc>
        <w:tc>
          <w:tcPr>
            <w:tcW w:w="2268" w:type="dxa"/>
            <w:vAlign w:val="center"/>
          </w:tcPr>
          <w:p>
            <w:pPr>
              <w:pStyle w:val="12"/>
            </w:pPr>
            <w:r>
              <w:t>按要求完成监督工作</w:t>
            </w:r>
          </w:p>
        </w:tc>
        <w:tc>
          <w:tcPr>
            <w:tcW w:w="1276" w:type="dxa"/>
            <w:vAlign w:val="center"/>
          </w:tcPr>
          <w:p>
            <w:pPr>
              <w:pStyle w:val="12"/>
            </w:pPr>
            <w:r>
              <w:t>以往经验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完成工作量与计划的比例</w:t>
            </w:r>
          </w:p>
        </w:tc>
        <w:tc>
          <w:tcPr>
            <w:tcW w:w="5386" w:type="dxa"/>
            <w:vAlign w:val="center"/>
          </w:tcPr>
          <w:p>
            <w:pPr>
              <w:pStyle w:val="12"/>
            </w:pPr>
            <w:r>
              <w:t>完成工作量与计划的比例</w:t>
            </w:r>
          </w:p>
        </w:tc>
        <w:tc>
          <w:tcPr>
            <w:tcW w:w="2268" w:type="dxa"/>
            <w:vAlign w:val="center"/>
          </w:tcPr>
          <w:p>
            <w:pPr>
              <w:pStyle w:val="12"/>
            </w:pPr>
            <w:r>
              <w:t>≥95%</w:t>
            </w:r>
          </w:p>
        </w:tc>
        <w:tc>
          <w:tcPr>
            <w:tcW w:w="1276" w:type="dxa"/>
            <w:vAlign w:val="center"/>
          </w:tcPr>
          <w:p>
            <w:pPr>
              <w:pStyle w:val="12"/>
            </w:pPr>
            <w:r>
              <w:t>以往经验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预算项目金额</w:t>
            </w:r>
          </w:p>
        </w:tc>
        <w:tc>
          <w:tcPr>
            <w:tcW w:w="5386" w:type="dxa"/>
            <w:vAlign w:val="center"/>
          </w:tcPr>
          <w:p>
            <w:pPr>
              <w:pStyle w:val="12"/>
            </w:pPr>
            <w:r>
              <w:t>预算项目金额</w:t>
            </w:r>
          </w:p>
        </w:tc>
        <w:tc>
          <w:tcPr>
            <w:tcW w:w="2268" w:type="dxa"/>
            <w:vAlign w:val="center"/>
          </w:tcPr>
          <w:p>
            <w:pPr>
              <w:pStyle w:val="12"/>
            </w:pPr>
            <w:r>
              <w:t>≥1万元</w:t>
            </w:r>
          </w:p>
        </w:tc>
        <w:tc>
          <w:tcPr>
            <w:tcW w:w="1276" w:type="dxa"/>
            <w:vAlign w:val="center"/>
          </w:tcPr>
          <w:p>
            <w:pPr>
              <w:pStyle w:val="12"/>
            </w:pPr>
            <w:r>
              <w:t>以往经验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维护社会稳定</w:t>
            </w:r>
          </w:p>
        </w:tc>
        <w:tc>
          <w:tcPr>
            <w:tcW w:w="5386" w:type="dxa"/>
            <w:vAlign w:val="center"/>
          </w:tcPr>
          <w:p>
            <w:pPr>
              <w:pStyle w:val="12"/>
            </w:pPr>
            <w:r>
              <w:t>维护社会稳定</w:t>
            </w:r>
          </w:p>
        </w:tc>
        <w:tc>
          <w:tcPr>
            <w:tcW w:w="2268" w:type="dxa"/>
            <w:vAlign w:val="center"/>
          </w:tcPr>
          <w:p>
            <w:pPr>
              <w:pStyle w:val="12"/>
            </w:pPr>
            <w:r>
              <w:t>维护社会稳定</w:t>
            </w:r>
          </w:p>
        </w:tc>
        <w:tc>
          <w:tcPr>
            <w:tcW w:w="1276" w:type="dxa"/>
            <w:vAlign w:val="center"/>
          </w:tcPr>
          <w:p>
            <w:pPr>
              <w:pStyle w:val="12"/>
            </w:pPr>
            <w:r>
              <w:t>以往经验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≥95%</w:t>
            </w:r>
          </w:p>
        </w:tc>
        <w:tc>
          <w:tcPr>
            <w:tcW w:w="1276" w:type="dxa"/>
            <w:vAlign w:val="center"/>
          </w:tcPr>
          <w:p>
            <w:pPr>
              <w:pStyle w:val="12"/>
            </w:pPr>
            <w:r>
              <w:t>以往经验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2、人大常委会经费绩效目标表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13012726P00009210004C</w:t>
            </w:r>
          </w:p>
        </w:tc>
        <w:tc>
          <w:tcPr>
            <w:tcW w:w="2835" w:type="dxa"/>
            <w:vAlign w:val="center"/>
          </w:tcPr>
          <w:p>
            <w:pPr>
              <w:pStyle w:val="10"/>
            </w:pPr>
            <w:r>
              <w:t>项目名称</w:t>
            </w:r>
          </w:p>
        </w:tc>
        <w:tc>
          <w:tcPr>
            <w:tcW w:w="6095" w:type="dxa"/>
            <w:gridSpan w:val="3"/>
            <w:vAlign w:val="center"/>
          </w:tcPr>
          <w:p>
            <w:pPr>
              <w:pStyle w:val="12"/>
            </w:pPr>
            <w:r>
              <w:t>人大常委会经费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用于保障按时召开常委会会议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0.50</w:t>
            </w:r>
          </w:p>
        </w:tc>
        <w:tc>
          <w:tcPr>
            <w:tcW w:w="2835" w:type="dxa"/>
            <w:vAlign w:val="center"/>
          </w:tcPr>
          <w:p>
            <w:pPr>
              <w:pStyle w:val="13"/>
            </w:pPr>
            <w:r>
              <w:t>1.00</w:t>
            </w:r>
          </w:p>
        </w:tc>
        <w:tc>
          <w:tcPr>
            <w:tcW w:w="2551" w:type="dxa"/>
            <w:vAlign w:val="center"/>
          </w:tcPr>
          <w:p>
            <w:pPr>
              <w:pStyle w:val="13"/>
            </w:pPr>
            <w:r>
              <w:t>1.50</w:t>
            </w:r>
          </w:p>
        </w:tc>
        <w:tc>
          <w:tcPr>
            <w:tcW w:w="3544" w:type="dxa"/>
            <w:gridSpan w:val="2"/>
            <w:vAlign w:val="center"/>
          </w:tcPr>
          <w:p>
            <w:pPr>
              <w:pStyle w:val="13"/>
            </w:pPr>
            <w:r>
              <w:t>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1.按法律规定，每年召开常委会6次以上。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召开常会委次数</w:t>
            </w:r>
          </w:p>
        </w:tc>
        <w:tc>
          <w:tcPr>
            <w:tcW w:w="5386" w:type="dxa"/>
            <w:vAlign w:val="center"/>
          </w:tcPr>
          <w:p>
            <w:pPr>
              <w:pStyle w:val="12"/>
            </w:pPr>
            <w:r>
              <w:t>召开常会委次数</w:t>
            </w:r>
          </w:p>
        </w:tc>
        <w:tc>
          <w:tcPr>
            <w:tcW w:w="2268" w:type="dxa"/>
            <w:vAlign w:val="center"/>
          </w:tcPr>
          <w:p>
            <w:pPr>
              <w:pStyle w:val="12"/>
            </w:pPr>
            <w:r>
              <w:t>≥6次</w:t>
            </w:r>
          </w:p>
        </w:tc>
        <w:tc>
          <w:tcPr>
            <w:tcW w:w="1276" w:type="dxa"/>
            <w:vAlign w:val="center"/>
          </w:tcPr>
          <w:p>
            <w:pPr>
              <w:pStyle w:val="12"/>
            </w:pPr>
            <w:r>
              <w:t>以往经验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会议会务工作完成率</w:t>
            </w:r>
          </w:p>
        </w:tc>
        <w:tc>
          <w:tcPr>
            <w:tcW w:w="5386" w:type="dxa"/>
            <w:vAlign w:val="center"/>
          </w:tcPr>
          <w:p>
            <w:pPr>
              <w:pStyle w:val="12"/>
            </w:pPr>
            <w:r>
              <w:t>会议会务工作完成率</w:t>
            </w:r>
          </w:p>
        </w:tc>
        <w:tc>
          <w:tcPr>
            <w:tcW w:w="2268" w:type="dxa"/>
            <w:vAlign w:val="center"/>
          </w:tcPr>
          <w:p>
            <w:pPr>
              <w:pStyle w:val="12"/>
            </w:pPr>
            <w:r>
              <w:t>≥95%</w:t>
            </w:r>
          </w:p>
        </w:tc>
        <w:tc>
          <w:tcPr>
            <w:tcW w:w="1276" w:type="dxa"/>
            <w:vAlign w:val="center"/>
          </w:tcPr>
          <w:p>
            <w:pPr>
              <w:pStyle w:val="12"/>
            </w:pPr>
            <w:r>
              <w:t>以往经验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会议按规定时间召开</w:t>
            </w:r>
          </w:p>
        </w:tc>
        <w:tc>
          <w:tcPr>
            <w:tcW w:w="5386" w:type="dxa"/>
            <w:vAlign w:val="center"/>
          </w:tcPr>
          <w:p>
            <w:pPr>
              <w:pStyle w:val="12"/>
            </w:pPr>
            <w:r>
              <w:t>会议按规定时间召开</w:t>
            </w:r>
          </w:p>
        </w:tc>
        <w:tc>
          <w:tcPr>
            <w:tcW w:w="2268" w:type="dxa"/>
            <w:vAlign w:val="center"/>
          </w:tcPr>
          <w:p>
            <w:pPr>
              <w:pStyle w:val="12"/>
            </w:pPr>
            <w:r>
              <w:t>≥95%</w:t>
            </w:r>
          </w:p>
        </w:tc>
        <w:tc>
          <w:tcPr>
            <w:tcW w:w="1276" w:type="dxa"/>
            <w:vAlign w:val="center"/>
          </w:tcPr>
          <w:p>
            <w:pPr>
              <w:pStyle w:val="12"/>
            </w:pPr>
            <w:r>
              <w:t>以往经验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项目预算金额</w:t>
            </w:r>
          </w:p>
        </w:tc>
        <w:tc>
          <w:tcPr>
            <w:tcW w:w="5386" w:type="dxa"/>
            <w:vAlign w:val="center"/>
          </w:tcPr>
          <w:p>
            <w:pPr>
              <w:pStyle w:val="12"/>
            </w:pPr>
            <w:r>
              <w:t>项目预算金额</w:t>
            </w:r>
          </w:p>
        </w:tc>
        <w:tc>
          <w:tcPr>
            <w:tcW w:w="2268" w:type="dxa"/>
            <w:vAlign w:val="center"/>
          </w:tcPr>
          <w:p>
            <w:pPr>
              <w:pStyle w:val="12"/>
            </w:pPr>
            <w:r>
              <w:t>≥95%</w:t>
            </w:r>
          </w:p>
        </w:tc>
        <w:tc>
          <w:tcPr>
            <w:tcW w:w="1276" w:type="dxa"/>
            <w:vAlign w:val="center"/>
          </w:tcPr>
          <w:p>
            <w:pPr>
              <w:pStyle w:val="12"/>
            </w:pPr>
            <w:r>
              <w:t>以往经验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完成大会各项政治任务</w:t>
            </w:r>
          </w:p>
        </w:tc>
        <w:tc>
          <w:tcPr>
            <w:tcW w:w="5386" w:type="dxa"/>
            <w:vAlign w:val="center"/>
          </w:tcPr>
          <w:p>
            <w:pPr>
              <w:pStyle w:val="12"/>
            </w:pPr>
            <w:r>
              <w:t>完成大会各项政治任务</w:t>
            </w:r>
          </w:p>
        </w:tc>
        <w:tc>
          <w:tcPr>
            <w:tcW w:w="2268" w:type="dxa"/>
            <w:vAlign w:val="center"/>
          </w:tcPr>
          <w:p>
            <w:pPr>
              <w:pStyle w:val="12"/>
            </w:pPr>
            <w:r>
              <w:t>≥95%</w:t>
            </w:r>
          </w:p>
        </w:tc>
        <w:tc>
          <w:tcPr>
            <w:tcW w:w="1276" w:type="dxa"/>
            <w:vAlign w:val="center"/>
          </w:tcPr>
          <w:p>
            <w:pPr>
              <w:pStyle w:val="12"/>
            </w:pPr>
            <w:r>
              <w:t>以往经验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与会人员满意度</w:t>
            </w:r>
          </w:p>
        </w:tc>
        <w:tc>
          <w:tcPr>
            <w:tcW w:w="5386" w:type="dxa"/>
            <w:vAlign w:val="center"/>
          </w:tcPr>
          <w:p>
            <w:pPr>
              <w:pStyle w:val="12"/>
            </w:pPr>
            <w:r>
              <w:t>与会人员满意度</w:t>
            </w:r>
          </w:p>
        </w:tc>
        <w:tc>
          <w:tcPr>
            <w:tcW w:w="2268" w:type="dxa"/>
            <w:vAlign w:val="center"/>
          </w:tcPr>
          <w:p>
            <w:pPr>
              <w:pStyle w:val="12"/>
            </w:pPr>
            <w:r>
              <w:t>≥95%</w:t>
            </w:r>
          </w:p>
        </w:tc>
        <w:tc>
          <w:tcPr>
            <w:tcW w:w="1276" w:type="dxa"/>
            <w:vAlign w:val="center"/>
          </w:tcPr>
          <w:p>
            <w:pPr>
              <w:pStyle w:val="12"/>
            </w:pPr>
            <w:r>
              <w:t>以往经验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3、人大代表活动经费绩效目标表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13012726P00010110003R</w:t>
            </w:r>
          </w:p>
        </w:tc>
        <w:tc>
          <w:tcPr>
            <w:tcW w:w="2835" w:type="dxa"/>
            <w:vAlign w:val="center"/>
          </w:tcPr>
          <w:p>
            <w:pPr>
              <w:pStyle w:val="10"/>
            </w:pPr>
            <w:r>
              <w:t>项目名称</w:t>
            </w:r>
          </w:p>
        </w:tc>
        <w:tc>
          <w:tcPr>
            <w:tcW w:w="6095" w:type="dxa"/>
            <w:gridSpan w:val="3"/>
            <w:vAlign w:val="center"/>
          </w:tcPr>
          <w:p>
            <w:pPr>
              <w:pStyle w:val="12"/>
            </w:pPr>
            <w:r>
              <w:t>人大代表活动经费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w:t>
            </w:r>
          </w:p>
        </w:tc>
        <w:tc>
          <w:tcPr>
            <w:tcW w:w="2835" w:type="dxa"/>
            <w:vAlign w:val="center"/>
          </w:tcPr>
          <w:p>
            <w:pPr>
              <w:pStyle w:val="10"/>
            </w:pPr>
            <w:r>
              <w:t>其中：财政    资金</w:t>
            </w:r>
          </w:p>
        </w:tc>
        <w:tc>
          <w:tcPr>
            <w:tcW w:w="2551" w:type="dxa"/>
            <w:vAlign w:val="center"/>
          </w:tcPr>
          <w:p>
            <w:pPr>
              <w:pStyle w:val="12"/>
            </w:pPr>
            <w:r>
              <w:t>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主要用于县人大代表在闭会期间组织开展执行代表职务的各项活动</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0.25</w:t>
            </w:r>
          </w:p>
        </w:tc>
        <w:tc>
          <w:tcPr>
            <w:tcW w:w="2835" w:type="dxa"/>
            <w:vAlign w:val="center"/>
          </w:tcPr>
          <w:p>
            <w:pPr>
              <w:pStyle w:val="13"/>
            </w:pPr>
            <w:r>
              <w:t>0.50</w:t>
            </w:r>
          </w:p>
        </w:tc>
        <w:tc>
          <w:tcPr>
            <w:tcW w:w="2551" w:type="dxa"/>
            <w:vAlign w:val="center"/>
          </w:tcPr>
          <w:p>
            <w:pPr>
              <w:pStyle w:val="13"/>
            </w:pPr>
            <w:r>
              <w:t>0.75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1.主要用于县人大代表在闭会期间组织开展执行代表职务的各项活动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人大代表参与人数</w:t>
            </w:r>
          </w:p>
        </w:tc>
        <w:tc>
          <w:tcPr>
            <w:tcW w:w="5386" w:type="dxa"/>
            <w:vAlign w:val="center"/>
          </w:tcPr>
          <w:p>
            <w:pPr>
              <w:pStyle w:val="12"/>
            </w:pPr>
            <w:r>
              <w:t>人大代表参与人数</w:t>
            </w:r>
          </w:p>
        </w:tc>
        <w:tc>
          <w:tcPr>
            <w:tcW w:w="2268" w:type="dxa"/>
            <w:vAlign w:val="center"/>
          </w:tcPr>
          <w:p>
            <w:pPr>
              <w:pStyle w:val="12"/>
            </w:pPr>
            <w:r>
              <w:t>≤173人</w:t>
            </w:r>
          </w:p>
        </w:tc>
        <w:tc>
          <w:tcPr>
            <w:tcW w:w="1276" w:type="dxa"/>
            <w:vAlign w:val="center"/>
          </w:tcPr>
          <w:p>
            <w:pPr>
              <w:pStyle w:val="12"/>
            </w:pPr>
            <w:r>
              <w:t>以往经验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代表参与率</w:t>
            </w:r>
          </w:p>
        </w:tc>
        <w:tc>
          <w:tcPr>
            <w:tcW w:w="5386" w:type="dxa"/>
            <w:vAlign w:val="center"/>
          </w:tcPr>
          <w:p>
            <w:pPr>
              <w:pStyle w:val="12"/>
            </w:pPr>
            <w:r>
              <w:t>代表参与率</w:t>
            </w:r>
          </w:p>
        </w:tc>
        <w:tc>
          <w:tcPr>
            <w:tcW w:w="2268" w:type="dxa"/>
            <w:vAlign w:val="center"/>
          </w:tcPr>
          <w:p>
            <w:pPr>
              <w:pStyle w:val="12"/>
            </w:pPr>
            <w:r>
              <w:t>≥95%</w:t>
            </w:r>
          </w:p>
        </w:tc>
        <w:tc>
          <w:tcPr>
            <w:tcW w:w="1276" w:type="dxa"/>
            <w:vAlign w:val="center"/>
          </w:tcPr>
          <w:p>
            <w:pPr>
              <w:pStyle w:val="12"/>
            </w:pPr>
            <w:r>
              <w:t>以往经验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代表工作开展及时率</w:t>
            </w:r>
          </w:p>
        </w:tc>
        <w:tc>
          <w:tcPr>
            <w:tcW w:w="5386" w:type="dxa"/>
            <w:vAlign w:val="center"/>
          </w:tcPr>
          <w:p>
            <w:pPr>
              <w:pStyle w:val="12"/>
            </w:pPr>
            <w:r>
              <w:t>代表工作开展及时率</w:t>
            </w:r>
          </w:p>
        </w:tc>
        <w:tc>
          <w:tcPr>
            <w:tcW w:w="2268" w:type="dxa"/>
            <w:vAlign w:val="center"/>
          </w:tcPr>
          <w:p>
            <w:pPr>
              <w:pStyle w:val="12"/>
            </w:pPr>
            <w:r>
              <w:t>≥90%</w:t>
            </w:r>
          </w:p>
        </w:tc>
        <w:tc>
          <w:tcPr>
            <w:tcW w:w="1276" w:type="dxa"/>
            <w:vAlign w:val="center"/>
          </w:tcPr>
          <w:p>
            <w:pPr>
              <w:pStyle w:val="12"/>
            </w:pPr>
            <w:r>
              <w:t>以往经验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项目预算金额</w:t>
            </w:r>
          </w:p>
        </w:tc>
        <w:tc>
          <w:tcPr>
            <w:tcW w:w="5386" w:type="dxa"/>
            <w:vAlign w:val="center"/>
          </w:tcPr>
          <w:p>
            <w:pPr>
              <w:pStyle w:val="12"/>
            </w:pPr>
            <w:r>
              <w:t>项目预算金额</w:t>
            </w:r>
          </w:p>
        </w:tc>
        <w:tc>
          <w:tcPr>
            <w:tcW w:w="2268" w:type="dxa"/>
            <w:vAlign w:val="center"/>
          </w:tcPr>
          <w:p>
            <w:pPr>
              <w:pStyle w:val="12"/>
            </w:pPr>
            <w:r>
              <w:t>≤1万元</w:t>
            </w:r>
          </w:p>
        </w:tc>
        <w:tc>
          <w:tcPr>
            <w:tcW w:w="1276" w:type="dxa"/>
            <w:vAlign w:val="center"/>
          </w:tcPr>
          <w:p>
            <w:pPr>
              <w:pStyle w:val="12"/>
            </w:pPr>
            <w:r>
              <w:t>以往经验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提升代表履职能力</w:t>
            </w:r>
          </w:p>
        </w:tc>
        <w:tc>
          <w:tcPr>
            <w:tcW w:w="5386" w:type="dxa"/>
            <w:vAlign w:val="center"/>
          </w:tcPr>
          <w:p>
            <w:pPr>
              <w:pStyle w:val="12"/>
            </w:pPr>
            <w:r>
              <w:t>提升代表履职能力</w:t>
            </w:r>
          </w:p>
        </w:tc>
        <w:tc>
          <w:tcPr>
            <w:tcW w:w="2268" w:type="dxa"/>
            <w:vAlign w:val="center"/>
          </w:tcPr>
          <w:p>
            <w:pPr>
              <w:pStyle w:val="12"/>
            </w:pPr>
            <w:r>
              <w:t>≥90%</w:t>
            </w:r>
          </w:p>
        </w:tc>
        <w:tc>
          <w:tcPr>
            <w:tcW w:w="1276" w:type="dxa"/>
            <w:vAlign w:val="center"/>
          </w:tcPr>
          <w:p>
            <w:pPr>
              <w:pStyle w:val="12"/>
            </w:pPr>
            <w:r>
              <w:t>以往经验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代表满意度</w:t>
            </w:r>
          </w:p>
        </w:tc>
        <w:tc>
          <w:tcPr>
            <w:tcW w:w="5386" w:type="dxa"/>
            <w:vAlign w:val="center"/>
          </w:tcPr>
          <w:p>
            <w:pPr>
              <w:pStyle w:val="12"/>
            </w:pPr>
            <w:r>
              <w:t>代表满意度</w:t>
            </w:r>
          </w:p>
        </w:tc>
        <w:tc>
          <w:tcPr>
            <w:tcW w:w="2268" w:type="dxa"/>
            <w:vAlign w:val="center"/>
          </w:tcPr>
          <w:p>
            <w:pPr>
              <w:pStyle w:val="12"/>
            </w:pPr>
            <w:r>
              <w:t>≥95%</w:t>
            </w:r>
          </w:p>
        </w:tc>
        <w:tc>
          <w:tcPr>
            <w:tcW w:w="1276" w:type="dxa"/>
            <w:vAlign w:val="center"/>
          </w:tcPr>
          <w:p>
            <w:pPr>
              <w:pStyle w:val="12"/>
            </w:pPr>
            <w:r>
              <w:t>以往经验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4、人大代表视察费绩效目标表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13012726P00009010002R</w:t>
            </w:r>
          </w:p>
        </w:tc>
        <w:tc>
          <w:tcPr>
            <w:tcW w:w="2835" w:type="dxa"/>
            <w:vAlign w:val="center"/>
          </w:tcPr>
          <w:p>
            <w:pPr>
              <w:pStyle w:val="10"/>
            </w:pPr>
            <w:r>
              <w:t>项目名称</w:t>
            </w:r>
          </w:p>
        </w:tc>
        <w:tc>
          <w:tcPr>
            <w:tcW w:w="6095" w:type="dxa"/>
            <w:gridSpan w:val="3"/>
            <w:vAlign w:val="center"/>
          </w:tcPr>
          <w:p>
            <w:pPr>
              <w:pStyle w:val="12"/>
            </w:pPr>
            <w:r>
              <w:t>人大代表视察费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w:t>
            </w:r>
          </w:p>
        </w:tc>
        <w:tc>
          <w:tcPr>
            <w:tcW w:w="2835" w:type="dxa"/>
            <w:vAlign w:val="center"/>
          </w:tcPr>
          <w:p>
            <w:pPr>
              <w:pStyle w:val="10"/>
            </w:pPr>
            <w:r>
              <w:t>其中：财政    资金</w:t>
            </w:r>
          </w:p>
        </w:tc>
        <w:tc>
          <w:tcPr>
            <w:tcW w:w="2551" w:type="dxa"/>
            <w:vAlign w:val="center"/>
          </w:tcPr>
          <w:p>
            <w:pPr>
              <w:pStyle w:val="12"/>
            </w:pPr>
            <w:r>
              <w:t>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人大代表视察经费主要用于保障县人大代表开展执行代表职务的各项视察工作</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0.25</w:t>
            </w:r>
          </w:p>
        </w:tc>
        <w:tc>
          <w:tcPr>
            <w:tcW w:w="2835" w:type="dxa"/>
            <w:vAlign w:val="center"/>
          </w:tcPr>
          <w:p>
            <w:pPr>
              <w:pStyle w:val="13"/>
            </w:pPr>
            <w:r>
              <w:t>0.50</w:t>
            </w:r>
          </w:p>
        </w:tc>
        <w:tc>
          <w:tcPr>
            <w:tcW w:w="2551" w:type="dxa"/>
            <w:vAlign w:val="center"/>
          </w:tcPr>
          <w:p>
            <w:pPr>
              <w:pStyle w:val="13"/>
            </w:pPr>
            <w:r>
              <w:t>0.75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1.人大代表视察经费主要用于保障县人大代表开展执行代表职务的各项视察工作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代表视察工作完成率</w:t>
            </w:r>
          </w:p>
        </w:tc>
        <w:tc>
          <w:tcPr>
            <w:tcW w:w="5386" w:type="dxa"/>
            <w:vAlign w:val="center"/>
          </w:tcPr>
          <w:p>
            <w:pPr>
              <w:pStyle w:val="12"/>
            </w:pPr>
            <w:r>
              <w:t>代表视察工作完成率</w:t>
            </w:r>
          </w:p>
        </w:tc>
        <w:tc>
          <w:tcPr>
            <w:tcW w:w="2268" w:type="dxa"/>
            <w:vAlign w:val="center"/>
          </w:tcPr>
          <w:p>
            <w:pPr>
              <w:pStyle w:val="12"/>
            </w:pPr>
            <w:r>
              <w:t>≥90%</w:t>
            </w:r>
          </w:p>
        </w:tc>
        <w:tc>
          <w:tcPr>
            <w:tcW w:w="1276" w:type="dxa"/>
            <w:vAlign w:val="center"/>
          </w:tcPr>
          <w:p>
            <w:pPr>
              <w:pStyle w:val="12"/>
            </w:pPr>
            <w:r>
              <w:t>以往经验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代表参与率</w:t>
            </w:r>
          </w:p>
        </w:tc>
        <w:tc>
          <w:tcPr>
            <w:tcW w:w="5386" w:type="dxa"/>
            <w:vAlign w:val="center"/>
          </w:tcPr>
          <w:p>
            <w:pPr>
              <w:pStyle w:val="12"/>
            </w:pPr>
            <w:r>
              <w:t>代表参与率</w:t>
            </w:r>
          </w:p>
        </w:tc>
        <w:tc>
          <w:tcPr>
            <w:tcW w:w="2268" w:type="dxa"/>
            <w:vAlign w:val="center"/>
          </w:tcPr>
          <w:p>
            <w:pPr>
              <w:pStyle w:val="12"/>
            </w:pPr>
            <w:r>
              <w:t>≥95%</w:t>
            </w:r>
          </w:p>
        </w:tc>
        <w:tc>
          <w:tcPr>
            <w:tcW w:w="1276" w:type="dxa"/>
            <w:vAlign w:val="center"/>
          </w:tcPr>
          <w:p>
            <w:pPr>
              <w:pStyle w:val="12"/>
            </w:pPr>
            <w:r>
              <w:t>以往经验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代表工作开展及时率</w:t>
            </w:r>
          </w:p>
        </w:tc>
        <w:tc>
          <w:tcPr>
            <w:tcW w:w="5386" w:type="dxa"/>
            <w:vAlign w:val="center"/>
          </w:tcPr>
          <w:p>
            <w:pPr>
              <w:pStyle w:val="12"/>
            </w:pPr>
            <w:r>
              <w:t>代表工作开展及时率</w:t>
            </w:r>
          </w:p>
        </w:tc>
        <w:tc>
          <w:tcPr>
            <w:tcW w:w="2268" w:type="dxa"/>
            <w:vAlign w:val="center"/>
          </w:tcPr>
          <w:p>
            <w:pPr>
              <w:pStyle w:val="12"/>
            </w:pPr>
            <w:r>
              <w:t>≥90%</w:t>
            </w:r>
          </w:p>
        </w:tc>
        <w:tc>
          <w:tcPr>
            <w:tcW w:w="1276" w:type="dxa"/>
            <w:vAlign w:val="center"/>
          </w:tcPr>
          <w:p>
            <w:pPr>
              <w:pStyle w:val="12"/>
            </w:pPr>
            <w:r>
              <w:t>以往经验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项目预算金额</w:t>
            </w:r>
          </w:p>
        </w:tc>
        <w:tc>
          <w:tcPr>
            <w:tcW w:w="5386" w:type="dxa"/>
            <w:vAlign w:val="center"/>
          </w:tcPr>
          <w:p>
            <w:pPr>
              <w:pStyle w:val="12"/>
            </w:pPr>
            <w:r>
              <w:t>项目预算金额</w:t>
            </w:r>
          </w:p>
        </w:tc>
        <w:tc>
          <w:tcPr>
            <w:tcW w:w="2268" w:type="dxa"/>
            <w:vAlign w:val="center"/>
          </w:tcPr>
          <w:p>
            <w:pPr>
              <w:pStyle w:val="12"/>
            </w:pPr>
            <w:r>
              <w:t>≤1万元</w:t>
            </w:r>
          </w:p>
        </w:tc>
        <w:tc>
          <w:tcPr>
            <w:tcW w:w="1276" w:type="dxa"/>
            <w:vAlign w:val="center"/>
          </w:tcPr>
          <w:p>
            <w:pPr>
              <w:pStyle w:val="12"/>
            </w:pPr>
            <w:r>
              <w:t>以往经验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提升代表履职能力</w:t>
            </w:r>
          </w:p>
        </w:tc>
        <w:tc>
          <w:tcPr>
            <w:tcW w:w="5386" w:type="dxa"/>
            <w:vAlign w:val="center"/>
          </w:tcPr>
          <w:p>
            <w:pPr>
              <w:pStyle w:val="12"/>
            </w:pPr>
            <w:r>
              <w:t>提升代表履职能力</w:t>
            </w:r>
          </w:p>
        </w:tc>
        <w:tc>
          <w:tcPr>
            <w:tcW w:w="2268" w:type="dxa"/>
            <w:vAlign w:val="center"/>
          </w:tcPr>
          <w:p>
            <w:pPr>
              <w:pStyle w:val="12"/>
            </w:pPr>
            <w:r>
              <w:t>≥90%</w:t>
            </w:r>
          </w:p>
        </w:tc>
        <w:tc>
          <w:tcPr>
            <w:tcW w:w="1276" w:type="dxa"/>
            <w:vAlign w:val="center"/>
          </w:tcPr>
          <w:p>
            <w:pPr>
              <w:pStyle w:val="12"/>
            </w:pPr>
            <w:r>
              <w:t>以往经验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代表满意度</w:t>
            </w:r>
          </w:p>
        </w:tc>
        <w:tc>
          <w:tcPr>
            <w:tcW w:w="5386" w:type="dxa"/>
            <w:vAlign w:val="center"/>
          </w:tcPr>
          <w:p>
            <w:pPr>
              <w:pStyle w:val="12"/>
            </w:pPr>
            <w:r>
              <w:t>代表满意度</w:t>
            </w:r>
          </w:p>
        </w:tc>
        <w:tc>
          <w:tcPr>
            <w:tcW w:w="2268" w:type="dxa"/>
            <w:vAlign w:val="center"/>
          </w:tcPr>
          <w:p>
            <w:pPr>
              <w:pStyle w:val="12"/>
            </w:pPr>
            <w:r>
              <w:t>≥95%</w:t>
            </w:r>
          </w:p>
        </w:tc>
        <w:tc>
          <w:tcPr>
            <w:tcW w:w="1276" w:type="dxa"/>
            <w:vAlign w:val="center"/>
          </w:tcPr>
          <w:p>
            <w:pPr>
              <w:pStyle w:val="12"/>
            </w:pPr>
            <w:r>
              <w:t>以往经验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5、人代会经费绩效目标表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13012726P00008910002M</w:t>
            </w:r>
          </w:p>
        </w:tc>
        <w:tc>
          <w:tcPr>
            <w:tcW w:w="2835" w:type="dxa"/>
            <w:vAlign w:val="center"/>
          </w:tcPr>
          <w:p>
            <w:pPr>
              <w:pStyle w:val="10"/>
            </w:pPr>
            <w:r>
              <w:t>项目名称</w:t>
            </w:r>
          </w:p>
        </w:tc>
        <w:tc>
          <w:tcPr>
            <w:tcW w:w="6095" w:type="dxa"/>
            <w:gridSpan w:val="3"/>
            <w:vAlign w:val="center"/>
          </w:tcPr>
          <w:p>
            <w:pPr>
              <w:pStyle w:val="12"/>
            </w:pPr>
            <w:r>
              <w:t>人代会经费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13.00</w:t>
            </w:r>
          </w:p>
        </w:tc>
        <w:tc>
          <w:tcPr>
            <w:tcW w:w="2835" w:type="dxa"/>
            <w:vAlign w:val="center"/>
          </w:tcPr>
          <w:p>
            <w:pPr>
              <w:pStyle w:val="10"/>
            </w:pPr>
            <w:r>
              <w:t>其中：财政    资金</w:t>
            </w:r>
          </w:p>
        </w:tc>
        <w:tc>
          <w:tcPr>
            <w:tcW w:w="2551" w:type="dxa"/>
            <w:vAlign w:val="center"/>
          </w:tcPr>
          <w:p>
            <w:pPr>
              <w:pStyle w:val="12"/>
            </w:pPr>
            <w:r>
              <w:t>13.00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保障人代会正常召开，完成大会的各项政治任务。</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3.25</w:t>
            </w:r>
          </w:p>
        </w:tc>
        <w:tc>
          <w:tcPr>
            <w:tcW w:w="2835" w:type="dxa"/>
            <w:vAlign w:val="center"/>
          </w:tcPr>
          <w:p>
            <w:pPr>
              <w:pStyle w:val="13"/>
            </w:pPr>
            <w:r>
              <w:t>6.50</w:t>
            </w:r>
          </w:p>
        </w:tc>
        <w:tc>
          <w:tcPr>
            <w:tcW w:w="2551" w:type="dxa"/>
            <w:vAlign w:val="center"/>
          </w:tcPr>
          <w:p>
            <w:pPr>
              <w:pStyle w:val="13"/>
            </w:pPr>
            <w:r>
              <w:t>9.75</w:t>
            </w:r>
          </w:p>
        </w:tc>
        <w:tc>
          <w:tcPr>
            <w:tcW w:w="3544" w:type="dxa"/>
            <w:gridSpan w:val="2"/>
            <w:vAlign w:val="center"/>
          </w:tcPr>
          <w:p>
            <w:pPr>
              <w:pStyle w:val="13"/>
            </w:pPr>
            <w:r>
              <w:t>13.00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1.保障人代会正常召开，完成大会的各项政治任务。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出席会议代表</w:t>
            </w:r>
          </w:p>
        </w:tc>
        <w:tc>
          <w:tcPr>
            <w:tcW w:w="5386" w:type="dxa"/>
            <w:vAlign w:val="center"/>
          </w:tcPr>
          <w:p>
            <w:pPr>
              <w:pStyle w:val="12"/>
            </w:pPr>
            <w:r>
              <w:t>出席会议代表</w:t>
            </w:r>
          </w:p>
        </w:tc>
        <w:tc>
          <w:tcPr>
            <w:tcW w:w="2268" w:type="dxa"/>
            <w:vAlign w:val="center"/>
          </w:tcPr>
          <w:p>
            <w:pPr>
              <w:pStyle w:val="12"/>
            </w:pPr>
            <w:r>
              <w:t>≥95%</w:t>
            </w:r>
          </w:p>
        </w:tc>
        <w:tc>
          <w:tcPr>
            <w:tcW w:w="1276" w:type="dxa"/>
            <w:vAlign w:val="center"/>
          </w:tcPr>
          <w:p>
            <w:pPr>
              <w:pStyle w:val="12"/>
            </w:pPr>
            <w:r>
              <w:t>以往经验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会议会务工作完成率</w:t>
            </w:r>
          </w:p>
        </w:tc>
        <w:tc>
          <w:tcPr>
            <w:tcW w:w="5386" w:type="dxa"/>
            <w:vAlign w:val="center"/>
          </w:tcPr>
          <w:p>
            <w:pPr>
              <w:pStyle w:val="12"/>
            </w:pPr>
            <w:r>
              <w:t>已完成的会议会务工作量占计划量比例</w:t>
            </w:r>
          </w:p>
        </w:tc>
        <w:tc>
          <w:tcPr>
            <w:tcW w:w="2268" w:type="dxa"/>
            <w:vAlign w:val="center"/>
          </w:tcPr>
          <w:p>
            <w:pPr>
              <w:pStyle w:val="12"/>
            </w:pPr>
            <w:r>
              <w:t>≥95%</w:t>
            </w:r>
          </w:p>
        </w:tc>
        <w:tc>
          <w:tcPr>
            <w:tcW w:w="1276" w:type="dxa"/>
            <w:vAlign w:val="center"/>
          </w:tcPr>
          <w:p>
            <w:pPr>
              <w:pStyle w:val="12"/>
            </w:pPr>
            <w:r>
              <w:t>以往经验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会议安时召开</w:t>
            </w:r>
          </w:p>
        </w:tc>
        <w:tc>
          <w:tcPr>
            <w:tcW w:w="5386" w:type="dxa"/>
            <w:vAlign w:val="center"/>
          </w:tcPr>
          <w:p>
            <w:pPr>
              <w:pStyle w:val="12"/>
            </w:pPr>
            <w:r>
              <w:t>人代会按规定时间正常召开</w:t>
            </w:r>
          </w:p>
        </w:tc>
        <w:tc>
          <w:tcPr>
            <w:tcW w:w="2268" w:type="dxa"/>
            <w:vAlign w:val="center"/>
          </w:tcPr>
          <w:p>
            <w:pPr>
              <w:pStyle w:val="12"/>
            </w:pPr>
            <w:r>
              <w:t>在规定时间内召开</w:t>
            </w:r>
          </w:p>
        </w:tc>
        <w:tc>
          <w:tcPr>
            <w:tcW w:w="1276" w:type="dxa"/>
            <w:vAlign w:val="center"/>
          </w:tcPr>
          <w:p>
            <w:pPr>
              <w:pStyle w:val="12"/>
            </w:pPr>
            <w:r>
              <w:t>以往经验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项目预算金额</w:t>
            </w:r>
          </w:p>
        </w:tc>
        <w:tc>
          <w:tcPr>
            <w:tcW w:w="5386" w:type="dxa"/>
            <w:vAlign w:val="center"/>
          </w:tcPr>
          <w:p>
            <w:pPr>
              <w:pStyle w:val="12"/>
            </w:pPr>
            <w:r>
              <w:t>项目预算金额</w:t>
            </w:r>
          </w:p>
        </w:tc>
        <w:tc>
          <w:tcPr>
            <w:tcW w:w="2268" w:type="dxa"/>
            <w:vAlign w:val="center"/>
          </w:tcPr>
          <w:p>
            <w:pPr>
              <w:pStyle w:val="12"/>
            </w:pPr>
            <w:r>
              <w:t>≤13万元</w:t>
            </w:r>
          </w:p>
        </w:tc>
        <w:tc>
          <w:tcPr>
            <w:tcW w:w="1276" w:type="dxa"/>
            <w:vAlign w:val="center"/>
          </w:tcPr>
          <w:p>
            <w:pPr>
              <w:pStyle w:val="12"/>
            </w:pPr>
            <w:r>
              <w:t>以往经验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完成大会各项政治任务</w:t>
            </w:r>
          </w:p>
        </w:tc>
        <w:tc>
          <w:tcPr>
            <w:tcW w:w="5386" w:type="dxa"/>
            <w:vAlign w:val="center"/>
          </w:tcPr>
          <w:p>
            <w:pPr>
              <w:pStyle w:val="12"/>
            </w:pPr>
            <w:r>
              <w:t>完成大会各项政治任务</w:t>
            </w:r>
          </w:p>
        </w:tc>
        <w:tc>
          <w:tcPr>
            <w:tcW w:w="2268" w:type="dxa"/>
            <w:vAlign w:val="center"/>
          </w:tcPr>
          <w:p>
            <w:pPr>
              <w:pStyle w:val="12"/>
            </w:pPr>
            <w:r>
              <w:t>≥100%</w:t>
            </w:r>
          </w:p>
        </w:tc>
        <w:tc>
          <w:tcPr>
            <w:tcW w:w="1276" w:type="dxa"/>
            <w:vAlign w:val="center"/>
          </w:tcPr>
          <w:p>
            <w:pPr>
              <w:pStyle w:val="12"/>
            </w:pPr>
            <w:r>
              <w:t>以往经验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参会代表满意度</w:t>
            </w:r>
          </w:p>
        </w:tc>
        <w:tc>
          <w:tcPr>
            <w:tcW w:w="5386" w:type="dxa"/>
            <w:vAlign w:val="center"/>
          </w:tcPr>
          <w:p>
            <w:pPr>
              <w:pStyle w:val="12"/>
            </w:pPr>
            <w:r>
              <w:t>参会代表满意度</w:t>
            </w:r>
          </w:p>
        </w:tc>
        <w:tc>
          <w:tcPr>
            <w:tcW w:w="2268" w:type="dxa"/>
            <w:vAlign w:val="center"/>
          </w:tcPr>
          <w:p>
            <w:pPr>
              <w:pStyle w:val="12"/>
            </w:pPr>
            <w:r>
              <w:t>≥95%</w:t>
            </w:r>
          </w:p>
        </w:tc>
        <w:tc>
          <w:tcPr>
            <w:tcW w:w="1276" w:type="dxa"/>
            <w:vAlign w:val="center"/>
          </w:tcPr>
          <w:p>
            <w:pPr>
              <w:pStyle w:val="12"/>
            </w:pPr>
            <w:r>
              <w:t>以往经验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101001高邑县人民代表大会常务委员会办公室本级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高邑县人民代表大会常务委员会办公室本级上年末固定资产金额为142.38万元（详见下表）。本年度拟购置固定资产总额为0.00万元，已按要求列入政府采购预算，详见政府采购预算表。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101001高邑县人民代表大会常务委员会办公室本级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142.38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4</w:t>
            </w:r>
          </w:p>
        </w:tc>
        <w:tc>
          <w:tcPr>
            <w:tcW w:w="2835" w:type="dxa"/>
            <w:vAlign w:val="center"/>
          </w:tcPr>
          <w:p>
            <w:pPr>
              <w:pStyle w:val="11"/>
            </w:pPr>
            <w:r>
              <w:t>72.92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258</w:t>
            </w:r>
          </w:p>
        </w:tc>
        <w:tc>
          <w:tcPr>
            <w:tcW w:w="2835" w:type="dxa"/>
            <w:vAlign w:val="center"/>
          </w:tcPr>
          <w:p>
            <w:pPr>
              <w:pStyle w:val="11"/>
            </w:pPr>
            <w:r>
              <w:t>69.46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C517B02"/>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28</Pages>
  <TotalTime>0</TotalTime>
  <ScaleCrop>false</ScaleCrop>
  <LinksUpToDate>false</LinksUpToDate>
  <Application>WPS Office_11.1.0.11115_F1E327BC-269C-435d-A152-05C5408002CA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2026-02-10T11:02:00Z</dcterms:created>
  <dc:creator>Administrator</dc:creator>
  <cp:lastModifiedBy>Administrator</cp:lastModifiedBy>
  <dcterms:modified xsi:type="dcterms:W3CDTF">2026-05-21T07:25:26Z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2052-11.1.0.11115</vt:lpwstr>
  </property>
  <property fmtid="{D5CDD505-2E9C-101B-9397-08002B2CF9AE}" pid="3" name="ICV">
    <vt:lpwstr>4C9B08B5139C4CEEBE518B8FBD794F61</vt:lpwstr>
  </property>
</Properties>
</file>