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32AFF">
      <w:pPr>
        <w:pStyle w:val="2"/>
        <w:keepNext w:val="0"/>
        <w:keepLines w:val="0"/>
        <w:pageBreakBefore w:val="0"/>
        <w:widowControl w:val="0"/>
        <w:kinsoku/>
        <w:overflowPunct/>
        <w:topLinePunct w:val="0"/>
        <w:autoSpaceDE/>
        <w:autoSpaceDN/>
        <w:bidi w:val="0"/>
        <w:snapToGrid/>
        <w:spacing w:before="157" w:beforeLines="50" w:after="157" w:afterLines="50" w:line="700" w:lineRule="exact"/>
        <w:ind w:firstLine="0" w:firstLineChars="0"/>
        <w:jc w:val="center"/>
        <w:rPr>
          <w:rFonts w:hint="eastAsia" w:ascii="方正小标宋简体" w:hAnsi="方正小标宋简体" w:eastAsia="方正小标宋简体" w:cs="方正小标宋简体"/>
          <w:b w:val="0"/>
          <w:i w:val="0"/>
          <w:caps w:val="0"/>
          <w:color w:val="000000"/>
          <w:spacing w:val="0"/>
          <w:w w:val="100"/>
          <w:sz w:val="56"/>
          <w:szCs w:val="56"/>
          <w:lang w:val="en-US" w:eastAsia="zh-CN" w:bidi="ar"/>
        </w:rPr>
      </w:pPr>
      <w:r>
        <w:rPr>
          <w:rFonts w:hint="eastAsia" w:ascii="方正小标宋简体" w:hAnsi="方正小标宋简体" w:eastAsia="方正小标宋简体" w:cs="方正小标宋简体"/>
          <w:i w:val="0"/>
          <w:iCs w:val="0"/>
          <w:color w:val="000000"/>
          <w:kern w:val="0"/>
          <w:sz w:val="56"/>
          <w:szCs w:val="56"/>
          <w:u w:val="none"/>
          <w:lang w:val="en-US" w:eastAsia="zh-CN" w:bidi="ar"/>
        </w:rPr>
        <w:t>高邑县水利领域行政强制事项清单</w:t>
      </w:r>
      <w:bookmarkStart w:id="2" w:name="_GoBack"/>
      <w:bookmarkEnd w:id="2"/>
    </w:p>
    <w:tbl>
      <w:tblPr>
        <w:tblStyle w:val="5"/>
        <w:tblW w:w="14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28" w:type="dxa"/>
          <w:bottom w:w="0" w:type="dxa"/>
          <w:right w:w="28" w:type="dxa"/>
        </w:tblCellMar>
      </w:tblPr>
      <w:tblGrid>
        <w:gridCol w:w="1324"/>
        <w:gridCol w:w="6046"/>
        <w:gridCol w:w="6046"/>
        <w:gridCol w:w="1324"/>
      </w:tblGrid>
      <w:tr w14:paraId="0735A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134" w:hRule="atLeast"/>
          <w:tblHeader/>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0CE26D2A">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序号</w:t>
            </w:r>
          </w:p>
        </w:tc>
        <w:tc>
          <w:tcPr>
            <w:tcW w:w="283" w:type="dxa"/>
            <w:tcBorders>
              <w:top w:val="single" w:color="000000" w:sz="4" w:space="0"/>
              <w:left w:val="single" w:color="000000" w:sz="4" w:space="0"/>
              <w:bottom w:val="single" w:color="000000" w:sz="4" w:space="0"/>
              <w:right w:val="single" w:color="000000" w:sz="4" w:space="0"/>
            </w:tcBorders>
            <w:noWrap/>
            <w:vAlign w:val="center"/>
          </w:tcPr>
          <w:p w14:paraId="7EBA20C1">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事项名称</w:t>
            </w:r>
          </w:p>
        </w:tc>
        <w:tc>
          <w:tcPr>
            <w:tcW w:w="283" w:type="dxa"/>
            <w:tcBorders>
              <w:top w:val="single" w:color="000000" w:sz="4" w:space="0"/>
              <w:left w:val="single" w:color="000000" w:sz="4" w:space="0"/>
              <w:bottom w:val="single" w:color="000000" w:sz="4" w:space="0"/>
              <w:right w:val="single" w:color="000000" w:sz="4" w:space="0"/>
            </w:tcBorders>
            <w:noWrap/>
            <w:vAlign w:val="center"/>
          </w:tcPr>
          <w:p w14:paraId="5F910B6C">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实施依据</w:t>
            </w:r>
          </w:p>
        </w:tc>
        <w:tc>
          <w:tcPr>
            <w:tcW w:w="28" w:type="dxa"/>
            <w:tcBorders>
              <w:top w:val="single" w:color="000000" w:sz="4" w:space="0"/>
              <w:left w:val="single" w:color="000000" w:sz="4" w:space="0"/>
              <w:bottom w:val="single" w:color="000000" w:sz="4" w:space="0"/>
              <w:right w:val="single" w:color="000000" w:sz="4" w:space="0"/>
            </w:tcBorders>
            <w:noWrap/>
            <w:vAlign w:val="center"/>
          </w:tcPr>
          <w:p w14:paraId="266C9B07">
            <w:pPr>
              <w:keepNext w:val="0"/>
              <w:keepLines w:val="0"/>
              <w:widowControl/>
              <w:suppressLineNumbers w:val="0"/>
              <w:spacing w:line="340" w:lineRule="exact"/>
              <w:jc w:val="center"/>
              <w:textAlignment w:val="center"/>
              <w:rPr>
                <w:rFonts w:hint="default" w:ascii="黑体" w:hAnsi="黑体" w:eastAsia="黑体" w:cs="黑体"/>
                <w:i w:val="0"/>
                <w:iCs w:val="0"/>
                <w:color w:val="000000"/>
                <w:sz w:val="26"/>
                <w:szCs w:val="26"/>
                <w:u w:val="none"/>
                <w:lang w:val="en-US"/>
              </w:rPr>
            </w:pPr>
            <w:r>
              <w:rPr>
                <w:rFonts w:hint="eastAsia" w:ascii="黑体" w:hAnsi="黑体" w:eastAsia="黑体" w:cs="黑体"/>
                <w:i w:val="0"/>
                <w:iCs w:val="0"/>
                <w:color w:val="000000"/>
                <w:kern w:val="0"/>
                <w:sz w:val="26"/>
                <w:szCs w:val="26"/>
                <w:u w:val="none"/>
                <w:lang w:val="en-US" w:eastAsia="zh-CN" w:bidi="ar"/>
              </w:rPr>
              <w:t>实施主体</w:t>
            </w:r>
          </w:p>
        </w:tc>
      </w:tr>
      <w:tr w14:paraId="284B8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065"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0CE32A0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17C3E6D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对未取得取水申请批准文件擅自建设取水工程设施逾期不拆除或者不封闭行为的行政强制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60F3F12">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《取水许可和水资源费征收管理条例》第四十九条 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所需费用由违法行为人承担，可以处5万元以下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34D48D07">
            <w:pPr>
              <w:keepNext w:val="0"/>
              <w:keepLines w:val="0"/>
              <w:widowControl/>
              <w:suppressLineNumbers w:val="0"/>
              <w:spacing w:line="340" w:lineRule="exact"/>
              <w:jc w:val="center"/>
              <w:textAlignment w:val="center"/>
              <w:rPr>
                <w:rFonts w:hint="default" w:ascii="仿宋_GB2312" w:hAnsi="仿宋_GB2312" w:eastAsia="仿宋_GB2312" w:cs="仿宋_GB2312"/>
                <w:i w:val="0"/>
                <w:iCs w:val="0"/>
                <w:color w:val="000000"/>
                <w:sz w:val="26"/>
                <w:szCs w:val="26"/>
                <w:u w:val="none"/>
                <w:lang w:val="en-US"/>
              </w:rPr>
            </w:pPr>
            <w:bookmarkStart w:id="0" w:name="OLE_LINK1"/>
            <w:r>
              <w:rPr>
                <w:rFonts w:hint="eastAsia" w:ascii="仿宋_GB2312" w:hAnsi="仿宋_GB2312" w:eastAsia="仿宋_GB2312" w:cs="仿宋_GB2312"/>
                <w:i w:val="0"/>
                <w:iCs w:val="0"/>
                <w:color w:val="000000"/>
                <w:kern w:val="0"/>
                <w:sz w:val="26"/>
                <w:szCs w:val="26"/>
                <w:u w:val="none"/>
                <w:lang w:val="en-US" w:eastAsia="zh-CN" w:bidi="ar"/>
              </w:rPr>
              <w:t>高邑县农业农村局</w:t>
            </w:r>
            <w:bookmarkEnd w:id="0"/>
          </w:p>
        </w:tc>
      </w:tr>
      <w:tr w14:paraId="36C99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06"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392A2FF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725C298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对以监测、勘探为目的的地下水取水工程应当备案而未备案，且逾期不封井或者回填行为的行政强制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7536ED8">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《地下水管理条例》第六十一条 以监测、勘探为目的的地下水取水工程在施工前应当备案而未备案的，由县级以上地方人民政府水行政主管部门责令限期补办备案手续；逾期不补办备案手续的，责令限期封井或者回填，处2万元以上10万元以下罚款；逾期不封井或者回填的，由县级以上地方人民政府水行政主管部门组织封井或者回填，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4BDD96E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bookmarkStart w:id="1" w:name="OLE_LINK2"/>
            <w:r>
              <w:rPr>
                <w:rFonts w:hint="eastAsia" w:ascii="仿宋_GB2312" w:hAnsi="仿宋_GB2312" w:eastAsia="仿宋_GB2312" w:cs="仿宋_GB2312"/>
                <w:i w:val="0"/>
                <w:iCs w:val="0"/>
                <w:color w:val="000000"/>
                <w:kern w:val="0"/>
                <w:sz w:val="26"/>
                <w:szCs w:val="26"/>
                <w:u w:val="none"/>
                <w:lang w:val="en-US" w:eastAsia="zh-CN" w:bidi="ar"/>
              </w:rPr>
              <w:t>高邑县农业农村局</w:t>
            </w:r>
            <w:bookmarkEnd w:id="1"/>
          </w:p>
        </w:tc>
      </w:tr>
      <w:tr w14:paraId="20EE1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40"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725E4A7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5CD6C6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对地下工程建设给地下水补给、径流、排泄等造成重大不利影响，且逾期不采取措施消除不利影响行为的行政强制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4FA5D4F">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《地下水管理条例》第五十七条 地下工程建设对地下水补给、径流、排泄等造成重大不利影响的，由县级以上地方人民政府水行政主管部门责令限期采取措施消除不利影响，处10万元以上50万元以下罚款；逾期不采取措施消除不利影响的，由县级以上地方人民政府水行政主管部门组织采取措施消除不利影响，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6D1BCD4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3581A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11"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4EBC153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3EAA0A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对报废的矿井、钻井、地下水取水工程，或者未建成、已完成勘探任务、依法应当停止取水的地下水取水工程，未按照规定封井或者回填，且不具备封井或者回填能力行为的行政强制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9615233">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《地下水管理条例》第五十八条 报废的矿井、钻井、地下水取水工程，或者未建成、已完成勘探任务、依法应当停止取水的地下水取水工程，未按照规定封井或者回填的，由县级以上地方人民政府或者其授权的部门责令封井或者回填，处10万元以上50万元以下罚款；不具备封井或者回填能力的，由县级以上地方人民政府或者其授权的部门组织封井或者回填，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6ECB4DA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5CA33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973"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734D1F3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68EC3A0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对侵占、毁坏或者擅自移动地下水监测设施设备及其标志，逾期不采取补救措施行为的行政强制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84EF3E4">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《地下水管理条例》第六十条 侵占、毁坏或者擅自移动地下水监测设施设备及其标志的，由县级以上地方人民政府水行政、自然资源、生态环境主管部门责令停止违法行为，限期采取补救措施，处2万元以上10万元以下罚款；逾期不采取补救措施的，由县级以上地方人民政府水行政、自然资源、生态环境主管部门组织补救，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4558D60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6718A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43"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3123835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7C579A9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对河道管理范围内建设妨碍行洪的建筑物、构筑物，或者从事影响河势稳定、危害河岸堤防安全和其他妨碍河道行洪的活动责令限期拆除或者恢复原状，逾期不拆除、不恢复原状等行为的行政强制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07E1F309">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《中华人民共和国水法》第六十五条 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D1BCC0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56D05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20"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03D0A14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3A3819A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对逾期不拆除擅自修建水工程，或者建设桥梁、码头和其他拦河、跨河、临河建筑物、构筑物，铺设跨河管道、电缆行为的行政强制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158E0278">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《中华人民共和国水法》第六十五条 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40A79F0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20436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60"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37806F1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7DAF23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对围湖造地、未经批准围垦河道或者在长江、黄河、珠江、辽河、淮河、海河入海河口范围内违反河口整治规划围海造地的，既不恢复原状也不采取其他补救措施行为的行政强制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9355EAD">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《中华人民共和国防洪法》第五十六条 违反本法第十五条第二款、第二十三条规定，围海造地、围湖造地、围垦河道的，责令停止违法行为，恢复原状或者采取其他补救措施，可以处五万元以下的罚款；既不恢复原状也不采取其他补救措施的，代为恢复原状或者采取其他补救措施，所需费用由违法者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8423C6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3AF6A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47"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19214A7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3DF270D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对逾期不拆除未经审查同意或者未按照审查批准的位置、界限，在河道、湖泊管理范围内从事工程设施建设活动行为的行政强制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76FF6EB">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《中华人民共和国防洪法》第五十七条 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76A8029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5C2BE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623"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0558703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6E69E1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对紧急防汛期逾期不清除壅水、阻水严重的桥梁、引道、码头和其他跨河工程设施等行为的行政强制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A2FAF74">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《中华人民共和国防洪法》第四十二条 对河道、湖泊范围内阻碍行洪的障碍物，按照谁设障、谁清除的原则，由防汛指挥机构责令限期清除；逾期不清除的，由防汛指挥机构组织强行清除，所需费用由设障者承担。</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在紧急防汛期，国家防汛指挥机构或者其授权的流域、省、自治区、直辖市防汛指挥机构有权对壅水、阻水严重的桥梁、引道、码头和其他跨河工程设施作出紧急处置。</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《中华人民共和国河道管理条例》第三十七条 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513721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31D9F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018"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57084AB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BF6336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对拒不停止违法行为造成严重水土流失行为的行政强制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0BC6D6E">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《中华人民共和国水土保持法》第四十四条 水政监督检查人员依法履行监督检查职责时，有权采取下列措施：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（一）要求被检查单位或者个人提供有关文件、证照、资料；</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（二）要求被检查单位或者个人就预防和治理水土流失的有关情况作出说明；</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（三）进入现场进行调查、取证。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 被检查单位或者个人拒不停止违法行为，造成严重水土流失的，报经水行政主管部门批准，可以查封、扣押实施违法行为的工具及施工机械、设备等。</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5FB2D15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23370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57"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174AD69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9662E5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对逾期不清理在水土保持方案确定的专门存放地以外的区域倾倒砂、石、土、矸石、尾矿、废渣等行为的行政强制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2AFC975D">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《中华人民共和国水土保持法》第五十五条 违反本法规定，在水土保持方案确定的专门存放地以外的区域倾倒砂、石、土、矸石、尾矿、废渣等的，由县级以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E0A8FA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5F2F0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956"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5B3A13C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3F3CF44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对开办生产建设项目或者从事其他生产建设活动造成水土流失逾期仍不治理，或者治理不符合国家规定的相关标准的等行为的行政强制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7DBE5004">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《中华人民共和国水土保持法》第五十六条 违反本法规定，开办生产建设项目或者从事其他生产建设活动造成水土流失，不进行治理的，由县级以上人民政府水行政主管部门责令限期治理；逾期仍不治理的，县级以上人民政府水行政主管部门可以指定有治理能力的单位代为治理，所需费用由违法行为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6DBEF51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4EC1A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066"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4E01DA7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14</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3561F72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对逾期不缴纳水土保持补偿费行为的行政强制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3CB63273">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《中华人民共和国水土保持法》第五十七条 违反本法规定，拒不缴纳水土保持补偿费的，由县级以上人民政府水行政主管部门责令限期缴纳；逾期不缴纳的，自滞纳之日起按日加收滞纳部分万分之五的滞纳金，可以处应缴水土保持补偿费三倍以下的罚款。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134E4CC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2A6D8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244"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5CA1ABB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15</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3EB0DF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对堆放阻碍农田水利工程设施蓄水、输水、排水的物体，擅自占用农业灌溉水源、农田水利工程设施等行为，且逾期不恢复原状或者采取补救措施行为的行政强制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F27BC85">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《农田水利条例》第四十三条 违反本条例规定，有下列行为之一的，由县级以上地方人民政府水行政主管部门责令停止违法行为，限期恢复原状或者采取补救措施；逾期不恢复原状或者采取补救措施的，依法强制执行；造成损失的，依法承担民事责任；构成违反治安管理行为的，依法给予治安管理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（一）堆放阻碍农田水利工程设施蓄水、输水、排水的物体；</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（二）建设妨碍农田水利工程设施蓄水、输水、排水的建筑物和构筑物；</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（三）擅自占用农业灌溉水源、农田水利工程设施。 </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3CC332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78902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17"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1B7ACE3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16</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B0278C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对水库、水电站、拦河闸坝等工程的管理单位以及其他经营工程设施的经营者拒不服从统一调度和指挥，拒不改正行为的行政强制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6962FBAD">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《中华人民共和国抗旱条例》第六十条 违反本条例规定，水库、水电站、拦河闸坝等工程的管理单位以及其他经营工程设施的经营者拒不服从统一调度和指挥的，由县级以上人民政府水行政主管部门或者流域管理机构责令改正，给予警告；拒不改正的，强制执行，处1万元以上5万元以下的罚款。</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62E3108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387A1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340"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57CEB1C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17</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1697A96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对逾期不拆除擅自设立的水文测站或者在国家基本水文测站上下游建设影响水文监测的工程行为的行政强制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6AF657A">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《中华人民共和国水文条例》第三十七条 未经批准擅自设立水文测站或者未经同意擅自在国家基本水文测站上下游建设影响水文监测的工程的，责令停止违法行为，限期采取补救措施，补办有关手续；无法采取补救措施、逾期不补办或者补办未被批准的，责令限期拆除违法建筑物；逾期不拆除的，强行拆除，所需费用由违法单位或者个人承担。</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2A15392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r w14:paraId="62443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40" w:hRule="atLeast"/>
          <w:jc w:val="center"/>
        </w:trPr>
        <w:tc>
          <w:tcPr>
            <w:tcW w:w="6" w:type="dxa"/>
            <w:tcBorders>
              <w:top w:val="single" w:color="000000" w:sz="4" w:space="0"/>
              <w:left w:val="single" w:color="000000" w:sz="4" w:space="0"/>
              <w:bottom w:val="single" w:color="000000" w:sz="4" w:space="0"/>
              <w:right w:val="single" w:color="000000" w:sz="4" w:space="0"/>
            </w:tcBorders>
            <w:noWrap/>
            <w:vAlign w:val="center"/>
          </w:tcPr>
          <w:p w14:paraId="774C90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18</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402C56A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对调处水事纠纷各方或者当事人采取临时处置措施的行政强制</w:t>
            </w:r>
          </w:p>
        </w:tc>
        <w:tc>
          <w:tcPr>
            <w:tcW w:w="283" w:type="dxa"/>
            <w:tcBorders>
              <w:top w:val="single" w:color="000000" w:sz="4" w:space="0"/>
              <w:left w:val="single" w:color="000000" w:sz="4" w:space="0"/>
              <w:bottom w:val="single" w:color="000000" w:sz="4" w:space="0"/>
              <w:right w:val="single" w:color="000000" w:sz="4" w:space="0"/>
            </w:tcBorders>
            <w:noWrap w:val="0"/>
            <w:vAlign w:val="center"/>
          </w:tcPr>
          <w:p w14:paraId="534E7DED">
            <w:pPr>
              <w:keepNext w:val="0"/>
              <w:keepLines w:val="0"/>
              <w:widowControl/>
              <w:suppressLineNumbers w:val="0"/>
              <w:spacing w:line="340" w:lineRule="exact"/>
              <w:jc w:val="left"/>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《中华人民共和国水法》第五十八条 县级以上人民政府或者其授权的部门在处理水事纠纷时，有权采取临时处置措施，有关各方或者当事人必须服从。</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《中华人民共和国防汛条例》第十九条 地区之间在防汛抗洪方面发生的水事纠纷，由发生纠纷地区共同的上一级人民政府或其授权的主管部门处理。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前款所指人民政府或者部门在处理防汛抗洪方面的水事纠纷时，有权采取临时紧急处置措施，有关当事各方必须服从并贯彻执行。</w:t>
            </w:r>
          </w:p>
        </w:tc>
        <w:tc>
          <w:tcPr>
            <w:tcW w:w="28" w:type="dxa"/>
            <w:tcBorders>
              <w:top w:val="single" w:color="000000" w:sz="4" w:space="0"/>
              <w:left w:val="single" w:color="000000" w:sz="4" w:space="0"/>
              <w:bottom w:val="single" w:color="000000" w:sz="4" w:space="0"/>
              <w:right w:val="single" w:color="000000" w:sz="4" w:space="0"/>
            </w:tcBorders>
            <w:noWrap w:val="0"/>
            <w:vAlign w:val="center"/>
          </w:tcPr>
          <w:p w14:paraId="410B365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高邑县农业农村局</w:t>
            </w:r>
          </w:p>
        </w:tc>
      </w:tr>
    </w:tbl>
    <w:p w14:paraId="3625EC41">
      <w:pPr>
        <w:pStyle w:val="2"/>
        <w:keepNext w:val="0"/>
        <w:keepLines w:val="0"/>
        <w:pageBreakBefore w:val="0"/>
        <w:widowControl w:val="0"/>
        <w:kinsoku/>
        <w:overflowPunct/>
        <w:topLinePunct w:val="0"/>
        <w:bidi w:val="0"/>
        <w:snapToGrid/>
        <w:spacing w:line="600" w:lineRule="exact"/>
        <w:ind w:firstLine="0" w:firstLineChars="0"/>
        <w:jc w:val="both"/>
        <w:rPr>
          <w:rFonts w:hint="default" w:ascii="仿宋" w:hAnsi="仿宋" w:eastAsia="仿宋_GB2312" w:cs="仿宋"/>
          <w:b w:val="0"/>
          <w:i w:val="0"/>
          <w:caps w:val="0"/>
          <w:color w:val="000000"/>
          <w:spacing w:val="0"/>
          <w:w w:val="100"/>
          <w:sz w:val="32"/>
          <w:szCs w:val="32"/>
          <w:lang w:val="en-US" w:eastAsia="zh-CN"/>
        </w:rPr>
        <w:sectPr>
          <w:pgSz w:w="16838" w:h="11906" w:orient="landscape"/>
          <w:pgMar w:top="1417" w:right="1417" w:bottom="1417" w:left="1417" w:header="851" w:footer="1020" w:gutter="0"/>
          <w:cols w:space="720" w:num="1"/>
          <w:rtlGutter w:val="0"/>
          <w:docGrid w:type="lines" w:linePitch="312" w:charSpace="0"/>
        </w:sectPr>
      </w:pPr>
    </w:p>
    <w:p w14:paraId="2698C4ED">
      <w:pPr>
        <w:bidi w:val="0"/>
        <w:jc w:val="left"/>
        <w:rPr>
          <w:lang w:val="en-US" w:eastAsia="zh-CN"/>
        </w:rPr>
      </w:pPr>
    </w:p>
    <w:sectPr>
      <w:pgSz w:w="23811" w:h="16838" w:orient="landscape"/>
      <w:pgMar w:top="1417" w:right="1417" w:bottom="1417" w:left="1417" w:header="851" w:footer="1020"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D8A28030">
    <w:panose1 w:val="020B0503020204020204"/>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D81C9B"/>
    <w:rsid w:val="38EF1455"/>
    <w:rsid w:val="39D40E3A"/>
    <w:rsid w:val="43EA34E8"/>
    <w:rsid w:val="59C3542B"/>
    <w:rsid w:val="7100655F"/>
    <w:rsid w:val="79254E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4290</Words>
  <Characters>4305</Characters>
  <Lines>0</Lines>
  <Paragraphs>0</Paragraphs>
  <TotalTime>12</TotalTime>
  <ScaleCrop>false</ScaleCrop>
  <LinksUpToDate>false</LinksUpToDate>
  <CharactersWithSpaces>4327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2025-09-08T06:47:00Z</dcterms:created>
  <dc:creator>lenovo</dc:creator>
  <cp:lastModifiedBy>东</cp:lastModifiedBy>
  <cp:lastPrinted>2026-04-20T01:18:00Z</cp:lastPrinted>
  <dcterms:modified xsi:type="dcterms:W3CDTF">2026-05-13T02:22:19Z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1E14A7D808FE424899FBEF6A01107777_13</vt:lpwstr>
  </property>
  <property fmtid="{D5CDD505-2E9C-101B-9397-08002B2CF9AE}" pid="4" name="KSOTemplateDocerSaveRecord">
    <vt:lpwstr>eyJoZGlkIjoiYjQ4NzAxYzg2ODEyNzFjZmExMDkzMTNmY2U1ZTkyYzAiLCJ1c2VySWQiOiIyODQzNDkzMjUifQ==</vt:lpwstr>
  </property>
</Properties>
</file>