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3170" w:type="dxa"/>
        <w:tblInd w:w="8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37"/>
        <w:gridCol w:w="1688"/>
        <w:gridCol w:w="5295"/>
        <w:gridCol w:w="1875"/>
        <w:gridCol w:w="1590"/>
        <w:gridCol w:w="1574"/>
        <w:gridCol w:w="8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30" w:hRule="atLeast"/>
        </w:trPr>
        <w:tc>
          <w:tcPr>
            <w:tcW w:w="13170" w:type="dxa"/>
            <w:gridSpan w:val="7"/>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方正小标宋简体" w:cs="微软雅黑"/>
                <w:i w:val="0"/>
                <w:iCs w:val="0"/>
                <w:caps w:val="0"/>
                <w:color w:val="333333"/>
                <w:spacing w:val="8"/>
                <w:sz w:val="21"/>
                <w:szCs w:val="21"/>
                <w:lang w:val="en-US" w:eastAsia="zh-CN"/>
              </w:rPr>
            </w:pPr>
            <w:r>
              <w:rPr>
                <w:rFonts w:ascii="方正小标宋简体" w:hAnsi="方正小标宋简体" w:eastAsia="方正小标宋简体" w:cs="方正小标宋简体"/>
                <w:i w:val="0"/>
                <w:iCs w:val="0"/>
                <w:caps w:val="0"/>
                <w:color w:val="000000"/>
                <w:spacing w:val="8"/>
                <w:kern w:val="0"/>
                <w:sz w:val="43"/>
                <w:szCs w:val="43"/>
                <w:u w:val="none"/>
                <w:lang w:val="en-US" w:eastAsia="zh-CN" w:bidi="ar"/>
              </w:rPr>
              <w:t>高邑县教育领域涉企行政检查</w:t>
            </w:r>
            <w:r>
              <w:rPr>
                <w:rFonts w:hint="eastAsia" w:ascii="方正小标宋简体" w:hAnsi="方正小标宋简体" w:eastAsia="方正小标宋简体" w:cs="方正小标宋简体"/>
                <w:i w:val="0"/>
                <w:iCs w:val="0"/>
                <w:caps w:val="0"/>
                <w:color w:val="000000"/>
                <w:spacing w:val="8"/>
                <w:kern w:val="0"/>
                <w:sz w:val="43"/>
                <w:szCs w:val="43"/>
                <w:u w:val="none"/>
                <w:lang w:val="en-US" w:eastAsia="zh-CN" w:bidi="ar"/>
              </w:rPr>
              <w:t>事项清单（计划、频次）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2359"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left"/>
              <w:textAlignment w:val="center"/>
              <w:rPr>
                <w:rFonts w:hint="default" w:ascii="微软雅黑" w:hAnsi="微软雅黑" w:eastAsia="微软雅黑" w:cs="微软雅黑"/>
                <w:i w:val="0"/>
                <w:iCs w:val="0"/>
                <w:caps w:val="0"/>
                <w:color w:val="333333"/>
                <w:spacing w:val="8"/>
                <w:sz w:val="21"/>
                <w:szCs w:val="21"/>
                <w:lang w:val="en-US" w:eastAsia="zh-CN"/>
              </w:rPr>
            </w:pPr>
            <w:r>
              <w:rPr>
                <w:rFonts w:hint="eastAsia" w:ascii="微软雅黑" w:hAnsi="微软雅黑" w:eastAsia="微软雅黑" w:cs="微软雅黑"/>
                <w:i w:val="0"/>
                <w:iCs w:val="0"/>
                <w:caps w:val="0"/>
                <w:color w:val="333333"/>
                <w:spacing w:val="8"/>
                <w:sz w:val="21"/>
                <w:szCs w:val="21"/>
                <w:lang w:eastAsia="zh-CN"/>
              </w:rPr>
              <w:t>年度行政检查频次总上限：</w:t>
            </w:r>
            <w:r>
              <w:rPr>
                <w:rFonts w:hint="eastAsia" w:ascii="微软雅黑" w:hAnsi="微软雅黑" w:eastAsia="微软雅黑" w:cs="微软雅黑"/>
                <w:i w:val="0"/>
                <w:iCs w:val="0"/>
                <w:caps w:val="0"/>
                <w:color w:val="333333"/>
                <w:spacing w:val="8"/>
                <w:sz w:val="21"/>
                <w:szCs w:val="21"/>
                <w:lang w:val="en-US" w:eastAsia="zh-CN"/>
              </w:rPr>
              <w:t>1次</w:t>
            </w:r>
          </w:p>
        </w:tc>
        <w:tc>
          <w:tcPr>
            <w:tcW w:w="81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left"/>
              <w:textAlignment w:val="center"/>
              <w:rPr>
                <w:rFonts w:hint="eastAsia" w:ascii="微软雅黑" w:hAnsi="微软雅黑" w:eastAsia="微软雅黑" w:cs="微软雅黑"/>
                <w:i w:val="0"/>
                <w:iCs w:val="0"/>
                <w:caps w:val="0"/>
                <w:color w:val="333333"/>
                <w:spacing w:val="8"/>
                <w:sz w:val="21"/>
                <w:szCs w:val="21"/>
              </w:rPr>
            </w:pPr>
            <w:r>
              <w:rPr>
                <w:rFonts w:hint="eastAsia" w:ascii="微软雅黑" w:hAnsi="微软雅黑" w:eastAsia="微软雅黑" w:cs="微软雅黑"/>
                <w:i w:val="0"/>
                <w:iCs w:val="0"/>
                <w:caps w:val="0"/>
                <w:color w:val="333333"/>
                <w:spacing w:val="8"/>
                <w:kern w:val="0"/>
                <w:sz w:val="21"/>
                <w:szCs w:val="21"/>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3" w:hRule="atLeast"/>
        </w:trPr>
        <w:tc>
          <w:tcPr>
            <w:tcW w:w="337" w:type="dxa"/>
            <w:vMerge w:val="restart"/>
            <w:tcBorders>
              <w:top w:val="single" w:color="000000" w:sz="6" w:space="0"/>
              <w:left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微软雅黑" w:hAnsi="微软雅黑" w:eastAsia="微软雅黑" w:cs="微软雅黑"/>
                <w:i w:val="0"/>
                <w:iCs w:val="0"/>
                <w:caps w:val="0"/>
                <w:color w:val="333333"/>
                <w:spacing w:val="8"/>
                <w:sz w:val="24"/>
                <w:szCs w:val="24"/>
                <w:lang w:val="en-US" w:eastAsia="zh-CN"/>
              </w:rPr>
            </w:pPr>
            <w:r>
              <w:rPr>
                <w:rFonts w:hint="eastAsia" w:ascii="微软雅黑" w:hAnsi="微软雅黑" w:eastAsia="微软雅黑" w:cs="微软雅黑"/>
                <w:i w:val="0"/>
                <w:iCs w:val="0"/>
                <w:caps w:val="0"/>
                <w:color w:val="333333"/>
                <w:spacing w:val="8"/>
                <w:sz w:val="24"/>
                <w:szCs w:val="24"/>
                <w:lang w:val="en-US" w:eastAsia="zh-CN"/>
              </w:rPr>
              <w:t>序号</w:t>
            </w:r>
          </w:p>
        </w:tc>
        <w:tc>
          <w:tcPr>
            <w:tcW w:w="1688" w:type="dxa"/>
            <w:vMerge w:val="restart"/>
            <w:tcBorders>
              <w:top w:val="single" w:color="000000" w:sz="6" w:space="0"/>
              <w:left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微软雅黑" w:hAnsi="微软雅黑" w:eastAsia="微软雅黑" w:cs="微软雅黑"/>
                <w:i w:val="0"/>
                <w:iCs w:val="0"/>
                <w:caps w:val="0"/>
                <w:color w:val="333333"/>
                <w:spacing w:val="8"/>
                <w:sz w:val="24"/>
                <w:szCs w:val="24"/>
                <w:lang w:eastAsia="zh-CN"/>
              </w:rPr>
            </w:pPr>
            <w:r>
              <w:rPr>
                <w:rFonts w:hint="eastAsia" w:ascii="微软雅黑" w:hAnsi="微软雅黑" w:eastAsia="微软雅黑" w:cs="微软雅黑"/>
                <w:i w:val="0"/>
                <w:iCs w:val="0"/>
                <w:caps w:val="0"/>
                <w:color w:val="333333"/>
                <w:spacing w:val="8"/>
                <w:sz w:val="24"/>
                <w:szCs w:val="24"/>
                <w:lang w:eastAsia="zh-CN"/>
              </w:rPr>
              <w:t>事项名称</w:t>
            </w:r>
          </w:p>
        </w:tc>
        <w:tc>
          <w:tcPr>
            <w:tcW w:w="5295" w:type="dxa"/>
            <w:vMerge w:val="restart"/>
            <w:tcBorders>
              <w:top w:val="single" w:color="000000" w:sz="6" w:space="0"/>
              <w:left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微软雅黑" w:hAnsi="微软雅黑" w:eastAsia="微软雅黑" w:cs="微软雅黑"/>
                <w:i w:val="0"/>
                <w:iCs w:val="0"/>
                <w:caps w:val="0"/>
                <w:color w:val="333333"/>
                <w:spacing w:val="8"/>
                <w:sz w:val="24"/>
                <w:szCs w:val="24"/>
                <w:lang w:eastAsia="zh-CN"/>
              </w:rPr>
            </w:pPr>
            <w:r>
              <w:rPr>
                <w:rFonts w:hint="eastAsia" w:ascii="微软雅黑" w:hAnsi="微软雅黑" w:eastAsia="微软雅黑" w:cs="微软雅黑"/>
                <w:i w:val="0"/>
                <w:iCs w:val="0"/>
                <w:caps w:val="0"/>
                <w:color w:val="333333"/>
                <w:spacing w:val="8"/>
                <w:sz w:val="24"/>
                <w:szCs w:val="24"/>
                <w:lang w:eastAsia="zh-CN"/>
              </w:rPr>
              <w:t>实施依据</w:t>
            </w:r>
          </w:p>
        </w:tc>
        <w:tc>
          <w:tcPr>
            <w:tcW w:w="5039" w:type="dxa"/>
            <w:gridSpan w:val="3"/>
            <w:tcBorders>
              <w:top w:val="single" w:color="000000" w:sz="6" w:space="0"/>
              <w:left w:val="single" w:color="000000" w:sz="6" w:space="0"/>
              <w:bottom w:val="single" w:color="auto" w:sz="4" w:space="0"/>
              <w:right w:val="single" w:color="000000" w:sz="6"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i w:val="0"/>
                <w:iCs w:val="0"/>
                <w:caps w:val="0"/>
                <w:color w:val="333333"/>
                <w:spacing w:val="8"/>
                <w:sz w:val="24"/>
                <w:szCs w:val="24"/>
              </w:rPr>
            </w:pPr>
            <w:r>
              <w:rPr>
                <w:rFonts w:hint="eastAsia" w:ascii="黑体" w:hAnsi="宋体" w:eastAsia="黑体" w:cs="黑体"/>
                <w:i w:val="0"/>
                <w:iCs w:val="0"/>
                <w:caps w:val="0"/>
                <w:color w:val="000000"/>
                <w:spacing w:val="8"/>
                <w:kern w:val="0"/>
                <w:sz w:val="24"/>
                <w:szCs w:val="24"/>
                <w:u w:val="none"/>
                <w:lang w:val="en-US" w:eastAsia="zh-CN" w:bidi="ar"/>
              </w:rPr>
              <w:t>实施主体</w:t>
            </w:r>
          </w:p>
        </w:tc>
        <w:tc>
          <w:tcPr>
            <w:tcW w:w="811" w:type="dxa"/>
            <w:vMerge w:val="restart"/>
            <w:tcBorders>
              <w:top w:val="single" w:color="000000" w:sz="6" w:space="0"/>
              <w:left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黑体" w:hAnsi="黑体" w:eastAsia="黑体" w:cs="黑体"/>
                <w:i w:val="0"/>
                <w:iCs w:val="0"/>
                <w:caps w:val="0"/>
                <w:color w:val="333333"/>
                <w:spacing w:val="8"/>
                <w:sz w:val="24"/>
                <w:szCs w:val="24"/>
                <w:lang w:val="en-US" w:eastAsia="zh-CN"/>
              </w:rPr>
            </w:pPr>
            <w:r>
              <w:rPr>
                <w:rFonts w:hint="eastAsia" w:ascii="黑体" w:hAnsi="黑体" w:eastAsia="黑体" w:cs="黑体"/>
                <w:i w:val="0"/>
                <w:iCs w:val="0"/>
                <w:caps w:val="0"/>
                <w:color w:val="333333"/>
                <w:spacing w:val="8"/>
                <w:sz w:val="24"/>
                <w:szCs w:val="24"/>
                <w:lang w:val="en-US" w:eastAsia="zh-CN"/>
              </w:rPr>
              <w:t>检查</w:t>
            </w:r>
          </w:p>
          <w:p>
            <w:pPr>
              <w:jc w:val="center"/>
              <w:rPr>
                <w:rFonts w:hint="eastAsia" w:ascii="微软雅黑" w:hAnsi="微软雅黑" w:eastAsia="微软雅黑" w:cs="微软雅黑"/>
                <w:i w:val="0"/>
                <w:iCs w:val="0"/>
                <w:caps w:val="0"/>
                <w:color w:val="333333"/>
                <w:spacing w:val="8"/>
                <w:sz w:val="24"/>
                <w:szCs w:val="24"/>
                <w:lang w:val="en-US" w:eastAsia="zh-CN"/>
              </w:rPr>
            </w:pPr>
            <w:r>
              <w:rPr>
                <w:rFonts w:hint="eastAsia" w:ascii="黑体" w:hAnsi="黑体" w:eastAsia="黑体" w:cs="黑体"/>
                <w:i w:val="0"/>
                <w:iCs w:val="0"/>
                <w:caps w:val="0"/>
                <w:color w:val="333333"/>
                <w:spacing w:val="8"/>
                <w:sz w:val="24"/>
                <w:szCs w:val="24"/>
                <w:lang w:val="en-US" w:eastAsia="zh-CN"/>
              </w:rPr>
              <w:t>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5" w:hRule="atLeast"/>
        </w:trPr>
        <w:tc>
          <w:tcPr>
            <w:tcW w:w="337" w:type="dxa"/>
            <w:vMerge w:val="continue"/>
            <w:tcBorders>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微软雅黑" w:hAnsi="微软雅黑" w:eastAsia="微软雅黑" w:cs="微软雅黑"/>
                <w:i w:val="0"/>
                <w:iCs w:val="0"/>
                <w:caps w:val="0"/>
                <w:color w:val="333333"/>
                <w:spacing w:val="8"/>
                <w:sz w:val="24"/>
                <w:szCs w:val="24"/>
                <w:lang w:val="en-US" w:eastAsia="zh-CN"/>
              </w:rPr>
            </w:pPr>
          </w:p>
        </w:tc>
        <w:tc>
          <w:tcPr>
            <w:tcW w:w="1688" w:type="dxa"/>
            <w:vMerge w:val="continue"/>
            <w:tcBorders>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微软雅黑" w:hAnsi="微软雅黑" w:eastAsia="微软雅黑" w:cs="微软雅黑"/>
                <w:i w:val="0"/>
                <w:iCs w:val="0"/>
                <w:caps w:val="0"/>
                <w:color w:val="333333"/>
                <w:spacing w:val="8"/>
                <w:sz w:val="24"/>
                <w:szCs w:val="24"/>
                <w:lang w:eastAsia="zh-CN"/>
              </w:rPr>
            </w:pPr>
          </w:p>
        </w:tc>
        <w:tc>
          <w:tcPr>
            <w:tcW w:w="5295" w:type="dxa"/>
            <w:vMerge w:val="continue"/>
            <w:tcBorders>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微软雅黑" w:hAnsi="微软雅黑" w:eastAsia="微软雅黑" w:cs="微软雅黑"/>
                <w:i w:val="0"/>
                <w:iCs w:val="0"/>
                <w:caps w:val="0"/>
                <w:color w:val="333333"/>
                <w:spacing w:val="8"/>
                <w:sz w:val="24"/>
                <w:szCs w:val="24"/>
                <w:lang w:eastAsia="zh-CN"/>
              </w:rPr>
            </w:pPr>
          </w:p>
        </w:tc>
        <w:tc>
          <w:tcPr>
            <w:tcW w:w="1875" w:type="dxa"/>
            <w:tcBorders>
              <w:top w:val="single" w:color="auto" w:sz="4" w:space="0"/>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firstLine="0" w:firstLineChars="0"/>
              <w:jc w:val="center"/>
              <w:textAlignment w:val="center"/>
              <w:rPr>
                <w:rFonts w:hint="eastAsia" w:ascii="黑体" w:hAnsi="宋体" w:eastAsia="黑体" w:cs="黑体"/>
                <w:i w:val="0"/>
                <w:iCs w:val="0"/>
                <w:caps w:val="0"/>
                <w:color w:val="000000"/>
                <w:spacing w:val="8"/>
                <w:kern w:val="0"/>
                <w:sz w:val="24"/>
                <w:szCs w:val="24"/>
                <w:u w:val="none"/>
                <w:lang w:val="en-US" w:eastAsia="zh-CN" w:bidi="ar"/>
              </w:rPr>
            </w:pPr>
            <w:r>
              <w:rPr>
                <w:rFonts w:hint="eastAsia" w:ascii="黑体" w:hAnsi="宋体" w:eastAsia="黑体" w:cs="黑体"/>
                <w:i w:val="0"/>
                <w:iCs w:val="0"/>
                <w:caps w:val="0"/>
                <w:color w:val="000000"/>
                <w:spacing w:val="8"/>
                <w:kern w:val="0"/>
                <w:sz w:val="24"/>
                <w:szCs w:val="24"/>
                <w:u w:val="none"/>
                <w:lang w:val="en-US" w:eastAsia="zh-CN" w:bidi="ar"/>
              </w:rPr>
              <w:t>法定实施主体</w:t>
            </w:r>
          </w:p>
        </w:tc>
        <w:tc>
          <w:tcPr>
            <w:tcW w:w="1590" w:type="dxa"/>
            <w:tcBorders>
              <w:top w:val="single" w:color="auto" w:sz="4" w:space="0"/>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firstLine="0" w:firstLineChars="0"/>
              <w:jc w:val="center"/>
              <w:textAlignment w:val="center"/>
              <w:rPr>
                <w:rFonts w:hint="eastAsia" w:ascii="黑体" w:hAnsi="宋体" w:eastAsia="黑体" w:cs="黑体"/>
                <w:i w:val="0"/>
                <w:iCs w:val="0"/>
                <w:caps w:val="0"/>
                <w:color w:val="000000"/>
                <w:spacing w:val="8"/>
                <w:kern w:val="0"/>
                <w:sz w:val="24"/>
                <w:szCs w:val="24"/>
                <w:u w:val="none"/>
                <w:lang w:val="en-US" w:eastAsia="zh-CN" w:bidi="ar"/>
              </w:rPr>
            </w:pPr>
            <w:r>
              <w:rPr>
                <w:rFonts w:hint="eastAsia" w:ascii="黑体" w:hAnsi="宋体" w:eastAsia="黑体" w:cs="黑体"/>
                <w:i w:val="0"/>
                <w:iCs w:val="0"/>
                <w:caps w:val="0"/>
                <w:color w:val="000000"/>
                <w:spacing w:val="8"/>
                <w:kern w:val="0"/>
                <w:sz w:val="24"/>
                <w:szCs w:val="24"/>
                <w:u w:val="none"/>
                <w:lang w:val="en-US" w:eastAsia="zh-CN" w:bidi="ar"/>
              </w:rPr>
              <w:t>行使层次</w:t>
            </w:r>
          </w:p>
        </w:tc>
        <w:tc>
          <w:tcPr>
            <w:tcW w:w="1574" w:type="dxa"/>
            <w:tcBorders>
              <w:top w:val="single" w:color="auto" w:sz="4" w:space="0"/>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firstLine="0" w:firstLineChars="0"/>
              <w:jc w:val="center"/>
              <w:textAlignment w:val="center"/>
              <w:rPr>
                <w:rFonts w:hint="eastAsia" w:ascii="黑体" w:hAnsi="黑体" w:eastAsia="黑体" w:cs="黑体"/>
                <w:i w:val="0"/>
                <w:iCs w:val="0"/>
                <w:caps w:val="0"/>
                <w:color w:val="000000"/>
                <w:spacing w:val="8"/>
                <w:kern w:val="0"/>
                <w:sz w:val="24"/>
                <w:szCs w:val="24"/>
                <w:u w:val="none"/>
                <w:lang w:val="en-US" w:eastAsia="zh-CN" w:bidi="ar"/>
              </w:rPr>
            </w:pPr>
            <w:r>
              <w:rPr>
                <w:rFonts w:hint="eastAsia" w:ascii="黑体" w:hAnsi="黑体" w:eastAsia="黑体" w:cs="黑体"/>
                <w:i w:val="0"/>
                <w:iCs w:val="0"/>
                <w:caps w:val="0"/>
                <w:color w:val="000000"/>
                <w:spacing w:val="8"/>
                <w:kern w:val="0"/>
                <w:sz w:val="24"/>
                <w:szCs w:val="24"/>
                <w:u w:val="none"/>
                <w:lang w:val="en-US" w:eastAsia="zh-CN" w:bidi="ar"/>
              </w:rPr>
              <w:t>第一责任层级</w:t>
            </w:r>
          </w:p>
        </w:tc>
        <w:tc>
          <w:tcPr>
            <w:tcW w:w="811" w:type="dxa"/>
            <w:vMerge w:val="continue"/>
            <w:tcBorders>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jc w:val="center"/>
              <w:rPr>
                <w:rFonts w:hint="eastAsia" w:ascii="黑体" w:hAnsi="黑体" w:eastAsia="黑体" w:cs="黑体"/>
                <w:i w:val="0"/>
                <w:iCs w:val="0"/>
                <w:caps w:val="0"/>
                <w:color w:val="333333"/>
                <w:spacing w:val="8"/>
                <w:sz w:val="24"/>
                <w:szCs w:val="24"/>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52" w:hRule="atLeast"/>
        </w:trPr>
        <w:tc>
          <w:tcPr>
            <w:tcW w:w="337" w:type="dxa"/>
            <w:tcBorders>
              <w:top w:val="single" w:color="000000" w:sz="6" w:space="0"/>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i w:val="0"/>
                <w:iCs w:val="0"/>
                <w:caps w:val="0"/>
                <w:color w:val="333333"/>
                <w:spacing w:val="8"/>
                <w:sz w:val="24"/>
                <w:szCs w:val="24"/>
              </w:rPr>
            </w:pPr>
            <w:r>
              <w:rPr>
                <w:rFonts w:hint="eastAsia" w:ascii="仿宋" w:hAnsi="仿宋" w:eastAsia="仿宋" w:cs="仿宋"/>
                <w:i w:val="0"/>
                <w:iCs w:val="0"/>
                <w:caps w:val="0"/>
                <w:color w:val="000000"/>
                <w:spacing w:val="8"/>
                <w:kern w:val="0"/>
                <w:sz w:val="24"/>
                <w:szCs w:val="24"/>
                <w:u w:val="none"/>
                <w:lang w:val="en-US" w:eastAsia="zh-CN" w:bidi="ar"/>
              </w:rPr>
              <w:t>1</w:t>
            </w:r>
          </w:p>
        </w:tc>
        <w:tc>
          <w:tcPr>
            <w:tcW w:w="1688"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i w:val="0"/>
                <w:iCs w:val="0"/>
                <w:caps w:val="0"/>
                <w:color w:val="333333"/>
                <w:spacing w:val="8"/>
                <w:sz w:val="21"/>
                <w:szCs w:val="21"/>
              </w:rPr>
            </w:pPr>
            <w:r>
              <w:rPr>
                <w:rFonts w:hint="eastAsia" w:ascii="仿宋" w:hAnsi="仿宋" w:eastAsia="仿宋" w:cs="仿宋"/>
                <w:i w:val="0"/>
                <w:iCs w:val="0"/>
                <w:caps w:val="0"/>
                <w:color w:val="000000"/>
                <w:spacing w:val="8"/>
                <w:kern w:val="0"/>
                <w:sz w:val="21"/>
                <w:szCs w:val="21"/>
                <w:u w:val="none"/>
                <w:lang w:val="en-US" w:eastAsia="zh-CN" w:bidi="ar"/>
              </w:rPr>
              <w:t>民办学校年检</w:t>
            </w:r>
          </w:p>
        </w:tc>
        <w:tc>
          <w:tcPr>
            <w:tcW w:w="5295"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left"/>
              <w:textAlignment w:val="center"/>
              <w:rPr>
                <w:rFonts w:hint="eastAsia" w:ascii="微软雅黑" w:hAnsi="微软雅黑" w:eastAsia="微软雅黑" w:cs="微软雅黑"/>
                <w:i w:val="0"/>
                <w:iCs w:val="0"/>
                <w:caps w:val="0"/>
                <w:color w:val="333333"/>
                <w:spacing w:val="8"/>
                <w:sz w:val="21"/>
                <w:szCs w:val="21"/>
              </w:rPr>
            </w:pPr>
            <w:r>
              <w:rPr>
                <w:rFonts w:hint="eastAsia" w:ascii="仿宋" w:hAnsi="仿宋" w:eastAsia="仿宋" w:cs="仿宋"/>
                <w:i w:val="0"/>
                <w:iCs w:val="0"/>
                <w:caps w:val="0"/>
                <w:color w:val="000000"/>
                <w:spacing w:val="8"/>
                <w:kern w:val="0"/>
                <w:sz w:val="21"/>
                <w:szCs w:val="21"/>
                <w:u w:val="none"/>
                <w:lang w:val="en-US" w:eastAsia="zh-CN" w:bidi="ar"/>
              </w:rPr>
              <w:t>《中华人民共和国民办教育促进法》第四十条教育行政部门及有关部门应当对民办学校的教育教学工作、教师培训工作进行指导。</w:t>
            </w:r>
            <w:r>
              <w:rPr>
                <w:rFonts w:hint="eastAsia" w:ascii="仿宋" w:hAnsi="仿宋" w:eastAsia="仿宋" w:cs="仿宋"/>
                <w:i w:val="0"/>
                <w:iCs w:val="0"/>
                <w:caps w:val="0"/>
                <w:color w:val="000000"/>
                <w:spacing w:val="8"/>
                <w:kern w:val="0"/>
                <w:sz w:val="21"/>
                <w:szCs w:val="21"/>
                <w:u w:val="none"/>
                <w:lang w:val="en-US" w:eastAsia="zh-CN" w:bidi="ar"/>
              </w:rPr>
              <w:br w:type="textWrapping"/>
            </w:r>
            <w:r>
              <w:rPr>
                <w:rFonts w:hint="eastAsia" w:ascii="仿宋" w:hAnsi="仿宋" w:eastAsia="仿宋" w:cs="仿宋"/>
                <w:i w:val="0"/>
                <w:iCs w:val="0"/>
                <w:caps w:val="0"/>
                <w:color w:val="000000"/>
                <w:spacing w:val="8"/>
                <w:kern w:val="0"/>
                <w:sz w:val="21"/>
                <w:szCs w:val="21"/>
                <w:u w:val="none"/>
                <w:lang w:val="en-US" w:eastAsia="zh-CN" w:bidi="ar"/>
              </w:rPr>
              <w:t>第四十一条　教育行政部门及有关部门依法对民办学校实行督导，建立民办学校信息公示和信用档案制度，促进提高办学质量；组织或者委托社会中介组织评估办学水平和教育质量，并将评估结果向社会公布。</w:t>
            </w:r>
            <w:r>
              <w:rPr>
                <w:rFonts w:hint="eastAsia" w:ascii="仿宋" w:hAnsi="仿宋" w:eastAsia="仿宋" w:cs="仿宋"/>
                <w:i w:val="0"/>
                <w:iCs w:val="0"/>
                <w:caps w:val="0"/>
                <w:color w:val="000000"/>
                <w:spacing w:val="8"/>
                <w:kern w:val="0"/>
                <w:sz w:val="21"/>
                <w:szCs w:val="21"/>
                <w:u w:val="none"/>
                <w:lang w:val="en-US" w:eastAsia="zh-CN" w:bidi="ar"/>
              </w:rPr>
              <w:br w:type="textWrapping"/>
            </w:r>
            <w:r>
              <w:rPr>
                <w:rFonts w:hint="eastAsia" w:ascii="仿宋" w:hAnsi="仿宋" w:eastAsia="仿宋" w:cs="仿宋"/>
                <w:i w:val="0"/>
                <w:iCs w:val="0"/>
                <w:caps w:val="0"/>
                <w:color w:val="000000"/>
                <w:spacing w:val="8"/>
                <w:kern w:val="0"/>
                <w:sz w:val="21"/>
                <w:szCs w:val="21"/>
                <w:u w:val="none"/>
                <w:lang w:val="en-US" w:eastAsia="zh-CN" w:bidi="ar"/>
              </w:rPr>
              <w:t>《中华人民共和国民办教育促进法实施条例》第四十七条　县级以上地方人民政府应当建立民办教育工作联席会议制度。教育、人力资源社会保障、民政、市场监督管理等部门应当根据职责会同有关部门建立民办学校年度检查和年度报告制度，健全日常监管机制。</w:t>
            </w:r>
          </w:p>
        </w:tc>
        <w:tc>
          <w:tcPr>
            <w:tcW w:w="1875"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i w:val="0"/>
                <w:iCs w:val="0"/>
                <w:caps w:val="0"/>
                <w:color w:val="333333"/>
                <w:spacing w:val="8"/>
                <w:sz w:val="21"/>
                <w:szCs w:val="21"/>
              </w:rPr>
            </w:pPr>
            <w:r>
              <w:rPr>
                <w:rFonts w:hint="eastAsia" w:ascii="仿宋" w:hAnsi="仿宋" w:eastAsia="仿宋" w:cs="仿宋"/>
                <w:i w:val="0"/>
                <w:iCs w:val="0"/>
                <w:caps w:val="0"/>
                <w:color w:val="000000"/>
                <w:spacing w:val="8"/>
                <w:kern w:val="0"/>
                <w:sz w:val="21"/>
                <w:szCs w:val="21"/>
                <w:u w:val="none"/>
                <w:lang w:val="en-US" w:eastAsia="zh-CN" w:bidi="ar"/>
              </w:rPr>
              <w:t>教育行政部门</w:t>
            </w:r>
          </w:p>
        </w:tc>
        <w:tc>
          <w:tcPr>
            <w:tcW w:w="1590"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i w:val="0"/>
                <w:iCs w:val="0"/>
                <w:caps w:val="0"/>
                <w:color w:val="333333"/>
                <w:spacing w:val="8"/>
                <w:sz w:val="21"/>
                <w:szCs w:val="21"/>
              </w:rPr>
            </w:pPr>
            <w:r>
              <w:rPr>
                <w:rFonts w:hint="eastAsia" w:ascii="仿宋" w:hAnsi="仿宋" w:eastAsia="仿宋" w:cs="仿宋"/>
                <w:i w:val="0"/>
                <w:iCs w:val="0"/>
                <w:caps w:val="0"/>
                <w:color w:val="000000"/>
                <w:spacing w:val="8"/>
                <w:kern w:val="0"/>
                <w:sz w:val="21"/>
                <w:szCs w:val="21"/>
                <w:u w:val="none"/>
                <w:lang w:val="en-US" w:eastAsia="zh-CN" w:bidi="ar"/>
              </w:rPr>
              <w:t>民办学校</w:t>
            </w:r>
          </w:p>
        </w:tc>
        <w:tc>
          <w:tcPr>
            <w:tcW w:w="1574" w:type="dxa"/>
            <w:tcBorders>
              <w:top w:val="single" w:color="000000" w:sz="6" w:space="0"/>
              <w:left w:val="single" w:color="000000" w:sz="6" w:space="0"/>
              <w:bottom w:val="single" w:color="000000" w:sz="6" w:space="0"/>
              <w:right w:val="single" w:color="000000" w:sz="6"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i w:val="0"/>
                <w:iCs w:val="0"/>
                <w:caps w:val="0"/>
                <w:color w:val="333333"/>
                <w:spacing w:val="8"/>
                <w:sz w:val="21"/>
                <w:szCs w:val="21"/>
              </w:rPr>
            </w:pPr>
            <w:r>
              <w:rPr>
                <w:rFonts w:ascii="仿宋" w:hAnsi="仿宋" w:eastAsia="仿宋" w:cs="仿宋"/>
                <w:i w:val="0"/>
                <w:iCs w:val="0"/>
                <w:caps w:val="0"/>
                <w:color w:val="000000"/>
                <w:spacing w:val="8"/>
                <w:kern w:val="0"/>
                <w:sz w:val="21"/>
                <w:szCs w:val="21"/>
                <w:u w:val="none"/>
                <w:lang w:val="en-US" w:eastAsia="zh-CN" w:bidi="ar"/>
              </w:rPr>
              <w:t>1次</w:t>
            </w:r>
          </w:p>
        </w:tc>
        <w:tc>
          <w:tcPr>
            <w:tcW w:w="811"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pPr>
              <w:keepNext w:val="0"/>
              <w:keepLines w:val="0"/>
              <w:widowControl/>
              <w:numPr>
                <w:ilvl w:val="0"/>
                <w:numId w:val="1"/>
              </w:numPr>
              <w:suppressLineNumbers w:val="0"/>
              <w:spacing w:before="0" w:beforeAutospacing="0" w:after="0" w:afterAutospacing="0"/>
              <w:ind w:left="0" w:right="0" w:firstLine="0"/>
              <w:jc w:val="left"/>
              <w:textAlignment w:val="center"/>
              <w:rPr>
                <w:rFonts w:hint="eastAsia" w:ascii="仿宋" w:hAnsi="仿宋" w:eastAsia="仿宋" w:cs="仿宋"/>
                <w:i w:val="0"/>
                <w:iCs w:val="0"/>
                <w:caps w:val="0"/>
                <w:color w:val="000000"/>
                <w:spacing w:val="8"/>
                <w:kern w:val="0"/>
                <w:sz w:val="21"/>
                <w:szCs w:val="21"/>
                <w:u w:val="none"/>
                <w:lang w:val="en-US" w:eastAsia="zh-CN" w:bidi="ar"/>
              </w:rPr>
            </w:pPr>
            <w:r>
              <w:rPr>
                <w:rFonts w:hint="eastAsia" w:ascii="仿宋" w:hAnsi="仿宋" w:eastAsia="仿宋" w:cs="仿宋"/>
                <w:i w:val="0"/>
                <w:iCs w:val="0"/>
                <w:caps w:val="0"/>
                <w:color w:val="000000"/>
                <w:spacing w:val="8"/>
                <w:kern w:val="0"/>
                <w:sz w:val="21"/>
                <w:szCs w:val="21"/>
                <w:u w:val="none"/>
                <w:lang w:val="en-US" w:eastAsia="zh-CN" w:bidi="ar"/>
              </w:rPr>
              <w:t>市级每年3-5月份进行现场检查 </w:t>
            </w:r>
          </w:p>
          <w:p>
            <w:pPr>
              <w:keepNext w:val="0"/>
              <w:keepLines w:val="0"/>
              <w:widowControl/>
              <w:numPr>
                <w:ilvl w:val="0"/>
                <w:numId w:val="1"/>
              </w:numPr>
              <w:suppressLineNumbers w:val="0"/>
              <w:spacing w:before="0" w:beforeAutospacing="0" w:after="0" w:afterAutospacing="0"/>
              <w:ind w:left="0" w:right="0" w:firstLine="0"/>
              <w:jc w:val="left"/>
              <w:textAlignment w:val="center"/>
              <w:rPr>
                <w:rFonts w:hint="eastAsia" w:ascii="仿宋" w:hAnsi="仿宋" w:eastAsia="仿宋" w:cs="仿宋"/>
                <w:i w:val="0"/>
                <w:iCs w:val="0"/>
                <w:caps w:val="0"/>
                <w:color w:val="000000"/>
                <w:spacing w:val="8"/>
                <w:kern w:val="0"/>
                <w:sz w:val="21"/>
                <w:szCs w:val="21"/>
                <w:u w:val="none"/>
                <w:lang w:val="en-US" w:eastAsia="zh-CN" w:bidi="ar"/>
              </w:rPr>
            </w:pPr>
            <w:r>
              <w:rPr>
                <w:rFonts w:hint="eastAsia" w:ascii="仿宋" w:hAnsi="仿宋" w:eastAsia="仿宋" w:cs="仿宋"/>
                <w:i w:val="0"/>
                <w:iCs w:val="0"/>
                <w:caps w:val="0"/>
                <w:color w:val="000000"/>
                <w:spacing w:val="8"/>
                <w:kern w:val="0"/>
                <w:sz w:val="21"/>
                <w:szCs w:val="21"/>
                <w:u w:val="none"/>
                <w:lang w:val="en-US" w:eastAsia="zh-CN" w:bidi="ar"/>
              </w:rPr>
              <w:t>县级教育部门根据实际情况安排</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F66123"/>
    <w:multiLevelType w:val="singleLevel"/>
    <w:tmpl w:val="F6F66123"/>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F13359"/>
    <w:rsid w:val="160F4298"/>
    <w:rsid w:val="24432892"/>
    <w:rsid w:val="2FFF282A"/>
    <w:rsid w:val="354613F6"/>
    <w:rsid w:val="40741FCD"/>
    <w:rsid w:val="43261AB8"/>
    <w:rsid w:val="49562804"/>
    <w:rsid w:val="4DBB5413"/>
    <w:rsid w:val="4FC40274"/>
    <w:rsid w:val="55FC639F"/>
    <w:rsid w:val="568D2329"/>
    <w:rsid w:val="572A5235"/>
    <w:rsid w:val="5A5255BC"/>
    <w:rsid w:val="5DFB2EBF"/>
    <w:rsid w:val="71855BA5"/>
    <w:rsid w:val="73047240"/>
    <w:rsid w:val="75E37678"/>
    <w:rsid w:val="7B5F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2026-01-20T01:35:00Z</dcterms:created>
  <dc:creator>Administrator</dc:creator>
  <cp:lastModifiedBy>Administrator</cp:lastModifiedBy>
  <dcterms:modified xsi:type="dcterms:W3CDTF">2026-05-11T02:22:59Z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32145FFA3E9B454684EAC201C9B7874A</vt:lpwstr>
  </property>
</Properties>
</file>