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9F29F4" w14:textId="77777777" w:rsidR="00A01352" w:rsidRDefault="00000000">
      <w:pPr>
        <w:spacing w:line="600" w:lineRule="exact"/>
        <w:jc w:val="center"/>
        <w:rPr>
          <w:rFonts w:ascii="方正小标宋简体" w:eastAsia="方正小标宋简体" w:hAnsi="仿宋" w:hint="eastAsia"/>
          <w:bCs/>
          <w:sz w:val="44"/>
          <w:szCs w:val="44"/>
        </w:rPr>
      </w:pPr>
      <w:r>
        <w:rPr>
          <w:rFonts w:ascii="方正小标宋简体" w:eastAsia="方正小标宋简体" w:hAnsi="仿宋" w:hint="eastAsia"/>
          <w:bCs/>
          <w:sz w:val="44"/>
          <w:szCs w:val="44"/>
        </w:rPr>
        <w:t>高邑县人民政府</w:t>
      </w:r>
    </w:p>
    <w:p w14:paraId="1E193EEC" w14:textId="77777777" w:rsidR="00A01352" w:rsidRDefault="00000000">
      <w:pPr>
        <w:spacing w:line="600" w:lineRule="exact"/>
        <w:jc w:val="center"/>
        <w:rPr>
          <w:rFonts w:ascii="方正小标宋简体" w:eastAsia="方正小标宋简体" w:hAnsi="仿宋" w:hint="eastAsia"/>
          <w:bCs/>
          <w:sz w:val="44"/>
          <w:szCs w:val="44"/>
        </w:rPr>
      </w:pPr>
      <w:r>
        <w:rPr>
          <w:rFonts w:ascii="方正小标宋简体" w:eastAsia="方正小标宋简体" w:hAnsi="仿宋" w:hint="eastAsia"/>
          <w:bCs/>
          <w:sz w:val="44"/>
          <w:szCs w:val="44"/>
        </w:rPr>
        <w:t>关于2024年财政决算（草案）情况的</w:t>
      </w:r>
    </w:p>
    <w:p w14:paraId="498FAFF0" w14:textId="77777777" w:rsidR="00A01352" w:rsidRDefault="00000000">
      <w:pPr>
        <w:spacing w:line="600" w:lineRule="exact"/>
        <w:jc w:val="center"/>
        <w:rPr>
          <w:rFonts w:ascii="仿宋" w:eastAsia="仿宋" w:hAnsi="仿宋" w:hint="eastAsia"/>
          <w:bCs/>
          <w:sz w:val="32"/>
          <w:szCs w:val="32"/>
        </w:rPr>
      </w:pPr>
      <w:r>
        <w:rPr>
          <w:rFonts w:ascii="方正小标宋简体" w:eastAsia="方正小标宋简体" w:hAnsi="仿宋" w:hint="eastAsia"/>
          <w:bCs/>
          <w:sz w:val="44"/>
          <w:szCs w:val="44"/>
        </w:rPr>
        <w:t>报</w:t>
      </w:r>
      <w:r>
        <w:rPr>
          <w:rFonts w:ascii="方正小标宋简体" w:eastAsia="方正小标宋简体" w:hAnsi="仿宋"/>
          <w:bCs/>
          <w:sz w:val="44"/>
          <w:szCs w:val="44"/>
        </w:rPr>
        <w:t xml:space="preserve">  </w:t>
      </w:r>
      <w:r>
        <w:rPr>
          <w:rFonts w:ascii="方正小标宋简体" w:eastAsia="方正小标宋简体" w:hAnsi="仿宋" w:hint="eastAsia"/>
          <w:bCs/>
          <w:sz w:val="44"/>
          <w:szCs w:val="44"/>
        </w:rPr>
        <w:t>告</w:t>
      </w:r>
    </w:p>
    <w:p w14:paraId="2CA6D301" w14:textId="77777777" w:rsidR="00002174" w:rsidRDefault="00000000">
      <w:pPr>
        <w:autoSpaceDE w:val="0"/>
        <w:autoSpaceDN w:val="0"/>
        <w:spacing w:line="600" w:lineRule="exact"/>
        <w:jc w:val="center"/>
        <w:rPr>
          <w:rFonts w:ascii="楷体_GB2312" w:eastAsia="楷体_GB2312" w:hAnsi="仿宋" w:cs="Arial"/>
          <w:spacing w:val="-11"/>
          <w:kern w:val="0"/>
          <w:sz w:val="32"/>
          <w:szCs w:val="32"/>
        </w:rPr>
      </w:pPr>
      <w:r>
        <w:rPr>
          <w:rFonts w:ascii="楷体_GB2312" w:eastAsia="楷体_GB2312" w:hAnsi="仿宋" w:cs="Arial" w:hint="eastAsia"/>
          <w:spacing w:val="-6"/>
          <w:kern w:val="0"/>
          <w:sz w:val="32"/>
          <w:szCs w:val="32"/>
        </w:rPr>
        <w:t>——</w:t>
      </w:r>
      <w:r>
        <w:rPr>
          <w:rFonts w:ascii="楷体_GB2312" w:eastAsia="楷体_GB2312" w:hAnsi="仿宋" w:hint="eastAsia"/>
          <w:spacing w:val="-11"/>
          <w:kern w:val="0"/>
          <w:sz w:val="32"/>
          <w:szCs w:val="32"/>
        </w:rPr>
        <w:t>2025</w:t>
      </w:r>
      <w:r>
        <w:rPr>
          <w:rFonts w:ascii="楷体_GB2312" w:eastAsia="楷体_GB2312" w:hAnsi="仿宋" w:cs="Arial" w:hint="eastAsia"/>
          <w:spacing w:val="-11"/>
          <w:kern w:val="0"/>
          <w:sz w:val="32"/>
          <w:szCs w:val="32"/>
        </w:rPr>
        <w:t>年9月</w:t>
      </w:r>
      <w:r w:rsidR="00002174">
        <w:rPr>
          <w:rFonts w:ascii="楷体_GB2312" w:eastAsia="楷体_GB2312" w:hAnsi="仿宋" w:cs="Arial" w:hint="eastAsia"/>
          <w:spacing w:val="-11"/>
          <w:kern w:val="0"/>
          <w:sz w:val="32"/>
          <w:szCs w:val="32"/>
        </w:rPr>
        <w:t>30</w:t>
      </w:r>
      <w:r>
        <w:rPr>
          <w:rFonts w:ascii="楷体_GB2312" w:eastAsia="楷体_GB2312" w:hAnsi="仿宋" w:cs="Arial" w:hint="eastAsia"/>
          <w:spacing w:val="-11"/>
          <w:kern w:val="0"/>
          <w:sz w:val="32"/>
          <w:szCs w:val="32"/>
        </w:rPr>
        <w:t>日在高邑县第十七届人大常委会</w:t>
      </w:r>
    </w:p>
    <w:p w14:paraId="285D599D" w14:textId="2117E487" w:rsidR="00A01352" w:rsidRDefault="00000000">
      <w:pPr>
        <w:autoSpaceDE w:val="0"/>
        <w:autoSpaceDN w:val="0"/>
        <w:spacing w:line="600" w:lineRule="exact"/>
        <w:jc w:val="center"/>
        <w:rPr>
          <w:rFonts w:ascii="楷体_GB2312" w:eastAsia="楷体_GB2312" w:hAnsi="仿宋" w:cs="Arial" w:hint="eastAsia"/>
          <w:spacing w:val="-6"/>
          <w:kern w:val="0"/>
          <w:sz w:val="32"/>
          <w:szCs w:val="32"/>
        </w:rPr>
      </w:pPr>
      <w:r>
        <w:rPr>
          <w:rFonts w:ascii="楷体_GB2312" w:eastAsia="楷体_GB2312" w:hAnsi="仿宋" w:cs="Arial" w:hint="eastAsia"/>
          <w:spacing w:val="-11"/>
          <w:kern w:val="0"/>
          <w:sz w:val="32"/>
          <w:szCs w:val="32"/>
        </w:rPr>
        <w:t>第</w:t>
      </w:r>
      <w:r w:rsidR="00002174">
        <w:rPr>
          <w:rFonts w:ascii="楷体_GB2312" w:eastAsia="楷体_GB2312" w:hAnsi="仿宋" w:cs="Arial" w:hint="eastAsia"/>
          <w:spacing w:val="-11"/>
          <w:kern w:val="0"/>
          <w:sz w:val="32"/>
          <w:szCs w:val="32"/>
        </w:rPr>
        <w:t>三十九</w:t>
      </w:r>
      <w:r>
        <w:rPr>
          <w:rFonts w:ascii="楷体_GB2312" w:eastAsia="楷体_GB2312" w:hAnsi="仿宋" w:cs="Arial" w:hint="eastAsia"/>
          <w:spacing w:val="-11"/>
          <w:kern w:val="0"/>
          <w:sz w:val="32"/>
          <w:szCs w:val="32"/>
        </w:rPr>
        <w:t>次会议上</w:t>
      </w:r>
    </w:p>
    <w:p w14:paraId="2043A432" w14:textId="77777777" w:rsidR="00A01352" w:rsidRDefault="00000000">
      <w:pPr>
        <w:spacing w:line="600" w:lineRule="exact"/>
        <w:jc w:val="center"/>
        <w:rPr>
          <w:rFonts w:ascii="楷体_GB2312" w:eastAsia="楷体_GB2312" w:hAnsi="仿宋" w:hint="eastAsia"/>
          <w:bCs/>
          <w:sz w:val="32"/>
          <w:szCs w:val="32"/>
        </w:rPr>
      </w:pPr>
      <w:r>
        <w:rPr>
          <w:rFonts w:ascii="楷体_GB2312" w:eastAsia="楷体_GB2312" w:hAnsi="仿宋" w:hint="eastAsia"/>
          <w:bCs/>
          <w:sz w:val="32"/>
          <w:szCs w:val="32"/>
        </w:rPr>
        <w:t>高邑县财政局局长  任现计</w:t>
      </w:r>
    </w:p>
    <w:p w14:paraId="5DFEC291" w14:textId="77777777" w:rsidR="00A01352" w:rsidRDefault="00A01352">
      <w:pPr>
        <w:spacing w:line="600" w:lineRule="exact"/>
        <w:rPr>
          <w:rFonts w:ascii="仿宋_GB2312" w:eastAsia="仿宋_GB2312"/>
          <w:sz w:val="32"/>
          <w:szCs w:val="32"/>
        </w:rPr>
      </w:pPr>
    </w:p>
    <w:p w14:paraId="117B1B8E" w14:textId="77777777" w:rsidR="00A01352" w:rsidRDefault="00000000">
      <w:pPr>
        <w:spacing w:line="580" w:lineRule="exact"/>
        <w:rPr>
          <w:rFonts w:ascii="仿宋_GB2312" w:eastAsia="仿宋_GB2312" w:hAnsi="仿宋" w:hint="eastAsia"/>
          <w:kern w:val="0"/>
          <w:sz w:val="32"/>
          <w:szCs w:val="32"/>
        </w:rPr>
      </w:pPr>
      <w:r>
        <w:rPr>
          <w:rFonts w:ascii="仿宋_GB2312" w:eastAsia="仿宋_GB2312" w:hAnsi="仿宋" w:hint="eastAsia"/>
          <w:kern w:val="0"/>
          <w:sz w:val="32"/>
          <w:szCs w:val="32"/>
        </w:rPr>
        <w:t>主任、各位副主任、各位委员：</w:t>
      </w:r>
    </w:p>
    <w:p w14:paraId="3ADCD91F" w14:textId="77777777" w:rsidR="00A01352" w:rsidRDefault="00000000">
      <w:pPr>
        <w:pStyle w:val="a5"/>
        <w:spacing w:line="580" w:lineRule="exact"/>
        <w:ind w:firstLineChars="200" w:firstLine="640"/>
        <w:rPr>
          <w:rFonts w:ascii="仿宋_GB2312" w:eastAsia="仿宋_GB2312" w:hAnsi="仿宋" w:hint="eastAsia"/>
          <w:bCs/>
          <w:kern w:val="0"/>
          <w:sz w:val="32"/>
          <w:szCs w:val="32"/>
        </w:rPr>
      </w:pPr>
      <w:r>
        <w:rPr>
          <w:rFonts w:ascii="仿宋_GB2312" w:eastAsia="仿宋_GB2312" w:hAnsi="仿宋_GB2312" w:hint="eastAsia"/>
          <w:bCs/>
          <w:kern w:val="0"/>
          <w:sz w:val="32"/>
          <w:szCs w:val="32"/>
        </w:rPr>
        <w:t>受县政府委托，向县人大常委会报告2024年财政决算（草案），请</w:t>
      </w:r>
      <w:proofErr w:type="gramStart"/>
      <w:r>
        <w:rPr>
          <w:rFonts w:ascii="仿宋_GB2312" w:eastAsia="仿宋_GB2312" w:hAnsi="仿宋_GB2312" w:hint="eastAsia"/>
          <w:bCs/>
          <w:kern w:val="0"/>
          <w:sz w:val="32"/>
          <w:szCs w:val="32"/>
        </w:rPr>
        <w:t>予审</w:t>
      </w:r>
      <w:proofErr w:type="gramEnd"/>
      <w:r>
        <w:rPr>
          <w:rFonts w:ascii="仿宋_GB2312" w:eastAsia="仿宋_GB2312" w:hAnsi="仿宋_GB2312" w:hint="eastAsia"/>
          <w:bCs/>
          <w:kern w:val="0"/>
          <w:sz w:val="32"/>
          <w:szCs w:val="32"/>
        </w:rPr>
        <w:t>议。</w:t>
      </w:r>
    </w:p>
    <w:p w14:paraId="45825F7D" w14:textId="77777777" w:rsidR="00A01352" w:rsidRDefault="00000000">
      <w:pPr>
        <w:pStyle w:val="a5"/>
        <w:spacing w:line="580" w:lineRule="exact"/>
        <w:ind w:firstLineChars="200" w:firstLine="640"/>
        <w:rPr>
          <w:rFonts w:ascii="黑体" w:eastAsia="黑体" w:hAnsi="黑体" w:hint="eastAsia"/>
          <w:bCs/>
          <w:kern w:val="0"/>
          <w:sz w:val="32"/>
          <w:szCs w:val="32"/>
        </w:rPr>
      </w:pPr>
      <w:r>
        <w:rPr>
          <w:rFonts w:ascii="黑体" w:eastAsia="黑体" w:hAnsi="黑体"/>
          <w:bCs/>
          <w:kern w:val="0"/>
          <w:sz w:val="32"/>
          <w:szCs w:val="32"/>
        </w:rPr>
        <w:t xml:space="preserve"> </w:t>
      </w:r>
      <w:r>
        <w:rPr>
          <w:rFonts w:ascii="黑体" w:eastAsia="黑体" w:hAnsi="黑体" w:hint="eastAsia"/>
          <w:bCs/>
          <w:kern w:val="0"/>
          <w:sz w:val="32"/>
          <w:szCs w:val="32"/>
        </w:rPr>
        <w:t>一、2024年财政决算情况</w:t>
      </w:r>
    </w:p>
    <w:p w14:paraId="35962776" w14:textId="77777777" w:rsidR="00A01352" w:rsidRDefault="00000000">
      <w:pPr>
        <w:spacing w:line="580" w:lineRule="exact"/>
        <w:ind w:firstLineChars="200" w:firstLine="643"/>
        <w:rPr>
          <w:rFonts w:ascii="楷体_GB2312" w:eastAsia="楷体_GB2312" w:hAnsi="黑体" w:hint="eastAsia"/>
          <w:b/>
          <w:bCs/>
          <w:kern w:val="0"/>
          <w:sz w:val="32"/>
          <w:szCs w:val="32"/>
        </w:rPr>
      </w:pPr>
      <w:r>
        <w:rPr>
          <w:rFonts w:ascii="楷体_GB2312" w:eastAsia="楷体_GB2312" w:hAnsi="黑体" w:hint="eastAsia"/>
          <w:b/>
          <w:bCs/>
          <w:kern w:val="0"/>
          <w:sz w:val="32"/>
          <w:szCs w:val="32"/>
        </w:rPr>
        <w:t>（一）一般公共预算收支决算情况</w:t>
      </w:r>
    </w:p>
    <w:p w14:paraId="5C74A6AB" w14:textId="77777777" w:rsidR="00A01352" w:rsidRDefault="00000000">
      <w:pPr>
        <w:spacing w:line="580" w:lineRule="exact"/>
        <w:ind w:firstLineChars="200" w:firstLine="640"/>
        <w:rPr>
          <w:rFonts w:ascii="仿宋_GB2312" w:eastAsia="仿宋_GB2312" w:hAnsi="仿宋_GB2312" w:cs="仿宋_GB2312" w:hint="eastAsia"/>
          <w:kern w:val="0"/>
          <w:sz w:val="32"/>
          <w:szCs w:val="32"/>
        </w:rPr>
      </w:pPr>
      <w:bookmarkStart w:id="0" w:name="OLE_LINK1"/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全县</w:t>
      </w:r>
      <w:r>
        <w:rPr>
          <w:rFonts w:ascii="仿宋_GB2312" w:eastAsia="仿宋_GB2312" w:hint="eastAsia"/>
          <w:kern w:val="0"/>
          <w:sz w:val="32"/>
          <w:szCs w:val="32"/>
        </w:rPr>
        <w:t>一般公共预算收入完成75348万元，</w:t>
      </w:r>
      <w:proofErr w:type="gramStart"/>
      <w:r>
        <w:rPr>
          <w:rFonts w:ascii="仿宋_GB2312" w:eastAsia="仿宋_GB2312" w:hAnsi="仿宋" w:hint="eastAsia"/>
          <w:kern w:val="0"/>
          <w:sz w:val="32"/>
          <w:szCs w:val="32"/>
        </w:rPr>
        <w:t>占调整</w:t>
      </w:r>
      <w:proofErr w:type="gramEnd"/>
      <w:r>
        <w:rPr>
          <w:rFonts w:ascii="仿宋_GB2312" w:eastAsia="仿宋_GB2312" w:hAnsi="仿宋" w:hint="eastAsia"/>
          <w:kern w:val="0"/>
          <w:sz w:val="32"/>
          <w:szCs w:val="32"/>
        </w:rPr>
        <w:t>预算的</w:t>
      </w:r>
      <w:r>
        <w:rPr>
          <w:rFonts w:ascii="仿宋_GB2312" w:eastAsia="仿宋_GB2312" w:hint="eastAsia"/>
          <w:kern w:val="0"/>
          <w:sz w:val="32"/>
          <w:szCs w:val="32"/>
        </w:rPr>
        <w:t>99.99</w:t>
      </w:r>
      <w:r>
        <w:rPr>
          <w:rFonts w:ascii="仿宋_GB2312" w:eastAsia="仿宋_GB2312" w:hAnsi="仿宋"/>
          <w:kern w:val="0"/>
          <w:sz w:val="32"/>
          <w:szCs w:val="32"/>
        </w:rPr>
        <w:t>%</w:t>
      </w:r>
      <w:r>
        <w:rPr>
          <w:rFonts w:ascii="仿宋_GB2312" w:eastAsia="仿宋_GB2312" w:hAnsi="仿宋" w:hint="eastAsia"/>
          <w:kern w:val="0"/>
          <w:sz w:val="32"/>
          <w:szCs w:val="32"/>
        </w:rPr>
        <w:t>，</w:t>
      </w:r>
      <w:r>
        <w:rPr>
          <w:rFonts w:ascii="仿宋_GB2312" w:eastAsia="仿宋_GB2312" w:hint="eastAsia"/>
          <w:kern w:val="0"/>
          <w:sz w:val="32"/>
          <w:szCs w:val="32"/>
        </w:rPr>
        <w:t>同比增长4.5%，</w:t>
      </w:r>
      <w:bookmarkEnd w:id="0"/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加上级补助收入</w:t>
      </w:r>
      <w:r>
        <w:rPr>
          <w:rFonts w:ascii="仿宋_GB2312" w:eastAsia="仿宋_GB2312" w:hint="eastAsia"/>
          <w:kern w:val="0"/>
          <w:sz w:val="32"/>
          <w:szCs w:val="32"/>
        </w:rPr>
        <w:t>183503万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元、债务转贷收入</w:t>
      </w:r>
      <w:r>
        <w:rPr>
          <w:rFonts w:ascii="仿宋_GB2312" w:eastAsia="仿宋_GB2312" w:hint="eastAsia"/>
          <w:kern w:val="0"/>
          <w:sz w:val="32"/>
          <w:szCs w:val="32"/>
        </w:rPr>
        <w:t>10900万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元、上年结余</w:t>
      </w:r>
      <w:r>
        <w:rPr>
          <w:rFonts w:ascii="仿宋_GB2312" w:eastAsia="仿宋_GB2312" w:hint="eastAsia"/>
          <w:kern w:val="0"/>
          <w:sz w:val="32"/>
          <w:szCs w:val="32"/>
        </w:rPr>
        <w:t>61284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万元、调入资金</w:t>
      </w:r>
      <w:r>
        <w:rPr>
          <w:rFonts w:ascii="仿宋_GB2312" w:eastAsia="仿宋_GB2312" w:hint="eastAsia"/>
          <w:kern w:val="0"/>
          <w:sz w:val="32"/>
          <w:szCs w:val="32"/>
        </w:rPr>
        <w:t>12833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万元，收入总计</w:t>
      </w:r>
      <w:r>
        <w:rPr>
          <w:rFonts w:ascii="仿宋_GB2312" w:eastAsia="仿宋_GB2312" w:hint="eastAsia"/>
          <w:kern w:val="0"/>
          <w:sz w:val="32"/>
          <w:szCs w:val="32"/>
        </w:rPr>
        <w:t>343868万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元；一般公共预算</w:t>
      </w:r>
      <w:r>
        <w:rPr>
          <w:rFonts w:ascii="仿宋_GB2312" w:eastAsia="仿宋_GB2312" w:hint="eastAsia"/>
          <w:kern w:val="0"/>
          <w:sz w:val="32"/>
          <w:szCs w:val="32"/>
        </w:rPr>
        <w:t>支出完成235412万元，</w:t>
      </w:r>
      <w:proofErr w:type="gramStart"/>
      <w:r>
        <w:rPr>
          <w:rFonts w:ascii="仿宋_GB2312" w:eastAsia="仿宋_GB2312" w:hint="eastAsia"/>
          <w:kern w:val="0"/>
          <w:sz w:val="32"/>
          <w:szCs w:val="32"/>
        </w:rPr>
        <w:t>占</w:t>
      </w:r>
      <w:r>
        <w:rPr>
          <w:rFonts w:ascii="仿宋_GB2312" w:eastAsia="仿宋_GB2312" w:hAnsi="仿宋" w:hint="eastAsia"/>
          <w:kern w:val="0"/>
          <w:sz w:val="32"/>
          <w:szCs w:val="32"/>
        </w:rPr>
        <w:t>调整</w:t>
      </w:r>
      <w:proofErr w:type="gramEnd"/>
      <w:r>
        <w:rPr>
          <w:rFonts w:ascii="仿宋_GB2312" w:eastAsia="仿宋_GB2312" w:hAnsi="仿宋" w:hint="eastAsia"/>
          <w:kern w:val="0"/>
          <w:sz w:val="32"/>
          <w:szCs w:val="32"/>
        </w:rPr>
        <w:t>预算的73.1</w:t>
      </w:r>
      <w:r>
        <w:rPr>
          <w:rFonts w:ascii="仿宋_GB2312" w:eastAsia="仿宋_GB2312" w:hAnsi="仿宋"/>
          <w:kern w:val="0"/>
          <w:sz w:val="32"/>
          <w:szCs w:val="32"/>
        </w:rPr>
        <w:t>%</w:t>
      </w:r>
      <w:r>
        <w:rPr>
          <w:rFonts w:ascii="仿宋_GB2312" w:eastAsia="仿宋_GB2312" w:hAnsi="仿宋" w:hint="eastAsia"/>
          <w:kern w:val="0"/>
          <w:sz w:val="32"/>
          <w:szCs w:val="32"/>
        </w:rPr>
        <w:t>，同比增长28.5</w:t>
      </w:r>
      <w:r>
        <w:rPr>
          <w:rFonts w:ascii="仿宋_GB2312" w:eastAsia="仿宋_GB2312" w:hAnsi="仿宋"/>
          <w:kern w:val="0"/>
          <w:sz w:val="32"/>
          <w:szCs w:val="32"/>
        </w:rPr>
        <w:t>%</w:t>
      </w:r>
      <w:r>
        <w:rPr>
          <w:rFonts w:ascii="仿宋_GB2312" w:eastAsia="仿宋_GB2312" w:hAnsi="仿宋" w:hint="eastAsia"/>
          <w:kern w:val="0"/>
          <w:sz w:val="32"/>
          <w:szCs w:val="32"/>
        </w:rPr>
        <w:t>，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加上解上级支出</w:t>
      </w:r>
      <w:r>
        <w:rPr>
          <w:rFonts w:ascii="仿宋_GB2312" w:eastAsia="仿宋_GB2312" w:hint="eastAsia"/>
          <w:kern w:val="0"/>
          <w:sz w:val="32"/>
          <w:szCs w:val="32"/>
        </w:rPr>
        <w:t>-2028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万元、债务还本支出3982万元、安排预算稳定调节基金22342万元、年终结余71327万元、调出资金</w:t>
      </w:r>
      <w:r>
        <w:rPr>
          <w:rFonts w:ascii="仿宋_GB2312" w:eastAsia="仿宋_GB2312" w:hint="eastAsia"/>
          <w:kern w:val="0"/>
          <w:sz w:val="32"/>
          <w:szCs w:val="32"/>
        </w:rPr>
        <w:t>12833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万元，支出总计</w:t>
      </w:r>
      <w:r>
        <w:rPr>
          <w:rFonts w:ascii="仿宋_GB2312" w:eastAsia="仿宋_GB2312" w:hint="eastAsia"/>
          <w:kern w:val="0"/>
          <w:sz w:val="32"/>
          <w:szCs w:val="32"/>
        </w:rPr>
        <w:t>343868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万元。收支相抵，当年一般公共预算收支平衡。</w:t>
      </w:r>
    </w:p>
    <w:p w14:paraId="022ACEEF" w14:textId="77777777" w:rsidR="00A01352" w:rsidRDefault="00000000">
      <w:pPr>
        <w:pStyle w:val="BodyTextFirstIndent21"/>
        <w:spacing w:line="580" w:lineRule="exact"/>
        <w:ind w:leftChars="0" w:left="0" w:firstLine="640"/>
        <w:rPr>
          <w:rFonts w:ascii="仿宋_GB2312" w:eastAsia="仿宋_GB2312"/>
          <w:kern w:val="0"/>
          <w:sz w:val="32"/>
          <w:szCs w:val="32"/>
        </w:rPr>
      </w:pPr>
      <w:bookmarkStart w:id="1" w:name="OLE_LINK8"/>
      <w:r>
        <w:rPr>
          <w:rFonts w:ascii="仿宋_GB2312" w:eastAsia="仿宋_GB2312" w:hint="eastAsia"/>
          <w:kern w:val="0"/>
          <w:sz w:val="32"/>
          <w:szCs w:val="32"/>
        </w:rPr>
        <w:t>当年一般公共预算支出具体为：一般公共服务支出12014万元；国防支出17万元；公共安全支出4688万元；教育支出36346万元；科学技术支出5680万元；文化旅游体育与传媒支出826</w:t>
      </w:r>
      <w:r>
        <w:rPr>
          <w:rFonts w:ascii="仿宋_GB2312" w:eastAsia="仿宋_GB2312" w:hint="eastAsia"/>
          <w:kern w:val="0"/>
          <w:sz w:val="32"/>
          <w:szCs w:val="32"/>
        </w:rPr>
        <w:lastRenderedPageBreak/>
        <w:t>万元；社会保障和就业支出35120万元；卫生健康支出8929万元；节能环保支出4848万元；城乡社区事务支出16786万元；农林水支出21035万元；交通运输支出15985万元；资源勘探支出215万元；商业服务业支出21790万元；金融支出53万元；国土资源气象支出274万元；住房保障支出4396万元；粮油物资储备支出48万元；灾害防治及应急管理支出43347万元；债务付息和发行费用支出3015万元。</w:t>
      </w:r>
    </w:p>
    <w:bookmarkEnd w:id="1"/>
    <w:p w14:paraId="3F514E03" w14:textId="77777777" w:rsidR="00A01352" w:rsidRDefault="00000000">
      <w:pPr>
        <w:spacing w:line="580" w:lineRule="exact"/>
        <w:ind w:firstLineChars="200" w:firstLine="643"/>
        <w:rPr>
          <w:rFonts w:ascii="楷体_GB2312" w:eastAsia="楷体_GB2312" w:hAnsi="黑体" w:hint="eastAsia"/>
          <w:b/>
          <w:bCs/>
          <w:kern w:val="0"/>
          <w:sz w:val="32"/>
          <w:szCs w:val="32"/>
        </w:rPr>
      </w:pPr>
      <w:r>
        <w:rPr>
          <w:rFonts w:ascii="楷体_GB2312" w:eastAsia="楷体_GB2312" w:hAnsi="黑体" w:hint="eastAsia"/>
          <w:b/>
          <w:bCs/>
          <w:kern w:val="0"/>
          <w:sz w:val="32"/>
          <w:szCs w:val="32"/>
        </w:rPr>
        <w:t>（二）政府性基金收支决算情况</w:t>
      </w:r>
    </w:p>
    <w:p w14:paraId="2D2AA2DC" w14:textId="77777777" w:rsidR="00A01352" w:rsidRDefault="00000000">
      <w:pPr>
        <w:spacing w:line="580" w:lineRule="exact"/>
        <w:ind w:firstLineChars="200" w:firstLine="640"/>
        <w:rPr>
          <w:rFonts w:ascii="仿宋_GB2312" w:eastAsia="仿宋_GB2312" w:hAnsi="仿宋_GB2312" w:cs="仿宋_GB2312" w:hint="eastAsia"/>
          <w:kern w:val="0"/>
          <w:sz w:val="32"/>
        </w:rPr>
      </w:pPr>
      <w:r>
        <w:rPr>
          <w:rFonts w:ascii="仿宋_GB2312" w:eastAsia="仿宋_GB2312" w:hAnsi="仿宋_GB2312" w:cs="仿宋_GB2312" w:hint="eastAsia"/>
          <w:kern w:val="0"/>
          <w:sz w:val="32"/>
        </w:rPr>
        <w:t>全县政府性基金收入完成</w:t>
      </w:r>
      <w:r>
        <w:rPr>
          <w:rFonts w:ascii="仿宋_GB2312" w:eastAsia="仿宋_GB2312" w:hint="eastAsia"/>
          <w:kern w:val="0"/>
          <w:sz w:val="32"/>
          <w:szCs w:val="32"/>
        </w:rPr>
        <w:t>48544</w:t>
      </w:r>
      <w:r>
        <w:rPr>
          <w:rFonts w:ascii="仿宋_GB2312" w:eastAsia="仿宋_GB2312" w:hAnsi="仿宋_GB2312" w:cs="仿宋_GB2312" w:hint="eastAsia"/>
          <w:kern w:val="0"/>
          <w:sz w:val="32"/>
        </w:rPr>
        <w:t>万元，</w:t>
      </w:r>
      <w:proofErr w:type="gramStart"/>
      <w:r>
        <w:rPr>
          <w:rFonts w:ascii="仿宋_GB2312" w:eastAsia="仿宋_GB2312" w:hint="eastAsia"/>
          <w:kern w:val="0"/>
          <w:sz w:val="32"/>
          <w:szCs w:val="32"/>
        </w:rPr>
        <w:t>占调整</w:t>
      </w:r>
      <w:proofErr w:type="gramEnd"/>
      <w:r>
        <w:rPr>
          <w:rFonts w:ascii="仿宋_GB2312" w:eastAsia="仿宋_GB2312" w:hAnsi="仿宋" w:hint="eastAsia"/>
          <w:kern w:val="0"/>
          <w:sz w:val="32"/>
          <w:szCs w:val="32"/>
        </w:rPr>
        <w:t>预算</w:t>
      </w:r>
      <w:r>
        <w:rPr>
          <w:rFonts w:ascii="仿宋_GB2312" w:eastAsia="仿宋_GB2312" w:hint="eastAsia"/>
          <w:kern w:val="0"/>
          <w:sz w:val="32"/>
          <w:szCs w:val="32"/>
        </w:rPr>
        <w:t>的88.5</w:t>
      </w:r>
      <w:r>
        <w:rPr>
          <w:rFonts w:ascii="仿宋_GB2312" w:eastAsia="仿宋_GB2312"/>
          <w:kern w:val="0"/>
          <w:sz w:val="32"/>
          <w:szCs w:val="32"/>
        </w:rPr>
        <w:t>%</w:t>
      </w:r>
      <w:r>
        <w:rPr>
          <w:rFonts w:ascii="仿宋_GB2312" w:eastAsia="仿宋_GB2312" w:hint="eastAsia"/>
          <w:kern w:val="0"/>
          <w:sz w:val="32"/>
          <w:szCs w:val="32"/>
        </w:rPr>
        <w:t>，同比增长46.8%，</w:t>
      </w:r>
      <w:r>
        <w:rPr>
          <w:rFonts w:ascii="仿宋_GB2312" w:eastAsia="仿宋_GB2312" w:hAnsi="仿宋_GB2312" w:cs="仿宋_GB2312" w:hint="eastAsia"/>
          <w:kern w:val="0"/>
          <w:sz w:val="32"/>
        </w:rPr>
        <w:t>加上级补助收入97167万元、债务转贷收入85300万元、上年结余29218万元、调入资金12833万元，收入总计273062万元；政府性基金支出完成87295万元，</w:t>
      </w:r>
      <w:proofErr w:type="gramStart"/>
      <w:r>
        <w:rPr>
          <w:rFonts w:ascii="仿宋_GB2312" w:eastAsia="仿宋_GB2312" w:hint="eastAsia"/>
          <w:kern w:val="0"/>
          <w:sz w:val="32"/>
          <w:szCs w:val="32"/>
        </w:rPr>
        <w:t>占调整</w:t>
      </w:r>
      <w:proofErr w:type="gramEnd"/>
      <w:r>
        <w:rPr>
          <w:rFonts w:ascii="仿宋_GB2312" w:eastAsia="仿宋_GB2312" w:hint="eastAsia"/>
          <w:kern w:val="0"/>
          <w:sz w:val="32"/>
          <w:szCs w:val="32"/>
        </w:rPr>
        <w:t>预算的36.3%，同比下降58.6%，</w:t>
      </w:r>
      <w:r>
        <w:rPr>
          <w:rFonts w:ascii="仿宋_GB2312" w:eastAsia="仿宋_GB2312" w:hAnsi="仿宋_GB2312" w:cs="仿宋_GB2312" w:hint="eastAsia"/>
          <w:kern w:val="0"/>
          <w:sz w:val="32"/>
        </w:rPr>
        <w:t>加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债务还本支出26540万元、结转下年146394万元、调出资金12833万元，支出总计273062万元。收支相抵，当年政府性基金预算收支平衡。</w:t>
      </w:r>
    </w:p>
    <w:p w14:paraId="57B68D44" w14:textId="77777777" w:rsidR="00A01352" w:rsidRDefault="00000000">
      <w:pPr>
        <w:pStyle w:val="a5"/>
        <w:spacing w:line="580" w:lineRule="exact"/>
        <w:ind w:firstLineChars="200" w:firstLine="643"/>
        <w:rPr>
          <w:rFonts w:ascii="楷体_GB2312" w:eastAsia="楷体_GB2312" w:hAnsi="楷体_GB2312" w:cs="楷体_GB2312" w:hint="eastAsia"/>
          <w:b/>
          <w:bCs/>
          <w:kern w:val="0"/>
          <w:sz w:val="32"/>
          <w:szCs w:val="32"/>
        </w:rPr>
      </w:pPr>
      <w:r>
        <w:rPr>
          <w:rFonts w:ascii="楷体_GB2312" w:eastAsia="楷体_GB2312" w:hAnsi="楷体_GB2312" w:cs="楷体_GB2312" w:hint="eastAsia"/>
          <w:b/>
          <w:bCs/>
          <w:kern w:val="0"/>
          <w:sz w:val="32"/>
          <w:szCs w:val="32"/>
        </w:rPr>
        <w:t>（三）国有资本经营收支决算情况</w:t>
      </w:r>
    </w:p>
    <w:p w14:paraId="11563E27" w14:textId="77777777" w:rsidR="00A01352" w:rsidRDefault="00000000">
      <w:pPr>
        <w:pStyle w:val="a5"/>
        <w:spacing w:line="580" w:lineRule="exact"/>
        <w:ind w:firstLineChars="200" w:firstLine="640"/>
        <w:rPr>
          <w:rFonts w:ascii="仿宋_GB2312" w:eastAsia="仿宋_GB2312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kern w:val="0"/>
          <w:sz w:val="32"/>
          <w:szCs w:val="32"/>
        </w:rPr>
        <w:t>全县国有资本经营收入完成</w:t>
      </w:r>
      <w:r>
        <w:rPr>
          <w:rFonts w:ascii="仿宋_GB2312" w:eastAsia="仿宋_GB2312" w:hAnsi="Calibri" w:hint="eastAsia"/>
          <w:kern w:val="0"/>
          <w:sz w:val="32"/>
          <w:szCs w:val="32"/>
        </w:rPr>
        <w:t>3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>万元（为上级补助收入）</w:t>
      </w:r>
      <w:r>
        <w:rPr>
          <w:rFonts w:ascii="仿宋_GB2312" w:eastAsia="仿宋_GB2312" w:hint="eastAsia"/>
          <w:kern w:val="0"/>
          <w:sz w:val="32"/>
          <w:szCs w:val="32"/>
        </w:rPr>
        <w:t>；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>支出完成</w:t>
      </w:r>
      <w:r>
        <w:rPr>
          <w:rFonts w:ascii="仿宋_GB2312" w:eastAsia="仿宋_GB2312" w:hAnsi="Calibri" w:hint="eastAsia"/>
          <w:kern w:val="0"/>
          <w:sz w:val="32"/>
          <w:szCs w:val="32"/>
        </w:rPr>
        <w:t>3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>万元。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收支相抵，当年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>国有资本经营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预算收支平衡。</w:t>
      </w:r>
    </w:p>
    <w:p w14:paraId="349B067B" w14:textId="77777777" w:rsidR="00A01352" w:rsidRDefault="00000000">
      <w:pPr>
        <w:spacing w:line="580" w:lineRule="exact"/>
        <w:ind w:firstLineChars="200" w:firstLine="643"/>
        <w:rPr>
          <w:rFonts w:ascii="楷体_GB2312" w:eastAsia="楷体_GB2312" w:hAnsi="黑体" w:hint="eastAsia"/>
          <w:b/>
          <w:bCs/>
          <w:kern w:val="0"/>
          <w:sz w:val="32"/>
          <w:szCs w:val="32"/>
        </w:rPr>
      </w:pPr>
      <w:r>
        <w:rPr>
          <w:rFonts w:ascii="楷体_GB2312" w:eastAsia="楷体_GB2312" w:hAnsi="黑体" w:hint="eastAsia"/>
          <w:b/>
          <w:bCs/>
          <w:kern w:val="0"/>
          <w:sz w:val="32"/>
          <w:szCs w:val="32"/>
        </w:rPr>
        <w:t>（四）社会保险基金收支决算情况</w:t>
      </w:r>
    </w:p>
    <w:p w14:paraId="3A546BE2" w14:textId="77777777" w:rsidR="00A01352" w:rsidRDefault="00000000">
      <w:pPr>
        <w:pStyle w:val="a5"/>
        <w:spacing w:line="580" w:lineRule="exact"/>
        <w:ind w:firstLineChars="200" w:firstLine="640"/>
        <w:rPr>
          <w:rFonts w:ascii="仿宋_GB2312" w:eastAsia="仿宋_GB2312" w:hAnsi="宋体" w:cs="宋体" w:hint="eastAsia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kern w:val="0"/>
          <w:sz w:val="32"/>
          <w:szCs w:val="32"/>
        </w:rPr>
        <w:t>全县社会保险基金收入完成28988万元，</w:t>
      </w:r>
      <w:proofErr w:type="gramStart"/>
      <w:r>
        <w:rPr>
          <w:rFonts w:ascii="仿宋_GB2312" w:eastAsia="仿宋_GB2312" w:hAnsi="宋体" w:cs="宋体" w:hint="eastAsia"/>
          <w:kern w:val="0"/>
          <w:sz w:val="32"/>
          <w:szCs w:val="32"/>
        </w:rPr>
        <w:t>占调整</w:t>
      </w:r>
      <w:proofErr w:type="gramEnd"/>
      <w:r>
        <w:rPr>
          <w:rFonts w:ascii="仿宋_GB2312" w:eastAsia="仿宋_GB2312" w:hAnsi="宋体" w:cs="宋体" w:hint="eastAsia"/>
          <w:kern w:val="0"/>
          <w:sz w:val="32"/>
          <w:szCs w:val="32"/>
        </w:rPr>
        <w:t>预算的102.5%；支出完成23980万元，</w:t>
      </w:r>
      <w:proofErr w:type="gramStart"/>
      <w:r>
        <w:rPr>
          <w:rFonts w:ascii="仿宋_GB2312" w:eastAsia="仿宋_GB2312" w:hAnsi="宋体" w:cs="宋体" w:hint="eastAsia"/>
          <w:kern w:val="0"/>
          <w:sz w:val="32"/>
          <w:szCs w:val="32"/>
        </w:rPr>
        <w:t>占调整</w:t>
      </w:r>
      <w:proofErr w:type="gramEnd"/>
      <w:r>
        <w:rPr>
          <w:rFonts w:ascii="仿宋_GB2312" w:eastAsia="仿宋_GB2312" w:hAnsi="宋体" w:cs="宋体" w:hint="eastAsia"/>
          <w:kern w:val="0"/>
          <w:sz w:val="32"/>
          <w:szCs w:val="32"/>
        </w:rPr>
        <w:t>预算的99.7%。当年收支结余5008万元，年末滚存结余25543万元。</w:t>
      </w:r>
    </w:p>
    <w:p w14:paraId="53BB96B7" w14:textId="77777777" w:rsidR="00A01352" w:rsidRDefault="00000000">
      <w:pPr>
        <w:spacing w:line="580" w:lineRule="exact"/>
        <w:ind w:firstLineChars="200" w:firstLine="640"/>
        <w:rPr>
          <w:rFonts w:ascii="黑体" w:eastAsia="黑体" w:hAnsi="黑体" w:hint="eastAsia"/>
          <w:kern w:val="0"/>
          <w:sz w:val="32"/>
          <w:szCs w:val="32"/>
        </w:rPr>
      </w:pPr>
      <w:r>
        <w:rPr>
          <w:rFonts w:ascii="黑体" w:eastAsia="黑体" w:hAnsi="黑体" w:hint="eastAsia"/>
          <w:kern w:val="0"/>
          <w:sz w:val="32"/>
          <w:szCs w:val="32"/>
        </w:rPr>
        <w:t>二、2024年主要工作完成情况</w:t>
      </w:r>
    </w:p>
    <w:p w14:paraId="5E91CD9C" w14:textId="629ADCCE" w:rsidR="00A01352" w:rsidRDefault="00000000">
      <w:pPr>
        <w:pStyle w:val="a5"/>
        <w:spacing w:line="580" w:lineRule="exact"/>
        <w:ind w:firstLineChars="200" w:firstLine="640"/>
        <w:rPr>
          <w:rFonts w:ascii="仿宋_GB2312" w:eastAsia="仿宋_GB2312" w:hAnsi="宋体" w:cs="宋体" w:hint="eastAsia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kern w:val="0"/>
          <w:sz w:val="32"/>
          <w:szCs w:val="32"/>
        </w:rPr>
        <w:lastRenderedPageBreak/>
        <w:t>2024年是实现“十四五”规划目标任务的关键一年，全县财政工作在县委的正确领导下，在县人大的监督支持下，坚持以习近平新时代中国特色社会主义思想为指导，全面贯彻党的二十大和二十届二中、三中全会精神，严格执行县人大及其常委会各项决议和批准预算，加强财政资源统筹，调整优化支出结构，较好地完成了各项工作任务，财政运行总体平稳。</w:t>
      </w:r>
    </w:p>
    <w:p w14:paraId="1A89BF6D" w14:textId="2285B7AA" w:rsidR="00A01352" w:rsidRDefault="00000000">
      <w:pPr>
        <w:spacing w:line="580" w:lineRule="exact"/>
        <w:ind w:firstLineChars="200" w:firstLine="643"/>
        <w:rPr>
          <w:rFonts w:ascii="仿宋_GB2312" w:eastAsia="仿宋_GB2312" w:hAnsi="仿宋_GB2312" w:cs="仿宋_GB2312" w:hint="eastAsia"/>
          <w:kern w:val="0"/>
          <w:sz w:val="32"/>
          <w:szCs w:val="32"/>
        </w:rPr>
      </w:pPr>
      <w:r>
        <w:rPr>
          <w:rFonts w:ascii="楷体_GB2312" w:eastAsia="楷体_GB2312" w:hAnsi="楷体_GB2312" w:cs="楷体_GB2312" w:hint="eastAsia"/>
          <w:b/>
          <w:bCs/>
          <w:kern w:val="0"/>
          <w:sz w:val="32"/>
          <w:szCs w:val="32"/>
        </w:rPr>
        <w:t>（一）坚持拓财源、争资金，财政收入实现新增长。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积极应对经济下行压力和严峻的财政收支形势，加强分析</w:t>
      </w:r>
      <w:proofErr w:type="gramStart"/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研</w:t>
      </w:r>
      <w:proofErr w:type="gramEnd"/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判，采取有力措施组织收入，2024年全县一般公共预算收入完成75348万元，同比增长4.5%。</w:t>
      </w:r>
      <w:r>
        <w:rPr>
          <w:rFonts w:ascii="仿宋_GB2312" w:eastAsia="仿宋_GB2312" w:hAnsi="仿宋_GB2312" w:cs="仿宋_GB2312" w:hint="eastAsia"/>
          <w:b/>
          <w:bCs/>
          <w:kern w:val="0"/>
          <w:sz w:val="32"/>
          <w:szCs w:val="32"/>
        </w:rPr>
        <w:t>一是强化收入征管。</w:t>
      </w:r>
      <w:bookmarkStart w:id="2" w:name="OLE_LINK2"/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多次召开财税收入调度会，利用大数据平台，强化税源管控，开展了十大领域</w:t>
      </w:r>
      <w:r>
        <w:rPr>
          <w:rFonts w:ascii="仿宋_GB2312" w:eastAsia="仿宋_GB2312" w:hAnsi="仿宋_GB2312" w:cs="仿宋_GB2312" w:hint="eastAsia"/>
          <w:kern w:val="0"/>
          <w:sz w:val="28"/>
          <w:szCs w:val="28"/>
        </w:rPr>
        <w:t>（加油站、药店、契税、残保金、城镇土地使用税、环保税、垃圾处理费、企业增资扩股、房屋出租、拆迁补偿费）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专项行动，实现税费增加入库6915万元</w:t>
      </w:r>
      <w:bookmarkEnd w:id="2"/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；依法依规做好非税收入征管，梳理部门执法事项2558项、收费事项20项，更新发布</w:t>
      </w:r>
      <w:r>
        <w:rPr>
          <w:rFonts w:ascii="仿宋_GB2312" w:eastAsia="仿宋_GB2312" w:hint="eastAsia"/>
          <w:kern w:val="0"/>
          <w:sz w:val="32"/>
          <w:szCs w:val="32"/>
        </w:rPr>
        <w:t>行政事业性收费、政府性基金目录清单26个，组织开展了“乱收费、乱罚款、乱摊派”专项整治。</w:t>
      </w:r>
      <w:r>
        <w:rPr>
          <w:rFonts w:ascii="仿宋_GB2312" w:eastAsia="仿宋_GB2312" w:hint="eastAsia"/>
          <w:b/>
          <w:bCs/>
          <w:kern w:val="0"/>
          <w:sz w:val="32"/>
          <w:szCs w:val="32"/>
        </w:rPr>
        <w:t>二是加强基金收入。</w:t>
      </w:r>
      <w:r>
        <w:rPr>
          <w:rFonts w:ascii="仿宋_GB2312" w:eastAsia="仿宋_GB2312" w:hint="eastAsia"/>
          <w:kern w:val="0"/>
          <w:sz w:val="32"/>
          <w:szCs w:val="32"/>
        </w:rPr>
        <w:t>强化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部门协调联动，加强前期谋划，积极盘活存量土地资源，2024年政府性基金收入完成</w:t>
      </w:r>
      <w:r>
        <w:rPr>
          <w:rFonts w:ascii="仿宋_GB2312" w:eastAsia="仿宋_GB2312" w:hint="eastAsia"/>
          <w:kern w:val="0"/>
          <w:sz w:val="32"/>
          <w:szCs w:val="32"/>
        </w:rPr>
        <w:t>48544</w:t>
      </w:r>
      <w:r>
        <w:rPr>
          <w:rFonts w:ascii="仿宋_GB2312" w:eastAsia="仿宋_GB2312" w:hAnsi="仿宋_GB2312" w:cs="仿宋_GB2312" w:hint="eastAsia"/>
          <w:kern w:val="0"/>
          <w:sz w:val="32"/>
        </w:rPr>
        <w:t>万元，同比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增长</w:t>
      </w:r>
      <w:r>
        <w:rPr>
          <w:rFonts w:ascii="仿宋_GB2312" w:eastAsia="仿宋_GB2312" w:hAnsi="仿宋_GB2312" w:cs="仿宋_GB2312" w:hint="eastAsia"/>
          <w:kern w:val="0"/>
          <w:sz w:val="32"/>
        </w:rPr>
        <w:t>46.8%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。</w:t>
      </w:r>
      <w:r>
        <w:rPr>
          <w:rFonts w:ascii="仿宋_GB2312" w:eastAsia="仿宋_GB2312" w:hAnsi="仿宋_GB2312" w:cs="仿宋_GB2312" w:hint="eastAsia"/>
          <w:b/>
          <w:bCs/>
          <w:kern w:val="0"/>
          <w:sz w:val="32"/>
          <w:szCs w:val="32"/>
        </w:rPr>
        <w:t>三是争取上级支持。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密切关注国家和省市政策导向，梳理编制了《2024年向上争资项目目录指引》，</w:t>
      </w:r>
      <w:proofErr w:type="gramStart"/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明确争</w:t>
      </w:r>
      <w:proofErr w:type="gramEnd"/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资方向与重点，争取上级补助资金17.27亿元、专项债券5.99亿元、超长期国债9.58亿元，为全县项目建设和事业发展提供了有力支撑。</w:t>
      </w:r>
      <w:r>
        <w:rPr>
          <w:rFonts w:ascii="仿宋_GB2312" w:eastAsia="仿宋_GB2312" w:hAnsi="仿宋_GB2312" w:cs="仿宋_GB2312" w:hint="eastAsia"/>
          <w:b/>
          <w:bCs/>
          <w:kern w:val="0"/>
          <w:sz w:val="32"/>
          <w:szCs w:val="32"/>
        </w:rPr>
        <w:t>四是推进资产处置。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制定了《2024年高邑县行政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lastRenderedPageBreak/>
        <w:t>事业单位国有资产盘活实施方案》，对全县国有资产全面梳理摸排，积极推进闲置资产处置。按照2024年机构改革工作部署，督促</w:t>
      </w:r>
      <w:proofErr w:type="gramStart"/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指导涉改部门</w:t>
      </w:r>
      <w:proofErr w:type="gramEnd"/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做好资产清查、划转、接收工作，确保国有资产有序调整到位。</w:t>
      </w:r>
    </w:p>
    <w:p w14:paraId="318185B3" w14:textId="77777777" w:rsidR="00A01352" w:rsidRDefault="00000000">
      <w:pPr>
        <w:pStyle w:val="af4"/>
        <w:spacing w:line="580" w:lineRule="exact"/>
        <w:ind w:firstLineChars="200" w:firstLine="643"/>
        <w:jc w:val="both"/>
        <w:rPr>
          <w:rFonts w:ascii="仿宋_GB2312" w:eastAsia="仿宋_GB2312" w:hAnsi="仿宋_GB2312" w:cs="仿宋_GB2312" w:hint="eastAsia"/>
          <w:b w:val="0"/>
        </w:rPr>
      </w:pPr>
      <w:r>
        <w:rPr>
          <w:rFonts w:ascii="楷体_GB2312" w:eastAsia="楷体_GB2312" w:hAnsi="楷体_GB2312" w:cs="楷体_GB2312" w:hint="eastAsia"/>
          <w:bCs/>
        </w:rPr>
        <w:t>（二）坚持保“三保”、办大事，重点工作取得新成效。</w:t>
      </w:r>
      <w:bookmarkStart w:id="3" w:name="OLE_LINK3"/>
      <w:r>
        <w:rPr>
          <w:rFonts w:ascii="仿宋_GB2312" w:eastAsia="仿宋_GB2312" w:hAnsi="仿宋_GB2312" w:cs="仿宋_GB2312" w:hint="eastAsia"/>
          <w:bCs/>
        </w:rPr>
        <w:t>一是坚决兜牢“三保”底线。</w:t>
      </w:r>
      <w:r>
        <w:rPr>
          <w:rFonts w:ascii="仿宋_GB2312" w:eastAsia="仿宋_GB2312" w:hAnsi="仿宋_GB2312" w:cs="仿宋_GB2312" w:hint="eastAsia"/>
          <w:b w:val="0"/>
        </w:rPr>
        <w:t>始终把保基本民生、保工资、保运转摆在突出位置，做到预算安排、预算执行、库款保障“三个优先”，兜</w:t>
      </w:r>
      <w:proofErr w:type="gramStart"/>
      <w:r>
        <w:rPr>
          <w:rFonts w:ascii="仿宋_GB2312" w:eastAsia="仿宋_GB2312" w:hAnsi="仿宋_GB2312" w:cs="仿宋_GB2312" w:hint="eastAsia"/>
          <w:b w:val="0"/>
        </w:rPr>
        <w:t>牢兜实“三保”</w:t>
      </w:r>
      <w:proofErr w:type="gramEnd"/>
      <w:r>
        <w:rPr>
          <w:rFonts w:ascii="仿宋_GB2312" w:eastAsia="仿宋_GB2312" w:hAnsi="仿宋_GB2312" w:cs="仿宋_GB2312" w:hint="eastAsia"/>
          <w:b w:val="0"/>
        </w:rPr>
        <w:t>底线。2024年“三保”支出68515万元，其中保基本民生27638万元、保工资39131万元、保运转1746万元。</w:t>
      </w:r>
      <w:bookmarkEnd w:id="3"/>
      <w:r>
        <w:rPr>
          <w:rFonts w:ascii="仿宋_GB2312" w:eastAsia="仿宋_GB2312" w:hAnsi="仿宋_GB2312" w:cs="仿宋_GB2312" w:hint="eastAsia"/>
          <w:bCs/>
        </w:rPr>
        <w:t>二是</w:t>
      </w:r>
      <w:r>
        <w:rPr>
          <w:rFonts w:ascii="仿宋_GB2312" w:eastAsia="仿宋_GB2312" w:hAnsi="仿宋_GB2312" w:cs="仿宋_GB2312" w:hint="eastAsia"/>
          <w:bCs/>
          <w:szCs w:val="24"/>
        </w:rPr>
        <w:t>支持石家庄国际陆港建设。</w:t>
      </w:r>
      <w:r>
        <w:rPr>
          <w:rFonts w:ascii="仿宋_GB2312" w:eastAsia="仿宋_GB2312" w:hAnsi="仿宋_GB2312" w:cs="仿宋_GB2312" w:hint="eastAsia"/>
          <w:b w:val="0"/>
          <w:szCs w:val="24"/>
        </w:rPr>
        <w:t>争取综合货运枢纽</w:t>
      </w:r>
      <w:proofErr w:type="gramStart"/>
      <w:r>
        <w:rPr>
          <w:rFonts w:ascii="仿宋_GB2312" w:eastAsia="仿宋_GB2312" w:hAnsi="仿宋_GB2312" w:cs="仿宋_GB2312" w:hint="eastAsia"/>
          <w:b w:val="0"/>
          <w:szCs w:val="24"/>
        </w:rPr>
        <w:t>补链强链奖补</w:t>
      </w:r>
      <w:proofErr w:type="gramEnd"/>
      <w:r>
        <w:rPr>
          <w:rFonts w:ascii="仿宋_GB2312" w:eastAsia="仿宋_GB2312" w:hAnsi="仿宋_GB2312" w:cs="仿宋_GB2312" w:hint="eastAsia"/>
          <w:b w:val="0"/>
          <w:szCs w:val="24"/>
        </w:rPr>
        <w:t>资金28898万元、</w:t>
      </w:r>
      <w:r>
        <w:rPr>
          <w:rFonts w:ascii="仿宋_GB2312" w:eastAsia="仿宋_GB2312" w:hAnsi="仿宋_GB2312" w:cs="仿宋_GB2312" w:hint="eastAsia"/>
          <w:b w:val="0"/>
        </w:rPr>
        <w:t>超长期国债95800万元，用于支持</w:t>
      </w:r>
      <w:r>
        <w:rPr>
          <w:rFonts w:ascii="仿宋_GB2312" w:eastAsia="仿宋_GB2312" w:hAnsi="仿宋_GB2312" w:cs="仿宋_GB2312" w:hint="eastAsia"/>
          <w:b w:val="0"/>
          <w:szCs w:val="24"/>
        </w:rPr>
        <w:t>陆港</w:t>
      </w:r>
      <w:r>
        <w:rPr>
          <w:rFonts w:ascii="仿宋_GB2312" w:eastAsia="仿宋_GB2312" w:hAnsi="仿宋_GB2312" w:cs="仿宋_GB2312" w:hint="eastAsia"/>
          <w:b w:val="0"/>
        </w:rPr>
        <w:t>基础设施建设，进一步增强企业发展动能；</w:t>
      </w:r>
      <w:r>
        <w:rPr>
          <w:rFonts w:ascii="仿宋_GB2312" w:eastAsia="仿宋_GB2312" w:hAnsi="仿宋_GB2312" w:cs="仿宋_GB2312" w:hint="eastAsia"/>
          <w:b w:val="0"/>
          <w:szCs w:val="24"/>
        </w:rPr>
        <w:t>筹措资金6000余万元用于占地征迁工作，陆港发展框架进一步拉开。</w:t>
      </w:r>
      <w:r>
        <w:rPr>
          <w:rFonts w:ascii="仿宋_GB2312" w:eastAsia="仿宋_GB2312" w:hAnsi="仿宋_GB2312" w:cs="仿宋_GB2312" w:hint="eastAsia"/>
          <w:bCs/>
          <w:szCs w:val="24"/>
        </w:rPr>
        <w:t>三</w:t>
      </w:r>
      <w:r>
        <w:rPr>
          <w:rFonts w:ascii="仿宋_GB2312" w:eastAsia="仿宋_GB2312" w:hAnsi="仿宋_GB2312" w:cs="仿宋_GB2312" w:hint="eastAsia"/>
          <w:bCs/>
        </w:rPr>
        <w:t>是支持市政基础设施建设。</w:t>
      </w:r>
      <w:r>
        <w:rPr>
          <w:rFonts w:ascii="仿宋_GB2312" w:eastAsia="仿宋_GB2312" w:hAnsi="仿宋_GB2312" w:cs="仿宋_GB2312" w:hint="eastAsia"/>
          <w:b w:val="0"/>
        </w:rPr>
        <w:t>争取专项债券5.99亿元，支持了北部片区及开发区综合管网改造、城乡燃气安全提升改造等7个项目，进一步提升县城基础设施水平。</w:t>
      </w:r>
      <w:bookmarkStart w:id="4" w:name="OLE_LINK5"/>
    </w:p>
    <w:p w14:paraId="50F2FA58" w14:textId="77777777" w:rsidR="00A01352" w:rsidRDefault="00000000">
      <w:pPr>
        <w:spacing w:line="580" w:lineRule="exact"/>
        <w:ind w:firstLineChars="200" w:firstLine="643"/>
      </w:pPr>
      <w:bookmarkStart w:id="5" w:name="OLE_LINK4"/>
      <w:bookmarkEnd w:id="4"/>
      <w:r>
        <w:rPr>
          <w:rFonts w:ascii="楷体_GB2312" w:eastAsia="楷体_GB2312" w:hAnsi="Times New Roman" w:cs="楷体_GB2312"/>
          <w:b/>
          <w:bCs/>
          <w:sz w:val="32"/>
          <w:szCs w:val="32"/>
        </w:rPr>
        <w:t>（三）坚持办实事、增福祉，</w:t>
      </w:r>
      <w:r>
        <w:rPr>
          <w:rFonts w:ascii="楷体_GB2312" w:eastAsia="楷体_GB2312" w:hAnsi="楷体_GB2312" w:cs="楷体_GB2312" w:hint="eastAsia"/>
          <w:b/>
          <w:bCs/>
          <w:kern w:val="0"/>
          <w:sz w:val="32"/>
          <w:szCs w:val="32"/>
        </w:rPr>
        <w:t>民生保障展现新作为</w:t>
      </w:r>
      <w:r>
        <w:rPr>
          <w:rFonts w:ascii="楷体_GB2312" w:eastAsia="楷体_GB2312" w:hAnsi="Times New Roman" w:cs="楷体_GB2312" w:hint="eastAsia"/>
          <w:b/>
          <w:bCs/>
          <w:sz w:val="32"/>
          <w:szCs w:val="32"/>
        </w:rPr>
        <w:t>。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把民生作为财政支出的优先选项，持续加大资金投入，全年民生支出占一般公共预算支出比例达到91.5%。</w:t>
      </w:r>
      <w:r>
        <w:rPr>
          <w:rFonts w:ascii="仿宋_GB2312" w:eastAsia="仿宋_GB2312" w:hAnsi="仿宋_GB2312" w:cs="仿宋_GB2312" w:hint="eastAsia"/>
          <w:b/>
          <w:bCs/>
          <w:kern w:val="0"/>
          <w:sz w:val="32"/>
          <w:szCs w:val="32"/>
        </w:rPr>
        <w:t>一是坚持教育优先发展。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教育支出实现两个“只增不减”，保障了义务教育薄弱环节改善与能力提升、学生营养改善计划、困难学生资助等落实到位，不断提升各学段办学条件，通过了市对</w:t>
      </w:r>
      <w:proofErr w:type="gramStart"/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县履行</w:t>
      </w:r>
      <w:proofErr w:type="gramEnd"/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教育职责评价。</w:t>
      </w:r>
      <w:r>
        <w:rPr>
          <w:rFonts w:ascii="仿宋_GB2312" w:eastAsia="仿宋_GB2312" w:hAnsi="仿宋_GB2312" w:cs="仿宋_GB2312" w:hint="eastAsia"/>
          <w:b/>
          <w:bCs/>
          <w:kern w:val="0"/>
          <w:sz w:val="32"/>
          <w:szCs w:val="32"/>
        </w:rPr>
        <w:t>二是完善社保就业体系。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进一步兜</w:t>
      </w:r>
      <w:proofErr w:type="gramStart"/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牢基本</w:t>
      </w:r>
      <w:proofErr w:type="gramEnd"/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民生保障底线，对相关民生政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lastRenderedPageBreak/>
        <w:t>策</w:t>
      </w:r>
      <w:proofErr w:type="gramStart"/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扩面提</w:t>
      </w:r>
      <w:proofErr w:type="gramEnd"/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标，城乡居民基础养老金标准由163元/人</w:t>
      </w:r>
      <w:proofErr w:type="gramStart"/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月提高</w:t>
      </w:r>
      <w:proofErr w:type="gramEnd"/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到183元/人月，城镇、</w:t>
      </w:r>
      <w:proofErr w:type="gramStart"/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农村低保最高</w:t>
      </w:r>
      <w:proofErr w:type="gramEnd"/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标准分别调整到840元/人月、640元/人月，城镇、农村特困标准分别调整到1100元/人月、840元/人月，发放了高龄津贴和残疾人补贴，落实了</w:t>
      </w:r>
      <w:proofErr w:type="gramStart"/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老年助</w:t>
      </w:r>
      <w:proofErr w:type="gramEnd"/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餐服务。建立农民工工资拨款联动机制，将农民工工资纳入专户保障，</w:t>
      </w:r>
      <w:r>
        <w:rPr>
          <w:rFonts w:ascii="仿宋_GB2312" w:eastAsia="仿宋_GB2312" w:hAnsi="宋体" w:cs="仿宋_GB2312"/>
          <w:color w:val="000000"/>
          <w:kern w:val="0"/>
          <w:sz w:val="32"/>
          <w:szCs w:val="32"/>
          <w:shd w:val="clear" w:color="auto" w:fill="FFFFFF"/>
        </w:rPr>
        <w:t>维护农民工合法权益</w:t>
      </w:r>
      <w:r>
        <w:rPr>
          <w:rFonts w:ascii="仿宋_GB2312" w:eastAsia="仿宋_GB2312" w:hAnsi="宋体" w:cs="仿宋_GB2312" w:hint="eastAsia"/>
          <w:color w:val="000000"/>
          <w:kern w:val="0"/>
          <w:sz w:val="32"/>
          <w:szCs w:val="32"/>
          <w:shd w:val="clear" w:color="auto" w:fill="FFFFFF"/>
        </w:rPr>
        <w:t>。</w:t>
      </w:r>
      <w:r>
        <w:rPr>
          <w:rFonts w:ascii="仿宋_GB2312" w:eastAsia="仿宋_GB2312" w:hAnsi="宋体" w:cs="仿宋_GB2312" w:hint="eastAsia"/>
          <w:b/>
          <w:bCs/>
          <w:color w:val="000000"/>
          <w:kern w:val="0"/>
          <w:sz w:val="32"/>
          <w:szCs w:val="32"/>
          <w:shd w:val="clear" w:color="auto" w:fill="FFFFFF"/>
        </w:rPr>
        <w:t>三是提升医疗卫生水平。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基本公共卫生服务补助标准由89元/人年提高到94元/人年，城乡居民医疗保险补助标准由640元/人年提高到670元/人年；支持紧密型县域</w:t>
      </w:r>
      <w:proofErr w:type="gramStart"/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医</w:t>
      </w:r>
      <w:proofErr w:type="gramEnd"/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共体建设，</w:t>
      </w:r>
      <w:r>
        <w:rPr>
          <w:rFonts w:ascii="仿宋_GB2312" w:eastAsia="仿宋_GB2312" w:hAnsi="仿宋_GB2312" w:cs="仿宋_GB2312" w:hint="eastAsia"/>
          <w:kern w:val="0"/>
          <w:sz w:val="32"/>
        </w:rPr>
        <w:t>促进优质医疗资源下沉，落实了适龄妇女“两癌”免费筛查及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14周岁女孩免费接种国产二价HPV疫苗政策。</w:t>
      </w:r>
      <w:bookmarkStart w:id="6" w:name="OLE_LINK6"/>
      <w:r>
        <w:rPr>
          <w:rFonts w:ascii="仿宋_GB2312" w:eastAsia="仿宋_GB2312" w:hAnsi="仿宋_GB2312" w:cs="仿宋_GB2312" w:hint="eastAsia"/>
          <w:b/>
          <w:bCs/>
          <w:kern w:val="0"/>
          <w:sz w:val="32"/>
          <w:szCs w:val="32"/>
        </w:rPr>
        <w:t>四是助力</w:t>
      </w:r>
      <w:r>
        <w:rPr>
          <w:rFonts w:ascii="仿宋_GB2312" w:eastAsia="仿宋_GB2312" w:hAnsi="仿宋_GB2312" w:cs="仿宋_GB2312" w:hint="eastAsia"/>
          <w:b/>
          <w:bCs/>
          <w:kern w:val="0"/>
          <w:sz w:val="32"/>
          <w:szCs w:val="24"/>
        </w:rPr>
        <w:t>乡村振兴工作。</w:t>
      </w:r>
      <w:r>
        <w:rPr>
          <w:rFonts w:ascii="仿宋_GB2312" w:eastAsia="仿宋_GB2312" w:hAnsi="仿宋_GB2312" w:cs="仿宋_GB2312" w:hint="eastAsia"/>
          <w:kern w:val="0"/>
          <w:sz w:val="32"/>
        </w:rPr>
        <w:t>2024年安排乡村振兴衔接资金2629万元，其中用于增强就业、带动致富等产业发展比例达到79.4%；支出资金883万元支持了高标准农田建设，支出资金1142万元推进政策性农业保险，发放耕地地力保护、农机具购置补贴2910万元，有力保障了粮食生产安全；坚持土地收益“取之于农、用之于农”，2024年土地出让收益用于农业农村比例达到49.9%。</w:t>
      </w:r>
      <w:bookmarkEnd w:id="6"/>
      <w:r>
        <w:rPr>
          <w:rFonts w:ascii="仿宋_GB2312" w:eastAsia="仿宋_GB2312" w:hAnsi="仿宋_GB2312" w:cs="仿宋_GB2312" w:hint="eastAsia"/>
          <w:b/>
          <w:bCs/>
          <w:kern w:val="0"/>
          <w:sz w:val="32"/>
        </w:rPr>
        <w:t>五是</w:t>
      </w:r>
      <w:r>
        <w:rPr>
          <w:rFonts w:ascii="仿宋_GB2312" w:eastAsia="仿宋_GB2312" w:hAnsi="仿宋_GB2312" w:cs="仿宋_GB2312" w:hint="eastAsia"/>
          <w:b/>
          <w:bCs/>
          <w:kern w:val="0"/>
          <w:sz w:val="32"/>
          <w:szCs w:val="32"/>
        </w:rPr>
        <w:t>支持生态环境保护。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助力打好蓝天、碧水、净土保卫战，支出资金8123万元支持了城乡环卫一体化、农村“双代”、气价倒挂、污水处理工作；支出资金14029万元推进槐河生态修复与保护利用项目、</w:t>
      </w:r>
      <w:bookmarkStart w:id="7" w:name="OLE_LINK7"/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泲河</w:t>
      </w:r>
      <w:bookmarkEnd w:id="7"/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河道治理工程，不断完善河道防洪体系及生态修复。</w:t>
      </w:r>
    </w:p>
    <w:bookmarkEnd w:id="5"/>
    <w:p w14:paraId="147AE567" w14:textId="77777777" w:rsidR="00A01352" w:rsidRDefault="00000000">
      <w:pPr>
        <w:spacing w:line="580" w:lineRule="exact"/>
        <w:ind w:firstLineChars="200" w:firstLine="643"/>
        <w:rPr>
          <w:rFonts w:ascii="仿宋_GB2312" w:eastAsia="仿宋_GB2312" w:hAnsi="仿宋_GB2312" w:cs="仿宋_GB2312" w:hint="eastAsia"/>
          <w:kern w:val="0"/>
          <w:sz w:val="32"/>
          <w:szCs w:val="32"/>
        </w:rPr>
      </w:pPr>
      <w:r>
        <w:rPr>
          <w:rFonts w:ascii="楷体_GB2312" w:eastAsia="楷体_GB2312" w:hAnsi="楷体_GB2312" w:cs="楷体_GB2312" w:hint="eastAsia"/>
          <w:b/>
          <w:bCs/>
          <w:kern w:val="0"/>
          <w:sz w:val="32"/>
          <w:szCs w:val="32"/>
        </w:rPr>
        <w:t>（四）坚持强管理、促改革，财政工作迈出新步伐。</w:t>
      </w:r>
      <w:r>
        <w:rPr>
          <w:rFonts w:ascii="仿宋_GB2312" w:eastAsia="仿宋_GB2312" w:hAnsi="仿宋_GB2312" w:cs="仿宋_GB2312" w:hint="eastAsia"/>
          <w:b/>
          <w:bCs/>
          <w:kern w:val="0"/>
          <w:sz w:val="32"/>
          <w:szCs w:val="32"/>
        </w:rPr>
        <w:t>一是加强财政综合业务管理。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聚焦保障性安居工程、政府购买服务、彩票公益金等财政综合业务，组织工作人员开展学习培训，提升业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lastRenderedPageBreak/>
        <w:t>务水平，2024年7月份我县在全省财政综合业务培训班上作典型经验交流发言。</w:t>
      </w:r>
      <w:r>
        <w:rPr>
          <w:rFonts w:ascii="仿宋_GB2312" w:eastAsia="仿宋_GB2312" w:hAnsi="仿宋_GB2312" w:cs="仿宋_GB2312" w:hint="eastAsia"/>
          <w:b/>
          <w:bCs/>
          <w:kern w:val="0"/>
          <w:sz w:val="32"/>
          <w:szCs w:val="32"/>
        </w:rPr>
        <w:t>二是加强预算绩效管理。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认真落实“过紧日子”要求，深化零基预算改革，大力压减一般性和非急需、非刚性支出，组织预算部门对802个预算项目开展了绩效自评，并对9个预算项目开展了重点绩效评价，提高了资金使用效益。</w:t>
      </w:r>
      <w:r>
        <w:rPr>
          <w:rFonts w:ascii="仿宋_GB2312" w:eastAsia="仿宋_GB2312" w:hAnsi="仿宋_GB2312" w:cs="仿宋_GB2312" w:hint="eastAsia"/>
          <w:b/>
          <w:bCs/>
          <w:kern w:val="0"/>
          <w:sz w:val="32"/>
          <w:szCs w:val="32"/>
        </w:rPr>
        <w:t>三是加强财政评审管理。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强化对重大项目资金评审和跟踪问效，全年累计评审项目33个，送审金额86143万元，审定金额66066万元，节约资金20077万元，审减率23.3%。</w:t>
      </w:r>
      <w:r>
        <w:rPr>
          <w:rFonts w:ascii="仿宋_GB2312" w:eastAsia="仿宋_GB2312" w:hAnsi="仿宋_GB2312" w:cs="仿宋_GB2312" w:hint="eastAsia"/>
          <w:b/>
          <w:bCs/>
          <w:kern w:val="0"/>
          <w:sz w:val="32"/>
          <w:szCs w:val="32"/>
        </w:rPr>
        <w:t>四是加强政府采购管理。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实施政府采购招标“双盲”评审模式，全年完成政府采购项目33个，预算总额5687万元，实际采购4786万元，节约资金901万元，节约率15.8%。深入推进政府采购制度改革，制定了《高邑县政府采购领域“整顿市场秩序、建设法规体系、促进产业发展”三年行动台账》，持续开展四类违法违规行为专项整治，着力优化政府采购领域营商环境。</w:t>
      </w:r>
    </w:p>
    <w:p w14:paraId="49BF5551" w14:textId="77777777" w:rsidR="00A01352" w:rsidRDefault="00000000">
      <w:pPr>
        <w:spacing w:line="580" w:lineRule="exact"/>
        <w:ind w:firstLineChars="200" w:firstLine="643"/>
        <w:rPr>
          <w:rFonts w:ascii="仿宋_GB2312" w:eastAsia="仿宋_GB2312" w:hAnsi="仿宋_GB2312" w:cs="仿宋_GB2312" w:hint="eastAsia"/>
          <w:kern w:val="0"/>
          <w:sz w:val="32"/>
          <w:szCs w:val="32"/>
        </w:rPr>
      </w:pPr>
      <w:r>
        <w:rPr>
          <w:rFonts w:ascii="楷体_GB2312" w:eastAsia="楷体_GB2312" w:hAnsi="楷体_GB2312" w:cs="楷体_GB2312" w:hint="eastAsia"/>
          <w:b/>
          <w:bCs/>
          <w:kern w:val="0"/>
          <w:sz w:val="32"/>
          <w:szCs w:val="32"/>
        </w:rPr>
        <w:t>（五）坚持严监管、防风险，财会监督发挥新效能。</w:t>
      </w:r>
      <w:r>
        <w:rPr>
          <w:rFonts w:ascii="仿宋_GB2312" w:eastAsia="仿宋_GB2312" w:hAnsi="仿宋_GB2312" w:cs="仿宋_GB2312" w:hint="eastAsia"/>
          <w:b/>
          <w:bCs/>
          <w:kern w:val="0"/>
          <w:sz w:val="32"/>
          <w:szCs w:val="32"/>
        </w:rPr>
        <w:t>一是强化财会监督约束。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印发了《2024年财会监督专项行动方案》，聚焦惠民惠农补贴、高标准农田、非税收</w:t>
      </w:r>
      <w:proofErr w:type="gramStart"/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入政策</w:t>
      </w:r>
      <w:proofErr w:type="gramEnd"/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等开展了财会监督专项行动，配合省、市开展了国债项目、工资津补贴、殡葬领域审计检查，高质量完成了行政事业单位内控编报工作，进一步严肃财经纪律，确保资金规范高效使用。</w:t>
      </w:r>
      <w:r>
        <w:rPr>
          <w:rFonts w:ascii="仿宋_GB2312" w:eastAsia="仿宋_GB2312" w:hAnsi="仿宋_GB2312" w:cs="仿宋_GB2312" w:hint="eastAsia"/>
          <w:b/>
          <w:bCs/>
          <w:kern w:val="0"/>
          <w:sz w:val="32"/>
          <w:szCs w:val="32"/>
        </w:rPr>
        <w:t>二是加强政府债务管理。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认真</w:t>
      </w:r>
      <w:proofErr w:type="gramStart"/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研究国</w:t>
      </w:r>
      <w:proofErr w:type="gramEnd"/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家化债政策，争取特殊再融资债券1.59亿元，我县隐性债务实现清零。强化政府债务常态化管控，政府债券按时还本付息，坚决守</w:t>
      </w:r>
      <w:proofErr w:type="gramStart"/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牢风险</w:t>
      </w:r>
      <w:proofErr w:type="gramEnd"/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底线。</w:t>
      </w:r>
      <w:r>
        <w:rPr>
          <w:rFonts w:ascii="仿宋_GB2312" w:eastAsia="仿宋_GB2312" w:hAnsi="仿宋_GB2312" w:cs="仿宋_GB2312" w:hint="eastAsia"/>
          <w:b/>
          <w:bCs/>
          <w:kern w:val="0"/>
          <w:sz w:val="32"/>
          <w:szCs w:val="32"/>
        </w:rPr>
        <w:t>三是推进财政信息公开。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依法依规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lastRenderedPageBreak/>
        <w:t>及时公开政府及部门预决算、绩效管理、“三公”经费等信息，提高财政透明度，有力保障公众知情权、参与权与监督权。</w:t>
      </w:r>
      <w:r>
        <w:rPr>
          <w:rFonts w:ascii="仿宋_GB2312" w:eastAsia="仿宋_GB2312" w:hAnsi="仿宋_GB2312" w:cs="仿宋_GB2312" w:hint="eastAsia"/>
          <w:b/>
          <w:bCs/>
          <w:kern w:val="0"/>
          <w:sz w:val="32"/>
          <w:szCs w:val="32"/>
        </w:rPr>
        <w:t>四是主动接受人大监督。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依法依规向县人大报告预算执行、预算调整、国有资产、政府债务等重点工作，主动接受县人大监督，虚心接受县人大审议意见，不断提高依法理财、科学理财能力。</w:t>
      </w:r>
    </w:p>
    <w:p w14:paraId="4C38E768" w14:textId="77777777" w:rsidR="00A01352" w:rsidRDefault="00000000">
      <w:pPr>
        <w:spacing w:line="580" w:lineRule="exact"/>
        <w:ind w:firstLineChars="200" w:firstLine="640"/>
        <w:rPr>
          <w:rFonts w:ascii="仿宋_GB2312" w:eastAsia="仿宋_GB2312" w:hAnsi="仿宋_GB2312" w:cs="仿宋_GB2312" w:hint="eastAsia"/>
          <w:kern w:val="0"/>
          <w:sz w:val="32"/>
          <w:szCs w:val="32"/>
        </w:rPr>
      </w:pP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2024年，全县财政工作在多重压力下砥砺前行，财政收支在艰难中实现平衡，但仍存在一些问题亟须解决，主要是：财政收入规模小，传统支柱产业贡献度减弱，收入稳定增长基础尚不稳固，财源建设还需加强；基层“三保”、债务还本付息等刚性支出增长，财政收支矛盾持续加剧，财政运行“紧平衡”态势短期内难以缓解；财政管理还存在薄弱环节，财会监督体系不够完善，部分资金使用效益偏低等。对于这些问题，我们将高度重视，采取有效措施，逐步加以解决。</w:t>
      </w:r>
    </w:p>
    <w:p w14:paraId="3E125899" w14:textId="77777777" w:rsidR="00A01352" w:rsidRDefault="00000000">
      <w:pPr>
        <w:spacing w:line="580" w:lineRule="exact"/>
        <w:ind w:firstLineChars="200" w:firstLine="640"/>
      </w:pP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以上报告，请</w:t>
      </w:r>
      <w:proofErr w:type="gramStart"/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予审</w:t>
      </w:r>
      <w:proofErr w:type="gramEnd"/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议。</w:t>
      </w:r>
    </w:p>
    <w:sectPr w:rsidR="00A01352">
      <w:footerReference w:type="even" r:id="rId6"/>
      <w:footerReference w:type="default" r:id="rId7"/>
      <w:pgSz w:w="11906" w:h="16838"/>
      <w:pgMar w:top="1701" w:right="1531" w:bottom="1644" w:left="1531" w:header="851" w:footer="992" w:gutter="0"/>
      <w:pgNumType w:fmt="numberInDash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0FBF80" w14:textId="77777777" w:rsidR="00B12480" w:rsidRDefault="00B12480">
      <w:r>
        <w:separator/>
      </w:r>
    </w:p>
  </w:endnote>
  <w:endnote w:type="continuationSeparator" w:id="0">
    <w:p w14:paraId="38DA9900" w14:textId="77777777" w:rsidR="00B12480" w:rsidRDefault="00B124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F42FDC" w14:textId="77777777" w:rsidR="00A01352" w:rsidRDefault="00000000">
    <w:pPr>
      <w:pStyle w:val="a7"/>
      <w:framePr w:wrap="around" w:vAnchor="text" w:hAnchor="margin" w:xAlign="center" w:y="1"/>
      <w:rPr>
        <w:rStyle w:val="af"/>
      </w:rPr>
    </w:pPr>
    <w:r>
      <w:rPr>
        <w:rStyle w:val="af"/>
      </w:rPr>
      <w:fldChar w:fldCharType="begin"/>
    </w:r>
    <w:r>
      <w:rPr>
        <w:rStyle w:val="af"/>
      </w:rPr>
      <w:instrText xml:space="preserve">PAGE  </w:instrText>
    </w:r>
    <w:r>
      <w:rPr>
        <w:rStyle w:val="af"/>
      </w:rPr>
      <w:fldChar w:fldCharType="end"/>
    </w:r>
  </w:p>
  <w:p w14:paraId="7FDCDA7E" w14:textId="77777777" w:rsidR="00A01352" w:rsidRDefault="00A01352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AFB238" w14:textId="77777777" w:rsidR="00A01352" w:rsidRDefault="00000000">
    <w:pPr>
      <w:pStyle w:val="a7"/>
      <w:framePr w:wrap="around" w:vAnchor="text" w:hAnchor="margin" w:xAlign="center" w:y="1"/>
      <w:rPr>
        <w:rStyle w:val="af"/>
        <w:rFonts w:ascii="Courier New" w:hAnsi="Courier New" w:cs="Courier New"/>
        <w:sz w:val="24"/>
        <w:szCs w:val="24"/>
      </w:rPr>
    </w:pPr>
    <w:r>
      <w:rPr>
        <w:rStyle w:val="af"/>
        <w:rFonts w:ascii="Courier New" w:hAnsi="Courier New" w:cs="Courier New"/>
        <w:sz w:val="24"/>
        <w:szCs w:val="24"/>
      </w:rPr>
      <w:fldChar w:fldCharType="begin"/>
    </w:r>
    <w:r>
      <w:rPr>
        <w:rStyle w:val="af"/>
        <w:rFonts w:ascii="Courier New" w:hAnsi="Courier New" w:cs="Courier New"/>
        <w:sz w:val="24"/>
        <w:szCs w:val="24"/>
      </w:rPr>
      <w:instrText xml:space="preserve">PAGE  </w:instrText>
    </w:r>
    <w:r>
      <w:rPr>
        <w:rStyle w:val="af"/>
        <w:rFonts w:ascii="Courier New" w:hAnsi="Courier New" w:cs="Courier New"/>
        <w:sz w:val="24"/>
        <w:szCs w:val="24"/>
      </w:rPr>
      <w:fldChar w:fldCharType="separate"/>
    </w:r>
    <w:r>
      <w:rPr>
        <w:rStyle w:val="af"/>
        <w:rFonts w:ascii="Courier New" w:hAnsi="Courier New" w:cs="Courier New"/>
        <w:sz w:val="24"/>
        <w:szCs w:val="24"/>
      </w:rPr>
      <w:t>- 7 -</w:t>
    </w:r>
    <w:r>
      <w:rPr>
        <w:rStyle w:val="af"/>
        <w:rFonts w:ascii="Courier New" w:hAnsi="Courier New" w:cs="Courier New"/>
        <w:sz w:val="24"/>
        <w:szCs w:val="24"/>
      </w:rPr>
      <w:fldChar w:fldCharType="end"/>
    </w:r>
  </w:p>
  <w:p w14:paraId="7454EDA6" w14:textId="77777777" w:rsidR="00A01352" w:rsidRDefault="00A01352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6082AB" w14:textId="77777777" w:rsidR="00B12480" w:rsidRDefault="00B12480">
      <w:r>
        <w:separator/>
      </w:r>
    </w:p>
  </w:footnote>
  <w:footnote w:type="continuationSeparator" w:id="0">
    <w:p w14:paraId="56921336" w14:textId="77777777" w:rsidR="00B12480" w:rsidRDefault="00B1248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420"/>
  <w:drawingGridVerticalSpacing w:val="156"/>
  <w:noPunctuationKerning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257C3"/>
    <w:rsid w:val="00002174"/>
    <w:rsid w:val="0000716B"/>
    <w:rsid w:val="00013DA6"/>
    <w:rsid w:val="00030C97"/>
    <w:rsid w:val="000324EB"/>
    <w:rsid w:val="000351C7"/>
    <w:rsid w:val="00055E2F"/>
    <w:rsid w:val="00061E13"/>
    <w:rsid w:val="00062D81"/>
    <w:rsid w:val="00065130"/>
    <w:rsid w:val="000929A0"/>
    <w:rsid w:val="000B20E7"/>
    <w:rsid w:val="000D23BF"/>
    <w:rsid w:val="00115F60"/>
    <w:rsid w:val="001242CE"/>
    <w:rsid w:val="0012794D"/>
    <w:rsid w:val="001508A8"/>
    <w:rsid w:val="00150FB5"/>
    <w:rsid w:val="00152D31"/>
    <w:rsid w:val="00154923"/>
    <w:rsid w:val="00191FC2"/>
    <w:rsid w:val="001A1D64"/>
    <w:rsid w:val="001C2FA4"/>
    <w:rsid w:val="001C47D8"/>
    <w:rsid w:val="001E3948"/>
    <w:rsid w:val="001F34C8"/>
    <w:rsid w:val="00233FBB"/>
    <w:rsid w:val="0023702E"/>
    <w:rsid w:val="00240560"/>
    <w:rsid w:val="002411F7"/>
    <w:rsid w:val="0024602C"/>
    <w:rsid w:val="00251EA0"/>
    <w:rsid w:val="00256D3C"/>
    <w:rsid w:val="002B2289"/>
    <w:rsid w:val="002B4A2D"/>
    <w:rsid w:val="002C6B1F"/>
    <w:rsid w:val="0031737A"/>
    <w:rsid w:val="00321950"/>
    <w:rsid w:val="0032514B"/>
    <w:rsid w:val="00326DF3"/>
    <w:rsid w:val="00331C83"/>
    <w:rsid w:val="0033674A"/>
    <w:rsid w:val="00347B72"/>
    <w:rsid w:val="00375AE5"/>
    <w:rsid w:val="003815EE"/>
    <w:rsid w:val="003839D8"/>
    <w:rsid w:val="00393B61"/>
    <w:rsid w:val="003B2E23"/>
    <w:rsid w:val="003C2109"/>
    <w:rsid w:val="003C65C2"/>
    <w:rsid w:val="003D1AF3"/>
    <w:rsid w:val="003D4BB7"/>
    <w:rsid w:val="003E72F0"/>
    <w:rsid w:val="003F1A88"/>
    <w:rsid w:val="004403F1"/>
    <w:rsid w:val="00454154"/>
    <w:rsid w:val="004612AE"/>
    <w:rsid w:val="00490A78"/>
    <w:rsid w:val="004A7FAF"/>
    <w:rsid w:val="004B2947"/>
    <w:rsid w:val="004F5AE7"/>
    <w:rsid w:val="00506D16"/>
    <w:rsid w:val="00517515"/>
    <w:rsid w:val="00517DAD"/>
    <w:rsid w:val="0052051C"/>
    <w:rsid w:val="00523E64"/>
    <w:rsid w:val="0052665A"/>
    <w:rsid w:val="00531878"/>
    <w:rsid w:val="00563780"/>
    <w:rsid w:val="00575092"/>
    <w:rsid w:val="00585FF2"/>
    <w:rsid w:val="005B1100"/>
    <w:rsid w:val="005C2A24"/>
    <w:rsid w:val="005C642D"/>
    <w:rsid w:val="005C782C"/>
    <w:rsid w:val="005F26CD"/>
    <w:rsid w:val="0061231B"/>
    <w:rsid w:val="00621E77"/>
    <w:rsid w:val="00625EF9"/>
    <w:rsid w:val="00634874"/>
    <w:rsid w:val="006454CD"/>
    <w:rsid w:val="00672ED8"/>
    <w:rsid w:val="00690260"/>
    <w:rsid w:val="00692C49"/>
    <w:rsid w:val="006B1AE4"/>
    <w:rsid w:val="006C6AE9"/>
    <w:rsid w:val="006D229D"/>
    <w:rsid w:val="006E36F4"/>
    <w:rsid w:val="006E3E63"/>
    <w:rsid w:val="007034E3"/>
    <w:rsid w:val="00716F41"/>
    <w:rsid w:val="00726B8C"/>
    <w:rsid w:val="0077197A"/>
    <w:rsid w:val="00772196"/>
    <w:rsid w:val="007C4B04"/>
    <w:rsid w:val="007E21A0"/>
    <w:rsid w:val="007F134D"/>
    <w:rsid w:val="007F1D6F"/>
    <w:rsid w:val="007F3B15"/>
    <w:rsid w:val="007F75B5"/>
    <w:rsid w:val="00820076"/>
    <w:rsid w:val="00821A67"/>
    <w:rsid w:val="00825EF5"/>
    <w:rsid w:val="00831EDE"/>
    <w:rsid w:val="00844A71"/>
    <w:rsid w:val="008557B8"/>
    <w:rsid w:val="00882540"/>
    <w:rsid w:val="0089437D"/>
    <w:rsid w:val="00894B27"/>
    <w:rsid w:val="00897021"/>
    <w:rsid w:val="008B2B67"/>
    <w:rsid w:val="008C360D"/>
    <w:rsid w:val="008D0DF9"/>
    <w:rsid w:val="008D4F3E"/>
    <w:rsid w:val="008D5A37"/>
    <w:rsid w:val="008D7B02"/>
    <w:rsid w:val="008F4F09"/>
    <w:rsid w:val="009038F4"/>
    <w:rsid w:val="00920E58"/>
    <w:rsid w:val="009257C3"/>
    <w:rsid w:val="0095774D"/>
    <w:rsid w:val="00960C2A"/>
    <w:rsid w:val="00962CBD"/>
    <w:rsid w:val="00963D57"/>
    <w:rsid w:val="009751EB"/>
    <w:rsid w:val="00986007"/>
    <w:rsid w:val="00994D4C"/>
    <w:rsid w:val="009A1FD2"/>
    <w:rsid w:val="009A49C7"/>
    <w:rsid w:val="009A54C2"/>
    <w:rsid w:val="009C3238"/>
    <w:rsid w:val="009D1169"/>
    <w:rsid w:val="00A01352"/>
    <w:rsid w:val="00A21B26"/>
    <w:rsid w:val="00A27854"/>
    <w:rsid w:val="00A32A9F"/>
    <w:rsid w:val="00A50F8E"/>
    <w:rsid w:val="00A5126E"/>
    <w:rsid w:val="00A52515"/>
    <w:rsid w:val="00A625FC"/>
    <w:rsid w:val="00A779A8"/>
    <w:rsid w:val="00A806D7"/>
    <w:rsid w:val="00AA146C"/>
    <w:rsid w:val="00AB6A0B"/>
    <w:rsid w:val="00AC19C8"/>
    <w:rsid w:val="00AC42EA"/>
    <w:rsid w:val="00AC50A8"/>
    <w:rsid w:val="00AF2B6C"/>
    <w:rsid w:val="00B05D9C"/>
    <w:rsid w:val="00B12480"/>
    <w:rsid w:val="00B30E1D"/>
    <w:rsid w:val="00B5037C"/>
    <w:rsid w:val="00B5579E"/>
    <w:rsid w:val="00B64296"/>
    <w:rsid w:val="00B645A3"/>
    <w:rsid w:val="00B731CF"/>
    <w:rsid w:val="00B73620"/>
    <w:rsid w:val="00BA622F"/>
    <w:rsid w:val="00BE03D7"/>
    <w:rsid w:val="00BE7ED3"/>
    <w:rsid w:val="00C235CC"/>
    <w:rsid w:val="00C54468"/>
    <w:rsid w:val="00C621CE"/>
    <w:rsid w:val="00C67F7F"/>
    <w:rsid w:val="00C7014A"/>
    <w:rsid w:val="00C7203F"/>
    <w:rsid w:val="00CB4026"/>
    <w:rsid w:val="00CB5D26"/>
    <w:rsid w:val="00CD3D20"/>
    <w:rsid w:val="00CE0960"/>
    <w:rsid w:val="00D01125"/>
    <w:rsid w:val="00D12F46"/>
    <w:rsid w:val="00D32E83"/>
    <w:rsid w:val="00D34E36"/>
    <w:rsid w:val="00D516FE"/>
    <w:rsid w:val="00D61EA2"/>
    <w:rsid w:val="00D74280"/>
    <w:rsid w:val="00D86795"/>
    <w:rsid w:val="00DB4E3F"/>
    <w:rsid w:val="00DD1655"/>
    <w:rsid w:val="00DD2504"/>
    <w:rsid w:val="00DD3E25"/>
    <w:rsid w:val="00E03F8A"/>
    <w:rsid w:val="00E059D8"/>
    <w:rsid w:val="00E164E6"/>
    <w:rsid w:val="00E3003C"/>
    <w:rsid w:val="00E32943"/>
    <w:rsid w:val="00E41468"/>
    <w:rsid w:val="00E87257"/>
    <w:rsid w:val="00EA19AA"/>
    <w:rsid w:val="00EA2CCC"/>
    <w:rsid w:val="00ED51C6"/>
    <w:rsid w:val="00F019CD"/>
    <w:rsid w:val="00F22877"/>
    <w:rsid w:val="00F22A4B"/>
    <w:rsid w:val="00F46121"/>
    <w:rsid w:val="00F54D1B"/>
    <w:rsid w:val="00F72A16"/>
    <w:rsid w:val="00F76929"/>
    <w:rsid w:val="00F77AAE"/>
    <w:rsid w:val="00FA59FA"/>
    <w:rsid w:val="00FB35D7"/>
    <w:rsid w:val="00FB53F7"/>
    <w:rsid w:val="00FC6812"/>
    <w:rsid w:val="00FE75F5"/>
    <w:rsid w:val="01522315"/>
    <w:rsid w:val="01CC70CA"/>
    <w:rsid w:val="020D5890"/>
    <w:rsid w:val="022406F6"/>
    <w:rsid w:val="0238444C"/>
    <w:rsid w:val="027949F7"/>
    <w:rsid w:val="036F051E"/>
    <w:rsid w:val="03B31109"/>
    <w:rsid w:val="040A586B"/>
    <w:rsid w:val="04281A0C"/>
    <w:rsid w:val="04AA54C5"/>
    <w:rsid w:val="04B7134B"/>
    <w:rsid w:val="051A67EC"/>
    <w:rsid w:val="058F46DC"/>
    <w:rsid w:val="05AC3CB8"/>
    <w:rsid w:val="05D93120"/>
    <w:rsid w:val="06212B1B"/>
    <w:rsid w:val="06635EA2"/>
    <w:rsid w:val="06CA34FC"/>
    <w:rsid w:val="079456C3"/>
    <w:rsid w:val="07E274E9"/>
    <w:rsid w:val="0801299D"/>
    <w:rsid w:val="080A325E"/>
    <w:rsid w:val="0889068B"/>
    <w:rsid w:val="08A112C3"/>
    <w:rsid w:val="08AE69CD"/>
    <w:rsid w:val="090E026F"/>
    <w:rsid w:val="090E7A32"/>
    <w:rsid w:val="09224793"/>
    <w:rsid w:val="096E2ED1"/>
    <w:rsid w:val="09801186"/>
    <w:rsid w:val="09AE656F"/>
    <w:rsid w:val="0A395029"/>
    <w:rsid w:val="0A612CB2"/>
    <w:rsid w:val="0B024309"/>
    <w:rsid w:val="0B260400"/>
    <w:rsid w:val="0B454D0E"/>
    <w:rsid w:val="0B5A331C"/>
    <w:rsid w:val="0B5A4B91"/>
    <w:rsid w:val="0BC129E9"/>
    <w:rsid w:val="0BF17ADE"/>
    <w:rsid w:val="0C730473"/>
    <w:rsid w:val="0CDE6FF5"/>
    <w:rsid w:val="0CF937E2"/>
    <w:rsid w:val="0D0144D4"/>
    <w:rsid w:val="0D4B3DD7"/>
    <w:rsid w:val="0D4B59B3"/>
    <w:rsid w:val="0D8E6E56"/>
    <w:rsid w:val="0E3C6F3D"/>
    <w:rsid w:val="0E407507"/>
    <w:rsid w:val="0E982D96"/>
    <w:rsid w:val="0E9F5FAF"/>
    <w:rsid w:val="0EAD4424"/>
    <w:rsid w:val="0EC53226"/>
    <w:rsid w:val="0F3E76BA"/>
    <w:rsid w:val="0F6E4DAF"/>
    <w:rsid w:val="0FA4042D"/>
    <w:rsid w:val="0FBE07F2"/>
    <w:rsid w:val="0FCC03BE"/>
    <w:rsid w:val="109E730B"/>
    <w:rsid w:val="10C7546D"/>
    <w:rsid w:val="10DA5C05"/>
    <w:rsid w:val="11B35C2A"/>
    <w:rsid w:val="120E5971"/>
    <w:rsid w:val="120F2EF4"/>
    <w:rsid w:val="12656BD9"/>
    <w:rsid w:val="12A92585"/>
    <w:rsid w:val="12BC3B0B"/>
    <w:rsid w:val="12D21262"/>
    <w:rsid w:val="12F601BF"/>
    <w:rsid w:val="130C44A2"/>
    <w:rsid w:val="13120E0D"/>
    <w:rsid w:val="13363EFE"/>
    <w:rsid w:val="13CD70D5"/>
    <w:rsid w:val="13E15C2A"/>
    <w:rsid w:val="14061D24"/>
    <w:rsid w:val="141428D9"/>
    <w:rsid w:val="145932C3"/>
    <w:rsid w:val="148454B5"/>
    <w:rsid w:val="14A222A3"/>
    <w:rsid w:val="154B042B"/>
    <w:rsid w:val="15AC7EBC"/>
    <w:rsid w:val="162B098B"/>
    <w:rsid w:val="16E67820"/>
    <w:rsid w:val="170D3D1F"/>
    <w:rsid w:val="173874C5"/>
    <w:rsid w:val="17D14849"/>
    <w:rsid w:val="18582EC0"/>
    <w:rsid w:val="18A51579"/>
    <w:rsid w:val="19402D79"/>
    <w:rsid w:val="19505997"/>
    <w:rsid w:val="195328C4"/>
    <w:rsid w:val="19F32613"/>
    <w:rsid w:val="1AB75B5E"/>
    <w:rsid w:val="1AD772C5"/>
    <w:rsid w:val="1B305E10"/>
    <w:rsid w:val="1B3F6084"/>
    <w:rsid w:val="1C2B3899"/>
    <w:rsid w:val="1C4366DA"/>
    <w:rsid w:val="1CA214D7"/>
    <w:rsid w:val="1CB00325"/>
    <w:rsid w:val="1D58429E"/>
    <w:rsid w:val="1DBB4694"/>
    <w:rsid w:val="1DF17B93"/>
    <w:rsid w:val="1EA05FDB"/>
    <w:rsid w:val="1EDE0263"/>
    <w:rsid w:val="1FB46444"/>
    <w:rsid w:val="1FD12569"/>
    <w:rsid w:val="1FEB7469"/>
    <w:rsid w:val="206163C6"/>
    <w:rsid w:val="20892981"/>
    <w:rsid w:val="214D2ACE"/>
    <w:rsid w:val="217F370B"/>
    <w:rsid w:val="22244B67"/>
    <w:rsid w:val="222C4FDA"/>
    <w:rsid w:val="22465B9D"/>
    <w:rsid w:val="22F509C1"/>
    <w:rsid w:val="235E22A6"/>
    <w:rsid w:val="23814567"/>
    <w:rsid w:val="23A068EC"/>
    <w:rsid w:val="23EA4785"/>
    <w:rsid w:val="247C23AA"/>
    <w:rsid w:val="24930287"/>
    <w:rsid w:val="24945F95"/>
    <w:rsid w:val="24D643C7"/>
    <w:rsid w:val="271F64FF"/>
    <w:rsid w:val="27602F92"/>
    <w:rsid w:val="27645958"/>
    <w:rsid w:val="27C57DBB"/>
    <w:rsid w:val="283F25A8"/>
    <w:rsid w:val="28726046"/>
    <w:rsid w:val="28963054"/>
    <w:rsid w:val="28DB6194"/>
    <w:rsid w:val="28E8777E"/>
    <w:rsid w:val="2A010565"/>
    <w:rsid w:val="2A750BB8"/>
    <w:rsid w:val="2A874C7F"/>
    <w:rsid w:val="2AF61ACB"/>
    <w:rsid w:val="2B6D1B6D"/>
    <w:rsid w:val="2BA93632"/>
    <w:rsid w:val="2BCB7A3A"/>
    <w:rsid w:val="2C2F24E1"/>
    <w:rsid w:val="2C5707C8"/>
    <w:rsid w:val="2C5F2348"/>
    <w:rsid w:val="2C7963E8"/>
    <w:rsid w:val="2C9378AD"/>
    <w:rsid w:val="2CED7A37"/>
    <w:rsid w:val="2D3C2C58"/>
    <w:rsid w:val="2D6A5DF7"/>
    <w:rsid w:val="2E5007A7"/>
    <w:rsid w:val="2ECF7413"/>
    <w:rsid w:val="2EE16ADF"/>
    <w:rsid w:val="2F03475A"/>
    <w:rsid w:val="2F07679A"/>
    <w:rsid w:val="2F317CA3"/>
    <w:rsid w:val="2F65764F"/>
    <w:rsid w:val="30551304"/>
    <w:rsid w:val="30650A4E"/>
    <w:rsid w:val="3098505F"/>
    <w:rsid w:val="30B01B81"/>
    <w:rsid w:val="30E454B6"/>
    <w:rsid w:val="31010DAC"/>
    <w:rsid w:val="314F17F5"/>
    <w:rsid w:val="31924123"/>
    <w:rsid w:val="31A850E6"/>
    <w:rsid w:val="32BC0383"/>
    <w:rsid w:val="33650639"/>
    <w:rsid w:val="3460411C"/>
    <w:rsid w:val="347B5F66"/>
    <w:rsid w:val="34C5742F"/>
    <w:rsid w:val="34EE1A93"/>
    <w:rsid w:val="35677EEE"/>
    <w:rsid w:val="35DC154A"/>
    <w:rsid w:val="37415310"/>
    <w:rsid w:val="374D4E7D"/>
    <w:rsid w:val="37E2423D"/>
    <w:rsid w:val="382C4A0B"/>
    <w:rsid w:val="38543277"/>
    <w:rsid w:val="38612772"/>
    <w:rsid w:val="38D812D2"/>
    <w:rsid w:val="38DC4A61"/>
    <w:rsid w:val="38E03A7D"/>
    <w:rsid w:val="38F778D7"/>
    <w:rsid w:val="3904643A"/>
    <w:rsid w:val="391C40A9"/>
    <w:rsid w:val="39461548"/>
    <w:rsid w:val="395533C5"/>
    <w:rsid w:val="39B96C42"/>
    <w:rsid w:val="3A0D4272"/>
    <w:rsid w:val="3B837888"/>
    <w:rsid w:val="3B8B49CE"/>
    <w:rsid w:val="3C466B9E"/>
    <w:rsid w:val="3C5532BB"/>
    <w:rsid w:val="3D601BDB"/>
    <w:rsid w:val="3D84119A"/>
    <w:rsid w:val="3D986202"/>
    <w:rsid w:val="3E8E7D53"/>
    <w:rsid w:val="3EAE7AEF"/>
    <w:rsid w:val="3EC80F56"/>
    <w:rsid w:val="3EDB224E"/>
    <w:rsid w:val="3F0264C5"/>
    <w:rsid w:val="3F5229CB"/>
    <w:rsid w:val="40EE0A43"/>
    <w:rsid w:val="4130040C"/>
    <w:rsid w:val="414C49FA"/>
    <w:rsid w:val="41AF0E66"/>
    <w:rsid w:val="41E71DC7"/>
    <w:rsid w:val="42322FC0"/>
    <w:rsid w:val="429B6B0E"/>
    <w:rsid w:val="42A85AFC"/>
    <w:rsid w:val="42D33CD5"/>
    <w:rsid w:val="431F7870"/>
    <w:rsid w:val="433B0E73"/>
    <w:rsid w:val="438716E2"/>
    <w:rsid w:val="44153464"/>
    <w:rsid w:val="44803B69"/>
    <w:rsid w:val="44FA6BDB"/>
    <w:rsid w:val="45095CB0"/>
    <w:rsid w:val="453457D9"/>
    <w:rsid w:val="459336A7"/>
    <w:rsid w:val="45B14CC5"/>
    <w:rsid w:val="45FC4C1E"/>
    <w:rsid w:val="46764E6B"/>
    <w:rsid w:val="46EF1DC5"/>
    <w:rsid w:val="47550DDA"/>
    <w:rsid w:val="481438CD"/>
    <w:rsid w:val="4848569D"/>
    <w:rsid w:val="48970623"/>
    <w:rsid w:val="48FA2542"/>
    <w:rsid w:val="493C316C"/>
    <w:rsid w:val="494B0A69"/>
    <w:rsid w:val="49B412B3"/>
    <w:rsid w:val="49FE6322"/>
    <w:rsid w:val="4A442DB7"/>
    <w:rsid w:val="4A46655E"/>
    <w:rsid w:val="4A757BB4"/>
    <w:rsid w:val="4A91005F"/>
    <w:rsid w:val="4A974653"/>
    <w:rsid w:val="4AB71880"/>
    <w:rsid w:val="4B170A42"/>
    <w:rsid w:val="4C8D2128"/>
    <w:rsid w:val="4CC4617F"/>
    <w:rsid w:val="4D50645A"/>
    <w:rsid w:val="4DEB1C53"/>
    <w:rsid w:val="4DEE29FF"/>
    <w:rsid w:val="4E4A157B"/>
    <w:rsid w:val="4E4D2C47"/>
    <w:rsid w:val="4EC34EF4"/>
    <w:rsid w:val="4ED37498"/>
    <w:rsid w:val="4EFB78BD"/>
    <w:rsid w:val="4FC02C4D"/>
    <w:rsid w:val="50500AF0"/>
    <w:rsid w:val="50622F2F"/>
    <w:rsid w:val="50932288"/>
    <w:rsid w:val="50A55843"/>
    <w:rsid w:val="50AF5D9F"/>
    <w:rsid w:val="50E53551"/>
    <w:rsid w:val="50F326C6"/>
    <w:rsid w:val="51AA70F6"/>
    <w:rsid w:val="52094E68"/>
    <w:rsid w:val="52462638"/>
    <w:rsid w:val="52B60F41"/>
    <w:rsid w:val="52F548B8"/>
    <w:rsid w:val="535A0B62"/>
    <w:rsid w:val="536A6C10"/>
    <w:rsid w:val="53CC3D4A"/>
    <w:rsid w:val="53DA4694"/>
    <w:rsid w:val="542348A8"/>
    <w:rsid w:val="5490727E"/>
    <w:rsid w:val="551E7032"/>
    <w:rsid w:val="554D12FB"/>
    <w:rsid w:val="55ED317B"/>
    <w:rsid w:val="5613330B"/>
    <w:rsid w:val="572C67AA"/>
    <w:rsid w:val="57A84D91"/>
    <w:rsid w:val="57B20A4B"/>
    <w:rsid w:val="57D42D70"/>
    <w:rsid w:val="57DA7B88"/>
    <w:rsid w:val="57EB796D"/>
    <w:rsid w:val="58E86CA3"/>
    <w:rsid w:val="58FD6839"/>
    <w:rsid w:val="59481887"/>
    <w:rsid w:val="594A3904"/>
    <w:rsid w:val="594B5C92"/>
    <w:rsid w:val="5A814C05"/>
    <w:rsid w:val="5C0E1A99"/>
    <w:rsid w:val="5C104619"/>
    <w:rsid w:val="5C2405A6"/>
    <w:rsid w:val="5C351108"/>
    <w:rsid w:val="5C6815F1"/>
    <w:rsid w:val="5C870EB2"/>
    <w:rsid w:val="5CAE337C"/>
    <w:rsid w:val="5CF0273F"/>
    <w:rsid w:val="5D5260F0"/>
    <w:rsid w:val="5D7A5DE9"/>
    <w:rsid w:val="5D84033A"/>
    <w:rsid w:val="5D9C7622"/>
    <w:rsid w:val="5DCB6911"/>
    <w:rsid w:val="5DEC2D6C"/>
    <w:rsid w:val="5E265BFE"/>
    <w:rsid w:val="5E6A19BB"/>
    <w:rsid w:val="5E856AF5"/>
    <w:rsid w:val="5E9538BA"/>
    <w:rsid w:val="5EC32EE4"/>
    <w:rsid w:val="5EFB0F57"/>
    <w:rsid w:val="5F9D47C3"/>
    <w:rsid w:val="601F6FB1"/>
    <w:rsid w:val="60A062D3"/>
    <w:rsid w:val="60DE3E00"/>
    <w:rsid w:val="60E33258"/>
    <w:rsid w:val="61042335"/>
    <w:rsid w:val="61781BB4"/>
    <w:rsid w:val="618C2D51"/>
    <w:rsid w:val="61BE0E24"/>
    <w:rsid w:val="61D64DE4"/>
    <w:rsid w:val="626021AC"/>
    <w:rsid w:val="62B250FC"/>
    <w:rsid w:val="62BA1896"/>
    <w:rsid w:val="62BE102E"/>
    <w:rsid w:val="62E17257"/>
    <w:rsid w:val="63BC119C"/>
    <w:rsid w:val="63CB27A8"/>
    <w:rsid w:val="64EC56C3"/>
    <w:rsid w:val="65162611"/>
    <w:rsid w:val="66342B59"/>
    <w:rsid w:val="66446E94"/>
    <w:rsid w:val="67523745"/>
    <w:rsid w:val="67850A06"/>
    <w:rsid w:val="679F488D"/>
    <w:rsid w:val="67B71B74"/>
    <w:rsid w:val="68242C8E"/>
    <w:rsid w:val="683676B8"/>
    <w:rsid w:val="68367F72"/>
    <w:rsid w:val="68437D7A"/>
    <w:rsid w:val="690345F1"/>
    <w:rsid w:val="6938107D"/>
    <w:rsid w:val="6969687B"/>
    <w:rsid w:val="696B1A30"/>
    <w:rsid w:val="69E40714"/>
    <w:rsid w:val="6B5E6813"/>
    <w:rsid w:val="6B755FF2"/>
    <w:rsid w:val="6B7B7F31"/>
    <w:rsid w:val="6BE14A32"/>
    <w:rsid w:val="6CAB31BF"/>
    <w:rsid w:val="6D1A5F62"/>
    <w:rsid w:val="6DF4699A"/>
    <w:rsid w:val="6E444A1F"/>
    <w:rsid w:val="6E5A2AF9"/>
    <w:rsid w:val="6E850D52"/>
    <w:rsid w:val="6EC820AA"/>
    <w:rsid w:val="6F0C79BF"/>
    <w:rsid w:val="70066474"/>
    <w:rsid w:val="70350538"/>
    <w:rsid w:val="70D36E0E"/>
    <w:rsid w:val="70EE68C2"/>
    <w:rsid w:val="71193077"/>
    <w:rsid w:val="71320948"/>
    <w:rsid w:val="71732627"/>
    <w:rsid w:val="723A082A"/>
    <w:rsid w:val="726D5A47"/>
    <w:rsid w:val="7297796C"/>
    <w:rsid w:val="72B64081"/>
    <w:rsid w:val="73ED6591"/>
    <w:rsid w:val="73FC5259"/>
    <w:rsid w:val="74237697"/>
    <w:rsid w:val="742F4960"/>
    <w:rsid w:val="74D91CC4"/>
    <w:rsid w:val="74E474F8"/>
    <w:rsid w:val="74F646CE"/>
    <w:rsid w:val="74FD52C4"/>
    <w:rsid w:val="752A4559"/>
    <w:rsid w:val="757A4300"/>
    <w:rsid w:val="75C342A6"/>
    <w:rsid w:val="76524305"/>
    <w:rsid w:val="76567BAC"/>
    <w:rsid w:val="766E18E3"/>
    <w:rsid w:val="7682729E"/>
    <w:rsid w:val="76B40D88"/>
    <w:rsid w:val="76C2738A"/>
    <w:rsid w:val="76CC1E7F"/>
    <w:rsid w:val="770849B6"/>
    <w:rsid w:val="772B69D5"/>
    <w:rsid w:val="776460DB"/>
    <w:rsid w:val="779C26DE"/>
    <w:rsid w:val="788235B9"/>
    <w:rsid w:val="792E658A"/>
    <w:rsid w:val="7955703E"/>
    <w:rsid w:val="79A93839"/>
    <w:rsid w:val="79F20909"/>
    <w:rsid w:val="7A1A61E9"/>
    <w:rsid w:val="7A7218E9"/>
    <w:rsid w:val="7A7C4064"/>
    <w:rsid w:val="7A857FFA"/>
    <w:rsid w:val="7B253653"/>
    <w:rsid w:val="7B830478"/>
    <w:rsid w:val="7BC2550E"/>
    <w:rsid w:val="7CA01821"/>
    <w:rsid w:val="7D1F03EE"/>
    <w:rsid w:val="7DFF5108"/>
    <w:rsid w:val="7E231BE7"/>
    <w:rsid w:val="7F09072D"/>
    <w:rsid w:val="7FB653F7"/>
    <w:rsid w:val="7FE61C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A502172"/>
  <w15:docId w15:val="{8687DCBA-2AC3-4606-98FC-38DBCB8BCA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qFormat="1"/>
    <w:lsdException w:name="annotation text" w:semiHidden="1" w:unhideWhenUsed="1"/>
    <w:lsdException w:name="header" w:semiHidden="1" w:qFormat="1"/>
    <w:lsdException w:name="footer" w:qFormat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qFormat="1"/>
    <w:lsdException w:name="Body Text" w:uiPriority="0" w:qFormat="1"/>
    <w:lsdException w:name="Body Text Indent" w:uiPriority="0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uiPriority="0" w:qFormat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 w:qFormat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2"/>
    <w:qFormat/>
    <w:pPr>
      <w:widowControl w:val="0"/>
      <w:jc w:val="both"/>
    </w:pPr>
    <w:rPr>
      <w:rFonts w:ascii="Calibri" w:hAnsi="Calibri"/>
      <w:kern w:val="2"/>
      <w:sz w:val="21"/>
      <w:szCs w:val="22"/>
    </w:rPr>
  </w:style>
  <w:style w:type="paragraph" w:styleId="1">
    <w:name w:val="heading 1"/>
    <w:basedOn w:val="a"/>
    <w:next w:val="a"/>
    <w:link w:val="10"/>
    <w:uiPriority w:val="99"/>
    <w:qFormat/>
    <w:pPr>
      <w:spacing w:beforeAutospacing="1" w:afterAutospacing="1"/>
      <w:jc w:val="left"/>
      <w:outlineLvl w:val="0"/>
    </w:pPr>
    <w:rPr>
      <w:rFonts w:ascii="宋体" w:hAnsi="宋体"/>
      <w:b/>
      <w:kern w:val="44"/>
      <w:sz w:val="48"/>
      <w:szCs w:val="48"/>
    </w:rPr>
  </w:style>
  <w:style w:type="paragraph" w:styleId="20">
    <w:name w:val="heading 2"/>
    <w:basedOn w:val="a"/>
    <w:next w:val="a"/>
    <w:semiHidden/>
    <w:unhideWhenUsed/>
    <w:qFormat/>
    <w:locked/>
    <w:pPr>
      <w:spacing w:beforeAutospacing="1" w:afterAutospacing="1"/>
      <w:jc w:val="left"/>
      <w:outlineLvl w:val="1"/>
    </w:pPr>
    <w:rPr>
      <w:rFonts w:ascii="宋体" w:hAnsi="宋体" w:hint="eastAsia"/>
      <w:b/>
      <w:bCs/>
      <w:kern w:val="0"/>
      <w:sz w:val="36"/>
      <w:szCs w:val="36"/>
    </w:rPr>
  </w:style>
  <w:style w:type="paragraph" w:styleId="3">
    <w:name w:val="heading 3"/>
    <w:basedOn w:val="a"/>
    <w:next w:val="a"/>
    <w:semiHidden/>
    <w:unhideWhenUsed/>
    <w:qFormat/>
    <w:locked/>
    <w:pPr>
      <w:spacing w:beforeAutospacing="1" w:afterAutospacing="1"/>
      <w:jc w:val="left"/>
      <w:outlineLvl w:val="2"/>
    </w:pPr>
    <w:rPr>
      <w:rFonts w:ascii="宋体" w:hAnsi="宋体" w:hint="eastAsia"/>
      <w:b/>
      <w:bCs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First Indent 2"/>
    <w:basedOn w:val="a3"/>
    <w:next w:val="a"/>
    <w:qFormat/>
    <w:pPr>
      <w:spacing w:line="600" w:lineRule="exact"/>
      <w:ind w:firstLineChars="200" w:firstLine="834"/>
      <w:jc w:val="left"/>
    </w:pPr>
  </w:style>
  <w:style w:type="paragraph" w:styleId="a3">
    <w:name w:val="Body Text Indent"/>
    <w:basedOn w:val="a"/>
    <w:next w:val="a"/>
    <w:qFormat/>
    <w:pPr>
      <w:ind w:leftChars="200" w:left="420"/>
    </w:pPr>
    <w:rPr>
      <w:rFonts w:ascii="Times New Roman" w:eastAsia="仿宋_GB2312" w:hAnsi="Times New Roman"/>
      <w:sz w:val="32"/>
      <w:szCs w:val="32"/>
    </w:rPr>
  </w:style>
  <w:style w:type="paragraph" w:styleId="a4">
    <w:name w:val="Body Text"/>
    <w:basedOn w:val="a"/>
    <w:qFormat/>
    <w:pPr>
      <w:widowControl/>
      <w:adjustRightInd w:val="0"/>
      <w:snapToGrid w:val="0"/>
      <w:spacing w:after="120"/>
      <w:jc w:val="left"/>
    </w:pPr>
    <w:rPr>
      <w:rFonts w:ascii="Tahoma" w:eastAsia="微软雅黑" w:hAnsi="Tahoma"/>
      <w:kern w:val="0"/>
      <w:sz w:val="22"/>
    </w:rPr>
  </w:style>
  <w:style w:type="paragraph" w:styleId="a5">
    <w:name w:val="Plain Text"/>
    <w:basedOn w:val="a"/>
    <w:link w:val="a6"/>
    <w:uiPriority w:val="99"/>
    <w:qFormat/>
    <w:rPr>
      <w:rFonts w:ascii="宋体" w:hAnsi="Courier New"/>
      <w:szCs w:val="20"/>
    </w:rPr>
  </w:style>
  <w:style w:type="paragraph" w:styleId="a7">
    <w:name w:val="footer"/>
    <w:basedOn w:val="a"/>
    <w:link w:val="a8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semiHidden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b">
    <w:name w:val="footnote text"/>
    <w:basedOn w:val="a"/>
    <w:uiPriority w:val="99"/>
    <w:qFormat/>
    <w:pPr>
      <w:snapToGrid w:val="0"/>
      <w:jc w:val="left"/>
    </w:pPr>
    <w:rPr>
      <w:sz w:val="18"/>
      <w:szCs w:val="18"/>
    </w:rPr>
  </w:style>
  <w:style w:type="paragraph" w:styleId="ac">
    <w:name w:val="Normal (Web)"/>
    <w:basedOn w:val="a"/>
    <w:uiPriority w:val="99"/>
    <w:semiHidden/>
    <w:unhideWhenUsed/>
    <w:qFormat/>
    <w:pPr>
      <w:spacing w:beforeAutospacing="1" w:afterAutospacing="1"/>
      <w:jc w:val="left"/>
    </w:pPr>
    <w:rPr>
      <w:kern w:val="0"/>
      <w:sz w:val="24"/>
    </w:rPr>
  </w:style>
  <w:style w:type="paragraph" w:styleId="ad">
    <w:name w:val="Title"/>
    <w:basedOn w:val="a"/>
    <w:next w:val="a"/>
    <w:qFormat/>
    <w:locked/>
    <w:pPr>
      <w:jc w:val="center"/>
      <w:outlineLvl w:val="0"/>
    </w:pPr>
    <w:rPr>
      <w:rFonts w:ascii="Cambria" w:hAnsi="Cambria"/>
      <w:b/>
      <w:kern w:val="0"/>
      <w:sz w:val="32"/>
      <w:szCs w:val="32"/>
    </w:rPr>
  </w:style>
  <w:style w:type="character" w:styleId="ae">
    <w:name w:val="Strong"/>
    <w:basedOn w:val="a0"/>
    <w:qFormat/>
    <w:locked/>
    <w:rPr>
      <w:b/>
      <w:color w:val="FF0000"/>
      <w:u w:val="none"/>
    </w:rPr>
  </w:style>
  <w:style w:type="character" w:styleId="af">
    <w:name w:val="page number"/>
    <w:basedOn w:val="a0"/>
    <w:uiPriority w:val="99"/>
    <w:qFormat/>
    <w:rPr>
      <w:rFonts w:cs="Times New Roman"/>
    </w:rPr>
  </w:style>
  <w:style w:type="character" w:styleId="af0">
    <w:name w:val="FollowedHyperlink"/>
    <w:basedOn w:val="a0"/>
    <w:uiPriority w:val="99"/>
    <w:semiHidden/>
    <w:unhideWhenUsed/>
    <w:qFormat/>
    <w:rPr>
      <w:color w:val="1E50A2"/>
      <w:u w:val="none"/>
    </w:rPr>
  </w:style>
  <w:style w:type="character" w:styleId="af1">
    <w:name w:val="Emphasis"/>
    <w:basedOn w:val="a0"/>
    <w:qFormat/>
    <w:locked/>
    <w:rPr>
      <w:i/>
    </w:rPr>
  </w:style>
  <w:style w:type="character" w:styleId="af2">
    <w:name w:val="Hyperlink"/>
    <w:basedOn w:val="a0"/>
    <w:uiPriority w:val="99"/>
    <w:semiHidden/>
    <w:unhideWhenUsed/>
    <w:qFormat/>
    <w:rPr>
      <w:color w:val="1E50A2"/>
      <w:u w:val="none"/>
    </w:rPr>
  </w:style>
  <w:style w:type="paragraph" w:customStyle="1" w:styleId="BodyTextFirstIndent21">
    <w:name w:val="Body Text First Indent 21"/>
    <w:basedOn w:val="BodyTextIndent1"/>
    <w:next w:val="a"/>
    <w:qFormat/>
    <w:pPr>
      <w:ind w:firstLineChars="200" w:firstLine="200"/>
    </w:pPr>
  </w:style>
  <w:style w:type="paragraph" w:customStyle="1" w:styleId="BodyTextIndent1">
    <w:name w:val="Body Text Indent1"/>
    <w:basedOn w:val="a"/>
    <w:next w:val="a"/>
    <w:qFormat/>
    <w:pPr>
      <w:ind w:leftChars="200" w:left="200"/>
    </w:pPr>
  </w:style>
  <w:style w:type="character" w:customStyle="1" w:styleId="10">
    <w:name w:val="标题 1 字符"/>
    <w:basedOn w:val="a0"/>
    <w:link w:val="1"/>
    <w:uiPriority w:val="99"/>
    <w:qFormat/>
    <w:locked/>
    <w:rPr>
      <w:rFonts w:ascii="Calibri" w:hAnsi="Calibri" w:cs="Times New Roman"/>
      <w:b/>
      <w:bCs/>
      <w:kern w:val="44"/>
      <w:sz w:val="44"/>
      <w:szCs w:val="44"/>
    </w:rPr>
  </w:style>
  <w:style w:type="character" w:customStyle="1" w:styleId="a6">
    <w:name w:val="纯文本 字符"/>
    <w:basedOn w:val="a0"/>
    <w:link w:val="a5"/>
    <w:uiPriority w:val="99"/>
    <w:qFormat/>
    <w:locked/>
    <w:rPr>
      <w:rFonts w:ascii="宋体" w:eastAsia="宋体" w:hAnsi="Courier New" w:cs="Times New Roman"/>
      <w:sz w:val="20"/>
      <w:szCs w:val="20"/>
    </w:rPr>
  </w:style>
  <w:style w:type="character" w:customStyle="1" w:styleId="a8">
    <w:name w:val="页脚 字符"/>
    <w:basedOn w:val="a0"/>
    <w:link w:val="a7"/>
    <w:uiPriority w:val="99"/>
    <w:semiHidden/>
    <w:qFormat/>
    <w:locked/>
    <w:rPr>
      <w:rFonts w:cs="Times New Roman"/>
      <w:sz w:val="18"/>
      <w:szCs w:val="18"/>
    </w:rPr>
  </w:style>
  <w:style w:type="character" w:customStyle="1" w:styleId="aa">
    <w:name w:val="页眉 字符"/>
    <w:basedOn w:val="a0"/>
    <w:link w:val="a9"/>
    <w:uiPriority w:val="99"/>
    <w:semiHidden/>
    <w:qFormat/>
    <w:locked/>
    <w:rPr>
      <w:rFonts w:cs="Times New Roman"/>
      <w:sz w:val="18"/>
      <w:szCs w:val="18"/>
    </w:rPr>
  </w:style>
  <w:style w:type="character" w:customStyle="1" w:styleId="apple-style-span">
    <w:name w:val="apple-style-span"/>
    <w:basedOn w:val="a0"/>
    <w:uiPriority w:val="99"/>
    <w:qFormat/>
    <w:rPr>
      <w:rFonts w:cs="Times New Roman"/>
    </w:rPr>
  </w:style>
  <w:style w:type="character" w:customStyle="1" w:styleId="Char1">
    <w:name w:val="纯文本 Char1"/>
    <w:basedOn w:val="a0"/>
    <w:uiPriority w:val="99"/>
    <w:semiHidden/>
    <w:qFormat/>
    <w:locked/>
    <w:rPr>
      <w:rFonts w:ascii="宋体" w:eastAsia="宋体" w:hAnsi="Courier New" w:cs="Courier New"/>
      <w:kern w:val="2"/>
      <w:sz w:val="21"/>
      <w:szCs w:val="21"/>
      <w:lang w:val="en-US" w:eastAsia="zh-CN" w:bidi="ar-SA"/>
    </w:rPr>
  </w:style>
  <w:style w:type="paragraph" w:styleId="af3">
    <w:name w:val="List Paragraph"/>
    <w:basedOn w:val="a"/>
    <w:uiPriority w:val="99"/>
    <w:qFormat/>
    <w:pPr>
      <w:ind w:firstLineChars="200" w:firstLine="420"/>
    </w:pPr>
  </w:style>
  <w:style w:type="paragraph" w:customStyle="1" w:styleId="af4">
    <w:name w:val="章标题"/>
    <w:basedOn w:val="ad"/>
    <w:qFormat/>
    <w:pPr>
      <w:spacing w:line="36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1943</Words>
  <Characters>2157</Characters>
  <Application>Microsoft Office Word</Application>
  <DocSecurity>0</DocSecurity>
  <Lines>79</Lines>
  <Paragraphs>26</Paragraphs>
  <ScaleCrop>false</ScaleCrop>
  <Company/>
  <LinksUpToDate>false</LinksUpToDate>
  <CharactersWithSpaces>4074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王兴</dc:creator>
  <cp:lastModifiedBy>晓宁 王</cp:lastModifiedBy>
  <cp:revision>102</cp:revision>
  <cp:lastPrinted>2025-09-02T08:55:00Z</cp:lastPrinted>
  <dcterms:created xsi:type="dcterms:W3CDTF">2019-07-04T02:48:00Z</dcterms:created>
  <dcterms:modified xsi:type="dcterms:W3CDTF">2025-09-29T09:49:00Z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2052-11.8.2.11500</vt:lpwstr>
  </property>
  <property fmtid="{D5CDD505-2E9C-101B-9397-08002B2CF9AE}" pid="3" name="ICV">
    <vt:lpwstr>C78FB44717D2458690400789C2905ABA</vt:lpwstr>
  </property>
</Properties>
</file>