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0" w:name="_GoBack"/>
      <w:bookmarkEnd w:id="0"/>
      <w:r>
        <mc:AlternateContent>
          <mc:Choice Requires="wps">
            <w:drawing>
              <wp:anchor distT="0" distB="0" distL="114300" distR="114300" simplePos="0" relativeHeight="251665408"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5408;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6432"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3"/>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hint="eastAsia" w:ascii="黑体" w:hAnsi="黑体" w:eastAsia="黑体" w:cs="黑体"/>
          <w:sz w:val="72"/>
          <w:szCs w:val="96"/>
          <w:highlight w:val="yellow"/>
          <w:lang w:eastAsia="zh-CN"/>
        </w:rPr>
      </w:pPr>
      <w:r>
        <w:rPr>
          <w:rFonts w:hint="eastAsia" w:ascii="黑体" w:hAnsi="黑体" w:eastAsia="黑体" w:cs="黑体"/>
          <w:sz w:val="72"/>
          <w:szCs w:val="96"/>
          <w:lang w:eastAsia="zh-CN"/>
        </w:rPr>
        <w:t>高邑县宣传部</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ind w:firstLine="2800" w:firstLineChars="70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4"/>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rPr>
          <w:rFonts w:hint="eastAsia" w:eastAsiaTheme="minorEastAsia"/>
          <w:sz w:val="32"/>
          <w:szCs w:val="32"/>
          <w:lang w:eastAsia="zh-CN"/>
        </w:rPr>
      </w:pPr>
      <w:r>
        <w:rPr>
          <w:rFonts w:hint="eastAsia"/>
          <w:lang w:val="en-US" w:eastAsia="zh-CN"/>
        </w:rPr>
        <w:t xml:space="preserve">        </w:t>
      </w:r>
      <w:r>
        <w:rPr>
          <w:rFonts w:hint="eastAsia"/>
          <w:sz w:val="32"/>
          <w:szCs w:val="32"/>
          <w:lang w:eastAsia="zh-CN"/>
        </w:rPr>
        <w:t>（一）</w:t>
      </w:r>
      <w:r>
        <w:rPr>
          <w:rFonts w:hint="eastAsia"/>
          <w:sz w:val="32"/>
          <w:szCs w:val="32"/>
        </w:rPr>
        <w:t>拟定全县宣传思想文化工作重大方针政策和事业发展总体规划，统筹协调推进宣传思想文化领域法治建设，按照县委统一部署，协调宣传思想文化系统各部门之间的工作</w:t>
      </w:r>
      <w:r>
        <w:rPr>
          <w:rFonts w:hint="eastAsia"/>
          <w:sz w:val="32"/>
          <w:szCs w:val="32"/>
          <w:lang w:eastAsia="zh-CN"/>
        </w:rPr>
        <w:t>。</w:t>
      </w:r>
    </w:p>
    <w:p>
      <w:pPr>
        <w:numPr>
          <w:ilvl w:val="0"/>
          <w:numId w:val="0"/>
        </w:numPr>
        <w:ind w:firstLine="640" w:firstLineChars="200"/>
        <w:rPr>
          <w:rFonts w:hint="eastAsia"/>
          <w:sz w:val="32"/>
          <w:szCs w:val="32"/>
        </w:rPr>
      </w:pPr>
      <w:r>
        <w:rPr>
          <w:rFonts w:hint="eastAsia"/>
          <w:sz w:val="32"/>
          <w:szCs w:val="32"/>
          <w:lang w:eastAsia="zh-CN"/>
        </w:rPr>
        <w:t>（二）</w:t>
      </w:r>
      <w:r>
        <w:rPr>
          <w:rFonts w:hint="eastAsia"/>
          <w:sz w:val="32"/>
          <w:szCs w:val="32"/>
        </w:rPr>
        <w:t>统筹协调全县党的意识形态工作，贯彻落实县委关于意识形态工作决策部署，组织协调意识形态工作责任制落实和日常监督检查。</w:t>
      </w:r>
    </w:p>
    <w:p>
      <w:pPr>
        <w:numPr>
          <w:ilvl w:val="0"/>
          <w:numId w:val="0"/>
        </w:numPr>
        <w:ind w:firstLine="640" w:firstLineChars="200"/>
        <w:rPr>
          <w:rFonts w:hint="eastAsia"/>
          <w:sz w:val="32"/>
          <w:szCs w:val="32"/>
        </w:rPr>
      </w:pPr>
      <w:r>
        <w:rPr>
          <w:rFonts w:hint="eastAsia"/>
          <w:sz w:val="32"/>
          <w:szCs w:val="32"/>
          <w:lang w:eastAsia="zh-CN"/>
        </w:rPr>
        <w:t>（三）</w:t>
      </w:r>
      <w:r>
        <w:rPr>
          <w:rFonts w:hint="eastAsia"/>
          <w:sz w:val="32"/>
          <w:szCs w:val="32"/>
        </w:rPr>
        <w:t>统筹指导协调全县理论研究、理论学习、理论宣传工作，组织推动理论武装工作，推动落实马克思主义理论研究和建设工程任务，负责县委理论学习中心组理论学习的有关工作。</w:t>
      </w:r>
    </w:p>
    <w:p>
      <w:pPr>
        <w:numPr>
          <w:ilvl w:val="0"/>
          <w:numId w:val="0"/>
        </w:numPr>
        <w:ind w:firstLine="640" w:firstLineChars="200"/>
        <w:rPr>
          <w:rFonts w:hint="eastAsia"/>
          <w:sz w:val="32"/>
          <w:szCs w:val="32"/>
          <w:lang w:eastAsia="zh-CN"/>
        </w:rPr>
      </w:pPr>
      <w:r>
        <w:rPr>
          <w:rFonts w:hint="eastAsia"/>
          <w:sz w:val="32"/>
          <w:szCs w:val="32"/>
          <w:lang w:val="en-US" w:eastAsia="zh-CN"/>
        </w:rPr>
        <w:t xml:space="preserve">（四） </w:t>
      </w:r>
      <w:r>
        <w:rPr>
          <w:rFonts w:hint="eastAsia"/>
          <w:sz w:val="32"/>
          <w:szCs w:val="32"/>
        </w:rPr>
        <w:t>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r>
        <w:rPr>
          <w:rFonts w:hint="eastAsia"/>
          <w:sz w:val="32"/>
          <w:szCs w:val="32"/>
          <w:lang w:eastAsia="zh-CN"/>
        </w:rPr>
        <w:t>。</w:t>
      </w:r>
    </w:p>
    <w:p>
      <w:pPr>
        <w:numPr>
          <w:ilvl w:val="0"/>
          <w:numId w:val="0"/>
        </w:numPr>
        <w:ind w:firstLine="640" w:firstLineChars="200"/>
        <w:rPr>
          <w:rFonts w:hint="eastAsia"/>
          <w:sz w:val="32"/>
          <w:szCs w:val="32"/>
        </w:rPr>
      </w:pPr>
      <w:r>
        <w:rPr>
          <w:rFonts w:hint="eastAsia"/>
          <w:sz w:val="32"/>
          <w:szCs w:val="32"/>
        </w:rPr>
        <w:t>(五)统筹分析研判和引导全县社会舆论，指导协调县直各新闻单位的工作，组织全县突发公共事件应急新闻工作。</w:t>
      </w:r>
    </w:p>
    <w:p>
      <w:pPr>
        <w:numPr>
          <w:ilvl w:val="0"/>
          <w:numId w:val="0"/>
        </w:numPr>
        <w:ind w:firstLine="640" w:firstLineChars="200"/>
        <w:rPr>
          <w:rFonts w:hint="eastAsia"/>
          <w:sz w:val="32"/>
          <w:szCs w:val="32"/>
        </w:rPr>
      </w:pPr>
      <w:r>
        <w:rPr>
          <w:rFonts w:hint="eastAsia"/>
          <w:sz w:val="32"/>
          <w:szCs w:val="32"/>
        </w:rPr>
        <w:t>(六)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审核管理。</w:t>
      </w:r>
    </w:p>
    <w:p>
      <w:pPr>
        <w:ind w:firstLine="640" w:firstLineChars="200"/>
        <w:rPr>
          <w:rFonts w:hint="eastAsia" w:eastAsiaTheme="minorEastAsia"/>
          <w:sz w:val="32"/>
          <w:szCs w:val="32"/>
          <w:lang w:eastAsia="zh-CN"/>
        </w:rPr>
      </w:pPr>
      <w:r>
        <w:rPr>
          <w:rFonts w:hint="eastAsia"/>
          <w:sz w:val="32"/>
          <w:szCs w:val="32"/>
        </w:rPr>
        <w:t>(七)从宏观上统筹指导协调全县互联网宣传和信息内容管理工作。统筹数字新媒体的建设和管理</w:t>
      </w:r>
      <w:r>
        <w:rPr>
          <w:rFonts w:hint="eastAsia"/>
          <w:sz w:val="32"/>
          <w:szCs w:val="32"/>
          <w:lang w:eastAsia="zh-CN"/>
        </w:rPr>
        <w:t>。</w:t>
      </w:r>
    </w:p>
    <w:p>
      <w:pPr>
        <w:ind w:firstLine="640" w:firstLineChars="200"/>
        <w:rPr>
          <w:rFonts w:hint="eastAsia"/>
          <w:sz w:val="32"/>
          <w:szCs w:val="32"/>
        </w:rPr>
      </w:pPr>
      <w:r>
        <w:rPr>
          <w:rFonts w:hint="eastAsia"/>
          <w:sz w:val="32"/>
          <w:szCs w:val="32"/>
        </w:rPr>
        <w:t>(八)从宏观上统筹指导协调推动全县精神文化产品的创作和生产，协调组织中华优秀传统文化传承发展有关工作，指导协调推动群众文化建设。</w:t>
      </w:r>
    </w:p>
    <w:p>
      <w:pPr>
        <w:ind w:firstLine="640" w:firstLineChars="200"/>
        <w:rPr>
          <w:rFonts w:hint="eastAsia"/>
          <w:sz w:val="32"/>
          <w:szCs w:val="32"/>
        </w:rPr>
      </w:pPr>
      <w:r>
        <w:rPr>
          <w:rFonts w:hint="eastAsia"/>
          <w:sz w:val="32"/>
          <w:szCs w:val="32"/>
        </w:rPr>
        <w:t>(九)负责管理全县电影行政事务，指导监管电影制片、发行、放映工作，组织对电影内容进行审</w:t>
      </w:r>
      <w:r>
        <w:rPr>
          <w:rFonts w:hint="eastAsia"/>
          <w:sz w:val="32"/>
          <w:szCs w:val="32"/>
          <w:lang w:val="en-US" w:eastAsia="zh-CN"/>
        </w:rPr>
        <w:t>查</w:t>
      </w:r>
      <w:r>
        <w:rPr>
          <w:rFonts w:hint="eastAsia"/>
          <w:sz w:val="32"/>
          <w:szCs w:val="32"/>
        </w:rPr>
        <w:t>，指导协调全县性重大电影活动。</w:t>
      </w:r>
    </w:p>
    <w:p>
      <w:pPr>
        <w:ind w:firstLine="640" w:firstLineChars="200"/>
        <w:rPr>
          <w:rFonts w:hint="eastAsia"/>
          <w:sz w:val="32"/>
          <w:szCs w:val="32"/>
          <w:lang w:eastAsia="zh-CN"/>
        </w:rPr>
      </w:pPr>
      <w:r>
        <w:rPr>
          <w:rFonts w:hint="eastAsia"/>
          <w:sz w:val="32"/>
          <w:szCs w:val="32"/>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r>
        <w:rPr>
          <w:rFonts w:hint="eastAsia"/>
          <w:sz w:val="32"/>
          <w:szCs w:val="32"/>
          <w:lang w:eastAsia="zh-CN"/>
        </w:rPr>
        <w:t>。</w:t>
      </w:r>
    </w:p>
    <w:p>
      <w:pPr>
        <w:ind w:firstLine="640" w:firstLineChars="200"/>
        <w:rPr>
          <w:rFonts w:hint="eastAsia"/>
          <w:sz w:val="32"/>
          <w:szCs w:val="32"/>
          <w:lang w:eastAsia="zh-CN"/>
        </w:rPr>
      </w:pPr>
      <w:r>
        <w:rPr>
          <w:rFonts w:hint="eastAsia"/>
          <w:sz w:val="32"/>
          <w:szCs w:val="32"/>
          <w:lang w:eastAsia="zh-CN"/>
        </w:rPr>
        <w:t>（十一）</w:t>
      </w:r>
      <w:r>
        <w:rPr>
          <w:rFonts w:hint="eastAsia"/>
          <w:sz w:val="32"/>
          <w:szCs w:val="32"/>
        </w:rPr>
        <w:t>统筹指导全县舆情信息工作，组织协调开展县内外</w:t>
      </w:r>
      <w:r>
        <w:rPr>
          <w:rFonts w:hint="eastAsia"/>
          <w:sz w:val="32"/>
          <w:szCs w:val="32"/>
          <w:lang w:eastAsia="zh-CN"/>
        </w:rPr>
        <w:t>舆情</w:t>
      </w:r>
      <w:r>
        <w:rPr>
          <w:rFonts w:hint="eastAsia"/>
          <w:sz w:val="32"/>
          <w:szCs w:val="32"/>
        </w:rPr>
        <w:t>信息收集分析研判工作，跟踪了解、研究掌握宣传</w:t>
      </w:r>
      <w:r>
        <w:rPr>
          <w:rFonts w:hint="eastAsia"/>
          <w:sz w:val="32"/>
          <w:szCs w:val="32"/>
          <w:lang w:eastAsia="zh-CN"/>
        </w:rPr>
        <w:t>舆情</w:t>
      </w:r>
      <w:r>
        <w:rPr>
          <w:rFonts w:hint="eastAsia"/>
          <w:sz w:val="32"/>
          <w:szCs w:val="32"/>
        </w:rPr>
        <w:t>动态</w:t>
      </w:r>
      <w:r>
        <w:rPr>
          <w:rFonts w:hint="eastAsia"/>
          <w:sz w:val="32"/>
          <w:szCs w:val="32"/>
          <w:lang w:eastAsia="zh-CN"/>
        </w:rPr>
        <w:t>。</w:t>
      </w:r>
    </w:p>
    <w:p>
      <w:pPr>
        <w:ind w:firstLine="640" w:firstLineChars="200"/>
        <w:rPr>
          <w:rFonts w:hint="eastAsia"/>
          <w:sz w:val="32"/>
          <w:szCs w:val="32"/>
        </w:rPr>
      </w:pPr>
      <w:r>
        <w:rPr>
          <w:rFonts w:hint="eastAsia"/>
          <w:sz w:val="32"/>
          <w:szCs w:val="32"/>
          <w:lang w:eastAsia="zh-CN"/>
        </w:rPr>
        <w:t>（十二）</w:t>
      </w:r>
      <w:r>
        <w:rPr>
          <w:rFonts w:hint="eastAsia"/>
          <w:sz w:val="32"/>
          <w:szCs w:val="32"/>
        </w:rPr>
        <w:t>统筹研究拟定有关全县精神文明建设的方针、政策规划部署全县精神文明建设工作，组织指导全县群众性精神文明创建活动。</w:t>
      </w:r>
    </w:p>
    <w:p>
      <w:pPr>
        <w:ind w:firstLine="640" w:firstLineChars="200"/>
        <w:rPr>
          <w:rFonts w:hint="eastAsia"/>
          <w:sz w:val="32"/>
          <w:szCs w:val="32"/>
          <w:lang w:eastAsia="zh-CN"/>
        </w:rPr>
      </w:pPr>
      <w:r>
        <w:rPr>
          <w:rFonts w:hint="eastAsia"/>
          <w:sz w:val="32"/>
          <w:szCs w:val="32"/>
        </w:rPr>
        <w:t>(十三)统筹协调全县对外宣传工作。指导协调有关部门研究拟定全县对外宣传事业发展规划，组织协调我县对外宣传文化交流工作，会同有关部门做好境外记者采访事务方面工作</w:t>
      </w:r>
      <w:r>
        <w:rPr>
          <w:rFonts w:hint="eastAsia"/>
          <w:sz w:val="32"/>
          <w:szCs w:val="32"/>
          <w:lang w:eastAsia="zh-CN"/>
        </w:rPr>
        <w:t>。</w:t>
      </w:r>
    </w:p>
    <w:p>
      <w:pPr>
        <w:ind w:firstLine="640" w:firstLineChars="200"/>
        <w:rPr>
          <w:rFonts w:hint="eastAsia"/>
          <w:sz w:val="32"/>
          <w:szCs w:val="32"/>
          <w:lang w:eastAsia="zh-CN"/>
        </w:rPr>
      </w:pPr>
      <w:r>
        <w:rPr>
          <w:rFonts w:hint="eastAsia"/>
          <w:sz w:val="32"/>
          <w:szCs w:val="32"/>
        </w:rPr>
        <w:t>(十四)统筹协调组织开展新闻发布工作。承担县委新闻发布有关组织协调工作，负责县政府新闻发布组织实施工作</w:t>
      </w:r>
      <w:r>
        <w:rPr>
          <w:rFonts w:hint="eastAsia"/>
          <w:sz w:val="32"/>
          <w:szCs w:val="32"/>
          <w:lang w:eastAsia="zh-CN"/>
        </w:rPr>
        <w:t>。</w:t>
      </w:r>
    </w:p>
    <w:p>
      <w:pPr>
        <w:ind w:firstLine="640" w:firstLineChars="200"/>
        <w:rPr>
          <w:rFonts w:hint="eastAsia"/>
          <w:sz w:val="32"/>
          <w:szCs w:val="32"/>
        </w:rPr>
      </w:pPr>
      <w:r>
        <w:rPr>
          <w:rFonts w:hint="eastAsia"/>
          <w:sz w:val="32"/>
          <w:szCs w:val="32"/>
        </w:rPr>
        <w:t>(十五)受县委委托，会同县委组织部管理新闻、文化、社会科学研究和互联网信息等方面县直宣传思想文化单位的</w:t>
      </w:r>
      <w:r>
        <w:rPr>
          <w:rFonts w:hint="eastAsia"/>
          <w:sz w:val="32"/>
          <w:szCs w:val="32"/>
          <w:lang w:eastAsia="zh-CN"/>
        </w:rPr>
        <w:t>领导干部</w:t>
      </w:r>
      <w:r>
        <w:rPr>
          <w:rFonts w:hint="eastAsia"/>
          <w:sz w:val="32"/>
          <w:szCs w:val="32"/>
        </w:rPr>
        <w:t>。对各乡(镇)党委宣传委员的任免提出意见。负责有关重要宣传舆论阵地和重要岗位领导干部管理工作。统筹组织开展宣传思想文化系统干部教育培训和人才工作。</w:t>
      </w:r>
    </w:p>
    <w:p>
      <w:pPr>
        <w:ind w:firstLine="640" w:firstLineChars="200"/>
        <w:rPr>
          <w:rFonts w:hint="eastAsia"/>
          <w:sz w:val="32"/>
          <w:szCs w:val="32"/>
          <w:lang w:eastAsia="zh-CN"/>
        </w:rPr>
      </w:pPr>
      <w:r>
        <w:rPr>
          <w:rFonts w:hint="eastAsia"/>
          <w:sz w:val="32"/>
          <w:szCs w:val="32"/>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r>
        <w:rPr>
          <w:rFonts w:hint="eastAsia"/>
          <w:sz w:val="32"/>
          <w:szCs w:val="32"/>
          <w:lang w:eastAsia="zh-CN"/>
        </w:rPr>
        <w:t>。</w:t>
      </w:r>
    </w:p>
    <w:p>
      <w:pPr>
        <w:ind w:firstLine="640" w:firstLineChars="200"/>
        <w:rPr>
          <w:rFonts w:hint="eastAsia"/>
          <w:sz w:val="32"/>
          <w:szCs w:val="32"/>
        </w:rPr>
      </w:pPr>
      <w:r>
        <w:rPr>
          <w:rFonts w:hint="eastAsia"/>
          <w:sz w:val="32"/>
          <w:szCs w:val="32"/>
        </w:rPr>
        <w:t>(十七)完成县委交办的其他任务。</w:t>
      </w:r>
    </w:p>
    <w:p>
      <w:pPr>
        <w:numPr>
          <w:ilvl w:val="0"/>
          <w:numId w:val="0"/>
        </w:numPr>
        <w:rPr>
          <w:rFonts w:hint="default" w:eastAsiaTheme="minorEastAsia"/>
          <w:lang w:val="en-US" w:eastAsia="zh-CN"/>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9"/>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ascii="仿宋_GB2312" w:hAnsi="Calibri" w:eastAsia="仿宋_GB2312" w:cs="Arial Black"/>
                <w:kern w:val="0"/>
                <w:sz w:val="28"/>
                <w:szCs w:val="28"/>
              </w:rPr>
            </w:pPr>
            <w:r>
              <w:rPr>
                <w:rFonts w:hint="eastAsia" w:ascii="仿宋_GB2312" w:hAnsi="Calibri" w:eastAsia="仿宋_GB2312" w:cs="ArialUnicodeMS"/>
                <w:kern w:val="0"/>
                <w:sz w:val="28"/>
                <w:szCs w:val="28"/>
                <w:lang w:eastAsia="zh-CN"/>
              </w:rPr>
              <w:t>中国共产党高邑县委员会宣传部</w:t>
            </w:r>
          </w:p>
        </w:tc>
        <w:tc>
          <w:tcPr>
            <w:tcW w:w="2404"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UnicodeMS"/>
                <w:kern w:val="0"/>
                <w:sz w:val="28"/>
                <w:szCs w:val="28"/>
                <w:lang w:eastAsia="zh-CN"/>
              </w:rPr>
              <w:t>行政单位</w:t>
            </w:r>
          </w:p>
        </w:tc>
        <w:tc>
          <w:tcPr>
            <w:tcW w:w="2622"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UnicodeMS"/>
                <w:kern w:val="0"/>
                <w:sz w:val="28"/>
                <w:szCs w:val="28"/>
                <w:lang w:eastAsia="zh-CN"/>
              </w:rPr>
              <w:t>财政拨款</w:t>
            </w:r>
          </w:p>
        </w:tc>
      </w:tr>
    </w:tbl>
    <w:p>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本部门2020年度收、支总计（含结转和结余）546.64万元。与2019年度决算相比，收支各增加</w:t>
      </w:r>
      <w:r>
        <w:rPr>
          <w:rFonts w:hint="eastAsia" w:ascii="仿宋_GB2312" w:hAnsi="Times New Roman" w:eastAsia="仿宋_GB2312" w:cs="Wingdings"/>
          <w:sz w:val="32"/>
          <w:szCs w:val="32"/>
          <w:lang w:val="en-US" w:eastAsia="zh-CN"/>
        </w:rPr>
        <w:t>200.89</w:t>
      </w:r>
      <w:r>
        <w:rPr>
          <w:rFonts w:hint="eastAsia" w:ascii="仿宋_GB2312" w:hAnsi="Times New Roman" w:eastAsia="仿宋_GB2312" w:cs="Wingdings"/>
          <w:sz w:val="32"/>
          <w:szCs w:val="32"/>
        </w:rPr>
        <w:t>万元，增</w:t>
      </w:r>
      <w:r>
        <w:rPr>
          <w:rFonts w:hint="eastAsia" w:ascii="仿宋_GB2312" w:hAnsi="Times New Roman" w:eastAsia="仿宋_GB2312" w:cs="Wingdings"/>
          <w:sz w:val="32"/>
          <w:szCs w:val="32"/>
          <w:lang w:eastAsia="zh-CN"/>
        </w:rPr>
        <w:t>长</w:t>
      </w:r>
      <w:r>
        <w:rPr>
          <w:rFonts w:hint="eastAsia" w:ascii="仿宋_GB2312" w:hAnsi="Times New Roman" w:eastAsia="仿宋_GB2312" w:cs="Wingdings"/>
          <w:sz w:val="32"/>
          <w:szCs w:val="32"/>
          <w:lang w:val="en-US" w:eastAsia="zh-CN"/>
        </w:rPr>
        <w:t>58</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机构改革后，电影和出版列入宣传部，专款增加</w:t>
      </w:r>
      <w:r>
        <w:rPr>
          <w:rFonts w:hint="eastAsia" w:ascii="仿宋_GB2312" w:hAnsi="Times New Roman" w:eastAsia="仿宋_GB2312" w:cs="Wingdings"/>
          <w:sz w:val="32"/>
          <w:szCs w:val="32"/>
        </w:rPr>
        <w:t>。</w:t>
      </w:r>
    </w:p>
    <w:p>
      <w:pPr>
        <w:adjustRightInd w:val="0"/>
        <w:snapToGrid w:val="0"/>
        <w:spacing w:line="600" w:lineRule="exact"/>
        <w:ind w:firstLine="960" w:firstLineChars="3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t>图</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lang w:eastAsia="zh-CN"/>
        </w:rPr>
        <w:t>2019-2020年收支总计对比情况</w:t>
      </w:r>
      <w:r>
        <w:rPr>
          <w:rFonts w:hint="eastAsia" w:ascii="仿宋_GB2312" w:hAnsi="Times New Roman" w:eastAsia="仿宋_GB2312" w:cs="DengXian-Regular"/>
          <w:sz w:val="32"/>
          <w:szCs w:val="32"/>
          <w:highlight w:val="yellow"/>
          <w:lang w:eastAsia="zh-CN"/>
        </w:rPr>
        <w:drawing>
          <wp:anchor distT="0" distB="0" distL="114300" distR="114300" simplePos="0" relativeHeight="251672576" behindDoc="0" locked="0" layoutInCell="1" allowOverlap="1">
            <wp:simplePos x="0" y="0"/>
            <wp:positionH relativeFrom="column">
              <wp:posOffset>487680</wp:posOffset>
            </wp:positionH>
            <wp:positionV relativeFrom="paragraph">
              <wp:posOffset>223520</wp:posOffset>
            </wp:positionV>
            <wp:extent cx="4537075" cy="1827530"/>
            <wp:effectExtent l="4445" t="4445" r="11430" b="15875"/>
            <wp:wrapTopAndBottom/>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3" w:firstLineChars="200"/>
        <w:rPr>
          <w:rFonts w:ascii="黑体" w:hAnsi="Calibri" w:eastAsia="黑体" w:cs="Times New Roman"/>
          <w:sz w:val="32"/>
          <w:szCs w:val="32"/>
        </w:rPr>
      </w:pPr>
      <w:r>
        <w:rPr>
          <w:rFonts w:hint="eastAsia" w:ascii="楷体_GB2312" w:hAnsi="Times New Roman" w:eastAsia="楷体_GB2312" w:cs="DengXian-Bold"/>
          <w:b/>
          <w:bCs/>
          <w:sz w:val="32"/>
          <w:szCs w:val="32"/>
          <w:lang w:val="en-US" w:eastAsia="zh-CN"/>
        </w:rPr>
        <w:drawing>
          <wp:anchor distT="0" distB="0" distL="114300" distR="114300" simplePos="0" relativeHeight="251667456" behindDoc="0" locked="0" layoutInCell="1" allowOverlap="1">
            <wp:simplePos x="0" y="0"/>
            <wp:positionH relativeFrom="column">
              <wp:posOffset>330835</wp:posOffset>
            </wp:positionH>
            <wp:positionV relativeFrom="paragraph">
              <wp:posOffset>2837180</wp:posOffset>
            </wp:positionV>
            <wp:extent cx="4413885" cy="2987675"/>
            <wp:effectExtent l="4445" t="4445" r="20320" b="1778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部门2020年度本年收入合计545.85万元，其中：财政拨款收入54</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w:t>
      </w:r>
      <w:r>
        <w:rPr>
          <w:rFonts w:hint="eastAsia" w:ascii="仿宋_GB2312" w:hAnsi="Times New Roman" w:eastAsia="仿宋_GB2312" w:cs="Wingdings"/>
          <w:color w:val="000000" w:themeColor="text1"/>
          <w:sz w:val="32"/>
          <w:szCs w:val="32"/>
          <w14:textFill>
            <w14:solidFill>
              <w14:schemeClr w14:val="tx1"/>
            </w14:solidFill>
          </w14:textFill>
        </w:rPr>
        <w:t>.85万元，占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pPr>
        <w:adjustRightInd w:val="0"/>
        <w:snapToGrid w:val="0"/>
        <w:spacing w:after="160"/>
        <w:jc w:val="center"/>
        <w:rPr>
          <w:rFonts w:hint="eastAsia" w:ascii="仿宋" w:hAnsi="仿宋" w:eastAsia="仿宋" w:cs="仿宋"/>
          <w:sz w:val="32"/>
          <w:szCs w:val="32"/>
        </w:rPr>
      </w:pPr>
      <w:r>
        <w:rPr>
          <w:rFonts w:hint="eastAsia" w:ascii="仿宋" w:hAnsi="仿宋" w:eastAsia="仿宋" w:cs="仿宋"/>
          <w:sz w:val="32"/>
          <w:szCs w:val="32"/>
        </w:rPr>
        <w:t>图</w:t>
      </w:r>
      <w:r>
        <w:rPr>
          <w:rFonts w:hint="eastAsia" w:ascii="仿宋" w:hAnsi="仿宋" w:eastAsia="仿宋" w:cs="仿宋"/>
          <w:sz w:val="32"/>
          <w:szCs w:val="32"/>
          <w:lang w:val="en-US" w:eastAsia="zh-CN"/>
        </w:rPr>
        <w:t>2</w:t>
      </w:r>
      <w:r>
        <w:rPr>
          <w:rFonts w:hint="eastAsia" w:ascii="仿宋" w:hAnsi="仿宋" w:eastAsia="仿宋" w:cs="仿宋"/>
          <w:sz w:val="32"/>
          <w:szCs w:val="32"/>
        </w:rPr>
        <w:t>：收入决算构成情况</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本部门2020年度本年支出合计503.84万元，其中：基本支出179.89万元，占</w:t>
      </w:r>
      <w:r>
        <w:rPr>
          <w:rFonts w:hint="eastAsia" w:ascii="仿宋_GB2312" w:hAnsi="Times New Roman" w:eastAsia="仿宋_GB2312" w:cs="Wingdings"/>
          <w:sz w:val="32"/>
          <w:szCs w:val="32"/>
          <w:lang w:val="en-US" w:eastAsia="zh-CN"/>
        </w:rPr>
        <w:t>36</w:t>
      </w:r>
      <w:r>
        <w:rPr>
          <w:rFonts w:hint="eastAsia" w:ascii="仿宋_GB2312" w:hAnsi="Times New Roman" w:eastAsia="仿宋_GB2312" w:cs="Wingdings"/>
          <w:sz w:val="32"/>
          <w:szCs w:val="32"/>
        </w:rPr>
        <w:t>%；项目支出323.95万元，占</w:t>
      </w:r>
      <w:r>
        <w:rPr>
          <w:rFonts w:hint="eastAsia" w:ascii="仿宋_GB2312" w:hAnsi="Times New Roman" w:eastAsia="仿宋_GB2312" w:cs="Wingdings"/>
          <w:sz w:val="32"/>
          <w:szCs w:val="32"/>
          <w:lang w:val="en-US" w:eastAsia="zh-CN"/>
        </w:rPr>
        <w:t>64</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68480" behindDoc="0" locked="0" layoutInCell="1" allowOverlap="1">
            <wp:simplePos x="0" y="0"/>
            <wp:positionH relativeFrom="column">
              <wp:posOffset>170180</wp:posOffset>
            </wp:positionH>
            <wp:positionV relativeFrom="paragraph">
              <wp:posOffset>-730250</wp:posOffset>
            </wp:positionV>
            <wp:extent cx="5080000" cy="3810000"/>
            <wp:effectExtent l="4445" t="4445" r="20955" b="14605"/>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jc w:val="both"/>
        <w:rPr>
          <w:rFonts w:hint="eastAsia" w:ascii="仿宋_GB2312" w:hAnsi="Times New Roman" w:eastAsia="仿宋_GB2312" w:cs="Wingdings"/>
          <w:sz w:val="28"/>
          <w:szCs w:val="28"/>
        </w:rPr>
      </w:pPr>
    </w:p>
    <w:p>
      <w:pPr>
        <w:adjustRightInd w:val="0"/>
        <w:snapToGrid w:val="0"/>
        <w:spacing w:after="160" w:line="560" w:lineRule="exact"/>
        <w:ind w:firstLine="960" w:firstLineChars="300"/>
        <w:jc w:val="both"/>
        <w:rPr>
          <w:rFonts w:ascii="仿宋_GB2312" w:hAnsi="Times New Roman" w:eastAsia="仿宋_GB2312" w:cs="Wingdings"/>
          <w:sz w:val="32"/>
          <w:szCs w:val="32"/>
        </w:rPr>
      </w:pP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：支出决算构成情况（按支出性质）</w:t>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本部门2020年度财政拨款本年收入545.85万元,比2019年度增加</w:t>
      </w:r>
      <w:r>
        <w:rPr>
          <w:rFonts w:hint="eastAsia" w:ascii="仿宋_GB2312" w:hAnsi="Times New Roman" w:eastAsia="仿宋_GB2312" w:cs="Wingdings"/>
          <w:sz w:val="32"/>
          <w:szCs w:val="32"/>
          <w:lang w:val="en-US" w:eastAsia="zh-CN"/>
        </w:rPr>
        <w:t>206.18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61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新时代文明实践中心在高邑试点建设，文明城市创建工作，宣传活动增加，电影和新闻出版划分宣传部，专款增加</w:t>
      </w:r>
      <w:r>
        <w:rPr>
          <w:rFonts w:hint="eastAsia" w:ascii="仿宋_GB2312" w:hAnsi="Times New Roman" w:eastAsia="仿宋_GB2312" w:cs="Wingdings"/>
          <w:sz w:val="32"/>
          <w:szCs w:val="32"/>
        </w:rPr>
        <w:t>；本年支出503.84万元，增加</w:t>
      </w:r>
      <w:r>
        <w:rPr>
          <w:rFonts w:hint="eastAsia" w:ascii="仿宋_GB2312" w:hAnsi="Times New Roman" w:eastAsia="仿宋_GB2312" w:cs="Wingdings"/>
          <w:sz w:val="32"/>
          <w:szCs w:val="32"/>
          <w:lang w:val="en-US" w:eastAsia="zh-CN"/>
        </w:rPr>
        <w:t>158.88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新时代文明实践中心在高邑试点建设，文明城市创建工作，宣传活动增加，电影和新闻出版划分宣传部，专款增加</w:t>
      </w:r>
      <w:r>
        <w:rPr>
          <w:rFonts w:hint="eastAsia" w:ascii="仿宋_GB2312" w:hAnsi="Times New Roman" w:eastAsia="仿宋_GB2312" w:cs="Wingdings"/>
          <w:sz w:val="32"/>
          <w:szCs w:val="32"/>
        </w:rPr>
        <w:t>。具体情况如下：</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一般公共预算财政拨款本年收入543.85万元，比上年增加</w:t>
      </w:r>
      <w:r>
        <w:rPr>
          <w:rFonts w:hint="eastAsia" w:ascii="仿宋_GB2312" w:hAnsi="Times New Roman" w:eastAsia="仿宋_GB2312" w:cs="Wingdings"/>
          <w:sz w:val="32"/>
          <w:szCs w:val="32"/>
          <w:lang w:val="en-US" w:eastAsia="zh-CN"/>
        </w:rPr>
        <w:t>206.18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，增长</w:t>
      </w:r>
      <w:r>
        <w:rPr>
          <w:rFonts w:hint="eastAsia" w:ascii="仿宋_GB2312" w:hAnsi="Times New Roman" w:eastAsia="仿宋_GB2312" w:cs="Wingdings"/>
          <w:sz w:val="32"/>
          <w:szCs w:val="32"/>
          <w:lang w:val="en-US" w:eastAsia="zh-CN"/>
        </w:rPr>
        <w:t>61%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新时代文明实践中心在高邑试点建设，宣传活动增加</w:t>
      </w:r>
      <w:r>
        <w:rPr>
          <w:rFonts w:hint="eastAsia" w:ascii="仿宋_GB2312" w:hAnsi="Times New Roman" w:eastAsia="仿宋_GB2312" w:cs="Wingdings"/>
          <w:sz w:val="32"/>
          <w:szCs w:val="32"/>
        </w:rPr>
        <w:t>；本年支出503.84万元，比上年增加</w:t>
      </w:r>
      <w:r>
        <w:rPr>
          <w:rFonts w:hint="eastAsia" w:ascii="仿宋_GB2312" w:hAnsi="Times New Roman" w:eastAsia="仿宋_GB2312" w:cs="Wingdings"/>
          <w:sz w:val="32"/>
          <w:szCs w:val="32"/>
          <w:lang w:val="en-US" w:eastAsia="zh-CN"/>
        </w:rPr>
        <w:t>160.88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新时代文明实践中心在高邑试点建设，宣传活动增加</w:t>
      </w:r>
      <w:r>
        <w:rPr>
          <w:rFonts w:hint="eastAsia" w:ascii="仿宋_GB2312" w:hAnsi="Times New Roman" w:eastAsia="仿宋_GB2312" w:cs="Wingdings"/>
          <w:sz w:val="32"/>
          <w:szCs w:val="32"/>
        </w:rPr>
        <w:t>。</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万元，比上年</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受疫情影响，已结转下年拨付</w:t>
      </w:r>
      <w:r>
        <w:rPr>
          <w:rFonts w:hint="eastAsia" w:ascii="仿宋_GB2312" w:hAnsi="Times New Roman" w:eastAsia="仿宋_GB2312" w:cs="Wingdings"/>
          <w:sz w:val="32"/>
          <w:szCs w:val="32"/>
        </w:rPr>
        <w:t>。</w:t>
      </w:r>
    </w:p>
    <w:p>
      <w:pPr>
        <w:pStyle w:val="2"/>
      </w:pPr>
      <w:r>
        <w:rPr>
          <w:rFonts w:hint="eastAsia" w:ascii="楷体_GB2312" w:hAnsi="Times New Roman" w:eastAsia="楷体_GB2312" w:cs="DengXian-Bold"/>
          <w:b/>
          <w:bCs/>
          <w:sz w:val="32"/>
          <w:szCs w:val="32"/>
          <w:lang w:eastAsia="zh-CN"/>
        </w:rPr>
        <w:drawing>
          <wp:anchor distT="0" distB="0" distL="114300" distR="114300" simplePos="0" relativeHeight="251669504" behindDoc="0" locked="0" layoutInCell="1" allowOverlap="1">
            <wp:simplePos x="0" y="0"/>
            <wp:positionH relativeFrom="column">
              <wp:posOffset>446405</wp:posOffset>
            </wp:positionH>
            <wp:positionV relativeFrom="paragraph">
              <wp:posOffset>81915</wp:posOffset>
            </wp:positionV>
            <wp:extent cx="4850765" cy="2547620"/>
            <wp:effectExtent l="4445" t="4445" r="21590" b="19685"/>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lang w:val="en-US" w:eastAsia="zh-CN"/>
        </w:rPr>
        <w:t xml:space="preserve">      </w:t>
      </w:r>
    </w:p>
    <w:p>
      <w:pPr>
        <w:snapToGrid w:val="0"/>
        <w:spacing w:line="600" w:lineRule="exact"/>
        <w:ind w:left="1604" w:leftChars="152" w:hanging="1285" w:hangingChars="400"/>
        <w:rPr>
          <w:rFonts w:hint="eastAsia" w:ascii="楷体_GB2312" w:hAnsi="Times New Roman" w:eastAsia="楷体_GB2312" w:cs="Mongolian Baiti"/>
          <w:b/>
          <w:bCs/>
          <w:sz w:val="32"/>
          <w:szCs w:val="32"/>
          <w:lang w:val="en-US" w:eastAsia="zh-CN"/>
        </w:rPr>
      </w:pPr>
    </w:p>
    <w:p>
      <w:pPr>
        <w:adjustRightInd w:val="0"/>
        <w:snapToGrid w:val="0"/>
        <w:spacing w:after="160" w:line="560" w:lineRule="exact"/>
        <w:ind w:firstLine="960" w:firstLineChars="300"/>
        <w:jc w:val="both"/>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图4:2019—2020年财政拨款收入支出情况</w:t>
      </w:r>
    </w:p>
    <w:p>
      <w:pPr>
        <w:snapToGrid w:val="0"/>
        <w:spacing w:line="600" w:lineRule="exact"/>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lang w:eastAsia="zh-CN"/>
        </w:rPr>
        <w:t>（二）</w:t>
      </w:r>
      <w:r>
        <w:rPr>
          <w:rFonts w:hint="eastAsia" w:ascii="楷体_GB2312" w:hAnsi="Times New Roman" w:eastAsia="楷体_GB2312" w:cs="Mongolian Baiti"/>
          <w:b/>
          <w:bCs/>
          <w:sz w:val="32"/>
          <w:szCs w:val="32"/>
        </w:rPr>
        <w:t>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545.85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144.97</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新时代文明实践中心在高邑试点建设，专款增加</w:t>
      </w:r>
      <w:r>
        <w:rPr>
          <w:rFonts w:hint="eastAsia" w:ascii="仿宋_GB2312" w:hAnsi="Times New Roman" w:eastAsia="仿宋_GB2312" w:cs="Wingdings"/>
          <w:sz w:val="32"/>
          <w:szCs w:val="32"/>
        </w:rPr>
        <w:t>；本年支出503.84万元，完成年初预算的</w:t>
      </w:r>
      <w:r>
        <w:rPr>
          <w:rFonts w:hint="eastAsia" w:ascii="仿宋_GB2312" w:hAnsi="Times New Roman" w:eastAsia="仿宋_GB2312" w:cs="Wingdings"/>
          <w:sz w:val="32"/>
          <w:szCs w:val="32"/>
          <w:lang w:val="en-US" w:eastAsia="zh-CN"/>
        </w:rPr>
        <w:t>126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102.96</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新时代文明实践中心在高邑试点建设</w:t>
      </w:r>
      <w:r>
        <w:rPr>
          <w:rFonts w:hint="eastAsia" w:ascii="仿宋_GB2312" w:hAnsi="Times New Roman" w:eastAsia="仿宋_GB2312" w:cs="Wingdings"/>
          <w:sz w:val="32"/>
          <w:szCs w:val="32"/>
        </w:rPr>
        <w:t>。具体情况如下：</w:t>
      </w:r>
    </w:p>
    <w:p>
      <w:pPr>
        <w:numPr>
          <w:ilvl w:val="0"/>
          <w:numId w:val="3"/>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一般公共预算财政拨款本年收入完成年初预算</w:t>
      </w:r>
      <w:r>
        <w:rPr>
          <w:rFonts w:hint="eastAsia" w:ascii="仿宋_GB2312" w:hAnsi="Times New Roman" w:eastAsia="仿宋_GB2312" w:cs="Wingdings"/>
          <w:sz w:val="32"/>
          <w:szCs w:val="32"/>
          <w:lang w:val="en-US" w:eastAsia="zh-CN"/>
        </w:rPr>
        <w:t>147</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173.97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主要是新时代文明实践中心在高邑试点建设，宣传活动增加</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321</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346.93</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新时代文明实践中心在高邑试点建设，宣传活动增加</w:t>
      </w:r>
      <w:r>
        <w:rPr>
          <w:rFonts w:hint="eastAsia" w:ascii="仿宋_GB2312" w:hAnsi="Times New Roman" w:eastAsia="仿宋_GB2312" w:cs="Wingdings"/>
          <w:sz w:val="32"/>
          <w:szCs w:val="32"/>
        </w:rPr>
        <w:t>。</w:t>
      </w:r>
    </w:p>
    <w:p>
      <w:pPr>
        <w:numPr>
          <w:ilvl w:val="0"/>
          <w:numId w:val="3"/>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政府性基金预算财政拨款本年收入完成年初预算</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29</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受疫情影响，电影资金也收到影响</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31</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受疫情影响，电影资金也收到影响</w:t>
      </w:r>
      <w:r>
        <w:rPr>
          <w:rFonts w:hint="eastAsia" w:ascii="仿宋_GB2312" w:hAnsi="Times New Roman" w:eastAsia="仿宋_GB2312" w:cs="Wingdings"/>
          <w:sz w:val="32"/>
          <w:szCs w:val="32"/>
        </w:rPr>
        <w:t>。</w:t>
      </w:r>
    </w:p>
    <w:p>
      <w:pPr>
        <w:snapToGrid w:val="0"/>
        <w:spacing w:line="600" w:lineRule="exact"/>
        <w:rPr>
          <w:rFonts w:hint="default" w:ascii="仿宋_GB2312" w:hAnsi="Times New Roman" w:eastAsia="仿宋_GB2312" w:cs="Wingdings"/>
          <w:sz w:val="32"/>
          <w:szCs w:val="32"/>
          <w:lang w:val="en-US" w:eastAsia="zh-CN"/>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70528" behindDoc="0" locked="0" layoutInCell="1" allowOverlap="1">
            <wp:simplePos x="0" y="0"/>
            <wp:positionH relativeFrom="column">
              <wp:posOffset>88900</wp:posOffset>
            </wp:positionH>
            <wp:positionV relativeFrom="paragraph">
              <wp:posOffset>88900</wp:posOffset>
            </wp:positionV>
            <wp:extent cx="4537075" cy="1827530"/>
            <wp:effectExtent l="4445" t="4445" r="11430" b="15875"/>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楷体_GB2312" w:hAnsi="Times New Roman" w:eastAsia="楷体_GB2312" w:cs="Mongolian Baiti"/>
          <w:b/>
          <w:bCs/>
          <w:sz w:val="32"/>
          <w:szCs w:val="32"/>
          <w:lang w:val="en-US" w:eastAsia="zh-CN"/>
        </w:rPr>
        <w:t xml:space="preserve"> </w:t>
      </w:r>
      <w:r>
        <w:rPr>
          <w:rFonts w:hint="eastAsia" w:ascii="仿宋_GB2312" w:hAnsi="Times New Roman" w:eastAsia="仿宋_GB2312" w:cs="Wingdings"/>
          <w:sz w:val="32"/>
          <w:szCs w:val="32"/>
          <w:lang w:val="en-US" w:eastAsia="zh-CN"/>
        </w:rPr>
        <w:t>图5：财政拨款收支预决算对比情况</w:t>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4"/>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left="958" w:leftChars="304" w:hanging="320" w:hangingChars="1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年度财政拨款支出503.84万元，主要用于以下方面</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0" w:firstLineChars="200"/>
        <w:textAlignment w:val="auto"/>
        <w:outlineLvl w:val="9"/>
        <w:rPr>
          <w:rFonts w:hint="default" w:ascii="仿宋_GB2312" w:hAnsi="Times New Roman" w:eastAsia="仿宋_GB2312" w:cs="Wingdings"/>
          <w:sz w:val="32"/>
          <w:szCs w:val="32"/>
          <w:lang w:val="en-US"/>
        </w:rPr>
      </w:pPr>
      <w:r>
        <w:rPr>
          <w:rFonts w:hint="eastAsia" w:ascii="仿宋_GB2312" w:hAnsi="Times New Roman" w:eastAsia="仿宋_GB2312" w:cs="Wingdings"/>
          <w:sz w:val="32"/>
          <w:szCs w:val="32"/>
        </w:rPr>
        <w:t>一般公共服务（类）支出233.25万元，占</w:t>
      </w:r>
      <w:r>
        <w:rPr>
          <w:rFonts w:hint="eastAsia" w:ascii="仿宋_GB2312" w:hAnsi="Times New Roman" w:eastAsia="仿宋_GB2312" w:cs="Wingdings"/>
          <w:sz w:val="32"/>
          <w:szCs w:val="32"/>
          <w:lang w:val="en-US" w:eastAsia="zh-CN"/>
        </w:rPr>
        <w:t>46</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22.67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16.63</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文化旅游体育与传媒支出</w:t>
      </w:r>
      <w:r>
        <w:rPr>
          <w:rFonts w:hint="eastAsia" w:ascii="仿宋_GB2312" w:hAnsi="Times New Roman" w:eastAsia="仿宋_GB2312" w:cs="Wingdings"/>
          <w:sz w:val="32"/>
          <w:szCs w:val="32"/>
          <w:lang w:val="en-US" w:eastAsia="zh-CN"/>
        </w:rPr>
        <w:t>223.44万元，占44%；卫生健康支出7.86万元，占2%；</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textAlignment w:val="auto"/>
        <w:outlineLvl w:val="9"/>
        <w:rPr>
          <w:rFonts w:ascii="楷体_GB2312" w:hAnsi="Times New Roman" w:eastAsia="楷体_GB2312" w:cs="Mongolian Baiti"/>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71552" behindDoc="0" locked="0" layoutInCell="1" allowOverlap="1">
            <wp:simplePos x="0" y="0"/>
            <wp:positionH relativeFrom="column">
              <wp:posOffset>98425</wp:posOffset>
            </wp:positionH>
            <wp:positionV relativeFrom="paragraph">
              <wp:posOffset>244475</wp:posOffset>
            </wp:positionV>
            <wp:extent cx="5009515" cy="3257550"/>
            <wp:effectExtent l="4445" t="4445" r="15240" b="14605"/>
            <wp:wrapSquare wrapText="bothSides"/>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hint="eastAsia" w:ascii="楷体_GB2312" w:hAnsi="Times New Roman" w:eastAsia="楷体_GB2312" w:cs="Mongolian Baiti"/>
          <w:b/>
          <w:bCs/>
          <w:sz w:val="32"/>
          <w:szCs w:val="32"/>
        </w:rPr>
      </w:pPr>
    </w:p>
    <w:p>
      <w:pPr>
        <w:adjustRightInd w:val="0"/>
        <w:snapToGrid w:val="0"/>
        <w:spacing w:line="600" w:lineRule="exact"/>
        <w:rPr>
          <w:rFonts w:hint="eastAsia" w:ascii="楷体_GB2312" w:hAnsi="Times New Roman" w:eastAsia="楷体_GB2312" w:cs="Mongolian Baiti"/>
          <w:b/>
          <w:bCs/>
          <w:sz w:val="32"/>
          <w:szCs w:val="32"/>
        </w:rPr>
      </w:pPr>
    </w:p>
    <w:p>
      <w:pPr>
        <w:adjustRightInd w:val="0"/>
        <w:snapToGrid w:val="0"/>
        <w:spacing w:line="600" w:lineRule="exact"/>
        <w:rPr>
          <w:rFonts w:hint="eastAsia"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lang w:val="en-US" w:eastAsia="zh-CN"/>
        </w:rPr>
        <w:t xml:space="preserve">        </w:t>
      </w:r>
    </w:p>
    <w:p>
      <w:pPr>
        <w:adjustRightInd w:val="0"/>
        <w:snapToGrid w:val="0"/>
        <w:spacing w:line="600" w:lineRule="exact"/>
        <w:rPr>
          <w:rFonts w:hint="eastAsia" w:ascii="楷体_GB2312" w:hAnsi="Times New Roman" w:eastAsia="楷体_GB2312" w:cs="Mongolian Baiti"/>
          <w:b/>
          <w:bCs/>
          <w:sz w:val="32"/>
          <w:szCs w:val="32"/>
          <w:lang w:val="en-US" w:eastAsia="zh-CN"/>
        </w:rPr>
      </w:pPr>
    </w:p>
    <w:p>
      <w:pPr>
        <w:snapToGrid w:val="0"/>
        <w:spacing w:line="600" w:lineRule="exact"/>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图6：财政拨款支出决算结构（按功能分类）</w:t>
      </w:r>
    </w:p>
    <w:p>
      <w:pPr>
        <w:adjustRightInd w:val="0"/>
        <w:snapToGrid w:val="0"/>
        <w:spacing w:line="600" w:lineRule="exact"/>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年度财政拨款基本支出179.89万元，其中：人员经费 125.88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54.02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5.57</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97</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0.17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贯彻落实中央八项规定精神和厉行节约要求，严格控制“三公”经费开支</w:t>
      </w:r>
      <w:r>
        <w:rPr>
          <w:rFonts w:hint="eastAsia" w:ascii="仿宋_GB2312" w:hAnsi="Times New Roman" w:eastAsia="仿宋_GB2312" w:cs="Wingdings"/>
          <w:sz w:val="32"/>
          <w:szCs w:val="32"/>
        </w:rPr>
        <w:t>；较2019年度增加</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去年公务用车运行费放到其他交通费里面了</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无增减变化，主要是本单位无因公出国（境）费用</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lang w:eastAsia="zh-CN"/>
        </w:rPr>
        <w:t>较</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去年公务用车运行费放到其他交通费用里了</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w:t>
      </w:r>
      <w:r>
        <w:rPr>
          <w:rFonts w:hint="eastAsia" w:ascii="仿宋_GB2312" w:hAnsi="Times New Roman" w:eastAsia="仿宋_GB2312" w:cs="Wingdings"/>
          <w:sz w:val="32"/>
          <w:szCs w:val="32"/>
          <w:lang w:eastAsia="zh-CN"/>
        </w:rPr>
        <w:t>与年初预算持平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2019年决算支出持平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未发生“公务用车购置”经费支出</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万元。公车运行维护费支</w:t>
      </w:r>
      <w:r>
        <w:rPr>
          <w:rFonts w:hint="eastAsia" w:ascii="仿宋_GB2312" w:hAnsi="Times New Roman" w:eastAsia="仿宋_GB2312" w:cs="Wingdings"/>
          <w:sz w:val="32"/>
          <w:szCs w:val="32"/>
          <w:lang w:eastAsia="zh-CN"/>
        </w:rPr>
        <w:t>与年初预算持平</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去年公务用车运行维护费放到其他交通费用里</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0.17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认真贯彻落实中央八项规定精神和厉行节约要求，从严控制“三公”经费开支</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2019年决算支出持平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321.95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创建文明县城工作经费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思想道德理论建设</w:t>
      </w:r>
      <w:r>
        <w:rPr>
          <w:rFonts w:hint="eastAsia" w:ascii="仿宋_GB2312" w:hAnsi="仿宋_GB2312" w:eastAsia="仿宋_GB2312" w:cs="仿宋_GB2312"/>
          <w:sz w:val="32"/>
          <w:szCs w:val="32"/>
        </w:rPr>
        <w:t>”等项目开展了部门重点评价，涉及一般公共预算支出</w:t>
      </w:r>
      <w:r>
        <w:rPr>
          <w:rFonts w:hint="eastAsia" w:ascii="仿宋_GB2312" w:hAnsi="仿宋_GB2312" w:eastAsia="仿宋_GB2312" w:cs="仿宋_GB2312"/>
          <w:sz w:val="32"/>
          <w:szCs w:val="32"/>
          <w:lang w:val="en-US" w:eastAsia="zh-CN"/>
        </w:rPr>
        <w:t>321.95</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eastAsia="zh-CN"/>
        </w:rPr>
        <w:t>创建文明县城工作经费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思想道德理论建设</w:t>
      </w:r>
      <w:r>
        <w:rPr>
          <w:rFonts w:hint="eastAsia" w:ascii="仿宋_GB2312" w:hAnsi="仿宋_GB2312" w:eastAsia="仿宋_GB2312" w:cs="仿宋_GB2312"/>
          <w:sz w:val="32"/>
          <w:szCs w:val="32"/>
        </w:rPr>
        <w:t>”等项目</w:t>
      </w:r>
      <w:r>
        <w:rPr>
          <w:rFonts w:hint="eastAsia" w:ascii="仿宋_GB2312" w:hAnsi="仿宋_GB2312" w:eastAsia="仿宋_GB2312" w:cs="仿宋_GB2312"/>
          <w:sz w:val="32"/>
          <w:szCs w:val="32"/>
          <w:lang w:eastAsia="zh-CN"/>
        </w:rPr>
        <w:t>利用</w:t>
      </w:r>
      <w:r>
        <w:rPr>
          <w:rFonts w:hint="eastAsia" w:ascii="仿宋_GB2312" w:hAnsi="仿宋_GB2312" w:eastAsia="仿宋_GB2312" w:cs="仿宋_GB2312"/>
          <w:sz w:val="32"/>
          <w:szCs w:val="32"/>
        </w:rPr>
        <w:t>部门内评审机构开展绩效评价。</w:t>
      </w:r>
    </w:p>
    <w:p>
      <w:pPr>
        <w:numPr>
          <w:ilvl w:val="0"/>
          <w:numId w:val="0"/>
        </w:numPr>
        <w:adjustRightInd w:val="0"/>
        <w:snapToGrid w:val="0"/>
        <w:spacing w:line="580" w:lineRule="exact"/>
        <w:ind w:firstLine="320" w:firstLineChars="1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创建文明县城工作经费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创建文明县城工作经费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。项目绩效目标完成情况：一是提高全县人民精神文化水平，增强全民精神文化素质；二是继续开展我县文明县城创建工作。发现的主要问题及原因：</w:t>
      </w:r>
      <w:r>
        <w:rPr>
          <w:rFonts w:hint="eastAsia" w:ascii="仿宋_GB2312" w:hAnsi="仿宋_GB2312" w:eastAsia="仿宋_GB2312" w:cs="仿宋_GB2312"/>
          <w:sz w:val="32"/>
          <w:szCs w:val="32"/>
          <w:lang w:val="en-US" w:eastAsia="zh-CN"/>
        </w:rPr>
        <w:t>发现的主要问题及原因及下一步改进措施：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1、部分绩效指标设定不易量化，只能用定性方法考核，造成评分具有一定主观性；</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2、部分评价指标的设置不够合理和科学，主要原因是设置评价指标时，和主管科室的沟通不及时。</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3、评价指标不够祥细，主要原因是未从多方面考虑绩效评价指标。</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1、在工作中根据不断出现的新情况和发现的新问题，逐步完善项目绩效评价管理体系，进一步提高项目绩效管理水平；</w:t>
      </w:r>
    </w:p>
    <w:p>
      <w:pPr>
        <w:numPr>
          <w:ilvl w:val="0"/>
          <w:numId w:val="5"/>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对相关人员加强培训，特别是针对</w:t>
      </w:r>
      <w:r>
        <w:rPr>
          <w:rFonts w:hint="eastAsia" w:ascii="仿宋_GB2312" w:hAnsi="仿宋_GB2312" w:eastAsia="仿宋_GB2312" w:cs="仿宋_GB2312"/>
          <w:sz w:val="32"/>
          <w:szCs w:val="32"/>
          <w:lang w:eastAsia="zh-CN"/>
        </w:rPr>
        <w:t>《中华人民共和国预算法》</w:t>
      </w:r>
      <w:r>
        <w:rPr>
          <w:rFonts w:hint="eastAsia" w:ascii="仿宋_GB2312" w:hAnsi="仿宋_GB2312" w:eastAsia="仿宋_GB2312" w:cs="仿宋_GB2312"/>
          <w:sz w:val="32"/>
          <w:szCs w:val="32"/>
        </w:rPr>
        <w:t>，《政府会计制度》，项目立项规范，绩效评价相关方针、政策以及市财政有关规定等的学习培训，切实提高部门预算收支管理水平、项目立项管理水平和绩效目标管理水平。</w:t>
      </w:r>
    </w:p>
    <w:tbl>
      <w:tblPr>
        <w:tblStyle w:val="8"/>
        <w:tblW w:w="883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1117"/>
        <w:gridCol w:w="1178"/>
        <w:gridCol w:w="1080"/>
        <w:gridCol w:w="1110"/>
        <w:gridCol w:w="941"/>
        <w:gridCol w:w="941"/>
        <w:gridCol w:w="940"/>
        <w:gridCol w:w="1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00" w:hRule="atLeast"/>
        </w:trPr>
        <w:tc>
          <w:tcPr>
            <w:tcW w:w="8835" w:type="dxa"/>
            <w:gridSpan w:val="8"/>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2020  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60" w:hRule="atLeast"/>
        </w:trPr>
        <w:tc>
          <w:tcPr>
            <w:tcW w:w="1117"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宣传部</w:t>
            </w:r>
          </w:p>
        </w:tc>
        <w:tc>
          <w:tcPr>
            <w:tcW w:w="1080"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0"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0"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00" w:hRule="atLeast"/>
        </w:trPr>
        <w:tc>
          <w:tcPr>
            <w:tcW w:w="1117"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w:t>
            </w:r>
            <w:r>
              <w:rPr>
                <w:rStyle w:val="13"/>
                <w:rFonts w:eastAsia="宋体"/>
                <w:lang w:val="en-US" w:eastAsia="zh-CN" w:bidi="ar"/>
              </w:rPr>
              <w:t xml:space="preserve"> </w:t>
            </w:r>
            <w:r>
              <w:rPr>
                <w:rStyle w:val="14"/>
                <w:lang w:val="en-US" w:eastAsia="zh-CN" w:bidi="ar"/>
              </w:rPr>
              <w:t>基本情况</w:t>
            </w: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90" w:type="dxa"/>
            <w:gridSpan w:val="2"/>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创建文明县城工作经费</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09"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县委宣传部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480" w:hRule="atLeast"/>
        </w:trPr>
        <w:tc>
          <w:tcPr>
            <w:tcW w:w="111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二、预算执行情况</w:t>
            </w:r>
          </w:p>
        </w:tc>
        <w:tc>
          <w:tcPr>
            <w:tcW w:w="2258"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881"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04"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8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110"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41"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4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4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52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2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8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11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41"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41"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4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52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9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1080" w:type="dxa"/>
            <w:shd w:val="clear" w:color="auto" w:fill="auto"/>
            <w:tcMar>
              <w:top w:w="15" w:type="dxa"/>
              <w:left w:w="15" w:type="dxa"/>
              <w:right w:w="15" w:type="dxa"/>
            </w:tcMar>
            <w:vAlign w:val="center"/>
          </w:tcPr>
          <w:p>
            <w:pPr>
              <w:rPr>
                <w:rFonts w:hint="default" w:ascii="Calibri" w:hAnsi="Calibri" w:eastAsia="宋体" w:cs="Calibri"/>
                <w:i w:val="0"/>
                <w:color w:val="000000"/>
                <w:sz w:val="22"/>
                <w:szCs w:val="22"/>
                <w:u w:val="none"/>
              </w:rPr>
            </w:pPr>
          </w:p>
        </w:tc>
        <w:tc>
          <w:tcPr>
            <w:tcW w:w="1110"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941" w:type="dxa"/>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1"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w:t>
            </w:r>
          </w:p>
        </w:tc>
        <w:tc>
          <w:tcPr>
            <w:tcW w:w="940" w:type="dxa"/>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2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270" w:hRule="atLeast"/>
        </w:trPr>
        <w:tc>
          <w:tcPr>
            <w:tcW w:w="111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三、目标完成情况</w:t>
            </w:r>
          </w:p>
        </w:tc>
        <w:tc>
          <w:tcPr>
            <w:tcW w:w="3368"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年度预期目标</w:t>
            </w:r>
          </w:p>
        </w:tc>
        <w:tc>
          <w:tcPr>
            <w:tcW w:w="2822"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12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68" w:type="dxa"/>
            <w:gridSpan w:val="3"/>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提高全县人民精神文化水平，增强全民精神文化素质。继续开展我县文明县城创建工作。</w:t>
            </w:r>
          </w:p>
        </w:tc>
        <w:tc>
          <w:tcPr>
            <w:tcW w:w="2822" w:type="dxa"/>
            <w:gridSpan w:val="3"/>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提高全县人民精神文化水平，增强全民精神文化素质。继续开展我县文明县城创建工作。</w:t>
            </w:r>
          </w:p>
        </w:tc>
        <w:tc>
          <w:tcPr>
            <w:tcW w:w="152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27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6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22"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156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6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22"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2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90" w:hRule="atLeast"/>
        </w:trPr>
        <w:tc>
          <w:tcPr>
            <w:tcW w:w="111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w:t>
            </w:r>
            <w:r>
              <w:rPr>
                <w:rStyle w:val="13"/>
                <w:rFonts w:eastAsia="宋体"/>
                <w:lang w:val="en-US" w:eastAsia="zh-CN" w:bidi="ar"/>
              </w:rPr>
              <w:t xml:space="preserve"> </w:t>
            </w:r>
            <w:r>
              <w:rPr>
                <w:rStyle w:val="14"/>
                <w:lang w:val="en-US" w:eastAsia="zh-CN" w:bidi="ar"/>
              </w:rPr>
              <w:t>年度绩效指标完成情况</w:t>
            </w: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4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产出指标（40）</w:t>
            </w:r>
          </w:p>
        </w:tc>
        <w:tc>
          <w:tcPr>
            <w:tcW w:w="1080"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制作宣传品数量（份）</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≥30000</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30000</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6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开展精神文明创建活动次数</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r>
              <w:rPr>
                <w:rStyle w:val="14"/>
                <w:lang w:val="en-US" w:eastAsia="zh-CN" w:bidi="ar"/>
              </w:rPr>
              <w:t>次</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r>
              <w:rPr>
                <w:rStyle w:val="14"/>
                <w:lang w:val="en-US" w:eastAsia="zh-CN" w:bidi="ar"/>
              </w:rPr>
              <w:t>次</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81"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开展创建工作的质量</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≥90%</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≥90%</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0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创建文明县城工作经费</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r>
              <w:rPr>
                <w:rStyle w:val="14"/>
                <w:lang w:val="en-US" w:eastAsia="zh-CN" w:bidi="ar"/>
              </w:rPr>
              <w:t>万</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r>
              <w:rPr>
                <w:rStyle w:val="14"/>
                <w:lang w:val="en-US" w:eastAsia="zh-CN" w:bidi="ar"/>
              </w:rPr>
              <w:t>万</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96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年度总体预算执行情况</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78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效益指标（40分）</w:t>
            </w: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Unicode MS" w:hAnsi="Arial Unicode MS" w:eastAsia="Arial Unicode MS" w:cs="Arial Unicode MS"/>
                <w:i w:val="0"/>
                <w:color w:val="000000"/>
                <w:sz w:val="22"/>
                <w:szCs w:val="22"/>
                <w:u w:val="none"/>
              </w:rPr>
            </w:pPr>
            <w:r>
              <w:rPr>
                <w:rFonts w:hint="eastAsia" w:ascii="Arial Unicode MS" w:hAnsi="Arial Unicode MS" w:eastAsia="Arial Unicode MS" w:cs="Arial Unicode MS"/>
                <w:i w:val="0"/>
                <w:color w:val="000000"/>
                <w:kern w:val="0"/>
                <w:sz w:val="22"/>
                <w:szCs w:val="22"/>
                <w:u w:val="none"/>
                <w:lang w:val="en-US" w:eastAsia="zh-CN" w:bidi="ar"/>
              </w:rPr>
              <w:t>全民精神文化综合水平提高</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显著提高</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显著提高</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长期使用性</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长期</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长期</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8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051"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文明县城创建成果满意率</w:t>
            </w:r>
          </w:p>
        </w:tc>
        <w:tc>
          <w:tcPr>
            <w:tcW w:w="941"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940"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≥90%</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111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190" w:type="dxa"/>
            <w:gridSpan w:val="6"/>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117"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w:t>
            </w:r>
            <w:r>
              <w:rPr>
                <w:rStyle w:val="13"/>
                <w:rFonts w:eastAsia="宋体"/>
                <w:lang w:val="en-US" w:eastAsia="zh-CN" w:bidi="ar"/>
              </w:rPr>
              <w:t xml:space="preserve"> </w:t>
            </w:r>
            <w:r>
              <w:rPr>
                <w:rStyle w:val="14"/>
                <w:lang w:val="en-US" w:eastAsia="zh-CN" w:bidi="ar"/>
              </w:rPr>
              <w:t>存在问题、原因及下一步整改措施</w:t>
            </w:r>
          </w:p>
        </w:tc>
        <w:tc>
          <w:tcPr>
            <w:tcW w:w="7718" w:type="dxa"/>
            <w:gridSpan w:val="7"/>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群众满意度还有待提高，进一步加强群众创建文明县城意识，增加宣传力度，让群众都了解创城的意义所在，达到满意度。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trPr>
        <w:tc>
          <w:tcPr>
            <w:tcW w:w="1117"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17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葛琳</w:t>
            </w:r>
          </w:p>
        </w:tc>
        <w:tc>
          <w:tcPr>
            <w:tcW w:w="1080"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0"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1" w:type="dxa"/>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0"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52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84031343</w:t>
            </w:r>
          </w:p>
        </w:tc>
      </w:tr>
    </w:tbl>
    <w:p>
      <w:pPr>
        <w:pStyle w:val="2"/>
        <w:numPr>
          <w:ilvl w:val="0"/>
          <w:numId w:val="0"/>
        </w:numPr>
        <w:ind w:leftChars="400"/>
        <w:rPr>
          <w:rFonts w:hint="eastAsia"/>
        </w:rPr>
      </w:pP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本部门2020年度机关运行经费支出54.02万元，比2019年度减少</w:t>
      </w:r>
      <w:r>
        <w:rPr>
          <w:rFonts w:hint="eastAsia" w:ascii="仿宋_GB2312" w:hAnsi="仿宋_GB2312" w:eastAsia="仿宋_GB2312" w:cs="仿宋_GB2312"/>
          <w:sz w:val="32"/>
          <w:szCs w:val="32"/>
          <w:lang w:val="en-US" w:eastAsia="zh-CN"/>
        </w:rPr>
        <w:t>118.44</w:t>
      </w:r>
      <w:r>
        <w:rPr>
          <w:rFonts w:hint="eastAsia" w:ascii="仿宋_GB2312" w:hAnsi="仿宋_GB2312" w:eastAsia="仿宋_GB2312" w:cs="仿宋_GB2312"/>
          <w:sz w:val="32"/>
          <w:szCs w:val="32"/>
        </w:rPr>
        <w:t>万元，降低</w:t>
      </w:r>
      <w:r>
        <w:rPr>
          <w:rFonts w:hint="eastAsia" w:ascii="仿宋_GB2312" w:hAnsi="仿宋_GB2312" w:eastAsia="仿宋_GB2312" w:cs="仿宋_GB2312"/>
          <w:sz w:val="32"/>
          <w:szCs w:val="32"/>
          <w:lang w:val="en-US" w:eastAsia="zh-CN"/>
        </w:rPr>
        <w:t>69</w:t>
      </w:r>
      <w:r>
        <w:rPr>
          <w:rFonts w:hint="eastAsia" w:ascii="仿宋_GB2312" w:hAnsi="仿宋_GB2312" w:eastAsia="仿宋_GB2312" w:cs="仿宋_GB2312"/>
          <w:sz w:val="32"/>
          <w:szCs w:val="32"/>
        </w:rPr>
        <w:t>%。主要原因是</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认真贯彻落实中央八项规定精神和厉行节约要求，减少支出。</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default"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adjustRightInd w:val="0"/>
        <w:snapToGrid w:val="0"/>
        <w:spacing w:line="600" w:lineRule="exact"/>
        <w:ind w:firstLine="640"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持平。</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w:t>
      </w:r>
      <w:r>
        <w:rPr>
          <w:rFonts w:hint="eastAsia" w:ascii="仿宋_GB2312" w:hAnsi="仿宋_GB2312" w:eastAsia="仿宋_GB2312" w:cs="仿宋_GB2312"/>
          <w:sz w:val="32"/>
          <w:szCs w:val="32"/>
          <w:lang w:eastAsia="zh-CN"/>
        </w:rPr>
        <w:t>国有资本经营预算财政拨款无</w:t>
      </w:r>
      <w:r>
        <w:rPr>
          <w:rFonts w:hint="eastAsia" w:ascii="仿宋_GB2312" w:hAnsi="仿宋_GB2312" w:eastAsia="仿宋_GB2312" w:cs="仿宋_GB2312"/>
          <w:sz w:val="32"/>
          <w:szCs w:val="32"/>
        </w:rPr>
        <w:t>收支及结转结余情况，故</w:t>
      </w:r>
      <w:r>
        <w:rPr>
          <w:rFonts w:hint="eastAsia" w:ascii="仿宋_GB2312" w:hAnsi="仿宋_GB2312" w:eastAsia="仿宋_GB2312" w:cs="仿宋_GB2312"/>
          <w:sz w:val="32"/>
          <w:szCs w:val="32"/>
          <w:lang w:val="en-US" w:eastAsia="zh-CN"/>
        </w:rPr>
        <w:t>09表</w:t>
      </w:r>
      <w:r>
        <w:rPr>
          <w:rFonts w:hint="eastAsia" w:ascii="仿宋_GB2312" w:hAnsi="仿宋_GB2312" w:eastAsia="仿宋_GB2312" w:cs="仿宋_GB2312"/>
          <w:sz w:val="32"/>
          <w:szCs w:val="32"/>
        </w:rPr>
        <w:t>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14"/>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4"/>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4384"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6"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四</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部分 </w:t>
                            </w:r>
                          </w:p>
                          <w:p>
                            <w:pPr>
                              <w:pStyle w:val="2"/>
                              <w:ind w:left="0" w:leftChars="0" w:firstLine="1800" w:firstLineChars="200"/>
                              <w:rPr>
                                <w:rFonts w:hint="eastAsia" w:ascii="黑体" w:hAnsi="黑体" w:eastAsia="黑体" w:cs="黑体"/>
                                <w:color w:val="000000" w:themeColor="text1"/>
                                <w:kern w:val="2"/>
                                <w:sz w:val="90"/>
                                <w:szCs w:val="90"/>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kern w:val="2"/>
                                <w:sz w:val="90"/>
                                <w:szCs w:val="90"/>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4384;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tIKzUYcCAABIBQAADgAAAGRycy9lMm9Eb2MueG1srVTB&#10;bhMxEL0j8Q+W73STJmlo1E0VWgUhFVqpIM6O185asj3GdrJbPgD+gBMX7nxXv4Oxd5NGpYdKsJE2&#10;Y8/bNzNvxj47b40mW+GDAlvS4dGAEmE5VMquS/rp4/LVa0pCZLZiGqwo6Z0I9Hz+8sVZ42biGGrQ&#10;lfAESWyYNa6kdYxuVhSB18KwcAROWHRK8IZFXPp1UXnWILvRxfFgcFI04CvngYsQcPeyc9Ke0T+H&#10;EKRUXFwC3xhhY8fqhWYRSwq1coHOc7ZSCh6vpQwiEl1SrDTmNwZBe5XexfyMzdaeuVrxPgX2nBQe&#10;1WSYshh0T3XJIiMbr/6iMop7CCDjEQdTdIVkRbCK4eCRNrc1cyLXglIHtxc9/D9a/mF744mqSnpC&#10;iWUGG37/4/v9z9/3v76RkyRP48IMUbcOcbF9Ay0OzW4/4GaqupXepH+sh6Afxb3biyvaSDhuTqen&#10;o9FkQglH32g0Ho6mWf7i4XPnQ3wrwJBklNRj97KobHsVIqaC0B0kRXMsxqXSuoc7HicZLtcXOqcV&#10;/HqFJtky7P50mX4ZoDfmPVTd9mSAT6oHyXt8tvckqyfZlvnpv+shKb0+pZSetqRBWUeTQQ4aQKsq&#10;pZt8/5LZARFG1BbTTT3qepGs2K7avnErqO6wbx66wQ+OLxVqe8VCvGEeJx1bhXdBvMaX1ID5Qm9R&#10;UoP/+tR+wuMAopeSBk9OScOXDfOCEv3O4mieDsfjdNTyYjyZHuPCH3pWhx67MReA7RnireN4NhM+&#10;6p0pPZjPeGUsUlR0Mcsxdkl59LvFRexONF46XCwWGYbHC5txZW8dT+RJdAuLTQSp8igloTp1ev3w&#10;gOXG95dBOsGH64x6uADn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AJdu0e2AAAAAsBAAAPAAAA&#10;AAAAAAEAIAAAACIAAABkcnMvZG93bnJldi54bWxQSwECFAAUAAAACACHTuJAtIKzUYcCAABIBQAA&#10;DgAAAAAAAAABACAAAAAnAQAAZHJzL2Uyb0RvYy54bWxQSwUGAAAAAAYABgBZAQAAIAYAAAAA&#10;">
                <v:fill type="pattern" on="t" color2="#FFFFFF [3212]" o:title="5%" focussize="0,0" r:id="rId14"/>
                <v:stroke weight="0.5pt" color="#7F7F7F [1612]" joinstyle="round"/>
                <v:imagedata o:title=""/>
                <o:lock v:ext="edit" aspectratio="f"/>
                <v:textbox>
                  <w:txbxContent>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四</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部分 </w:t>
                      </w:r>
                    </w:p>
                    <w:p>
                      <w:pPr>
                        <w:pStyle w:val="2"/>
                        <w:ind w:left="0" w:leftChars="0" w:firstLine="1800" w:firstLineChars="200"/>
                        <w:rPr>
                          <w:rFonts w:hint="eastAsia" w:ascii="黑体" w:hAnsi="黑体" w:eastAsia="黑体" w:cs="黑体"/>
                          <w:color w:val="000000" w:themeColor="text1"/>
                          <w:kern w:val="2"/>
                          <w:sz w:val="90"/>
                          <w:szCs w:val="90"/>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kern w:val="2"/>
                          <w:sz w:val="90"/>
                          <w:szCs w:val="90"/>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txbxContent>
                </v:textbox>
              </v:shape>
            </w:pict>
          </mc:Fallback>
        </mc:AlternateContent>
      </w:r>
      <w:r>
        <w:rPr>
          <w:rFonts w:hint="eastAsia" w:ascii="仿宋_GB2312" w:hAnsi="宋体" w:eastAsia="仿宋_GB2312" w:cs="Arial Black"/>
          <w:sz w:val="32"/>
          <w:szCs w:val="32"/>
          <w:highlight w:val="yellow"/>
        </w:rPr>
        <w:br w:type="page"/>
      </w:r>
    </w:p>
    <w:p>
      <w:pPr>
        <w:jc w:val="left"/>
      </w:pPr>
    </w:p>
    <w:p/>
    <w:p>
      <w:pPr>
        <w:spacing w:line="500" w:lineRule="exact"/>
        <w:ind w:firstLine="640" w:firstLineChars="200"/>
        <w:rPr>
          <w:rFonts w:hint="eastAsia" w:ascii="黑体" w:eastAsia="黑体" w:cs="黑体" w:hAnsiTheme="minorHAnsi"/>
          <w:b w:val="0"/>
          <w:bCs w:val="0"/>
          <w:kern w:val="0"/>
          <w:sz w:val="32"/>
          <w:szCs w:val="32"/>
          <w:lang w:val="en-US" w:eastAsia="zh-CN" w:bidi="ar-SA"/>
        </w:rPr>
      </w:pPr>
      <w:r>
        <w:rPr>
          <w:rFonts w:hint="eastAsia" w:ascii="黑体" w:eastAsia="黑体" w:cs="黑体" w:hAnsiTheme="minorHAnsi"/>
          <w:b w:val="0"/>
          <w:bCs w:val="0"/>
          <w:kern w:val="0"/>
          <w:sz w:val="32"/>
          <w:szCs w:val="32"/>
          <w:lang w:val="en-US" w:eastAsia="zh-CN" w:bidi="ar-SA"/>
        </w:rPr>
        <w:t>本部门应公开</w:t>
      </w:r>
      <w:r>
        <w:rPr>
          <w:rFonts w:hint="eastAsia" w:ascii="黑体" w:eastAsia="黑体" w:cs="黑体"/>
          <w:b w:val="0"/>
          <w:bCs w:val="0"/>
          <w:kern w:val="0"/>
          <w:sz w:val="32"/>
          <w:szCs w:val="32"/>
          <w:lang w:val="en-US" w:eastAsia="zh-CN" w:bidi="ar-SA"/>
        </w:rPr>
        <w:t>9</w:t>
      </w:r>
      <w:r>
        <w:rPr>
          <w:rFonts w:hint="eastAsia" w:ascii="黑体" w:eastAsia="黑体" w:cs="黑体" w:hAnsiTheme="minorHAnsi"/>
          <w:b w:val="0"/>
          <w:bCs w:val="0"/>
          <w:kern w:val="0"/>
          <w:sz w:val="32"/>
          <w:szCs w:val="32"/>
          <w:lang w:val="en-US" w:eastAsia="zh-CN" w:bidi="ar-SA"/>
        </w:rPr>
        <w:t>张决算表格，即：</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一、收入支出决算总表（公开01表）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二、收入决算表（公开02表）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三、支出决算表（公开03表）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四、财政拨款收入支出决算总表（公开04表）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五、一般公共预算财政拨款支出决算表（公开05表）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六、一般公共预算财政拨款基本支出决算表（公开06表）</w:t>
      </w:r>
    </w:p>
    <w:p>
      <w:pPr>
        <w:spacing w:line="500" w:lineRule="exact"/>
        <w:ind w:left="958" w:leftChars="304" w:hanging="320" w:hangingChars="100"/>
        <w:rPr>
          <w:rFonts w:hint="eastAsia" w:ascii="仿宋" w:hAnsi="仿宋" w:eastAsia="仿宋" w:cs="仿宋"/>
          <w:sz w:val="32"/>
          <w:szCs w:val="32"/>
          <w:lang w:eastAsia="zh-CN"/>
        </w:rPr>
      </w:pPr>
      <w:r>
        <w:rPr>
          <w:rFonts w:hint="eastAsia" w:ascii="仿宋" w:hAnsi="仿宋" w:eastAsia="仿宋" w:cs="仿宋"/>
          <w:sz w:val="32"/>
          <w:szCs w:val="32"/>
          <w:lang w:eastAsia="zh-CN"/>
        </w:rPr>
        <w:t>七、一般公共预算财政拨款“三公”经费支出决算表（公开07表）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八、政府性基金预算财政拨款收入支出决算表（公开08表）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九、国有资本经营预算财政拨款支出决算表（公开09表）</w:t>
      </w:r>
    </w:p>
    <w:p>
      <w:pPr>
        <w:spacing w:line="500" w:lineRule="exact"/>
        <w:ind w:firstLine="640" w:firstLineChars="200"/>
        <w:rPr>
          <w:rFonts w:hint="eastAsia" w:ascii="仿宋" w:hAnsi="仿宋" w:eastAsia="仿宋" w:cs="仿宋"/>
          <w:sz w:val="32"/>
          <w:szCs w:val="32"/>
          <w:lang w:eastAsia="zh-CN"/>
        </w:rPr>
        <w:sectPr>
          <w:pgSz w:w="11906" w:h="16838"/>
          <w:pgMar w:top="2098" w:right="1474" w:bottom="1984" w:left="1588" w:header="851" w:footer="992" w:gutter="0"/>
          <w:cols w:space="0" w:num="1"/>
          <w:docGrid w:type="lines" w:linePitch="312" w:charSpace="0"/>
        </w:sectPr>
      </w:pPr>
      <w:r>
        <w:rPr>
          <w:rFonts w:hint="eastAsia" w:ascii="仿宋" w:hAnsi="仿宋" w:eastAsia="仿宋" w:cs="仿宋"/>
          <w:sz w:val="32"/>
          <w:szCs w:val="32"/>
          <w:lang w:eastAsia="zh-CN"/>
        </w:rPr>
        <w:t>详见附表：《高邑县宣传部</w:t>
      </w:r>
      <w:r>
        <w:rPr>
          <w:rFonts w:hint="eastAsia" w:ascii="仿宋" w:hAnsi="仿宋" w:eastAsia="仿宋" w:cs="仿宋"/>
          <w:sz w:val="32"/>
          <w:szCs w:val="32"/>
          <w:lang w:val="en-US" w:eastAsia="zh-CN"/>
        </w:rPr>
        <w:t>2020</w:t>
      </w:r>
      <w:r>
        <w:rPr>
          <w:rFonts w:hint="eastAsia" w:ascii="仿宋" w:hAnsi="仿宋" w:eastAsia="仿宋" w:cs="仿宋"/>
          <w:sz w:val="32"/>
          <w:szCs w:val="32"/>
          <w:lang w:eastAsia="zh-CN"/>
        </w:rPr>
        <w:t>年度部门决算公开表》</w:t>
      </w: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A00002EF" w:usb1="4000004B"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868600"/>
    <w:multiLevelType w:val="singleLevel"/>
    <w:tmpl w:val="FE868600"/>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D05F303"/>
    <w:multiLevelType w:val="singleLevel"/>
    <w:tmpl w:val="5D05F303"/>
    <w:lvl w:ilvl="0" w:tentative="0">
      <w:start w:val="2"/>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B0A73"/>
    <w:rsid w:val="009D1193"/>
    <w:rsid w:val="00A61E3E"/>
    <w:rsid w:val="00B0223F"/>
    <w:rsid w:val="00BA1219"/>
    <w:rsid w:val="00BB2584"/>
    <w:rsid w:val="00BE2400"/>
    <w:rsid w:val="00DA4CB6"/>
    <w:rsid w:val="00E54963"/>
    <w:rsid w:val="00EB3F98"/>
    <w:rsid w:val="00F217C2"/>
    <w:rsid w:val="00FD5E00"/>
    <w:rsid w:val="01B77B15"/>
    <w:rsid w:val="03087D8B"/>
    <w:rsid w:val="040076F6"/>
    <w:rsid w:val="0481002E"/>
    <w:rsid w:val="08DF50C3"/>
    <w:rsid w:val="0BEB4392"/>
    <w:rsid w:val="0DD91EA8"/>
    <w:rsid w:val="0E7B2EB2"/>
    <w:rsid w:val="0EA325C9"/>
    <w:rsid w:val="0EE17C1A"/>
    <w:rsid w:val="0FD81402"/>
    <w:rsid w:val="10E97152"/>
    <w:rsid w:val="11D1393D"/>
    <w:rsid w:val="148B4BCB"/>
    <w:rsid w:val="14B83965"/>
    <w:rsid w:val="15E11A18"/>
    <w:rsid w:val="181800A9"/>
    <w:rsid w:val="19555485"/>
    <w:rsid w:val="1AA43D6C"/>
    <w:rsid w:val="1B8A5140"/>
    <w:rsid w:val="1E991BB8"/>
    <w:rsid w:val="2032321F"/>
    <w:rsid w:val="20947D41"/>
    <w:rsid w:val="22E46C89"/>
    <w:rsid w:val="230E34F3"/>
    <w:rsid w:val="255440CD"/>
    <w:rsid w:val="26CC6928"/>
    <w:rsid w:val="2CDB7B9D"/>
    <w:rsid w:val="2D2C192A"/>
    <w:rsid w:val="30273845"/>
    <w:rsid w:val="331E12B9"/>
    <w:rsid w:val="3418330D"/>
    <w:rsid w:val="34212925"/>
    <w:rsid w:val="342A7916"/>
    <w:rsid w:val="34367B30"/>
    <w:rsid w:val="34A44033"/>
    <w:rsid w:val="34C45458"/>
    <w:rsid w:val="353500B2"/>
    <w:rsid w:val="35872D70"/>
    <w:rsid w:val="35C83C42"/>
    <w:rsid w:val="37445DC3"/>
    <w:rsid w:val="38CD104C"/>
    <w:rsid w:val="390F7898"/>
    <w:rsid w:val="39A257C7"/>
    <w:rsid w:val="3B8F50A6"/>
    <w:rsid w:val="3F7729C9"/>
    <w:rsid w:val="40411F9D"/>
    <w:rsid w:val="40825EEE"/>
    <w:rsid w:val="40D95B22"/>
    <w:rsid w:val="40FC0C96"/>
    <w:rsid w:val="41C31EAE"/>
    <w:rsid w:val="440A3784"/>
    <w:rsid w:val="4443530A"/>
    <w:rsid w:val="463023EE"/>
    <w:rsid w:val="46A34549"/>
    <w:rsid w:val="47915BA7"/>
    <w:rsid w:val="480441DE"/>
    <w:rsid w:val="48360869"/>
    <w:rsid w:val="4A402042"/>
    <w:rsid w:val="4C464182"/>
    <w:rsid w:val="4D526FC0"/>
    <w:rsid w:val="4E7E27BB"/>
    <w:rsid w:val="4EDB0775"/>
    <w:rsid w:val="4FF37DC9"/>
    <w:rsid w:val="5177523B"/>
    <w:rsid w:val="545C0E1D"/>
    <w:rsid w:val="54832424"/>
    <w:rsid w:val="55862CB0"/>
    <w:rsid w:val="572A331D"/>
    <w:rsid w:val="5913498F"/>
    <w:rsid w:val="5A507F52"/>
    <w:rsid w:val="5AC432A8"/>
    <w:rsid w:val="5C386419"/>
    <w:rsid w:val="5E1F0475"/>
    <w:rsid w:val="5E921E54"/>
    <w:rsid w:val="5FCB4A0E"/>
    <w:rsid w:val="60154311"/>
    <w:rsid w:val="61462A4F"/>
    <w:rsid w:val="614F0426"/>
    <w:rsid w:val="620B5279"/>
    <w:rsid w:val="625471B9"/>
    <w:rsid w:val="64693006"/>
    <w:rsid w:val="653F2ABC"/>
    <w:rsid w:val="675E6549"/>
    <w:rsid w:val="694F6F80"/>
    <w:rsid w:val="695B26FD"/>
    <w:rsid w:val="6AF77BA8"/>
    <w:rsid w:val="6E6A5586"/>
    <w:rsid w:val="70066BD6"/>
    <w:rsid w:val="70DE4D02"/>
    <w:rsid w:val="72262CF8"/>
    <w:rsid w:val="7270133D"/>
    <w:rsid w:val="72CD3E7B"/>
    <w:rsid w:val="72D519E4"/>
    <w:rsid w:val="72DF5BEF"/>
    <w:rsid w:val="72F75970"/>
    <w:rsid w:val="73D824BD"/>
    <w:rsid w:val="746C667E"/>
    <w:rsid w:val="764B3663"/>
    <w:rsid w:val="768D77F6"/>
    <w:rsid w:val="77AB432B"/>
    <w:rsid w:val="77C3285C"/>
    <w:rsid w:val="78080FAA"/>
    <w:rsid w:val="799D58B3"/>
    <w:rsid w:val="7AB609D9"/>
    <w:rsid w:val="7B4254E3"/>
    <w:rsid w:val="7BDD605E"/>
    <w:rsid w:val="7C0C57E5"/>
    <w:rsid w:val="7E296A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qFormat/>
    <w:uiPriority w:val="99"/>
    <w:pPr>
      <w:spacing w:before="100" w:beforeAutospacing="1"/>
      <w:ind w:firstLine="420" w:firstLineChars="200"/>
    </w:pPr>
  </w:style>
  <w:style w:type="paragraph" w:styleId="3">
    <w:name w:val="Body Text Indent"/>
    <w:basedOn w:val="1"/>
    <w:qFormat/>
    <w:uiPriority w:val="99"/>
    <w:pPr>
      <w:spacing w:after="120"/>
      <w:ind w:left="420" w:leftChars="200"/>
    </w:pPr>
  </w:style>
  <w:style w:type="paragraph" w:styleId="5">
    <w:name w:val="Balloon Text"/>
    <w:basedOn w:val="1"/>
    <w:link w:val="12"/>
    <w:uiPriority w:val="0"/>
    <w:rPr>
      <w:sz w:val="18"/>
      <w:szCs w:val="18"/>
    </w:r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11">
    <w:name w:val="List Paragraph"/>
    <w:basedOn w:val="1"/>
    <w:unhideWhenUsed/>
    <w:qFormat/>
    <w:uiPriority w:val="99"/>
    <w:pPr>
      <w:ind w:firstLine="420" w:firstLineChars="200"/>
    </w:pPr>
  </w:style>
  <w:style w:type="character" w:customStyle="1" w:styleId="12">
    <w:name w:val="批注框文本 Char"/>
    <w:basedOn w:val="10"/>
    <w:link w:val="5"/>
    <w:qFormat/>
    <w:uiPriority w:val="0"/>
    <w:rPr>
      <w:rFonts w:asciiTheme="minorHAnsi" w:hAnsiTheme="minorHAnsi" w:eastAsiaTheme="minorEastAsia" w:cstheme="minorBidi"/>
      <w:kern w:val="2"/>
      <w:sz w:val="18"/>
      <w:szCs w:val="18"/>
    </w:rPr>
  </w:style>
  <w:style w:type="character" w:customStyle="1" w:styleId="13">
    <w:name w:val="font31"/>
    <w:basedOn w:val="10"/>
    <w:qFormat/>
    <w:uiPriority w:val="0"/>
    <w:rPr>
      <w:rFonts w:ascii="Calibri" w:hAnsi="Calibri" w:cs="Calibri"/>
      <w:color w:val="000000"/>
      <w:sz w:val="22"/>
      <w:szCs w:val="22"/>
      <w:u w:val="none"/>
    </w:rPr>
  </w:style>
  <w:style w:type="character" w:customStyle="1" w:styleId="14">
    <w:name w:val="font7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3.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4" Type="http://schemas.microsoft.com/office/2011/relationships/chartColorStyle" Target="colors5.xml"/><Relationship Id="rId3" Type="http://schemas.microsoft.com/office/2011/relationships/chartStyle" Target="style5.xml"/><Relationship Id="rId2" Type="http://schemas.openxmlformats.org/officeDocument/2006/relationships/themeOverride" Target="../theme/themeOverride4.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4" Type="http://schemas.microsoft.com/office/2011/relationships/chartColorStyle" Target="colors6.xml"/><Relationship Id="rId3" Type="http://schemas.microsoft.com/office/2011/relationships/chartStyle" Target="style6.xml"/><Relationship Id="rId2" Type="http://schemas.openxmlformats.org/officeDocument/2006/relationships/themeOverride" Target="../theme/themeOverride5.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ysClr val="windowText" lastClr="000000">
                  <a:lumMod val="65000"/>
                  <a:lumOff val="35000"/>
                </a:sysClr>
              </a:solidFill>
              <a:latin typeface="+mn-lt"/>
              <a:ea typeface="+mn-ea"/>
              <a:cs typeface="+mn-cs"/>
            </a:defRPr>
          </a:pPr>
        </a:p>
      </c:txPr>
    </c:title>
    <c:autoTitleDeleted val="0"/>
    <c:plotArea>
      <c:layout>
        <c:manualLayout>
          <c:layoutTarget val="inner"/>
          <c:xMode val="edge"/>
          <c:yMode val="edge"/>
          <c:x val="0.0716025192442267"/>
          <c:y val="0.12630298818624"/>
          <c:w val="0.890048985304409"/>
          <c:h val="0.724774148714385"/>
        </c:manualLayout>
      </c:layout>
      <c:barChart>
        <c:barDir val="col"/>
        <c:grouping val="clustered"/>
        <c:varyColors val="0"/>
        <c:ser>
          <c:idx val="0"/>
          <c:order val="0"/>
          <c:tx>
            <c:strRef>
              <c:f>Sheet1!$B$1</c:f>
              <c:strCache>
                <c:ptCount val="1"/>
                <c:pt idx="0">
                  <c:v/>
                </c:pt>
              </c:strCache>
            </c:strRef>
          </c:tx>
          <c:spPr>
            <a:solidFill>
              <a:srgbClr val="4472C4"/>
            </a:solidFill>
            <a:ln>
              <a:noFill/>
            </a:ln>
            <a:effectLst/>
          </c:spPr>
          <c:invertIfNegative val="0"/>
          <c:dLbls>
            <c:delete val="1"/>
          </c:dLbls>
          <c:cat>
            <c:strRef>
              <c:f>Sheet1!$A$2:$A$3</c:f>
              <c:strCache>
                <c:ptCount val="2"/>
                <c:pt idx="0">
                  <c:v>2019年收、支总计</c:v>
                </c:pt>
                <c:pt idx="1">
                  <c:v>2020年收、支总计</c:v>
                </c:pt>
              </c:strCache>
            </c:strRef>
          </c:cat>
          <c:val>
            <c:numRef>
              <c:f>Sheet1!$B$2:$B$3</c:f>
              <c:numCache>
                <c:formatCode>General</c:formatCode>
                <c:ptCount val="2"/>
                <c:pt idx="0">
                  <c:v>345.75</c:v>
                </c:pt>
                <c:pt idx="1">
                  <c:v>546.64</c:v>
                </c:pt>
              </c:numCache>
            </c:numRef>
          </c:val>
        </c:ser>
        <c:dLbls>
          <c:showLegendKey val="0"/>
          <c:showVal val="0"/>
          <c:showCatName val="0"/>
          <c:showSerName val="0"/>
          <c:showPercent val="0"/>
          <c:showBubbleSize val="0"/>
        </c:dLbls>
        <c:gapWidth val="219"/>
        <c:overlap val="-27"/>
        <c:axId val="585916614"/>
        <c:axId val="343451386"/>
      </c:barChart>
      <c:catAx>
        <c:axId val="585916614"/>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343451386"/>
        <c:crosses val="autoZero"/>
        <c:auto val="1"/>
        <c:lblAlgn val="ctr"/>
        <c:lblOffset val="100"/>
        <c:noMultiLvlLbl val="0"/>
      </c:catAx>
      <c:valAx>
        <c:axId val="343451386"/>
        <c:scaling>
          <c:orientation val="minMax"/>
        </c:scaling>
        <c:delete val="0"/>
        <c:axPos val="l"/>
        <c:majorGridlines>
          <c:spPr>
            <a:ln w="9525" cap="flat" cmpd="sng" algn="ctr">
              <a:solidFill>
                <a:sysClr val="windowText" lastClr="000000">
                  <a:lumMod val="15000"/>
                  <a:lumOff val="85000"/>
                </a:sys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58591661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Sheet1!#REF!</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财政收入</c:v>
                </c:pt>
                <c:pt idx="1">
                  <c:v>事业收入</c:v>
                </c:pt>
                <c:pt idx="2">
                  <c:v>经营收入</c:v>
                </c:pt>
                <c:pt idx="3">
                  <c:v>其他收入</c:v>
                </c:pt>
              </c:strCache>
            </c:strRef>
          </c:cat>
          <c:val>
            <c:numRef>
              <c:f>Sheet1!$B$2:$B$5</c:f>
              <c:numCache>
                <c:formatCode>General</c:formatCode>
                <c:ptCount val="4"/>
                <c:pt idx="0">
                  <c:v>545.85</c:v>
                </c:pt>
                <c:pt idx="1">
                  <c:v>0</c:v>
                </c:pt>
                <c:pt idx="2">
                  <c:v>0</c:v>
                </c:pt>
                <c:pt idx="3">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25003596604805"/>
          <c:y val="0.92284803400637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ysClr val="windowText" lastClr="000000">
                  <a:lumMod val="65000"/>
                  <a:lumOff val="35000"/>
                </a:sys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c:explosion val="0"/>
          <c:dPt>
            <c:idx val="0"/>
            <c:bubble3D val="0"/>
            <c:spPr>
              <a:solidFill>
                <a:srgbClr val="4472C4"/>
              </a:solidFill>
              <a:ln w="19050">
                <a:solidFill>
                  <a:sysClr val="window" lastClr="FFFFFF"/>
                </a:solidFill>
              </a:ln>
              <a:effectLst/>
            </c:spPr>
          </c:dPt>
          <c:dPt>
            <c:idx val="1"/>
            <c:bubble3D val="0"/>
            <c:spPr>
              <a:solidFill>
                <a:srgbClr val="ED7D31"/>
              </a:solidFill>
              <a:ln w="19050">
                <a:solidFill>
                  <a:sysClr val="window" lastClr="FFFFFF"/>
                </a:solidFill>
              </a:ln>
              <a:effectLst/>
            </c:spPr>
          </c:dPt>
          <c:dPt>
            <c:idx val="2"/>
            <c:bubble3D val="0"/>
            <c:spPr>
              <a:solidFill>
                <a:srgbClr val="A5A5A5"/>
              </a:solidFill>
              <a:ln w="19050">
                <a:solidFill>
                  <a:sysClr val="window" lastClr="FFFFFF"/>
                </a:solidFill>
              </a:ln>
              <a:effectLst/>
            </c:spPr>
          </c:dPt>
          <c:dLbls>
            <c:delete val="1"/>
          </c:dLbls>
          <c:cat>
            <c:strRef>
              <c:f>Sheet1!$A$2:$A$4</c:f>
              <c:strCache>
                <c:ptCount val="3"/>
                <c:pt idx="0">
                  <c:v>基本支出</c:v>
                </c:pt>
                <c:pt idx="1">
                  <c:v>项目支出</c:v>
                </c:pt>
                <c:pt idx="2">
                  <c:v>经营支出</c:v>
                </c:pt>
              </c:strCache>
            </c:strRef>
          </c:cat>
          <c:val>
            <c:numRef>
              <c:f>Sheet1!$B$2:$B$4</c:f>
              <c:numCache>
                <c:formatCode>General</c:formatCode>
                <c:ptCount val="3"/>
                <c:pt idx="0">
                  <c:v>317.51</c:v>
                </c:pt>
                <c:pt idx="1">
                  <c:v>25.45</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0845136798010211"/>
          <c:y val="0.0912704885343968"/>
          <c:w val="0.9018"/>
          <c:h val="0.8019"/>
        </c:manualLayout>
      </c:layout>
      <c:barChart>
        <c:barDir val="col"/>
        <c:grouping val="clustered"/>
        <c:varyColors val="0"/>
        <c:ser>
          <c:idx val="0"/>
          <c:order val="0"/>
          <c:tx>
            <c:strRef>
              <c:f>Sheet1!$B$1</c:f>
              <c:strCache>
                <c:ptCount val="1"/>
                <c:pt idx="0">
                  <c:v>系列 1</c:v>
                </c:pt>
              </c:strCache>
            </c:strRef>
          </c:tx>
          <c:spPr>
            <a:solidFill>
              <a:srgbClr val="4472C4"/>
            </a:solidFill>
            <a:ln>
              <a:noFill/>
            </a:ln>
            <a:effectLst/>
          </c:spPr>
          <c:invertIfNegative val="0"/>
          <c:dLbls>
            <c:delete val="1"/>
          </c:dLbls>
          <c:cat>
            <c:strRef>
              <c:f>Sheet1!$A$2:$A$5</c:f>
              <c:strCache>
                <c:ptCount val="4"/>
                <c:pt idx="0">
                  <c:v>2020年收入</c:v>
                </c:pt>
                <c:pt idx="1">
                  <c:v>2019年收入</c:v>
                </c:pt>
                <c:pt idx="2">
                  <c:v>2020年支出</c:v>
                </c:pt>
                <c:pt idx="3">
                  <c:v>2019年支出</c:v>
                </c:pt>
              </c:strCache>
            </c:strRef>
          </c:cat>
          <c:val>
            <c:numRef>
              <c:f>Sheet1!$B$2:$B$5</c:f>
              <c:numCache>
                <c:formatCode>General</c:formatCode>
                <c:ptCount val="4"/>
                <c:pt idx="0">
                  <c:v>545.85</c:v>
                </c:pt>
                <c:pt idx="1">
                  <c:v>339.67</c:v>
                </c:pt>
                <c:pt idx="2">
                  <c:v>503.84</c:v>
                </c:pt>
                <c:pt idx="3">
                  <c:v>344.96</c:v>
                </c:pt>
              </c:numCache>
            </c:numRef>
          </c:val>
        </c:ser>
        <c:ser>
          <c:idx val="1"/>
          <c:order val="1"/>
          <c:tx>
            <c:strRef>
              <c:f>Sheet1!$E$1</c:f>
              <c:strCache>
                <c:ptCount val="1"/>
                <c:pt idx="0">
                  <c:v/>
                </c:pt>
              </c:strCache>
            </c:strRef>
          </c:tx>
          <c:spPr>
            <a:solidFill>
              <a:srgbClr val="ED7D31"/>
            </a:solidFill>
            <a:ln>
              <a:noFill/>
            </a:ln>
            <a:effectLst/>
          </c:spPr>
          <c:invertIfNegative val="0"/>
          <c:dLbls>
            <c:delete val="1"/>
          </c:dLbls>
          <c:cat>
            <c:strRef>
              <c:f>Sheet1!$A$2:$A$5</c:f>
              <c:strCache>
                <c:ptCount val="4"/>
                <c:pt idx="0">
                  <c:v>2020年收入</c:v>
                </c:pt>
                <c:pt idx="1">
                  <c:v>2019年收入</c:v>
                </c:pt>
                <c:pt idx="2">
                  <c:v>2020年支出</c:v>
                </c:pt>
                <c:pt idx="3">
                  <c:v>2019年支出</c:v>
                </c:pt>
              </c:strCache>
            </c:strRef>
          </c:cat>
          <c:val>
            <c:numRef>
              <c:f>Sheet1!$E$2:$E$5</c:f>
              <c:numCache>
                <c:formatCode>General</c:formatCode>
                <c:ptCount val="4"/>
              </c:numCache>
            </c:numRef>
          </c:val>
        </c:ser>
        <c:ser>
          <c:idx val="2"/>
          <c:order val="2"/>
          <c:tx>
            <c:strRef>
              <c:f>Sheet1!$F$1</c:f>
              <c:strCache>
                <c:ptCount val="1"/>
                <c:pt idx="0">
                  <c:v/>
                </c:pt>
              </c:strCache>
            </c:strRef>
          </c:tx>
          <c:spPr>
            <a:solidFill>
              <a:srgbClr val="A5A5A5"/>
            </a:solidFill>
            <a:ln>
              <a:noFill/>
            </a:ln>
            <a:effectLst/>
          </c:spPr>
          <c:invertIfNegative val="0"/>
          <c:dLbls>
            <c:delete val="1"/>
          </c:dLbls>
          <c:cat>
            <c:strRef>
              <c:f>Sheet1!$A$2:$A$5</c:f>
              <c:strCache>
                <c:ptCount val="4"/>
                <c:pt idx="0">
                  <c:v>2020年收入</c:v>
                </c:pt>
                <c:pt idx="1">
                  <c:v>2019年收入</c:v>
                </c:pt>
                <c:pt idx="2">
                  <c:v>2020年支出</c:v>
                </c:pt>
                <c:pt idx="3">
                  <c:v>2019年支出</c:v>
                </c:pt>
              </c:strCache>
            </c:strRef>
          </c:cat>
          <c:val>
            <c:numRef>
              <c:f>Sheet1!$F$2:$F$5</c:f>
              <c:numCache>
                <c:formatCode>General</c:formatCode>
                <c:ptCount val="4"/>
              </c:numCache>
            </c:numRef>
          </c:val>
        </c:ser>
        <c:dLbls>
          <c:showLegendKey val="0"/>
          <c:showVal val="0"/>
          <c:showCatName val="0"/>
          <c:showSerName val="0"/>
          <c:showPercent val="0"/>
          <c:showBubbleSize val="0"/>
        </c:dLbls>
        <c:gapWidth val="219"/>
        <c:overlap val="-27"/>
        <c:axId val="73755667"/>
        <c:axId val="301819961"/>
      </c:barChart>
      <c:catAx>
        <c:axId val="73755667"/>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301819961"/>
        <c:crosses val="autoZero"/>
        <c:auto val="1"/>
        <c:lblAlgn val="ctr"/>
        <c:lblOffset val="100"/>
        <c:noMultiLvlLbl val="0"/>
      </c:catAx>
      <c:valAx>
        <c:axId val="301819961"/>
        <c:scaling>
          <c:orientation val="minMax"/>
        </c:scaling>
        <c:delete val="0"/>
        <c:axPos val="l"/>
        <c:majorGridlines>
          <c:spPr>
            <a:ln w="9525" cap="flat" cmpd="sng" algn="ctr">
              <a:solidFill>
                <a:sysClr val="windowText" lastClr="000000">
                  <a:lumMod val="15000"/>
                  <a:lumOff val="85000"/>
                </a:sys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7375566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ysClr val="windowText" lastClr="000000">
                  <a:lumMod val="65000"/>
                  <a:lumOff val="35000"/>
                </a:sysClr>
              </a:solidFill>
              <a:latin typeface="+mn-lt"/>
              <a:ea typeface="+mn-ea"/>
              <a:cs typeface="+mn-cs"/>
            </a:defRPr>
          </a:pPr>
        </a:p>
      </c:txPr>
    </c:title>
    <c:autoTitleDeleted val="0"/>
    <c:plotArea>
      <c:layout>
        <c:manualLayout>
          <c:layoutTarget val="inner"/>
          <c:xMode val="edge"/>
          <c:yMode val="edge"/>
          <c:x val="0.0716025192442267"/>
          <c:y val="0.12630298818624"/>
          <c:w val="0.890048985304409"/>
          <c:h val="0.724774148714385"/>
        </c:manualLayout>
      </c:layout>
      <c:barChart>
        <c:barDir val="col"/>
        <c:grouping val="clustered"/>
        <c:varyColors val="0"/>
        <c:ser>
          <c:idx val="0"/>
          <c:order val="0"/>
          <c:tx>
            <c:strRef>
              <c:f>Sheet1!$B$1</c:f>
              <c:strCache>
                <c:ptCount val="1"/>
                <c:pt idx="0">
                  <c:v/>
                </c:pt>
              </c:strCache>
            </c:strRef>
          </c:tx>
          <c:spPr>
            <a:solidFill>
              <a:srgbClr val="4472C4"/>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400.88</c:v>
                </c:pt>
                <c:pt idx="1">
                  <c:v>545.85</c:v>
                </c:pt>
                <c:pt idx="2">
                  <c:v>400.88</c:v>
                </c:pt>
                <c:pt idx="3">
                  <c:v>503.84</c:v>
                </c:pt>
              </c:numCache>
            </c:numRef>
          </c:val>
        </c:ser>
        <c:dLbls>
          <c:showLegendKey val="0"/>
          <c:showVal val="0"/>
          <c:showCatName val="0"/>
          <c:showSerName val="0"/>
          <c:showPercent val="0"/>
          <c:showBubbleSize val="0"/>
        </c:dLbls>
        <c:gapWidth val="219"/>
        <c:overlap val="-27"/>
        <c:axId val="585916614"/>
        <c:axId val="343451386"/>
      </c:barChart>
      <c:catAx>
        <c:axId val="585916614"/>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343451386"/>
        <c:crosses val="autoZero"/>
        <c:auto val="1"/>
        <c:lblAlgn val="ctr"/>
        <c:lblOffset val="100"/>
        <c:noMultiLvlLbl val="0"/>
      </c:catAx>
      <c:valAx>
        <c:axId val="343451386"/>
        <c:scaling>
          <c:orientation val="minMax"/>
        </c:scaling>
        <c:delete val="0"/>
        <c:axPos val="l"/>
        <c:majorGridlines>
          <c:spPr>
            <a:ln w="9525" cap="flat" cmpd="sng" algn="ctr">
              <a:solidFill>
                <a:sysClr val="windowText" lastClr="000000">
                  <a:lumMod val="15000"/>
                  <a:lumOff val="85000"/>
                </a:sys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58591661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ysClr val="windowText" lastClr="000000">
                  <a:lumMod val="65000"/>
                  <a:lumOff val="35000"/>
                </a:sys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rgbClr val="4472C4"/>
              </a:solidFill>
              <a:ln w="19050">
                <a:solidFill>
                  <a:sysClr val="window" lastClr="FFFFFF"/>
                </a:solidFill>
              </a:ln>
              <a:effectLst/>
            </c:spPr>
          </c:dPt>
          <c:dPt>
            <c:idx val="1"/>
            <c:bubble3D val="0"/>
            <c:spPr>
              <a:solidFill>
                <a:srgbClr val="ED7D31"/>
              </a:solidFill>
              <a:ln w="19050">
                <a:solidFill>
                  <a:sysClr val="window" lastClr="FFFFFF"/>
                </a:solidFill>
              </a:ln>
              <a:effectLst/>
            </c:spPr>
          </c:dPt>
          <c:dPt>
            <c:idx val="2"/>
            <c:bubble3D val="0"/>
            <c:spPr>
              <a:solidFill>
                <a:srgbClr val="A5A5A5"/>
              </a:solidFill>
              <a:ln w="19050">
                <a:solidFill>
                  <a:sysClr val="window" lastClr="FFFFFF"/>
                </a:solidFill>
              </a:ln>
              <a:effectLst/>
            </c:spPr>
          </c:dPt>
          <c:dPt>
            <c:idx val="3"/>
            <c:bubble3D val="0"/>
            <c:spPr>
              <a:solidFill>
                <a:srgbClr val="FFC000"/>
              </a:solidFill>
              <a:ln w="19050">
                <a:solidFill>
                  <a:sysClr val="window" lastClr="FFFFFF"/>
                </a:solidFill>
              </a:ln>
              <a:effectLst/>
            </c:spPr>
          </c:dPt>
          <c:dPt>
            <c:idx val="4"/>
            <c:bubble3D val="0"/>
            <c:spPr>
              <a:solidFill>
                <a:srgbClr val="5B9BD5"/>
              </a:solidFill>
              <a:ln w="19050">
                <a:solidFill>
                  <a:sysClr val="window" lastClr="FFFFFF"/>
                </a:solidFill>
              </a:ln>
              <a:effectLst/>
            </c:spPr>
          </c:dPt>
          <c:dLbls>
            <c:delete val="1"/>
          </c:dLbls>
          <c:cat>
            <c:strRef>
              <c:f>Sheet1!$A$2:$A$6</c:f>
              <c:strCache>
                <c:ptCount val="5"/>
                <c:pt idx="0">
                  <c:v>一般公共服务</c:v>
                </c:pt>
                <c:pt idx="1">
                  <c:v>社会保障和就业类</c:v>
                </c:pt>
                <c:pt idx="2">
                  <c:v>住房保障类</c:v>
                </c:pt>
                <c:pt idx="3">
                  <c:v>文化旅游体育与传媒</c:v>
                </c:pt>
                <c:pt idx="4">
                  <c:v>卫生健康</c:v>
                </c:pt>
              </c:strCache>
            </c:strRef>
          </c:cat>
          <c:val>
            <c:numRef>
              <c:f>Sheet1!$B$2:$B$6</c:f>
              <c:numCache>
                <c:formatCode>General</c:formatCode>
                <c:ptCount val="5"/>
                <c:pt idx="0">
                  <c:v>233.25</c:v>
                </c:pt>
                <c:pt idx="1">
                  <c:v>22.67</c:v>
                </c:pt>
                <c:pt idx="2">
                  <c:v>16.63</c:v>
                </c:pt>
                <c:pt idx="3">
                  <c:v>223.44</c:v>
                </c:pt>
                <c:pt idx="4">
                  <c:v>7.86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9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spPr>
      <a:ln w="19050">
        <a:solidFill>
          <a:sysClr val="window" lastClr="FFFFFF"/>
        </a:solidFill>
      </a:ln>
    </cs:spPr>
  </cs:dataPoint>
  <cs:dataPoint3D>
    <cs:lnRef idx="0"/>
    <cs:fillRef idx="1">
      <cs:styleClr val="auto"/>
    </cs:fillRef>
    <cs:effectRef idx="0"/>
    <cs:fontRef idx="minor">
      <a:sysClr val="windowText" lastClr="000000"/>
    </cs:fontRef>
    <cs:spPr>
      <a:ln w="25400">
        <a:solidFill>
          <a:sysClr val="window" lastClr="FFFFFF"/>
        </a:solidFill>
      </a:ln>
    </cs:spPr>
  </cs:dataPoint3D>
  <cs:dataPointLine>
    <cs:lnRef idx="0">
      <cs:styleClr val="auto"/>
    </cs:lnRef>
    <cs:fillRef idx="0"/>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75000"/>
          <a:lumOff val="25000"/>
        </a:sysClr>
      </a:solidFill>
      <a:ln w="9525" cap="flat" cmpd="sng" algn="ctr">
        <a:solidFill>
          <a:sysClr val="windowText" lastClr="000000">
            <a:lumMod val="65000"/>
            <a:lumOff val="35000"/>
          </a:sysClr>
        </a:solidFill>
        <a:round/>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50000"/>
            <a:lumOff val="50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cap="flat" cmpd="sng" algn="ctr">
        <a:solidFill>
          <a:sysClr val="windowText" lastClr="000000">
            <a:lumMod val="65000"/>
            <a:lumOff val="35000"/>
          </a:sysClr>
        </a:solidFill>
        <a:round/>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9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spPr>
      <a:ln w="19050">
        <a:solidFill>
          <a:sysClr val="window" lastClr="FFFFFF"/>
        </a:solidFill>
      </a:ln>
    </cs:spPr>
  </cs:dataPoint>
  <cs:dataPoint3D>
    <cs:lnRef idx="0"/>
    <cs:fillRef idx="1">
      <cs:styleClr val="auto"/>
    </cs:fillRef>
    <cs:effectRef idx="0"/>
    <cs:fontRef idx="minor">
      <a:sysClr val="windowText" lastClr="000000"/>
    </cs:fontRef>
    <cs:spPr>
      <a:ln w="25400">
        <a:solidFill>
          <a:sysClr val="window" lastClr="FFFFFF"/>
        </a:solidFill>
      </a:ln>
    </cs:spPr>
  </cs:dataPoint3D>
  <cs:dataPointLine>
    <cs:lnRef idx="0">
      <cs:styleClr val="auto"/>
    </cs:lnRef>
    <cs:fillRef idx="0"/>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75000"/>
          <a:lumOff val="25000"/>
        </a:sysClr>
      </a:solidFill>
      <a:ln w="9525" cap="flat" cmpd="sng" algn="ctr">
        <a:solidFill>
          <a:sysClr val="windowText" lastClr="000000">
            <a:lumMod val="65000"/>
            <a:lumOff val="35000"/>
          </a:sysClr>
        </a:solidFill>
        <a:round/>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50000"/>
            <a:lumOff val="50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cap="flat" cmpd="sng" algn="ctr">
        <a:solidFill>
          <a:sysClr val="windowText" lastClr="000000">
            <a:lumMod val="65000"/>
            <a:lumOff val="35000"/>
          </a:sysClr>
        </a:solidFill>
        <a:round/>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7</TotalTime>
  <ScaleCrop>false</ScaleCrop>
  <LinksUpToDate>false</LinksUpToDate>
  <CharactersWithSpaces>11806</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刘先生</cp:lastModifiedBy>
  <cp:lastPrinted>2021-08-26T06:52:00Z</cp:lastPrinted>
  <dcterms:modified xsi:type="dcterms:W3CDTF">2025-11-24T02:56:40Z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65FA352BAB5146309CB066C800874C19</vt:lpwstr>
  </property>
</Properties>
</file>