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ACAAD2">
      <w:pPr>
        <w:spacing w:before="130" w:line="219" w:lineRule="auto"/>
        <w:ind w:left="3820"/>
        <w:rPr>
          <w:rFonts w:ascii="宋体" w:hAnsi="宋体" w:eastAsia="宋体" w:cs="宋体"/>
          <w:sz w:val="40"/>
          <w:szCs w:val="40"/>
        </w:rPr>
      </w:pPr>
      <w:bookmarkStart w:id="0" w:name="_GoBack"/>
      <w:bookmarkEnd w:id="0"/>
      <w:r>
        <w:rPr>
          <w:rFonts w:hint="eastAsia" w:ascii="宋体" w:hAnsi="宋体" w:eastAsia="宋体" w:cs="宋体"/>
          <w:b/>
          <w:bCs/>
          <w:spacing w:val="-6"/>
          <w:sz w:val="40"/>
          <w:szCs w:val="40"/>
          <w:lang w:eastAsia="zh-CN"/>
        </w:rPr>
        <w:t>高邑县</w:t>
      </w:r>
      <w:r>
        <w:rPr>
          <w:rFonts w:hint="eastAsia" w:ascii="宋体" w:hAnsi="宋体" w:eastAsia="宋体" w:cs="宋体"/>
          <w:b/>
          <w:bCs/>
          <w:spacing w:val="-6"/>
          <w:sz w:val="40"/>
          <w:szCs w:val="40"/>
          <w:lang w:val="en-US" w:eastAsia="zh-CN"/>
        </w:rPr>
        <w:t>发展和改革局</w:t>
      </w:r>
      <w:r>
        <w:rPr>
          <w:rFonts w:ascii="宋体" w:hAnsi="宋体" w:eastAsia="宋体" w:cs="宋体"/>
          <w:b/>
          <w:bCs/>
          <w:spacing w:val="-6"/>
          <w:sz w:val="40"/>
          <w:szCs w:val="40"/>
        </w:rPr>
        <w:t>涉企行政检查事项清单</w:t>
      </w:r>
    </w:p>
    <w:p w14:paraId="4B6AA48F">
      <w:pPr>
        <w:spacing w:line="119" w:lineRule="exact"/>
      </w:pPr>
    </w:p>
    <w:p w14:paraId="6919DE82">
      <w:pPr>
        <w:spacing w:before="31"/>
      </w:pPr>
      <w:r>
        <mc:AlternateContent>
          <mc:Choice Requires="wps">
            <w:drawing>
              <wp:anchor distT="0" distB="0" distL="114300" distR="114300" simplePos="0" relativeHeight="251659264" behindDoc="0" locked="0" layoutInCell="0" allowOverlap="1">
                <wp:simplePos x="0" y="0"/>
                <wp:positionH relativeFrom="page">
                  <wp:posOffset>958215</wp:posOffset>
                </wp:positionH>
                <wp:positionV relativeFrom="page">
                  <wp:posOffset>5970905</wp:posOffset>
                </wp:positionV>
                <wp:extent cx="141605" cy="19558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41605" cy="195580"/>
                        </a:xfrm>
                        <a:prstGeom prst="rect">
                          <a:avLst/>
                        </a:prstGeom>
                        <a:noFill/>
                        <a:ln>
                          <a:noFill/>
                        </a:ln>
                      </wps:spPr>
                      <wps:txbx>
                        <w:txbxContent>
                          <w:p w14:paraId="0E4323E8">
                            <w:pPr>
                              <w:spacing w:before="20" w:line="267" w:lineRule="exact"/>
                              <w:jc w:val="right"/>
                              <w:rPr>
                                <w:rFonts w:ascii="Times New Roman" w:hAnsi="Times New Roman" w:eastAsia="Times New Roman" w:cs="Times New Roman"/>
                                <w:sz w:val="40"/>
                                <w:szCs w:val="40"/>
                              </w:rPr>
                            </w:pPr>
                            <w:r>
                              <w:rPr>
                                <w:rFonts w:hint="eastAsia" w:ascii="Times New Roman" w:hAnsi="Times New Roman" w:eastAsia="宋体" w:cs="Times New Roman"/>
                                <w:spacing w:val="-3"/>
                                <w:w w:val="64"/>
                                <w:position w:val="-1"/>
                                <w:sz w:val="40"/>
                                <w:szCs w:val="40"/>
                                <w:lang w:val="en-US" w:eastAsia="zh-CN"/>
                              </w:rPr>
                              <w:t xml:space="preserve"> </w:t>
                            </w:r>
                            <w:r>
                              <w:rPr>
                                <w:rFonts w:ascii="Times New Roman" w:hAnsi="Times New Roman" w:eastAsia="Times New Roman" w:cs="Times New Roman"/>
                                <w:spacing w:val="-3"/>
                                <w:w w:val="64"/>
                                <w:position w:val="-1"/>
                                <w:sz w:val="40"/>
                                <w:szCs w:val="40"/>
                              </w:rPr>
                              <w:t>w</w:t>
                            </w:r>
                          </w:p>
                        </w:txbxContent>
                      </wps:txbx>
                      <wps:bodyPr lIns="0" tIns="0" rIns="0" bIns="0" upright="0"/>
                    </wps:wsp>
                  </a:graphicData>
                </a:graphic>
              </wp:anchor>
            </w:drawing>
          </mc:Choice>
          <mc:Fallback>
            <w:pict>
              <v:shape id="_x0000_s1026" o:spid="_x0000_s1026" o:spt="202" type="#_x0000_t202" style="position:absolute;left:0pt;margin-left:75.45pt;margin-top:470.15pt;height:15.4pt;width:11.15pt;mso-position-horizontal-relative:page;mso-position-vertical-relative:page;z-index:251659264;mso-width-relative:page;mso-height-relative:page;" filled="f" stroked="f" coordsize="21600,21600" o:allowincell="f" o:gfxdata="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Bqo9Ng2QAAAAsBAAAPAAAAAAAAAAEAIAAAACIAAABkcnMvZG93bnJldi54bWxQSwEC&#10;FAAUAAAACACHTuJAWT5s/roBAABxAwAADgAAAAAAAAABACAAAAAoAQAAZHJzL2Uyb0RvYy54bWxQ&#10;SwUGAAAAAAYABgBZAQAAVAUAAAAA&#10;">
                <v:fill on="f" focussize="0,0"/>
                <v:stroke on="f"/>
                <v:imagedata o:title=""/>
                <o:lock v:ext="edit" aspectratio="f"/>
                <v:textbox inset="0mm,0mm,0mm,0mm">
                  <w:txbxContent>
                    <w:p w14:paraId="0E4323E8">
                      <w:pPr>
                        <w:spacing w:before="20" w:line="267" w:lineRule="exact"/>
                        <w:jc w:val="right"/>
                        <w:rPr>
                          <w:rFonts w:ascii="Times New Roman" w:hAnsi="Times New Roman" w:eastAsia="Times New Roman" w:cs="Times New Roman"/>
                          <w:sz w:val="40"/>
                          <w:szCs w:val="40"/>
                        </w:rPr>
                      </w:pPr>
                      <w:r>
                        <w:rPr>
                          <w:rFonts w:hint="eastAsia" w:ascii="Times New Roman" w:hAnsi="Times New Roman" w:eastAsia="宋体" w:cs="Times New Roman"/>
                          <w:spacing w:val="-3"/>
                          <w:w w:val="64"/>
                          <w:position w:val="-1"/>
                          <w:sz w:val="40"/>
                          <w:szCs w:val="40"/>
                          <w:lang w:val="en-US" w:eastAsia="zh-CN"/>
                        </w:rPr>
                        <w:t xml:space="preserve"> </w:t>
                      </w:r>
                      <w:r>
                        <w:rPr>
                          <w:rFonts w:ascii="Times New Roman" w:hAnsi="Times New Roman" w:eastAsia="Times New Roman" w:cs="Times New Roman"/>
                          <w:spacing w:val="-3"/>
                          <w:w w:val="64"/>
                          <w:position w:val="-1"/>
                          <w:sz w:val="40"/>
                          <w:szCs w:val="40"/>
                        </w:rPr>
                        <w:t>w</w:t>
                      </w:r>
                    </w:p>
                  </w:txbxContent>
                </v:textbox>
              </v:shape>
            </w:pict>
          </mc:Fallback>
        </mc:AlternateContent>
      </w:r>
    </w:p>
    <w:p w14:paraId="5010BB84">
      <w:pPr>
        <w:spacing w:before="31"/>
      </w:pPr>
    </w:p>
    <w:tbl>
      <w:tblPr>
        <w:tblStyle w:val="5"/>
        <w:tblW w:w="13013" w:type="dxa"/>
        <w:tblInd w:w="43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64"/>
        <w:gridCol w:w="1709"/>
        <w:gridCol w:w="8094"/>
        <w:gridCol w:w="2446"/>
      </w:tblGrid>
      <w:tr w14:paraId="6B43E9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4" w:hRule="atLeast"/>
        </w:trPr>
        <w:tc>
          <w:tcPr>
            <w:tcW w:w="764" w:type="dxa"/>
            <w:vAlign w:val="top"/>
          </w:tcPr>
          <w:p w14:paraId="1C088A97">
            <w:pPr>
              <w:pStyle w:val="4"/>
              <w:spacing w:before="181" w:line="221" w:lineRule="auto"/>
              <w:ind w:left="187"/>
            </w:pPr>
            <w:r>
              <w:rPr>
                <w:b/>
                <w:bCs/>
                <w:spacing w:val="-4"/>
              </w:rPr>
              <w:t>序号</w:t>
            </w:r>
          </w:p>
        </w:tc>
        <w:tc>
          <w:tcPr>
            <w:tcW w:w="1709" w:type="dxa"/>
            <w:vAlign w:val="top"/>
          </w:tcPr>
          <w:p w14:paraId="01C7D742">
            <w:pPr>
              <w:pStyle w:val="4"/>
              <w:spacing w:before="10" w:line="246" w:lineRule="auto"/>
              <w:ind w:left="633" w:right="485" w:hanging="170"/>
            </w:pPr>
            <w:r>
              <w:rPr>
                <w:b/>
                <w:bCs/>
                <w:spacing w:val="-5"/>
              </w:rPr>
              <w:t>行政检查</w:t>
            </w:r>
            <w:r>
              <w:t xml:space="preserve"> </w:t>
            </w:r>
            <w:r>
              <w:rPr>
                <w:b/>
                <w:bCs/>
                <w:spacing w:val="-4"/>
              </w:rPr>
              <w:t>事项</w:t>
            </w:r>
          </w:p>
        </w:tc>
        <w:tc>
          <w:tcPr>
            <w:tcW w:w="8094" w:type="dxa"/>
            <w:vAlign w:val="top"/>
          </w:tcPr>
          <w:p w14:paraId="021F23A3">
            <w:pPr>
              <w:pStyle w:val="4"/>
              <w:spacing w:before="180" w:line="219" w:lineRule="auto"/>
              <w:ind w:left="3404"/>
            </w:pPr>
            <w:r>
              <w:rPr>
                <w:b/>
                <w:bCs/>
                <w:spacing w:val="-4"/>
              </w:rPr>
              <w:t>行政检查标准</w:t>
            </w:r>
          </w:p>
        </w:tc>
        <w:tc>
          <w:tcPr>
            <w:tcW w:w="2446" w:type="dxa"/>
            <w:vAlign w:val="top"/>
          </w:tcPr>
          <w:p w14:paraId="7AA4B01F">
            <w:pPr>
              <w:pStyle w:val="4"/>
              <w:spacing w:before="178" w:line="219" w:lineRule="auto"/>
              <w:ind w:left="380"/>
            </w:pPr>
            <w:r>
              <w:rPr>
                <w:b/>
                <w:bCs/>
                <w:spacing w:val="-4"/>
              </w:rPr>
              <w:t>行政检查依据</w:t>
            </w:r>
          </w:p>
        </w:tc>
      </w:tr>
      <w:tr w14:paraId="35516A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73" w:hRule="atLeast"/>
        </w:trPr>
        <w:tc>
          <w:tcPr>
            <w:tcW w:w="764" w:type="dxa"/>
            <w:vAlign w:val="top"/>
          </w:tcPr>
          <w:p w14:paraId="10420CDE">
            <w:pPr>
              <w:numPr>
                <w:ilvl w:val="0"/>
                <w:numId w:val="0"/>
              </w:numPr>
              <w:spacing w:line="309" w:lineRule="auto"/>
              <w:ind w:leftChars="0"/>
              <w:jc w:val="center"/>
              <w:rPr>
                <w:rFonts w:ascii="Arial"/>
                <w:sz w:val="21"/>
              </w:rPr>
            </w:pPr>
          </w:p>
          <w:p w14:paraId="099FFEE0">
            <w:pPr>
              <w:spacing w:line="309" w:lineRule="auto"/>
              <w:ind w:left="0" w:leftChars="0"/>
              <w:jc w:val="center"/>
              <w:rPr>
                <w:rFonts w:ascii="Arial"/>
                <w:sz w:val="21"/>
              </w:rPr>
            </w:pPr>
          </w:p>
          <w:p w14:paraId="039C04C7">
            <w:pPr>
              <w:pStyle w:val="4"/>
              <w:numPr>
                <w:ilvl w:val="0"/>
                <w:numId w:val="0"/>
              </w:numPr>
              <w:spacing w:before="62"/>
              <w:ind w:leftChars="0"/>
              <w:jc w:val="center"/>
              <w:rPr>
                <w:rFonts w:hint="eastAsia"/>
                <w:lang w:val="en-US" w:eastAsia="zh-CN"/>
              </w:rPr>
            </w:pPr>
          </w:p>
          <w:p w14:paraId="7A5301CF">
            <w:pPr>
              <w:pStyle w:val="4"/>
              <w:numPr>
                <w:ilvl w:val="0"/>
                <w:numId w:val="0"/>
              </w:numPr>
              <w:spacing w:before="62"/>
              <w:ind w:leftChars="0"/>
              <w:jc w:val="center"/>
              <w:rPr>
                <w:rFonts w:hint="eastAsia" w:eastAsia="宋体"/>
                <w:lang w:eastAsia="zh-CN"/>
              </w:rPr>
            </w:pPr>
            <w:r>
              <w:rPr>
                <w:rFonts w:hint="eastAsia"/>
                <w:lang w:val="en-US" w:eastAsia="zh-CN"/>
              </w:rPr>
              <w:t>1</w:t>
            </w:r>
          </w:p>
        </w:tc>
        <w:tc>
          <w:tcPr>
            <w:tcW w:w="1709" w:type="dxa"/>
            <w:vAlign w:val="top"/>
          </w:tcPr>
          <w:p w14:paraId="0BC06209">
            <w:pPr>
              <w:pStyle w:val="4"/>
              <w:spacing w:before="255" w:line="273" w:lineRule="auto"/>
              <w:ind w:left="90" w:leftChars="0" w:right="104" w:hanging="9"/>
              <w:jc w:val="left"/>
              <w:rPr>
                <w:rFonts w:hint="eastAsia"/>
              </w:rPr>
            </w:pPr>
          </w:p>
          <w:p w14:paraId="57D31410">
            <w:pPr>
              <w:pStyle w:val="4"/>
              <w:spacing w:before="255" w:line="273" w:lineRule="auto"/>
              <w:ind w:left="90" w:leftChars="0" w:right="104" w:hanging="9"/>
              <w:jc w:val="left"/>
            </w:pPr>
            <w:r>
              <w:rPr>
                <w:rFonts w:hint="eastAsia"/>
              </w:rPr>
              <w:t>旧电器电子产品流通的行业管理</w:t>
            </w:r>
          </w:p>
        </w:tc>
        <w:tc>
          <w:tcPr>
            <w:tcW w:w="8094" w:type="dxa"/>
            <w:vAlign w:val="top"/>
          </w:tcPr>
          <w:p w14:paraId="669F0D5E">
            <w:pPr>
              <w:spacing w:line="450" w:lineRule="auto"/>
              <w:ind w:left="0" w:leftChars="0"/>
              <w:jc w:val="left"/>
              <w:rPr>
                <w:rFonts w:ascii="Arial"/>
                <w:sz w:val="21"/>
              </w:rPr>
            </w:pPr>
          </w:p>
          <w:p w14:paraId="633B7FB8">
            <w:pPr>
              <w:pStyle w:val="4"/>
              <w:spacing w:before="62" w:line="294" w:lineRule="auto"/>
              <w:ind w:left="111" w:leftChars="0" w:hanging="19"/>
              <w:jc w:val="left"/>
              <w:rPr>
                <w:rFonts w:hint="eastAsia"/>
              </w:rPr>
            </w:pPr>
            <w:r>
              <w:rPr>
                <w:rFonts w:hint="eastAsia"/>
              </w:rPr>
              <w:t>《旧电器电子产品流通管理办法》（商务部令2013年第1号）</w:t>
            </w:r>
          </w:p>
          <w:p w14:paraId="586FF5EB">
            <w:pPr>
              <w:pStyle w:val="4"/>
              <w:spacing w:before="62" w:line="294" w:lineRule="auto"/>
              <w:ind w:left="111" w:leftChars="0" w:hanging="19"/>
              <w:jc w:val="left"/>
              <w:rPr>
                <w:rFonts w:hint="eastAsia"/>
              </w:rPr>
            </w:pPr>
            <w:r>
              <w:rPr>
                <w:rFonts w:hint="eastAsia"/>
              </w:rPr>
              <w:t>第五条：商务部负责旧电器电子产品流通的行业管理工作，负责制定行业发展规划、政策。</w:t>
            </w:r>
          </w:p>
          <w:p w14:paraId="24F069B9">
            <w:pPr>
              <w:pStyle w:val="4"/>
              <w:spacing w:before="62" w:line="294" w:lineRule="auto"/>
              <w:ind w:left="111" w:leftChars="0" w:hanging="19"/>
              <w:jc w:val="left"/>
            </w:pPr>
            <w:r>
              <w:rPr>
                <w:rFonts w:hint="eastAsia"/>
              </w:rPr>
              <w:t>第十八条第一款 ：县级以上地方商务主管部门应当根据本地实际，建立定期检查及不定期抽查制度，及时发现和处理有关问题。经营者和旧电器电子产品市场应配合商务主管部门的监督检查，如实提供信息和材料。</w:t>
            </w:r>
          </w:p>
        </w:tc>
        <w:tc>
          <w:tcPr>
            <w:tcW w:w="2446" w:type="dxa"/>
            <w:vAlign w:val="top"/>
          </w:tcPr>
          <w:p w14:paraId="42C99922">
            <w:pPr>
              <w:spacing w:line="471" w:lineRule="auto"/>
              <w:ind w:left="0" w:leftChars="0"/>
              <w:jc w:val="left"/>
              <w:rPr>
                <w:rFonts w:ascii="Arial"/>
                <w:sz w:val="21"/>
              </w:rPr>
            </w:pPr>
          </w:p>
          <w:p w14:paraId="411E10E6">
            <w:pPr>
              <w:pStyle w:val="4"/>
              <w:spacing w:before="62" w:line="264" w:lineRule="auto"/>
              <w:ind w:left="97" w:leftChars="0" w:right="58" w:hanging="14"/>
              <w:jc w:val="left"/>
            </w:pPr>
            <w:r>
              <w:rPr>
                <w:rFonts w:hint="eastAsia"/>
              </w:rPr>
              <w:t>《旧电器电子产品流通管理办法》（商务部令2013年第1号）</w:t>
            </w:r>
          </w:p>
        </w:tc>
      </w:tr>
      <w:tr w14:paraId="75077E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8" w:hRule="atLeast"/>
        </w:trPr>
        <w:tc>
          <w:tcPr>
            <w:tcW w:w="764" w:type="dxa"/>
            <w:shd w:val="clear" w:color="auto" w:fill="auto"/>
            <w:vAlign w:val="top"/>
          </w:tcPr>
          <w:p w14:paraId="5D945907">
            <w:pPr>
              <w:numPr>
                <w:ilvl w:val="0"/>
                <w:numId w:val="0"/>
              </w:numPr>
              <w:spacing w:line="413" w:lineRule="auto"/>
              <w:ind w:leftChars="0"/>
              <w:jc w:val="center"/>
              <w:rPr>
                <w:rFonts w:ascii="Arial"/>
                <w:sz w:val="21"/>
              </w:rPr>
            </w:pPr>
          </w:p>
          <w:p w14:paraId="2876131F">
            <w:pPr>
              <w:pStyle w:val="4"/>
              <w:numPr>
                <w:ilvl w:val="0"/>
                <w:numId w:val="0"/>
              </w:numPr>
              <w:spacing w:before="62" w:line="241" w:lineRule="auto"/>
              <w:ind w:leftChars="0"/>
              <w:jc w:val="center"/>
              <w:rPr>
                <w:rFonts w:hint="eastAsia"/>
                <w:lang w:val="en-US" w:eastAsia="zh-CN"/>
              </w:rPr>
            </w:pPr>
          </w:p>
          <w:p w14:paraId="64AD378D">
            <w:pPr>
              <w:pStyle w:val="4"/>
              <w:numPr>
                <w:ilvl w:val="0"/>
                <w:numId w:val="0"/>
              </w:numPr>
              <w:spacing w:before="62" w:line="241" w:lineRule="auto"/>
              <w:ind w:leftChars="0"/>
              <w:jc w:val="center"/>
              <w:rPr>
                <w:rFonts w:hint="eastAsia"/>
                <w:lang w:val="en-US" w:eastAsia="zh-CN"/>
              </w:rPr>
            </w:pPr>
          </w:p>
          <w:p w14:paraId="2E515F30">
            <w:pPr>
              <w:pStyle w:val="4"/>
              <w:numPr>
                <w:ilvl w:val="0"/>
                <w:numId w:val="0"/>
              </w:numPr>
              <w:spacing w:before="62" w:line="241" w:lineRule="auto"/>
              <w:ind w:leftChars="0"/>
              <w:jc w:val="center"/>
              <w:rPr>
                <w:rFonts w:hint="eastAsia"/>
                <w:lang w:val="en-US" w:eastAsia="zh-CN"/>
              </w:rPr>
            </w:pPr>
          </w:p>
          <w:p w14:paraId="69582DFB">
            <w:pPr>
              <w:pStyle w:val="4"/>
              <w:numPr>
                <w:ilvl w:val="0"/>
                <w:numId w:val="0"/>
              </w:numPr>
              <w:spacing w:before="62" w:line="241" w:lineRule="auto"/>
              <w:ind w:leftChars="0"/>
              <w:jc w:val="center"/>
              <w:rPr>
                <w:rFonts w:hint="eastAsia"/>
                <w:lang w:val="en-US" w:eastAsia="zh-CN"/>
              </w:rPr>
            </w:pPr>
          </w:p>
          <w:p w14:paraId="0A86D548">
            <w:pPr>
              <w:pStyle w:val="4"/>
              <w:numPr>
                <w:ilvl w:val="0"/>
                <w:numId w:val="0"/>
              </w:numPr>
              <w:spacing w:before="62" w:line="241" w:lineRule="auto"/>
              <w:ind w:leftChars="0"/>
              <w:jc w:val="center"/>
              <w:rPr>
                <w:rFonts w:hint="eastAsia" w:ascii="宋体" w:hAnsi="宋体" w:eastAsia="宋体" w:cs="宋体"/>
                <w:snapToGrid w:val="0"/>
                <w:color w:val="000000"/>
                <w:kern w:val="0"/>
                <w:sz w:val="19"/>
                <w:szCs w:val="19"/>
                <w:lang w:val="en-US" w:eastAsia="zh-CN" w:bidi="ar-SA"/>
              </w:rPr>
            </w:pPr>
            <w:r>
              <w:rPr>
                <w:rFonts w:hint="eastAsia"/>
                <w:lang w:val="en-US" w:eastAsia="zh-CN"/>
              </w:rPr>
              <w:t>2</w:t>
            </w:r>
          </w:p>
        </w:tc>
        <w:tc>
          <w:tcPr>
            <w:tcW w:w="1709" w:type="dxa"/>
            <w:shd w:val="clear" w:color="auto" w:fill="auto"/>
            <w:vAlign w:val="top"/>
          </w:tcPr>
          <w:p w14:paraId="7F347CB4">
            <w:pPr>
              <w:pStyle w:val="4"/>
              <w:spacing w:before="159" w:line="283" w:lineRule="auto"/>
              <w:ind w:left="81" w:leftChars="0" w:right="85" w:rightChars="0"/>
              <w:jc w:val="left"/>
              <w:rPr>
                <w:rFonts w:hint="eastAsia" w:ascii="宋体" w:hAnsi="宋体" w:eastAsia="宋体" w:cs="宋体"/>
                <w:snapToGrid w:val="0"/>
                <w:color w:val="000000"/>
                <w:kern w:val="0"/>
                <w:sz w:val="19"/>
                <w:szCs w:val="19"/>
                <w:lang w:val="en-US" w:eastAsia="en-US" w:bidi="ar-SA"/>
              </w:rPr>
            </w:pPr>
          </w:p>
          <w:p w14:paraId="3790F388">
            <w:pPr>
              <w:pStyle w:val="4"/>
              <w:spacing w:before="159" w:line="283" w:lineRule="auto"/>
              <w:ind w:left="81" w:leftChars="0" w:right="85" w:rightChars="0"/>
              <w:jc w:val="left"/>
              <w:rPr>
                <w:rFonts w:hint="eastAsia" w:ascii="宋体" w:hAnsi="宋体" w:eastAsia="宋体" w:cs="宋体"/>
                <w:snapToGrid w:val="0"/>
                <w:color w:val="000000"/>
                <w:kern w:val="0"/>
                <w:sz w:val="19"/>
                <w:szCs w:val="19"/>
                <w:lang w:val="en-US" w:eastAsia="en-US" w:bidi="ar-SA"/>
              </w:rPr>
            </w:pPr>
          </w:p>
          <w:p w14:paraId="1FD24557">
            <w:pPr>
              <w:pStyle w:val="4"/>
              <w:spacing w:before="159" w:line="283" w:lineRule="auto"/>
              <w:ind w:left="81" w:leftChars="0" w:right="85" w:rightChars="0"/>
              <w:jc w:val="left"/>
              <w:rPr>
                <w:rFonts w:hint="eastAsia" w:ascii="宋体" w:hAnsi="宋体" w:eastAsia="宋体" w:cs="宋体"/>
                <w:snapToGrid w:val="0"/>
                <w:color w:val="000000"/>
                <w:kern w:val="0"/>
                <w:sz w:val="19"/>
                <w:szCs w:val="19"/>
                <w:lang w:val="en-US" w:eastAsia="en-US" w:bidi="ar-SA"/>
              </w:rPr>
            </w:pPr>
          </w:p>
          <w:p w14:paraId="35BCE3E9">
            <w:pPr>
              <w:pStyle w:val="4"/>
              <w:spacing w:before="159" w:line="283" w:lineRule="auto"/>
              <w:ind w:left="81" w:leftChars="0" w:right="85" w:rightChars="0"/>
              <w:jc w:val="left"/>
              <w:rPr>
                <w:rFonts w:ascii="宋体" w:hAnsi="宋体" w:eastAsia="宋体" w:cs="宋体"/>
                <w:snapToGrid w:val="0"/>
                <w:color w:val="000000"/>
                <w:kern w:val="0"/>
                <w:sz w:val="19"/>
                <w:szCs w:val="19"/>
                <w:lang w:val="en-US" w:eastAsia="en-US" w:bidi="ar-SA"/>
              </w:rPr>
            </w:pPr>
            <w:r>
              <w:rPr>
                <w:rFonts w:hint="eastAsia" w:ascii="宋体" w:hAnsi="宋体" w:eastAsia="宋体" w:cs="宋体"/>
                <w:snapToGrid w:val="0"/>
                <w:color w:val="000000"/>
                <w:kern w:val="0"/>
                <w:sz w:val="19"/>
                <w:szCs w:val="19"/>
                <w:lang w:val="en-US" w:eastAsia="en-US" w:bidi="ar-SA"/>
              </w:rPr>
              <w:t>对报废机动车回收活动的监督检查</w:t>
            </w:r>
          </w:p>
        </w:tc>
        <w:tc>
          <w:tcPr>
            <w:tcW w:w="8094" w:type="dxa"/>
            <w:shd w:val="clear" w:color="auto" w:fill="auto"/>
            <w:vAlign w:val="top"/>
          </w:tcPr>
          <w:p w14:paraId="61FEF977">
            <w:pPr>
              <w:spacing w:line="393" w:lineRule="auto"/>
              <w:ind w:left="0" w:leftChars="0"/>
              <w:jc w:val="left"/>
              <w:rPr>
                <w:rFonts w:ascii="Arial"/>
                <w:sz w:val="21"/>
              </w:rPr>
            </w:pPr>
          </w:p>
          <w:p w14:paraId="147D387D">
            <w:pPr>
              <w:pStyle w:val="4"/>
              <w:spacing w:before="62" w:line="219" w:lineRule="auto"/>
              <w:ind w:left="102" w:leftChars="0"/>
              <w:jc w:val="left"/>
              <w:rPr>
                <w:rFonts w:hint="eastAsia" w:ascii="宋体" w:hAnsi="宋体" w:eastAsia="宋体" w:cs="宋体"/>
                <w:snapToGrid w:val="0"/>
                <w:color w:val="000000"/>
                <w:kern w:val="0"/>
                <w:sz w:val="19"/>
                <w:szCs w:val="19"/>
                <w:lang w:val="en-US" w:eastAsia="en-US" w:bidi="ar-SA"/>
              </w:rPr>
            </w:pPr>
            <w:r>
              <w:rPr>
                <w:rFonts w:hint="eastAsia" w:ascii="宋体" w:hAnsi="宋体" w:eastAsia="宋体" w:cs="宋体"/>
                <w:snapToGrid w:val="0"/>
                <w:color w:val="000000"/>
                <w:kern w:val="0"/>
                <w:sz w:val="19"/>
                <w:szCs w:val="19"/>
                <w:lang w:val="en-US" w:eastAsia="en-US" w:bidi="ar-SA"/>
              </w:rPr>
              <w:t>《报废机动车回收管理办法》（国务院令第715号）</w:t>
            </w:r>
          </w:p>
          <w:p w14:paraId="02FB2BEC">
            <w:pPr>
              <w:pStyle w:val="4"/>
              <w:spacing w:before="62" w:line="219" w:lineRule="auto"/>
              <w:ind w:left="102" w:leftChars="0"/>
              <w:jc w:val="left"/>
              <w:rPr>
                <w:rFonts w:hint="eastAsia" w:ascii="宋体" w:hAnsi="宋体" w:eastAsia="宋体" w:cs="宋体"/>
                <w:snapToGrid w:val="0"/>
                <w:color w:val="000000"/>
                <w:kern w:val="0"/>
                <w:sz w:val="19"/>
                <w:szCs w:val="19"/>
                <w:lang w:val="en-US" w:eastAsia="en-US" w:bidi="ar-SA"/>
              </w:rPr>
            </w:pPr>
            <w:r>
              <w:rPr>
                <w:rFonts w:hint="eastAsia" w:ascii="宋体" w:hAnsi="宋体" w:eastAsia="宋体" w:cs="宋体"/>
                <w:snapToGrid w:val="0"/>
                <w:color w:val="000000"/>
                <w:kern w:val="0"/>
                <w:sz w:val="19"/>
                <w:szCs w:val="19"/>
                <w:lang w:val="en-US" w:eastAsia="en-US" w:bidi="ar-SA"/>
              </w:rPr>
              <w:t>第四条：国务院负责报废机动车回收管理的部门主管全国报废机动车回收（含拆解，下同）监督管理工作，国务院公安、生态环境、工业和信息化、交通运输、市场监督管理等部门在各自的职责范围内负责报废机动车回收有关的监督管理工作。</w:t>
            </w:r>
          </w:p>
          <w:p w14:paraId="385D66AB">
            <w:pPr>
              <w:pStyle w:val="4"/>
              <w:spacing w:before="62" w:line="219" w:lineRule="auto"/>
              <w:ind w:left="102" w:leftChars="0"/>
              <w:jc w:val="left"/>
              <w:rPr>
                <w:rFonts w:hint="eastAsia" w:ascii="宋体" w:hAnsi="宋体" w:eastAsia="宋体" w:cs="宋体"/>
                <w:snapToGrid w:val="0"/>
                <w:color w:val="000000"/>
                <w:kern w:val="0"/>
                <w:sz w:val="19"/>
                <w:szCs w:val="19"/>
                <w:lang w:val="en-US" w:eastAsia="en-US" w:bidi="ar-SA"/>
              </w:rPr>
            </w:pPr>
            <w:r>
              <w:rPr>
                <w:rFonts w:hint="eastAsia" w:ascii="宋体" w:hAnsi="宋体" w:eastAsia="宋体" w:cs="宋体"/>
                <w:snapToGrid w:val="0"/>
                <w:color w:val="000000"/>
                <w:kern w:val="0"/>
                <w:sz w:val="19"/>
                <w:szCs w:val="19"/>
                <w:lang w:val="en-US" w:eastAsia="en-US" w:bidi="ar-SA"/>
              </w:rPr>
              <w:t>县级以上地方人民政府负责报废机动车回收管理的部门对本行政区域内报废机动车回收活动实施监督管理。县级以上地方人民政府公安、生态环境、工业和信息化、交通运输、市场监督管理等部门在各自的职责范围内对本行政区域内报废机动车回收活动实施有关的监督管理。</w:t>
            </w:r>
          </w:p>
          <w:p w14:paraId="2B4A107C">
            <w:pPr>
              <w:pStyle w:val="4"/>
              <w:spacing w:before="62" w:line="219" w:lineRule="auto"/>
              <w:ind w:left="102" w:leftChars="0"/>
              <w:jc w:val="left"/>
              <w:rPr>
                <w:rFonts w:hint="eastAsia" w:ascii="宋体" w:hAnsi="宋体" w:eastAsia="宋体" w:cs="宋体"/>
                <w:snapToGrid w:val="0"/>
                <w:color w:val="000000"/>
                <w:kern w:val="0"/>
                <w:sz w:val="19"/>
                <w:szCs w:val="19"/>
                <w:lang w:val="en-US" w:eastAsia="en-US" w:bidi="ar-SA"/>
              </w:rPr>
            </w:pPr>
            <w:r>
              <w:rPr>
                <w:rFonts w:hint="eastAsia" w:ascii="宋体" w:hAnsi="宋体" w:eastAsia="宋体" w:cs="宋体"/>
                <w:snapToGrid w:val="0"/>
                <w:color w:val="000000"/>
                <w:kern w:val="0"/>
                <w:sz w:val="19"/>
                <w:szCs w:val="19"/>
                <w:lang w:val="en-US" w:eastAsia="en-US" w:bidi="ar-SA"/>
              </w:rPr>
              <w:t>第十六条：县级以上地方人民政府负责报废机动车回收管理的部门应当加强对报废机动车回收企业的监督检查，建立和完善以随机抽查为重点的日常监督检查制度，公布抽查事项目录，明确抽查的依据、频次、方式、内容和程序，随机抽取被检查企业，随机选派检查人员。抽查情况和查处结果应当及时向社会公布。</w:t>
            </w:r>
          </w:p>
          <w:p w14:paraId="6BCB4A13">
            <w:pPr>
              <w:pStyle w:val="4"/>
              <w:spacing w:before="62" w:line="219" w:lineRule="auto"/>
              <w:ind w:left="102" w:leftChars="0"/>
              <w:jc w:val="left"/>
              <w:rPr>
                <w:rFonts w:ascii="宋体" w:hAnsi="宋体" w:eastAsia="宋体" w:cs="宋体"/>
                <w:snapToGrid w:val="0"/>
                <w:color w:val="000000"/>
                <w:kern w:val="0"/>
                <w:sz w:val="19"/>
                <w:szCs w:val="19"/>
                <w:lang w:val="en-US" w:eastAsia="en-US" w:bidi="ar-SA"/>
              </w:rPr>
            </w:pPr>
            <w:r>
              <w:rPr>
                <w:rFonts w:hint="eastAsia" w:ascii="宋体" w:hAnsi="宋体" w:eastAsia="宋体" w:cs="宋体"/>
                <w:snapToGrid w:val="0"/>
                <w:color w:val="000000"/>
                <w:kern w:val="0"/>
                <w:sz w:val="19"/>
                <w:szCs w:val="19"/>
                <w:lang w:val="en-US" w:eastAsia="en-US" w:bidi="ar-SA"/>
              </w:rPr>
              <w:t>在监督检查中发现报废机动车回收企业不具备本办法规定的资质认定条件的，应当责令限期改正；拒不改正或者逾期未改正的，由原发证部门吊销资质认定书。</w:t>
            </w:r>
          </w:p>
        </w:tc>
        <w:tc>
          <w:tcPr>
            <w:tcW w:w="2446" w:type="dxa"/>
            <w:shd w:val="clear" w:color="auto" w:fill="auto"/>
            <w:vAlign w:val="top"/>
          </w:tcPr>
          <w:p w14:paraId="661AEEA2">
            <w:pPr>
              <w:spacing w:line="244" w:lineRule="auto"/>
              <w:ind w:left="0" w:leftChars="0"/>
              <w:jc w:val="left"/>
              <w:rPr>
                <w:rFonts w:ascii="Arial"/>
                <w:sz w:val="21"/>
              </w:rPr>
            </w:pPr>
          </w:p>
          <w:p w14:paraId="61D22272">
            <w:pPr>
              <w:pStyle w:val="4"/>
              <w:spacing w:before="62" w:line="219" w:lineRule="auto"/>
              <w:ind w:left="102" w:leftChars="0"/>
              <w:jc w:val="left"/>
              <w:rPr>
                <w:rFonts w:hint="eastAsia" w:ascii="宋体" w:hAnsi="宋体" w:eastAsia="宋体" w:cs="宋体"/>
                <w:snapToGrid w:val="0"/>
                <w:color w:val="000000"/>
                <w:kern w:val="0"/>
                <w:sz w:val="19"/>
                <w:szCs w:val="19"/>
                <w:lang w:val="en-US" w:eastAsia="en-US" w:bidi="ar-SA"/>
              </w:rPr>
            </w:pPr>
          </w:p>
          <w:p w14:paraId="64BB5F93">
            <w:pPr>
              <w:pStyle w:val="4"/>
              <w:spacing w:before="62" w:line="219" w:lineRule="auto"/>
              <w:ind w:left="102" w:leftChars="0"/>
              <w:jc w:val="left"/>
              <w:rPr>
                <w:rFonts w:hint="eastAsia" w:ascii="宋体" w:hAnsi="宋体" w:eastAsia="宋体" w:cs="宋体"/>
                <w:snapToGrid w:val="0"/>
                <w:color w:val="000000"/>
                <w:kern w:val="0"/>
                <w:sz w:val="19"/>
                <w:szCs w:val="19"/>
                <w:lang w:val="en-US" w:eastAsia="en-US" w:bidi="ar-SA"/>
              </w:rPr>
            </w:pPr>
          </w:p>
          <w:p w14:paraId="70E89468">
            <w:pPr>
              <w:pStyle w:val="4"/>
              <w:spacing w:before="62" w:line="219" w:lineRule="auto"/>
              <w:ind w:left="102" w:leftChars="0"/>
              <w:jc w:val="left"/>
              <w:rPr>
                <w:rFonts w:hint="eastAsia" w:ascii="宋体" w:hAnsi="宋体" w:eastAsia="宋体" w:cs="宋体"/>
                <w:snapToGrid w:val="0"/>
                <w:color w:val="000000"/>
                <w:kern w:val="0"/>
                <w:sz w:val="19"/>
                <w:szCs w:val="19"/>
                <w:lang w:val="en-US" w:eastAsia="en-US" w:bidi="ar-SA"/>
              </w:rPr>
            </w:pPr>
          </w:p>
          <w:p w14:paraId="4120DC3E">
            <w:pPr>
              <w:pStyle w:val="4"/>
              <w:spacing w:before="62" w:line="219" w:lineRule="auto"/>
              <w:ind w:left="102" w:leftChars="0"/>
              <w:jc w:val="left"/>
              <w:rPr>
                <w:rFonts w:hint="eastAsia" w:ascii="宋体" w:hAnsi="宋体" w:eastAsia="宋体" w:cs="宋体"/>
                <w:snapToGrid w:val="0"/>
                <w:color w:val="000000"/>
                <w:kern w:val="0"/>
                <w:sz w:val="19"/>
                <w:szCs w:val="19"/>
                <w:lang w:val="en-US" w:eastAsia="en-US" w:bidi="ar-SA"/>
              </w:rPr>
            </w:pPr>
          </w:p>
          <w:p w14:paraId="4D952CA7">
            <w:pPr>
              <w:pStyle w:val="4"/>
              <w:spacing w:before="62" w:line="219" w:lineRule="auto"/>
              <w:ind w:left="102" w:leftChars="0"/>
              <w:jc w:val="left"/>
              <w:rPr>
                <w:rFonts w:hint="eastAsia" w:ascii="宋体" w:hAnsi="宋体" w:eastAsia="宋体" w:cs="宋体"/>
                <w:snapToGrid w:val="0"/>
                <w:color w:val="000000"/>
                <w:kern w:val="0"/>
                <w:sz w:val="19"/>
                <w:szCs w:val="19"/>
                <w:lang w:val="en-US" w:eastAsia="en-US" w:bidi="ar-SA"/>
              </w:rPr>
            </w:pPr>
            <w:r>
              <w:rPr>
                <w:rFonts w:hint="eastAsia" w:ascii="宋体" w:hAnsi="宋体" w:eastAsia="宋体" w:cs="宋体"/>
                <w:snapToGrid w:val="0"/>
                <w:color w:val="000000"/>
                <w:kern w:val="0"/>
                <w:sz w:val="19"/>
                <w:szCs w:val="19"/>
                <w:lang w:val="en-US" w:eastAsia="en-US" w:bidi="ar-SA"/>
              </w:rPr>
              <w:t>《报废机动车回收管理办法》（国务院令第715号）</w:t>
            </w:r>
          </w:p>
          <w:p w14:paraId="007A2D4E">
            <w:pPr>
              <w:pStyle w:val="4"/>
              <w:spacing w:before="62" w:line="294" w:lineRule="auto"/>
              <w:ind w:left="117" w:leftChars="0" w:right="65" w:rightChars="0" w:hanging="64" w:firstLineChars="0"/>
              <w:jc w:val="left"/>
              <w:rPr>
                <w:rFonts w:ascii="宋体" w:hAnsi="宋体" w:eastAsia="宋体" w:cs="宋体"/>
                <w:snapToGrid w:val="0"/>
                <w:color w:val="000000"/>
                <w:kern w:val="0"/>
                <w:sz w:val="19"/>
                <w:szCs w:val="19"/>
                <w:lang w:val="en-US" w:eastAsia="en-US" w:bidi="ar-SA"/>
              </w:rPr>
            </w:pPr>
          </w:p>
        </w:tc>
      </w:tr>
      <w:tr w14:paraId="3C8B15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13" w:hRule="atLeast"/>
        </w:trPr>
        <w:tc>
          <w:tcPr>
            <w:tcW w:w="764" w:type="dxa"/>
            <w:shd w:val="clear" w:color="auto" w:fill="auto"/>
            <w:vAlign w:val="top"/>
          </w:tcPr>
          <w:p w14:paraId="0299BC9C">
            <w:pPr>
              <w:numPr>
                <w:ilvl w:val="0"/>
                <w:numId w:val="0"/>
              </w:numPr>
              <w:spacing w:line="242" w:lineRule="auto"/>
              <w:ind w:leftChars="0"/>
              <w:jc w:val="both"/>
              <w:rPr>
                <w:rFonts w:ascii="Arial"/>
                <w:sz w:val="21"/>
              </w:rPr>
            </w:pPr>
          </w:p>
          <w:p w14:paraId="71F8ADE5">
            <w:pPr>
              <w:spacing w:line="242" w:lineRule="auto"/>
              <w:ind w:left="0" w:leftChars="0"/>
              <w:jc w:val="both"/>
              <w:rPr>
                <w:rFonts w:ascii="Arial"/>
                <w:sz w:val="21"/>
              </w:rPr>
            </w:pPr>
          </w:p>
          <w:p w14:paraId="06802530">
            <w:pPr>
              <w:spacing w:line="242" w:lineRule="auto"/>
              <w:ind w:left="0" w:leftChars="0"/>
              <w:jc w:val="both"/>
              <w:rPr>
                <w:rFonts w:ascii="Arial"/>
                <w:sz w:val="21"/>
              </w:rPr>
            </w:pPr>
          </w:p>
          <w:p w14:paraId="18DEE87B">
            <w:pPr>
              <w:spacing w:line="243" w:lineRule="auto"/>
              <w:ind w:left="0" w:leftChars="0"/>
              <w:jc w:val="both"/>
              <w:rPr>
                <w:rFonts w:ascii="Arial"/>
                <w:sz w:val="21"/>
              </w:rPr>
            </w:pPr>
          </w:p>
          <w:p w14:paraId="60FE5AE2">
            <w:pPr>
              <w:pStyle w:val="4"/>
              <w:numPr>
                <w:ilvl w:val="0"/>
                <w:numId w:val="0"/>
              </w:numPr>
              <w:spacing w:before="62"/>
              <w:ind w:leftChars="0" w:firstLine="380" w:firstLineChars="200"/>
              <w:jc w:val="both"/>
              <w:rPr>
                <w:rFonts w:hint="eastAsia" w:ascii="宋体" w:hAnsi="宋体" w:eastAsia="宋体" w:cs="宋体"/>
                <w:snapToGrid w:val="0"/>
                <w:color w:val="000000"/>
                <w:kern w:val="0"/>
                <w:sz w:val="19"/>
                <w:szCs w:val="19"/>
                <w:lang w:val="en-US" w:eastAsia="zh-CN" w:bidi="ar-SA"/>
              </w:rPr>
            </w:pPr>
            <w:r>
              <w:rPr>
                <w:rFonts w:hint="eastAsia"/>
                <w:lang w:val="en-US" w:eastAsia="zh-CN"/>
              </w:rPr>
              <w:t>3</w:t>
            </w:r>
          </w:p>
        </w:tc>
        <w:tc>
          <w:tcPr>
            <w:tcW w:w="1709" w:type="dxa"/>
            <w:shd w:val="clear" w:color="auto" w:fill="auto"/>
            <w:vAlign w:val="top"/>
          </w:tcPr>
          <w:p w14:paraId="5BADBAAF">
            <w:pPr>
              <w:spacing w:line="335" w:lineRule="auto"/>
              <w:ind w:left="0" w:leftChars="0"/>
              <w:jc w:val="both"/>
              <w:rPr>
                <w:rFonts w:ascii="Arial"/>
                <w:sz w:val="21"/>
              </w:rPr>
            </w:pPr>
          </w:p>
          <w:p w14:paraId="489DC44E">
            <w:pPr>
              <w:spacing w:line="336" w:lineRule="auto"/>
              <w:ind w:left="0" w:leftChars="0"/>
              <w:jc w:val="both"/>
              <w:rPr>
                <w:rFonts w:ascii="Arial"/>
                <w:sz w:val="21"/>
              </w:rPr>
            </w:pPr>
          </w:p>
          <w:p w14:paraId="55C673F1">
            <w:pPr>
              <w:pStyle w:val="4"/>
              <w:spacing w:before="62" w:line="274" w:lineRule="auto"/>
              <w:ind w:left="80" w:leftChars="0"/>
              <w:jc w:val="both"/>
              <w:rPr>
                <w:rFonts w:ascii="宋体" w:hAnsi="宋体" w:eastAsia="宋体" w:cs="宋体"/>
                <w:snapToGrid w:val="0"/>
                <w:color w:val="000000"/>
                <w:kern w:val="0"/>
                <w:sz w:val="19"/>
                <w:szCs w:val="19"/>
                <w:lang w:val="en-US" w:eastAsia="en-US" w:bidi="ar-SA"/>
              </w:rPr>
            </w:pPr>
            <w:r>
              <w:rPr>
                <w:rFonts w:hint="eastAsia" w:ascii="宋体" w:hAnsi="宋体" w:eastAsia="宋体" w:cs="宋体"/>
                <w:snapToGrid w:val="0"/>
                <w:color w:val="000000"/>
                <w:kern w:val="0"/>
                <w:sz w:val="19"/>
                <w:szCs w:val="19"/>
                <w:lang w:val="en-US" w:eastAsia="en-US" w:bidi="ar-SA"/>
              </w:rPr>
              <w:t>对河北省内汽车销售及其相关服务活动进行监督检查</w:t>
            </w:r>
          </w:p>
        </w:tc>
        <w:tc>
          <w:tcPr>
            <w:tcW w:w="8094" w:type="dxa"/>
            <w:shd w:val="clear" w:color="auto" w:fill="auto"/>
            <w:vAlign w:val="top"/>
          </w:tcPr>
          <w:p w14:paraId="0ECE7314">
            <w:pPr>
              <w:spacing w:line="316" w:lineRule="auto"/>
              <w:ind w:left="0" w:leftChars="0"/>
              <w:jc w:val="both"/>
              <w:rPr>
                <w:rFonts w:ascii="Arial"/>
                <w:sz w:val="21"/>
              </w:rPr>
            </w:pPr>
          </w:p>
          <w:p w14:paraId="579180C0">
            <w:pPr>
              <w:spacing w:line="317" w:lineRule="auto"/>
              <w:ind w:left="0" w:leftChars="0"/>
              <w:jc w:val="both"/>
              <w:rPr>
                <w:rFonts w:hint="eastAsia" w:ascii="Arial"/>
                <w:sz w:val="21"/>
              </w:rPr>
            </w:pPr>
            <w:r>
              <w:rPr>
                <w:rFonts w:hint="eastAsia" w:ascii="Arial"/>
                <w:sz w:val="21"/>
              </w:rPr>
              <w:t>《汽车销售管理办法》（商务部令2017年第1号）</w:t>
            </w:r>
          </w:p>
          <w:p w14:paraId="1F6F9E01">
            <w:pPr>
              <w:spacing w:line="317" w:lineRule="auto"/>
              <w:ind w:left="0" w:leftChars="0"/>
              <w:jc w:val="both"/>
              <w:rPr>
                <w:rFonts w:ascii="Arial"/>
                <w:sz w:val="21"/>
              </w:rPr>
            </w:pPr>
            <w:r>
              <w:rPr>
                <w:rFonts w:hint="eastAsia" w:ascii="Arial"/>
                <w:sz w:val="21"/>
              </w:rPr>
              <w:t>第七条第二款：县级以上地方商务主管部门依据本办法对本行政区域内汽车销售及其相关服务活动进行监督管理。</w:t>
            </w:r>
          </w:p>
          <w:p w14:paraId="6977739A">
            <w:pPr>
              <w:spacing w:line="317" w:lineRule="auto"/>
              <w:ind w:left="0" w:leftChars="0"/>
              <w:jc w:val="both"/>
              <w:rPr>
                <w:rFonts w:ascii="Arial"/>
                <w:sz w:val="21"/>
              </w:rPr>
            </w:pPr>
          </w:p>
          <w:p w14:paraId="78CA22E2">
            <w:pPr>
              <w:pStyle w:val="4"/>
              <w:spacing w:before="61" w:line="219" w:lineRule="auto"/>
              <w:ind w:left="100" w:leftChars="0"/>
              <w:jc w:val="both"/>
              <w:rPr>
                <w:rFonts w:ascii="宋体" w:hAnsi="宋体" w:eastAsia="宋体" w:cs="宋体"/>
                <w:snapToGrid w:val="0"/>
                <w:color w:val="000000"/>
                <w:kern w:val="0"/>
                <w:sz w:val="19"/>
                <w:szCs w:val="19"/>
                <w:lang w:val="en-US" w:eastAsia="en-US" w:bidi="ar-SA"/>
              </w:rPr>
            </w:pPr>
          </w:p>
        </w:tc>
        <w:tc>
          <w:tcPr>
            <w:tcW w:w="2446" w:type="dxa"/>
            <w:shd w:val="clear" w:color="auto" w:fill="auto"/>
            <w:vAlign w:val="top"/>
          </w:tcPr>
          <w:p w14:paraId="255C63DE">
            <w:pPr>
              <w:spacing w:line="317" w:lineRule="auto"/>
              <w:ind w:left="0" w:leftChars="0"/>
              <w:jc w:val="both"/>
              <w:rPr>
                <w:rFonts w:hint="eastAsia" w:ascii="Arial"/>
                <w:sz w:val="21"/>
              </w:rPr>
            </w:pPr>
          </w:p>
          <w:p w14:paraId="0C661786">
            <w:pPr>
              <w:spacing w:line="317" w:lineRule="auto"/>
              <w:ind w:left="0" w:leftChars="0"/>
              <w:jc w:val="both"/>
              <w:rPr>
                <w:rFonts w:hint="eastAsia" w:ascii="Arial"/>
                <w:sz w:val="21"/>
              </w:rPr>
            </w:pPr>
            <w:r>
              <w:rPr>
                <w:rFonts w:hint="eastAsia" w:ascii="Arial"/>
                <w:sz w:val="21"/>
              </w:rPr>
              <w:t>《汽车销售管理办法》（商务部令2017年第1号）</w:t>
            </w:r>
          </w:p>
          <w:p w14:paraId="0C53987A">
            <w:pPr>
              <w:pStyle w:val="4"/>
              <w:spacing w:before="1" w:line="255" w:lineRule="auto"/>
              <w:ind w:left="57" w:leftChars="0" w:right="73" w:rightChars="0" w:firstLine="50" w:firstLineChars="0"/>
              <w:jc w:val="both"/>
              <w:rPr>
                <w:rFonts w:ascii="宋体" w:hAnsi="宋体" w:eastAsia="宋体" w:cs="宋体"/>
                <w:snapToGrid w:val="0"/>
                <w:color w:val="000000"/>
                <w:kern w:val="0"/>
                <w:sz w:val="19"/>
                <w:szCs w:val="19"/>
                <w:lang w:val="en-US" w:eastAsia="en-US" w:bidi="ar-SA"/>
              </w:rPr>
            </w:pPr>
          </w:p>
        </w:tc>
      </w:tr>
      <w:tr w14:paraId="293C84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13" w:hRule="atLeast"/>
        </w:trPr>
        <w:tc>
          <w:tcPr>
            <w:tcW w:w="764" w:type="dxa"/>
            <w:vAlign w:val="top"/>
          </w:tcPr>
          <w:p w14:paraId="3AA9E491">
            <w:pPr>
              <w:pStyle w:val="4"/>
              <w:numPr>
                <w:ilvl w:val="0"/>
                <w:numId w:val="0"/>
              </w:numPr>
              <w:spacing w:before="62"/>
              <w:ind w:leftChars="0"/>
              <w:jc w:val="center"/>
              <w:rPr>
                <w:rFonts w:hint="eastAsia"/>
                <w:lang w:val="en-US" w:eastAsia="zh-CN"/>
              </w:rPr>
            </w:pPr>
          </w:p>
          <w:p w14:paraId="2CF4533E">
            <w:pPr>
              <w:pStyle w:val="4"/>
              <w:numPr>
                <w:ilvl w:val="0"/>
                <w:numId w:val="0"/>
              </w:numPr>
              <w:spacing w:before="62"/>
              <w:ind w:leftChars="0"/>
              <w:jc w:val="center"/>
              <w:rPr>
                <w:rFonts w:hint="eastAsia"/>
                <w:lang w:val="en-US" w:eastAsia="zh-CN"/>
              </w:rPr>
            </w:pPr>
          </w:p>
          <w:p w14:paraId="45CC3C57">
            <w:pPr>
              <w:pStyle w:val="4"/>
              <w:numPr>
                <w:ilvl w:val="0"/>
                <w:numId w:val="0"/>
              </w:numPr>
              <w:spacing w:before="62"/>
              <w:ind w:leftChars="0"/>
              <w:jc w:val="center"/>
              <w:rPr>
                <w:rFonts w:hint="eastAsia" w:eastAsia="宋体"/>
                <w:lang w:val="en-US" w:eastAsia="zh-CN"/>
              </w:rPr>
            </w:pPr>
            <w:r>
              <w:rPr>
                <w:rFonts w:hint="eastAsia"/>
                <w:lang w:val="en-US" w:eastAsia="zh-CN"/>
              </w:rPr>
              <w:t>4</w:t>
            </w:r>
          </w:p>
        </w:tc>
        <w:tc>
          <w:tcPr>
            <w:tcW w:w="1709" w:type="dxa"/>
            <w:vAlign w:val="top"/>
          </w:tcPr>
          <w:p w14:paraId="29A4623E">
            <w:pPr>
              <w:pStyle w:val="4"/>
              <w:spacing w:before="255" w:line="273" w:lineRule="auto"/>
              <w:ind w:left="90" w:leftChars="0" w:right="104" w:hanging="9"/>
              <w:jc w:val="both"/>
              <w:rPr>
                <w:spacing w:val="-1"/>
              </w:rPr>
            </w:pPr>
            <w:r>
              <w:rPr>
                <w:rFonts w:hint="eastAsia"/>
                <w:spacing w:val="-1"/>
              </w:rPr>
              <w:t>对商业单用途预付卡发卡企业的监督检查</w:t>
            </w:r>
          </w:p>
        </w:tc>
        <w:tc>
          <w:tcPr>
            <w:tcW w:w="8094" w:type="dxa"/>
            <w:vAlign w:val="top"/>
          </w:tcPr>
          <w:p w14:paraId="0318F0CD">
            <w:pPr>
              <w:pStyle w:val="4"/>
              <w:spacing w:before="62" w:line="294" w:lineRule="auto"/>
              <w:ind w:left="111" w:leftChars="0" w:hanging="19"/>
              <w:jc w:val="both"/>
              <w:rPr>
                <w:rFonts w:hint="eastAsia"/>
                <w:spacing w:val="-10"/>
              </w:rPr>
            </w:pPr>
            <w:r>
              <w:rPr>
                <w:rFonts w:hint="eastAsia"/>
                <w:spacing w:val="-10"/>
              </w:rPr>
              <w:t>《单用途商业预付卡管理办法（试行）》（商务部令2012年第9号）</w:t>
            </w:r>
          </w:p>
          <w:p w14:paraId="5954B18F">
            <w:pPr>
              <w:pStyle w:val="4"/>
              <w:spacing w:before="62" w:line="294" w:lineRule="auto"/>
              <w:ind w:left="111" w:leftChars="0" w:hanging="19"/>
              <w:jc w:val="both"/>
              <w:rPr>
                <w:spacing w:val="-10"/>
              </w:rPr>
            </w:pPr>
            <w:r>
              <w:rPr>
                <w:rFonts w:hint="eastAsia"/>
                <w:spacing w:val="-10"/>
              </w:rPr>
              <w:t>第五条：商务部负责全国单用途卡行业管理工作。县级以上地方人民政府商务主管部门负责本行政区域内单用途卡监督管理工作。</w:t>
            </w:r>
          </w:p>
        </w:tc>
        <w:tc>
          <w:tcPr>
            <w:tcW w:w="2446" w:type="dxa"/>
            <w:vAlign w:val="top"/>
          </w:tcPr>
          <w:p w14:paraId="59A7CB9C">
            <w:pPr>
              <w:pStyle w:val="4"/>
              <w:spacing w:before="62" w:line="294" w:lineRule="auto"/>
              <w:ind w:left="111" w:leftChars="0" w:hanging="19"/>
              <w:jc w:val="both"/>
              <w:rPr>
                <w:rFonts w:hint="eastAsia"/>
                <w:spacing w:val="-10"/>
              </w:rPr>
            </w:pPr>
          </w:p>
          <w:p w14:paraId="231D218C">
            <w:pPr>
              <w:pStyle w:val="4"/>
              <w:spacing w:before="62" w:line="294" w:lineRule="auto"/>
              <w:ind w:left="111" w:leftChars="0" w:hanging="19"/>
              <w:jc w:val="both"/>
              <w:rPr>
                <w:rFonts w:hint="eastAsia"/>
                <w:spacing w:val="-10"/>
              </w:rPr>
            </w:pPr>
            <w:r>
              <w:rPr>
                <w:rFonts w:hint="eastAsia"/>
                <w:spacing w:val="-10"/>
              </w:rPr>
              <w:t>《单用途商业预付卡管理办法（试行）》（商务部令2012年第9号）</w:t>
            </w:r>
          </w:p>
          <w:p w14:paraId="66436208">
            <w:pPr>
              <w:pStyle w:val="4"/>
              <w:spacing w:before="62" w:line="264" w:lineRule="auto"/>
              <w:ind w:left="97" w:leftChars="0" w:right="58" w:hanging="14"/>
              <w:jc w:val="both"/>
              <w:rPr>
                <w:spacing w:val="-2"/>
              </w:rPr>
            </w:pPr>
          </w:p>
        </w:tc>
      </w:tr>
      <w:tr w14:paraId="2BDEF3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13" w:hRule="atLeast"/>
        </w:trPr>
        <w:tc>
          <w:tcPr>
            <w:tcW w:w="764" w:type="dxa"/>
            <w:vAlign w:val="top"/>
          </w:tcPr>
          <w:p w14:paraId="6E9A614E">
            <w:pPr>
              <w:pStyle w:val="4"/>
              <w:numPr>
                <w:ilvl w:val="0"/>
                <w:numId w:val="0"/>
              </w:numPr>
              <w:spacing w:before="62"/>
              <w:ind w:leftChars="0"/>
              <w:jc w:val="center"/>
              <w:rPr>
                <w:rFonts w:hint="eastAsia"/>
                <w:lang w:val="en-US" w:eastAsia="zh-CN"/>
              </w:rPr>
            </w:pPr>
          </w:p>
          <w:p w14:paraId="0BEA4B89">
            <w:pPr>
              <w:pStyle w:val="4"/>
              <w:numPr>
                <w:ilvl w:val="0"/>
                <w:numId w:val="0"/>
              </w:numPr>
              <w:spacing w:before="62"/>
              <w:ind w:leftChars="0"/>
              <w:jc w:val="center"/>
              <w:rPr>
                <w:rFonts w:hint="eastAsia"/>
                <w:lang w:val="en-US" w:eastAsia="zh-CN"/>
              </w:rPr>
            </w:pPr>
          </w:p>
          <w:p w14:paraId="239545D2">
            <w:pPr>
              <w:pStyle w:val="4"/>
              <w:numPr>
                <w:ilvl w:val="0"/>
                <w:numId w:val="0"/>
              </w:numPr>
              <w:spacing w:before="62"/>
              <w:ind w:leftChars="0"/>
              <w:jc w:val="center"/>
              <w:rPr>
                <w:rFonts w:hint="eastAsia"/>
                <w:lang w:val="en-US" w:eastAsia="zh-CN"/>
              </w:rPr>
            </w:pPr>
          </w:p>
          <w:p w14:paraId="58758A0E">
            <w:pPr>
              <w:pStyle w:val="4"/>
              <w:numPr>
                <w:ilvl w:val="0"/>
                <w:numId w:val="0"/>
              </w:numPr>
              <w:spacing w:before="62"/>
              <w:ind w:leftChars="0"/>
              <w:jc w:val="center"/>
              <w:rPr>
                <w:rFonts w:hint="eastAsia"/>
                <w:lang w:val="en-US" w:eastAsia="zh-CN"/>
              </w:rPr>
            </w:pPr>
          </w:p>
          <w:p w14:paraId="4C665ABF">
            <w:pPr>
              <w:pStyle w:val="4"/>
              <w:numPr>
                <w:ilvl w:val="0"/>
                <w:numId w:val="0"/>
              </w:numPr>
              <w:spacing w:before="62"/>
              <w:ind w:leftChars="0"/>
              <w:jc w:val="center"/>
              <w:rPr>
                <w:rFonts w:hint="eastAsia" w:eastAsia="宋体"/>
                <w:lang w:val="en-US" w:eastAsia="zh-CN"/>
              </w:rPr>
            </w:pPr>
            <w:r>
              <w:rPr>
                <w:rFonts w:hint="eastAsia"/>
                <w:lang w:val="en-US" w:eastAsia="zh-CN"/>
              </w:rPr>
              <w:t>5</w:t>
            </w:r>
          </w:p>
        </w:tc>
        <w:tc>
          <w:tcPr>
            <w:tcW w:w="1709" w:type="dxa"/>
            <w:vAlign w:val="top"/>
          </w:tcPr>
          <w:p w14:paraId="78B172C0">
            <w:pPr>
              <w:pStyle w:val="4"/>
              <w:spacing w:before="255" w:line="273" w:lineRule="auto"/>
              <w:ind w:left="90" w:leftChars="0" w:right="104" w:hanging="9"/>
              <w:jc w:val="both"/>
              <w:rPr>
                <w:rFonts w:hint="eastAsia"/>
                <w:spacing w:val="-1"/>
              </w:rPr>
            </w:pPr>
          </w:p>
          <w:p w14:paraId="7C4253AD">
            <w:pPr>
              <w:pStyle w:val="4"/>
              <w:spacing w:before="255" w:line="273" w:lineRule="auto"/>
              <w:ind w:left="90" w:leftChars="0" w:right="104" w:hanging="9"/>
              <w:jc w:val="both"/>
              <w:rPr>
                <w:rFonts w:hint="eastAsia"/>
                <w:spacing w:val="-1"/>
              </w:rPr>
            </w:pPr>
          </w:p>
          <w:p w14:paraId="1700C2B5">
            <w:pPr>
              <w:pStyle w:val="4"/>
              <w:spacing w:before="255" w:line="273" w:lineRule="auto"/>
              <w:ind w:left="90" w:leftChars="0" w:right="104" w:hanging="9"/>
              <w:jc w:val="both"/>
              <w:rPr>
                <w:spacing w:val="-1"/>
              </w:rPr>
            </w:pPr>
            <w:r>
              <w:rPr>
                <w:rFonts w:hint="eastAsia"/>
                <w:spacing w:val="-1"/>
              </w:rPr>
              <w:t>对零售商经营行为的监督检查</w:t>
            </w:r>
          </w:p>
        </w:tc>
        <w:tc>
          <w:tcPr>
            <w:tcW w:w="8094" w:type="dxa"/>
            <w:vAlign w:val="top"/>
          </w:tcPr>
          <w:p w14:paraId="45A57CE0">
            <w:pPr>
              <w:pStyle w:val="4"/>
              <w:spacing w:before="62" w:line="294" w:lineRule="auto"/>
              <w:ind w:left="111" w:leftChars="0" w:hanging="19"/>
              <w:jc w:val="both"/>
              <w:rPr>
                <w:rFonts w:hint="eastAsia"/>
                <w:spacing w:val="-10"/>
              </w:rPr>
            </w:pPr>
            <w:r>
              <w:rPr>
                <w:rFonts w:hint="eastAsia"/>
                <w:spacing w:val="-10"/>
              </w:rPr>
              <w:t>《零售商供应商公平交易管理办法》（商务部令2006年第17号）</w:t>
            </w:r>
          </w:p>
          <w:p w14:paraId="37C34792">
            <w:pPr>
              <w:pStyle w:val="4"/>
              <w:spacing w:before="62" w:line="294" w:lineRule="auto"/>
              <w:ind w:left="111" w:leftChars="0" w:hanging="19"/>
              <w:jc w:val="both"/>
              <w:rPr>
                <w:rFonts w:hint="eastAsia"/>
                <w:spacing w:val="-10"/>
              </w:rPr>
            </w:pPr>
            <w:r>
              <w:rPr>
                <w:rFonts w:hint="eastAsia"/>
                <w:spacing w:val="-10"/>
              </w:rPr>
              <w:t>第二十一条：各地商务、价格、税务、工商等部门依照法律法规及本办法，在各自的职责范围内对本办法规定的行为进行监督管理。对涉嫌犯罪的，由公安机关依法予以查处。</w:t>
            </w:r>
          </w:p>
          <w:p w14:paraId="2BF7245B">
            <w:pPr>
              <w:pStyle w:val="4"/>
              <w:spacing w:before="62" w:line="294" w:lineRule="auto"/>
              <w:ind w:left="111" w:leftChars="0" w:hanging="19"/>
              <w:jc w:val="both"/>
              <w:rPr>
                <w:rFonts w:hint="eastAsia"/>
                <w:spacing w:val="-10"/>
              </w:rPr>
            </w:pPr>
            <w:r>
              <w:rPr>
                <w:rFonts w:hint="eastAsia"/>
                <w:spacing w:val="-10"/>
              </w:rPr>
              <w:t>县级以上商务主管部门应会同同级有关部门对零售商供应商公平交易行为实行动态监测，进行风险预警，及时采取防范措施。</w:t>
            </w:r>
          </w:p>
          <w:p w14:paraId="74751D63">
            <w:pPr>
              <w:pStyle w:val="4"/>
              <w:spacing w:before="62" w:line="294" w:lineRule="auto"/>
              <w:ind w:left="111" w:leftChars="0" w:hanging="19"/>
              <w:jc w:val="both"/>
              <w:rPr>
                <w:spacing w:val="-10"/>
              </w:rPr>
            </w:pPr>
            <w:r>
              <w:rPr>
                <w:rFonts w:hint="eastAsia"/>
                <w:spacing w:val="-10"/>
              </w:rPr>
              <w:t>《零售商促销行为管理办法》（商务部  2006年第18号令）第二十一条：各地商务、价格、税务、工商等部门依照法律法规及有关规定，在各自职责范围内对促销行为进行监督管理。对涉嫌犯罪的，由公安机关依法予以查处。</w:t>
            </w:r>
          </w:p>
        </w:tc>
        <w:tc>
          <w:tcPr>
            <w:tcW w:w="2446" w:type="dxa"/>
            <w:vAlign w:val="top"/>
          </w:tcPr>
          <w:p w14:paraId="2E955E21">
            <w:pPr>
              <w:pStyle w:val="4"/>
              <w:spacing w:before="62" w:line="264" w:lineRule="auto"/>
              <w:ind w:left="97" w:leftChars="0" w:right="58" w:hanging="14"/>
              <w:jc w:val="both"/>
              <w:rPr>
                <w:rFonts w:hint="eastAsia"/>
                <w:spacing w:val="-2"/>
              </w:rPr>
            </w:pPr>
          </w:p>
          <w:p w14:paraId="616031F2">
            <w:pPr>
              <w:pStyle w:val="4"/>
              <w:spacing w:before="62" w:line="264" w:lineRule="auto"/>
              <w:ind w:left="97" w:leftChars="0" w:right="58" w:hanging="14"/>
              <w:jc w:val="both"/>
              <w:rPr>
                <w:rFonts w:hint="eastAsia"/>
                <w:spacing w:val="-2"/>
              </w:rPr>
            </w:pPr>
          </w:p>
          <w:p w14:paraId="2FB9DBD3">
            <w:pPr>
              <w:pStyle w:val="4"/>
              <w:spacing w:before="62" w:line="264" w:lineRule="auto"/>
              <w:ind w:left="97" w:leftChars="0" w:right="58" w:hanging="14"/>
              <w:jc w:val="both"/>
              <w:rPr>
                <w:rFonts w:hint="eastAsia"/>
                <w:spacing w:val="-2"/>
              </w:rPr>
            </w:pPr>
          </w:p>
          <w:p w14:paraId="53841DE8">
            <w:pPr>
              <w:pStyle w:val="4"/>
              <w:spacing w:before="62" w:line="264" w:lineRule="auto"/>
              <w:ind w:left="97" w:leftChars="0" w:right="58" w:hanging="14"/>
              <w:jc w:val="both"/>
              <w:rPr>
                <w:spacing w:val="-2"/>
              </w:rPr>
            </w:pPr>
            <w:r>
              <w:rPr>
                <w:rFonts w:hint="eastAsia"/>
                <w:spacing w:val="-2"/>
              </w:rPr>
              <w:t>《零售商供应商公平交易管理办法》（商务部令2006年第17号）</w:t>
            </w:r>
          </w:p>
        </w:tc>
      </w:tr>
      <w:tr w14:paraId="7FB0FF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13" w:hRule="atLeast"/>
        </w:trPr>
        <w:tc>
          <w:tcPr>
            <w:tcW w:w="764" w:type="dxa"/>
            <w:vAlign w:val="top"/>
          </w:tcPr>
          <w:p w14:paraId="1E1DAF60">
            <w:pPr>
              <w:pStyle w:val="4"/>
              <w:numPr>
                <w:ilvl w:val="0"/>
                <w:numId w:val="0"/>
              </w:numPr>
              <w:spacing w:before="62"/>
              <w:ind w:leftChars="0"/>
              <w:jc w:val="center"/>
              <w:rPr>
                <w:rFonts w:hint="eastAsia"/>
                <w:lang w:val="en-US" w:eastAsia="zh-CN"/>
              </w:rPr>
            </w:pPr>
          </w:p>
          <w:p w14:paraId="773BADA8">
            <w:pPr>
              <w:pStyle w:val="4"/>
              <w:numPr>
                <w:ilvl w:val="0"/>
                <w:numId w:val="0"/>
              </w:numPr>
              <w:spacing w:before="62"/>
              <w:ind w:leftChars="0"/>
              <w:jc w:val="center"/>
              <w:rPr>
                <w:rFonts w:hint="eastAsia"/>
                <w:lang w:val="en-US" w:eastAsia="zh-CN"/>
              </w:rPr>
            </w:pPr>
          </w:p>
          <w:p w14:paraId="248404BD">
            <w:pPr>
              <w:pStyle w:val="4"/>
              <w:numPr>
                <w:ilvl w:val="0"/>
                <w:numId w:val="0"/>
              </w:numPr>
              <w:spacing w:before="62"/>
              <w:ind w:leftChars="0"/>
              <w:jc w:val="center"/>
              <w:rPr>
                <w:rFonts w:hint="default"/>
                <w:lang w:val="en-US" w:eastAsia="zh-CN"/>
              </w:rPr>
            </w:pPr>
            <w:r>
              <w:rPr>
                <w:rFonts w:hint="eastAsia"/>
                <w:lang w:val="en-US" w:eastAsia="zh-CN"/>
              </w:rPr>
              <w:t>6</w:t>
            </w:r>
          </w:p>
        </w:tc>
        <w:tc>
          <w:tcPr>
            <w:tcW w:w="1709" w:type="dxa"/>
            <w:vAlign w:val="top"/>
          </w:tcPr>
          <w:p w14:paraId="3DF7C2A2">
            <w:pPr>
              <w:pStyle w:val="4"/>
              <w:spacing w:before="255" w:line="273" w:lineRule="auto"/>
              <w:ind w:left="90" w:leftChars="0" w:right="104" w:hanging="9"/>
              <w:jc w:val="both"/>
              <w:rPr>
                <w:rFonts w:hint="eastAsia"/>
                <w:spacing w:val="-1"/>
              </w:rPr>
            </w:pPr>
          </w:p>
          <w:p w14:paraId="36144604">
            <w:pPr>
              <w:pStyle w:val="4"/>
              <w:spacing w:before="255" w:line="273" w:lineRule="auto"/>
              <w:ind w:left="90" w:leftChars="0" w:right="104" w:hanging="9"/>
              <w:jc w:val="both"/>
              <w:rPr>
                <w:rFonts w:hint="eastAsia"/>
                <w:spacing w:val="-1"/>
              </w:rPr>
            </w:pPr>
            <w:r>
              <w:rPr>
                <w:rFonts w:hint="eastAsia"/>
                <w:spacing w:val="-1"/>
              </w:rPr>
              <w:t>对商品现货市场经营活动的监督检查</w:t>
            </w:r>
          </w:p>
        </w:tc>
        <w:tc>
          <w:tcPr>
            <w:tcW w:w="8094" w:type="dxa"/>
            <w:vAlign w:val="top"/>
          </w:tcPr>
          <w:p w14:paraId="6351F26C">
            <w:pPr>
              <w:pStyle w:val="4"/>
              <w:spacing w:before="62" w:line="294" w:lineRule="auto"/>
              <w:ind w:left="111" w:leftChars="0" w:hanging="19"/>
              <w:jc w:val="both"/>
              <w:rPr>
                <w:rFonts w:hint="eastAsia"/>
                <w:spacing w:val="-10"/>
              </w:rPr>
            </w:pPr>
            <w:r>
              <w:rPr>
                <w:rFonts w:hint="eastAsia"/>
                <w:spacing w:val="-10"/>
              </w:rPr>
              <w:t>《商品现货市场交易特别规定（试行）》（商务部2013年第3号令）</w:t>
            </w:r>
          </w:p>
          <w:p w14:paraId="31B5719E">
            <w:pPr>
              <w:pStyle w:val="4"/>
              <w:spacing w:before="62" w:line="294" w:lineRule="auto"/>
              <w:ind w:left="111" w:leftChars="0" w:hanging="19"/>
              <w:jc w:val="both"/>
              <w:rPr>
                <w:rFonts w:hint="eastAsia"/>
                <w:spacing w:val="-10"/>
              </w:rPr>
            </w:pPr>
            <w:r>
              <w:rPr>
                <w:rFonts w:hint="eastAsia"/>
                <w:spacing w:val="-10"/>
              </w:rPr>
              <w:t>第二十条：第二十条 县级以上人民政府商务主管部门负责本行政区域内的商品现货市场的行业管理，并按照要求及时报送行业发展规划和其他具体措施。</w:t>
            </w:r>
          </w:p>
          <w:p w14:paraId="152D84ED">
            <w:pPr>
              <w:pStyle w:val="4"/>
              <w:spacing w:before="62" w:line="294" w:lineRule="auto"/>
              <w:ind w:left="111" w:leftChars="0" w:hanging="19"/>
              <w:jc w:val="both"/>
              <w:rPr>
                <w:rFonts w:hint="eastAsia"/>
                <w:spacing w:val="-10"/>
              </w:rPr>
            </w:pPr>
            <w:r>
              <w:rPr>
                <w:rFonts w:hint="eastAsia"/>
                <w:spacing w:val="-10"/>
              </w:rPr>
              <w:t>中国人民银行分支机构依据职责负责辖区内商品现货市场交易涉及的金融机构和支付机构的监督管理工作。</w:t>
            </w:r>
          </w:p>
          <w:p w14:paraId="0AC529CF">
            <w:pPr>
              <w:pStyle w:val="4"/>
              <w:spacing w:before="62" w:line="294" w:lineRule="auto"/>
              <w:ind w:left="111" w:leftChars="0" w:hanging="19"/>
              <w:jc w:val="both"/>
              <w:rPr>
                <w:rFonts w:hint="eastAsia"/>
                <w:spacing w:val="-10"/>
              </w:rPr>
            </w:pPr>
            <w:r>
              <w:rPr>
                <w:rFonts w:hint="eastAsia"/>
                <w:spacing w:val="-10"/>
              </w:rPr>
              <w:t>国务院期货监督管理机构派出机构负责商品现货市场非法期货交易活动的认定等工作。</w:t>
            </w:r>
          </w:p>
        </w:tc>
        <w:tc>
          <w:tcPr>
            <w:tcW w:w="2446" w:type="dxa"/>
            <w:vAlign w:val="top"/>
          </w:tcPr>
          <w:p w14:paraId="1427D039">
            <w:pPr>
              <w:pStyle w:val="4"/>
              <w:spacing w:before="62" w:line="294" w:lineRule="auto"/>
              <w:ind w:left="111" w:leftChars="0" w:hanging="19"/>
              <w:jc w:val="both"/>
              <w:rPr>
                <w:rFonts w:hint="eastAsia"/>
                <w:spacing w:val="-10"/>
              </w:rPr>
            </w:pPr>
          </w:p>
          <w:p w14:paraId="4C57F18E">
            <w:pPr>
              <w:pStyle w:val="4"/>
              <w:spacing w:before="62" w:line="294" w:lineRule="auto"/>
              <w:ind w:left="111" w:leftChars="0" w:hanging="19"/>
              <w:jc w:val="both"/>
              <w:rPr>
                <w:rFonts w:hint="eastAsia"/>
                <w:spacing w:val="-10"/>
              </w:rPr>
            </w:pPr>
            <w:r>
              <w:rPr>
                <w:rFonts w:hint="eastAsia"/>
                <w:spacing w:val="-10"/>
              </w:rPr>
              <w:t>《商品现货市场交易特别规定（试行）》（商务部2013年第3号令）</w:t>
            </w:r>
          </w:p>
          <w:p w14:paraId="66626258">
            <w:pPr>
              <w:pStyle w:val="4"/>
              <w:spacing w:before="62" w:line="264" w:lineRule="auto"/>
              <w:ind w:left="97" w:leftChars="0" w:right="58" w:hanging="14"/>
              <w:jc w:val="both"/>
              <w:rPr>
                <w:rFonts w:hint="eastAsia"/>
                <w:spacing w:val="-2"/>
              </w:rPr>
            </w:pPr>
          </w:p>
        </w:tc>
      </w:tr>
      <w:tr w14:paraId="2F768F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13" w:hRule="atLeast"/>
        </w:trPr>
        <w:tc>
          <w:tcPr>
            <w:tcW w:w="764" w:type="dxa"/>
            <w:vAlign w:val="top"/>
          </w:tcPr>
          <w:p w14:paraId="30A2E69F">
            <w:pPr>
              <w:pStyle w:val="4"/>
              <w:numPr>
                <w:ilvl w:val="0"/>
                <w:numId w:val="0"/>
              </w:numPr>
              <w:spacing w:before="62"/>
              <w:ind w:leftChars="0"/>
              <w:jc w:val="center"/>
              <w:rPr>
                <w:rFonts w:hint="eastAsia"/>
                <w:lang w:val="en-US" w:eastAsia="zh-CN"/>
              </w:rPr>
            </w:pPr>
            <w:r>
              <w:rPr>
                <w:rFonts w:hint="eastAsia"/>
                <w:lang w:val="en-US" w:eastAsia="zh-CN"/>
              </w:rPr>
              <w:t xml:space="preserve"> </w:t>
            </w:r>
          </w:p>
          <w:p w14:paraId="685EB22F">
            <w:pPr>
              <w:pStyle w:val="4"/>
              <w:numPr>
                <w:ilvl w:val="0"/>
                <w:numId w:val="0"/>
              </w:numPr>
              <w:spacing w:before="62"/>
              <w:ind w:leftChars="0"/>
              <w:jc w:val="center"/>
              <w:rPr>
                <w:rFonts w:hint="eastAsia"/>
                <w:lang w:val="en-US" w:eastAsia="zh-CN"/>
              </w:rPr>
            </w:pPr>
          </w:p>
          <w:p w14:paraId="31ADD922">
            <w:pPr>
              <w:pStyle w:val="4"/>
              <w:numPr>
                <w:ilvl w:val="0"/>
                <w:numId w:val="0"/>
              </w:numPr>
              <w:spacing w:before="62"/>
              <w:ind w:leftChars="0"/>
              <w:jc w:val="center"/>
              <w:rPr>
                <w:rFonts w:hint="default"/>
                <w:lang w:val="en-US" w:eastAsia="zh-CN"/>
              </w:rPr>
            </w:pPr>
            <w:r>
              <w:rPr>
                <w:rFonts w:hint="eastAsia"/>
                <w:lang w:val="en-US" w:eastAsia="zh-CN"/>
              </w:rPr>
              <w:t>7</w:t>
            </w:r>
          </w:p>
        </w:tc>
        <w:tc>
          <w:tcPr>
            <w:tcW w:w="1709" w:type="dxa"/>
            <w:vAlign w:val="top"/>
          </w:tcPr>
          <w:p w14:paraId="5F4ECEAD">
            <w:pPr>
              <w:pStyle w:val="4"/>
              <w:spacing w:before="255" w:line="273" w:lineRule="auto"/>
              <w:ind w:left="90" w:leftChars="0" w:right="104" w:hanging="9"/>
              <w:jc w:val="both"/>
              <w:rPr>
                <w:rFonts w:hint="eastAsia"/>
                <w:spacing w:val="-1"/>
              </w:rPr>
            </w:pPr>
            <w:r>
              <w:rPr>
                <w:rFonts w:hint="eastAsia"/>
                <w:spacing w:val="-1"/>
              </w:rPr>
              <w:t>对美容美发经营者及服务人员从业行为的监督检查</w:t>
            </w:r>
          </w:p>
        </w:tc>
        <w:tc>
          <w:tcPr>
            <w:tcW w:w="8094" w:type="dxa"/>
            <w:vAlign w:val="top"/>
          </w:tcPr>
          <w:p w14:paraId="39AAD4F6">
            <w:pPr>
              <w:pStyle w:val="4"/>
              <w:spacing w:before="62" w:line="294" w:lineRule="auto"/>
              <w:ind w:left="111" w:leftChars="0" w:hanging="19"/>
              <w:jc w:val="both"/>
              <w:rPr>
                <w:rFonts w:hint="eastAsia"/>
                <w:spacing w:val="-10"/>
              </w:rPr>
            </w:pPr>
          </w:p>
          <w:p w14:paraId="5659D0DE">
            <w:pPr>
              <w:pStyle w:val="4"/>
              <w:spacing w:before="62" w:line="294" w:lineRule="auto"/>
              <w:ind w:left="111" w:leftChars="0" w:hanging="19"/>
              <w:jc w:val="both"/>
              <w:rPr>
                <w:rFonts w:hint="eastAsia"/>
                <w:spacing w:val="-10"/>
              </w:rPr>
            </w:pPr>
            <w:r>
              <w:rPr>
                <w:rFonts w:hint="eastAsia"/>
                <w:spacing w:val="-10"/>
              </w:rPr>
              <w:t>《美容美发业管理暂行办法》（商务部令2004年第19号）</w:t>
            </w:r>
          </w:p>
          <w:p w14:paraId="115A8555">
            <w:pPr>
              <w:pStyle w:val="4"/>
              <w:spacing w:before="62" w:line="294" w:lineRule="auto"/>
              <w:ind w:left="111" w:leftChars="0" w:hanging="19"/>
              <w:jc w:val="both"/>
              <w:rPr>
                <w:rFonts w:hint="eastAsia"/>
                <w:spacing w:val="-10"/>
              </w:rPr>
            </w:pPr>
            <w:r>
              <w:rPr>
                <w:rFonts w:hint="eastAsia"/>
                <w:spacing w:val="-10"/>
              </w:rPr>
              <w:t>第三条：商务部主管全国美容美发业工作，各级商务主管部门在本行政区域内对美容美发业进行指导、协调、监督和管理。</w:t>
            </w:r>
          </w:p>
        </w:tc>
        <w:tc>
          <w:tcPr>
            <w:tcW w:w="2446" w:type="dxa"/>
            <w:vAlign w:val="top"/>
          </w:tcPr>
          <w:p w14:paraId="047C6805">
            <w:pPr>
              <w:pStyle w:val="4"/>
              <w:spacing w:before="62" w:line="294" w:lineRule="auto"/>
              <w:ind w:left="111" w:leftChars="0" w:hanging="19"/>
              <w:jc w:val="both"/>
              <w:rPr>
                <w:rFonts w:hint="eastAsia"/>
                <w:spacing w:val="-10"/>
              </w:rPr>
            </w:pPr>
          </w:p>
          <w:p w14:paraId="289AFB0A">
            <w:pPr>
              <w:pStyle w:val="4"/>
              <w:spacing w:before="62" w:line="294" w:lineRule="auto"/>
              <w:ind w:left="111" w:leftChars="0" w:hanging="19"/>
              <w:jc w:val="both"/>
              <w:rPr>
                <w:rFonts w:hint="eastAsia"/>
                <w:spacing w:val="-10"/>
              </w:rPr>
            </w:pPr>
            <w:r>
              <w:rPr>
                <w:rFonts w:hint="eastAsia"/>
                <w:spacing w:val="-10"/>
              </w:rPr>
              <w:t>《美容美发业管理暂行办法》（商务部令2004年第19号）</w:t>
            </w:r>
          </w:p>
          <w:p w14:paraId="631D27DB">
            <w:pPr>
              <w:pStyle w:val="4"/>
              <w:spacing w:before="62" w:line="264" w:lineRule="auto"/>
              <w:ind w:left="97" w:leftChars="0" w:right="58" w:hanging="14"/>
              <w:jc w:val="both"/>
              <w:rPr>
                <w:rFonts w:hint="eastAsia"/>
                <w:spacing w:val="-2"/>
              </w:rPr>
            </w:pPr>
          </w:p>
        </w:tc>
      </w:tr>
      <w:tr w14:paraId="539F57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13" w:hRule="atLeast"/>
        </w:trPr>
        <w:tc>
          <w:tcPr>
            <w:tcW w:w="764" w:type="dxa"/>
            <w:vAlign w:val="top"/>
          </w:tcPr>
          <w:p w14:paraId="1942ED07">
            <w:pPr>
              <w:pStyle w:val="4"/>
              <w:numPr>
                <w:ilvl w:val="0"/>
                <w:numId w:val="0"/>
              </w:numPr>
              <w:spacing w:before="62"/>
              <w:ind w:leftChars="0"/>
              <w:jc w:val="center"/>
              <w:rPr>
                <w:rFonts w:hint="eastAsia"/>
                <w:lang w:val="en-US" w:eastAsia="zh-CN"/>
              </w:rPr>
            </w:pPr>
          </w:p>
          <w:p w14:paraId="32009003">
            <w:pPr>
              <w:pStyle w:val="4"/>
              <w:numPr>
                <w:ilvl w:val="0"/>
                <w:numId w:val="0"/>
              </w:numPr>
              <w:spacing w:before="62"/>
              <w:ind w:leftChars="0"/>
              <w:jc w:val="center"/>
              <w:rPr>
                <w:rFonts w:hint="eastAsia"/>
                <w:lang w:val="en-US" w:eastAsia="zh-CN"/>
              </w:rPr>
            </w:pPr>
          </w:p>
          <w:p w14:paraId="1ACC64B3">
            <w:pPr>
              <w:pStyle w:val="4"/>
              <w:numPr>
                <w:ilvl w:val="0"/>
                <w:numId w:val="0"/>
              </w:numPr>
              <w:spacing w:before="62"/>
              <w:ind w:leftChars="0"/>
              <w:jc w:val="center"/>
              <w:rPr>
                <w:rFonts w:hint="eastAsia"/>
                <w:lang w:val="en-US" w:eastAsia="zh-CN"/>
              </w:rPr>
            </w:pPr>
          </w:p>
          <w:p w14:paraId="3D1DBFA9">
            <w:pPr>
              <w:pStyle w:val="4"/>
              <w:numPr>
                <w:ilvl w:val="0"/>
                <w:numId w:val="0"/>
              </w:numPr>
              <w:spacing w:before="62"/>
              <w:ind w:leftChars="0"/>
              <w:jc w:val="center"/>
              <w:rPr>
                <w:rFonts w:hint="default"/>
                <w:lang w:val="en-US" w:eastAsia="zh-CN"/>
              </w:rPr>
            </w:pPr>
            <w:r>
              <w:rPr>
                <w:rFonts w:hint="eastAsia"/>
                <w:lang w:val="en-US" w:eastAsia="zh-CN"/>
              </w:rPr>
              <w:t>8</w:t>
            </w:r>
          </w:p>
        </w:tc>
        <w:tc>
          <w:tcPr>
            <w:tcW w:w="1709" w:type="dxa"/>
            <w:vAlign w:val="top"/>
          </w:tcPr>
          <w:p w14:paraId="04F7162D">
            <w:pPr>
              <w:pStyle w:val="4"/>
              <w:spacing w:before="255" w:line="273" w:lineRule="auto"/>
              <w:ind w:left="90" w:leftChars="0" w:right="104" w:hanging="9"/>
              <w:jc w:val="both"/>
              <w:rPr>
                <w:rFonts w:hint="eastAsia"/>
                <w:spacing w:val="-1"/>
              </w:rPr>
            </w:pPr>
          </w:p>
          <w:p w14:paraId="2C9D9D26">
            <w:pPr>
              <w:pStyle w:val="4"/>
              <w:spacing w:before="255" w:line="273" w:lineRule="auto"/>
              <w:ind w:left="90" w:leftChars="0" w:right="104" w:hanging="9"/>
              <w:jc w:val="both"/>
              <w:rPr>
                <w:rFonts w:hint="eastAsia"/>
                <w:spacing w:val="-1"/>
              </w:rPr>
            </w:pPr>
            <w:r>
              <w:rPr>
                <w:rFonts w:hint="eastAsia"/>
                <w:spacing w:val="-1"/>
              </w:rPr>
              <w:t>对洗染业企业的监督检查</w:t>
            </w:r>
          </w:p>
        </w:tc>
        <w:tc>
          <w:tcPr>
            <w:tcW w:w="8094" w:type="dxa"/>
            <w:vAlign w:val="top"/>
          </w:tcPr>
          <w:p w14:paraId="6A3EC9F8">
            <w:pPr>
              <w:pStyle w:val="4"/>
              <w:spacing w:before="62" w:line="294" w:lineRule="auto"/>
              <w:ind w:left="111" w:leftChars="0" w:hanging="19"/>
              <w:jc w:val="both"/>
              <w:rPr>
                <w:rFonts w:hint="eastAsia"/>
                <w:spacing w:val="-10"/>
              </w:rPr>
            </w:pPr>
            <w:r>
              <w:rPr>
                <w:rFonts w:hint="eastAsia"/>
                <w:spacing w:val="-10"/>
              </w:rPr>
              <w:t>《洗染业管理办法》（商务部令 2007年第5号）</w:t>
            </w:r>
          </w:p>
          <w:p w14:paraId="57B6D8B4">
            <w:pPr>
              <w:pStyle w:val="4"/>
              <w:spacing w:before="62" w:line="294" w:lineRule="auto"/>
              <w:ind w:left="111" w:leftChars="0" w:hanging="19"/>
              <w:jc w:val="both"/>
              <w:rPr>
                <w:rFonts w:hint="eastAsia"/>
                <w:spacing w:val="-10"/>
              </w:rPr>
            </w:pPr>
            <w:r>
              <w:rPr>
                <w:rFonts w:hint="eastAsia"/>
                <w:spacing w:val="-10"/>
              </w:rPr>
              <w:t>第三条：商务部对全国洗染行业进行指导、协调、监督和管理，地方各级商务主管部门负责本行政区域内洗染行业指导、协调、监督和管理工作。</w:t>
            </w:r>
          </w:p>
          <w:p w14:paraId="589AA61A">
            <w:pPr>
              <w:pStyle w:val="4"/>
              <w:spacing w:before="62" w:line="294" w:lineRule="auto"/>
              <w:ind w:left="111" w:leftChars="0" w:hanging="19"/>
              <w:jc w:val="both"/>
              <w:rPr>
                <w:rFonts w:hint="eastAsia"/>
                <w:spacing w:val="-10"/>
              </w:rPr>
            </w:pPr>
            <w:r>
              <w:rPr>
                <w:rFonts w:hint="eastAsia"/>
                <w:spacing w:val="-10"/>
              </w:rPr>
              <w:t>工商行政管理部门负责洗染企业的登记注册，依法监管服务产品质量和经营行为，依法查处侵害消费者合法权益的违法行为。</w:t>
            </w:r>
          </w:p>
          <w:p w14:paraId="74E56597">
            <w:pPr>
              <w:pStyle w:val="4"/>
              <w:spacing w:before="62" w:line="294" w:lineRule="auto"/>
              <w:ind w:left="111" w:leftChars="0" w:hanging="19"/>
              <w:jc w:val="both"/>
              <w:rPr>
                <w:rFonts w:hint="eastAsia"/>
                <w:spacing w:val="-10"/>
              </w:rPr>
            </w:pPr>
            <w:r>
              <w:rPr>
                <w:rFonts w:hint="eastAsia"/>
                <w:spacing w:val="-10"/>
              </w:rPr>
              <w:t>环保部门负责对洗染企业开设和经营过程中影响环境的行为进行监督管理，依法查处其环境违法行为。</w:t>
            </w:r>
          </w:p>
        </w:tc>
        <w:tc>
          <w:tcPr>
            <w:tcW w:w="2446" w:type="dxa"/>
            <w:vAlign w:val="top"/>
          </w:tcPr>
          <w:p w14:paraId="65EE9C40">
            <w:pPr>
              <w:pStyle w:val="4"/>
              <w:spacing w:before="62" w:line="294" w:lineRule="auto"/>
              <w:ind w:left="111" w:leftChars="0" w:hanging="19"/>
              <w:jc w:val="both"/>
              <w:rPr>
                <w:rFonts w:hint="eastAsia"/>
                <w:spacing w:val="-10"/>
              </w:rPr>
            </w:pPr>
          </w:p>
          <w:p w14:paraId="7CA450B9">
            <w:pPr>
              <w:pStyle w:val="4"/>
              <w:spacing w:before="62" w:line="294" w:lineRule="auto"/>
              <w:ind w:left="111" w:leftChars="0" w:hanging="19"/>
              <w:jc w:val="both"/>
              <w:rPr>
                <w:rFonts w:hint="eastAsia"/>
                <w:spacing w:val="-10"/>
              </w:rPr>
            </w:pPr>
          </w:p>
          <w:p w14:paraId="5EF21B97">
            <w:pPr>
              <w:pStyle w:val="4"/>
              <w:spacing w:before="62" w:line="294" w:lineRule="auto"/>
              <w:ind w:left="111" w:leftChars="0" w:hanging="19"/>
              <w:jc w:val="both"/>
              <w:rPr>
                <w:rFonts w:hint="eastAsia"/>
                <w:spacing w:val="-10"/>
              </w:rPr>
            </w:pPr>
            <w:r>
              <w:rPr>
                <w:rFonts w:hint="eastAsia"/>
                <w:spacing w:val="-10"/>
              </w:rPr>
              <w:t>《洗染业管理办法》（商务部令 2007年第5号）</w:t>
            </w:r>
          </w:p>
          <w:p w14:paraId="45D44217">
            <w:pPr>
              <w:pStyle w:val="4"/>
              <w:spacing w:before="62" w:line="264" w:lineRule="auto"/>
              <w:ind w:left="97" w:leftChars="0" w:right="58" w:hanging="14"/>
              <w:jc w:val="both"/>
              <w:rPr>
                <w:rFonts w:hint="eastAsia"/>
                <w:spacing w:val="-2"/>
              </w:rPr>
            </w:pPr>
          </w:p>
        </w:tc>
      </w:tr>
      <w:tr w14:paraId="6A77D1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13" w:hRule="atLeast"/>
        </w:trPr>
        <w:tc>
          <w:tcPr>
            <w:tcW w:w="764" w:type="dxa"/>
            <w:vAlign w:val="top"/>
          </w:tcPr>
          <w:p w14:paraId="1C2D16B2">
            <w:pPr>
              <w:pStyle w:val="4"/>
              <w:numPr>
                <w:ilvl w:val="0"/>
                <w:numId w:val="0"/>
              </w:numPr>
              <w:spacing w:before="62"/>
              <w:ind w:leftChars="0"/>
              <w:jc w:val="center"/>
              <w:rPr>
                <w:rFonts w:hint="eastAsia"/>
                <w:lang w:val="en-US" w:eastAsia="zh-CN"/>
              </w:rPr>
            </w:pPr>
          </w:p>
          <w:p w14:paraId="66275EBE">
            <w:pPr>
              <w:pStyle w:val="4"/>
              <w:numPr>
                <w:ilvl w:val="0"/>
                <w:numId w:val="0"/>
              </w:numPr>
              <w:spacing w:before="62"/>
              <w:ind w:leftChars="0"/>
              <w:jc w:val="center"/>
              <w:rPr>
                <w:rFonts w:hint="eastAsia"/>
                <w:lang w:val="en-US" w:eastAsia="zh-CN"/>
              </w:rPr>
            </w:pPr>
          </w:p>
          <w:p w14:paraId="43FF06B9">
            <w:pPr>
              <w:pStyle w:val="4"/>
              <w:numPr>
                <w:ilvl w:val="0"/>
                <w:numId w:val="0"/>
              </w:numPr>
              <w:spacing w:before="62"/>
              <w:ind w:leftChars="0"/>
              <w:jc w:val="center"/>
              <w:rPr>
                <w:rFonts w:hint="default"/>
                <w:lang w:val="en-US" w:eastAsia="zh-CN"/>
              </w:rPr>
            </w:pPr>
            <w:r>
              <w:rPr>
                <w:rFonts w:hint="eastAsia"/>
                <w:lang w:val="en-US" w:eastAsia="zh-CN"/>
              </w:rPr>
              <w:t>9</w:t>
            </w:r>
          </w:p>
        </w:tc>
        <w:tc>
          <w:tcPr>
            <w:tcW w:w="1709" w:type="dxa"/>
            <w:vAlign w:val="top"/>
          </w:tcPr>
          <w:p w14:paraId="3DB5D3E5">
            <w:pPr>
              <w:pStyle w:val="4"/>
              <w:spacing w:before="255" w:line="273" w:lineRule="auto"/>
              <w:ind w:left="90" w:leftChars="0" w:right="104" w:hanging="9"/>
              <w:jc w:val="both"/>
              <w:rPr>
                <w:rFonts w:hint="eastAsia"/>
                <w:spacing w:val="-1"/>
              </w:rPr>
            </w:pPr>
            <w:r>
              <w:rPr>
                <w:rFonts w:hint="eastAsia"/>
                <w:spacing w:val="-1"/>
              </w:rPr>
              <w:t>对家电维修服务业的监督检查</w:t>
            </w:r>
          </w:p>
        </w:tc>
        <w:tc>
          <w:tcPr>
            <w:tcW w:w="8094" w:type="dxa"/>
            <w:vAlign w:val="top"/>
          </w:tcPr>
          <w:p w14:paraId="770CAFEF">
            <w:pPr>
              <w:pStyle w:val="4"/>
              <w:spacing w:before="62" w:line="294" w:lineRule="auto"/>
              <w:ind w:left="111" w:leftChars="0" w:hanging="19"/>
              <w:jc w:val="both"/>
              <w:rPr>
                <w:rFonts w:hint="eastAsia"/>
                <w:spacing w:val="-10"/>
              </w:rPr>
            </w:pPr>
            <w:r>
              <w:rPr>
                <w:rFonts w:hint="eastAsia"/>
                <w:spacing w:val="-10"/>
              </w:rPr>
              <w:t>《家电维修服务业管理办法》（商务部令2012年第7号）</w:t>
            </w:r>
          </w:p>
          <w:p w14:paraId="05101543">
            <w:pPr>
              <w:pStyle w:val="4"/>
              <w:spacing w:before="62" w:line="294" w:lineRule="auto"/>
              <w:ind w:left="111" w:leftChars="0" w:hanging="19"/>
              <w:jc w:val="both"/>
              <w:rPr>
                <w:rFonts w:hint="eastAsia"/>
                <w:spacing w:val="-10"/>
              </w:rPr>
            </w:pPr>
            <w:r>
              <w:rPr>
                <w:rFonts w:hint="eastAsia"/>
                <w:spacing w:val="-10"/>
              </w:rPr>
              <w:t>第三条：商务部负责家电维修服务业的行业管理工作，各级商务主管部门负责本行政区域内的家电维修服务业的指导、协调和监督管理工作。</w:t>
            </w:r>
          </w:p>
        </w:tc>
        <w:tc>
          <w:tcPr>
            <w:tcW w:w="2446" w:type="dxa"/>
            <w:vAlign w:val="top"/>
          </w:tcPr>
          <w:p w14:paraId="62EEC0D8">
            <w:pPr>
              <w:pStyle w:val="4"/>
              <w:spacing w:before="62" w:line="294" w:lineRule="auto"/>
              <w:ind w:left="111" w:leftChars="0" w:hanging="19"/>
              <w:jc w:val="both"/>
              <w:rPr>
                <w:rFonts w:hint="eastAsia"/>
                <w:spacing w:val="-10"/>
              </w:rPr>
            </w:pPr>
          </w:p>
          <w:p w14:paraId="4C8F47E0">
            <w:pPr>
              <w:pStyle w:val="4"/>
              <w:spacing w:before="62" w:line="294" w:lineRule="auto"/>
              <w:ind w:left="111" w:leftChars="0" w:hanging="19"/>
              <w:jc w:val="both"/>
              <w:rPr>
                <w:rFonts w:hint="eastAsia"/>
                <w:spacing w:val="-10"/>
              </w:rPr>
            </w:pPr>
            <w:r>
              <w:rPr>
                <w:rFonts w:hint="eastAsia"/>
                <w:spacing w:val="-10"/>
              </w:rPr>
              <w:t>《家电维修服务业管理办法》（商务部令2012年第7号）</w:t>
            </w:r>
          </w:p>
          <w:p w14:paraId="49C7880D">
            <w:pPr>
              <w:pStyle w:val="4"/>
              <w:spacing w:before="62" w:line="264" w:lineRule="auto"/>
              <w:ind w:left="97" w:leftChars="0" w:right="58" w:hanging="14"/>
              <w:jc w:val="both"/>
              <w:rPr>
                <w:rFonts w:hint="eastAsia"/>
                <w:spacing w:val="-2"/>
              </w:rPr>
            </w:pPr>
          </w:p>
        </w:tc>
      </w:tr>
      <w:tr w14:paraId="3D7383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68" w:hRule="atLeast"/>
        </w:trPr>
        <w:tc>
          <w:tcPr>
            <w:tcW w:w="764" w:type="dxa"/>
            <w:vAlign w:val="top"/>
          </w:tcPr>
          <w:p w14:paraId="3DBCA28C">
            <w:pPr>
              <w:pStyle w:val="4"/>
              <w:numPr>
                <w:ilvl w:val="0"/>
                <w:numId w:val="0"/>
              </w:numPr>
              <w:spacing w:before="62"/>
              <w:ind w:leftChars="0"/>
              <w:jc w:val="center"/>
              <w:rPr>
                <w:rFonts w:hint="eastAsia"/>
                <w:lang w:val="en-US" w:eastAsia="zh-CN"/>
              </w:rPr>
            </w:pPr>
          </w:p>
          <w:p w14:paraId="589CFBBD">
            <w:pPr>
              <w:pStyle w:val="4"/>
              <w:numPr>
                <w:ilvl w:val="0"/>
                <w:numId w:val="0"/>
              </w:numPr>
              <w:spacing w:before="62"/>
              <w:ind w:leftChars="0"/>
              <w:jc w:val="center"/>
              <w:rPr>
                <w:rFonts w:hint="eastAsia"/>
                <w:lang w:val="en-US" w:eastAsia="zh-CN"/>
              </w:rPr>
            </w:pPr>
          </w:p>
          <w:p w14:paraId="35154197">
            <w:pPr>
              <w:pStyle w:val="4"/>
              <w:numPr>
                <w:ilvl w:val="0"/>
                <w:numId w:val="0"/>
              </w:numPr>
              <w:spacing w:before="62"/>
              <w:ind w:leftChars="0"/>
              <w:jc w:val="center"/>
              <w:rPr>
                <w:rFonts w:hint="eastAsia"/>
                <w:lang w:val="en-US" w:eastAsia="zh-CN"/>
              </w:rPr>
            </w:pPr>
          </w:p>
          <w:p w14:paraId="63BD9A37">
            <w:pPr>
              <w:pStyle w:val="4"/>
              <w:numPr>
                <w:ilvl w:val="0"/>
                <w:numId w:val="0"/>
              </w:numPr>
              <w:spacing w:before="62"/>
              <w:ind w:leftChars="0"/>
              <w:jc w:val="center"/>
              <w:rPr>
                <w:rFonts w:hint="eastAsia"/>
                <w:lang w:val="en-US" w:eastAsia="zh-CN"/>
              </w:rPr>
            </w:pPr>
          </w:p>
          <w:p w14:paraId="422D3938">
            <w:pPr>
              <w:pStyle w:val="4"/>
              <w:numPr>
                <w:ilvl w:val="0"/>
                <w:numId w:val="0"/>
              </w:numPr>
              <w:spacing w:before="62"/>
              <w:ind w:leftChars="0"/>
              <w:jc w:val="center"/>
              <w:rPr>
                <w:rFonts w:hint="default"/>
                <w:lang w:val="en-US" w:eastAsia="zh-CN"/>
              </w:rPr>
            </w:pPr>
            <w:r>
              <w:rPr>
                <w:rFonts w:hint="eastAsia"/>
                <w:lang w:val="en-US" w:eastAsia="zh-CN"/>
              </w:rPr>
              <w:t>10</w:t>
            </w:r>
          </w:p>
        </w:tc>
        <w:tc>
          <w:tcPr>
            <w:tcW w:w="1709" w:type="dxa"/>
            <w:vAlign w:val="top"/>
          </w:tcPr>
          <w:p w14:paraId="7F808107">
            <w:pPr>
              <w:pStyle w:val="4"/>
              <w:spacing w:before="255" w:line="273" w:lineRule="auto"/>
              <w:ind w:left="90" w:leftChars="0" w:right="104" w:hanging="9"/>
              <w:jc w:val="both"/>
              <w:rPr>
                <w:rFonts w:hint="eastAsia"/>
                <w:spacing w:val="-1"/>
              </w:rPr>
            </w:pPr>
          </w:p>
          <w:p w14:paraId="0B96E3C6">
            <w:pPr>
              <w:pStyle w:val="4"/>
              <w:spacing w:before="255" w:line="273" w:lineRule="auto"/>
              <w:ind w:left="90" w:leftChars="0" w:right="104" w:hanging="9"/>
              <w:jc w:val="both"/>
              <w:rPr>
                <w:rFonts w:hint="eastAsia"/>
                <w:spacing w:val="-1"/>
              </w:rPr>
            </w:pPr>
          </w:p>
          <w:p w14:paraId="52CFA898">
            <w:pPr>
              <w:pStyle w:val="4"/>
              <w:spacing w:before="255" w:line="273" w:lineRule="auto"/>
              <w:ind w:left="90" w:leftChars="0" w:right="104" w:hanging="9"/>
              <w:jc w:val="both"/>
              <w:rPr>
                <w:rFonts w:hint="eastAsia"/>
                <w:spacing w:val="-1"/>
              </w:rPr>
            </w:pPr>
            <w:r>
              <w:rPr>
                <w:rFonts w:hint="eastAsia"/>
                <w:spacing w:val="-1"/>
              </w:rPr>
              <w:t>对家庭服务机构的监督检查</w:t>
            </w:r>
          </w:p>
        </w:tc>
        <w:tc>
          <w:tcPr>
            <w:tcW w:w="8094" w:type="dxa"/>
            <w:vAlign w:val="top"/>
          </w:tcPr>
          <w:p w14:paraId="794F4BB9">
            <w:pPr>
              <w:pStyle w:val="4"/>
              <w:spacing w:before="62" w:line="294" w:lineRule="auto"/>
              <w:ind w:left="111" w:leftChars="0" w:hanging="19"/>
              <w:jc w:val="both"/>
              <w:rPr>
                <w:rFonts w:hint="eastAsia"/>
                <w:spacing w:val="-10"/>
              </w:rPr>
            </w:pPr>
            <w:r>
              <w:rPr>
                <w:rFonts w:hint="eastAsia"/>
                <w:spacing w:val="-10"/>
              </w:rPr>
              <w:t>《家庭服务业管理暂行办法》（商务部令2012年第11号 ）</w:t>
            </w:r>
          </w:p>
          <w:p w14:paraId="392CA973">
            <w:pPr>
              <w:pStyle w:val="4"/>
              <w:spacing w:before="62" w:line="294" w:lineRule="auto"/>
              <w:ind w:left="111" w:leftChars="0" w:hanging="19"/>
              <w:jc w:val="both"/>
              <w:rPr>
                <w:rFonts w:hint="eastAsia"/>
                <w:spacing w:val="-10"/>
              </w:rPr>
            </w:pPr>
            <w:r>
              <w:rPr>
                <w:rFonts w:hint="eastAsia"/>
                <w:spacing w:val="-10"/>
              </w:rPr>
              <w:t>第四条：商务部承担全国家庭服务业行业管理职责，负责监督管理家庭服务机构的服务质量，指导协调合同文本规范和服务矛盾纠纷处理工作。县级以上商务主管部门负责本行政区域内家庭服务业的监督管理。</w:t>
            </w:r>
          </w:p>
        </w:tc>
        <w:tc>
          <w:tcPr>
            <w:tcW w:w="2446" w:type="dxa"/>
            <w:vAlign w:val="top"/>
          </w:tcPr>
          <w:p w14:paraId="430A0EC5">
            <w:pPr>
              <w:pStyle w:val="4"/>
              <w:spacing w:before="62" w:line="294" w:lineRule="auto"/>
              <w:ind w:left="111" w:leftChars="0" w:hanging="19"/>
              <w:jc w:val="both"/>
              <w:rPr>
                <w:rFonts w:hint="eastAsia"/>
                <w:spacing w:val="-10"/>
              </w:rPr>
            </w:pPr>
          </w:p>
          <w:p w14:paraId="5B01A8AB">
            <w:pPr>
              <w:pStyle w:val="4"/>
              <w:spacing w:before="62" w:line="294" w:lineRule="auto"/>
              <w:ind w:left="111" w:leftChars="0" w:hanging="19"/>
              <w:jc w:val="both"/>
              <w:rPr>
                <w:rFonts w:hint="eastAsia"/>
                <w:spacing w:val="-10"/>
              </w:rPr>
            </w:pPr>
          </w:p>
          <w:p w14:paraId="2CC64898">
            <w:pPr>
              <w:pStyle w:val="4"/>
              <w:spacing w:before="62" w:line="294" w:lineRule="auto"/>
              <w:ind w:left="111" w:leftChars="0" w:hanging="19"/>
              <w:jc w:val="both"/>
              <w:rPr>
                <w:rFonts w:hint="eastAsia"/>
                <w:spacing w:val="-10"/>
              </w:rPr>
            </w:pPr>
            <w:r>
              <w:rPr>
                <w:rFonts w:hint="eastAsia"/>
                <w:spacing w:val="-10"/>
              </w:rPr>
              <w:t>《家庭服务业管理暂行办法》（商务部令2012年第11号 ）</w:t>
            </w:r>
          </w:p>
          <w:p w14:paraId="580BE9B6">
            <w:pPr>
              <w:pStyle w:val="4"/>
              <w:spacing w:before="62" w:line="264" w:lineRule="auto"/>
              <w:ind w:left="97" w:leftChars="0" w:right="58" w:hanging="14"/>
              <w:jc w:val="both"/>
              <w:rPr>
                <w:rFonts w:hint="eastAsia"/>
                <w:spacing w:val="-2"/>
              </w:rPr>
            </w:pPr>
          </w:p>
        </w:tc>
      </w:tr>
      <w:tr w14:paraId="4A4F56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71" w:hRule="atLeast"/>
        </w:trPr>
        <w:tc>
          <w:tcPr>
            <w:tcW w:w="764" w:type="dxa"/>
            <w:vAlign w:val="top"/>
          </w:tcPr>
          <w:p w14:paraId="2C108E8E">
            <w:pPr>
              <w:pStyle w:val="4"/>
              <w:numPr>
                <w:ilvl w:val="0"/>
                <w:numId w:val="0"/>
              </w:numPr>
              <w:spacing w:before="62"/>
              <w:ind w:leftChars="0"/>
              <w:jc w:val="center"/>
              <w:rPr>
                <w:rFonts w:hint="eastAsia"/>
                <w:lang w:val="en-US" w:eastAsia="zh-CN"/>
              </w:rPr>
            </w:pPr>
          </w:p>
          <w:p w14:paraId="041A1701">
            <w:pPr>
              <w:pStyle w:val="4"/>
              <w:numPr>
                <w:ilvl w:val="0"/>
                <w:numId w:val="0"/>
              </w:numPr>
              <w:spacing w:before="62"/>
              <w:ind w:leftChars="0"/>
              <w:jc w:val="center"/>
              <w:rPr>
                <w:rFonts w:hint="eastAsia"/>
                <w:lang w:val="en-US" w:eastAsia="zh-CN"/>
              </w:rPr>
            </w:pPr>
          </w:p>
          <w:p w14:paraId="25AC809E">
            <w:pPr>
              <w:pStyle w:val="4"/>
              <w:numPr>
                <w:ilvl w:val="0"/>
                <w:numId w:val="0"/>
              </w:numPr>
              <w:spacing w:before="62"/>
              <w:ind w:leftChars="0"/>
              <w:jc w:val="center"/>
              <w:rPr>
                <w:rFonts w:hint="eastAsia"/>
                <w:lang w:val="en-US" w:eastAsia="zh-CN"/>
              </w:rPr>
            </w:pPr>
          </w:p>
          <w:p w14:paraId="1CAF55F9">
            <w:pPr>
              <w:pStyle w:val="4"/>
              <w:numPr>
                <w:ilvl w:val="0"/>
                <w:numId w:val="0"/>
              </w:numPr>
              <w:spacing w:before="62"/>
              <w:ind w:leftChars="0"/>
              <w:jc w:val="center"/>
              <w:rPr>
                <w:rFonts w:hint="eastAsia"/>
                <w:lang w:val="en-US" w:eastAsia="zh-CN"/>
              </w:rPr>
            </w:pPr>
          </w:p>
          <w:p w14:paraId="2FCB983A">
            <w:pPr>
              <w:pStyle w:val="4"/>
              <w:numPr>
                <w:ilvl w:val="0"/>
                <w:numId w:val="0"/>
              </w:numPr>
              <w:spacing w:before="62"/>
              <w:ind w:leftChars="0"/>
              <w:jc w:val="center"/>
              <w:rPr>
                <w:rFonts w:hint="eastAsia"/>
                <w:lang w:val="en-US" w:eastAsia="zh-CN"/>
              </w:rPr>
            </w:pPr>
          </w:p>
          <w:p w14:paraId="02DA2D81">
            <w:pPr>
              <w:pStyle w:val="4"/>
              <w:numPr>
                <w:ilvl w:val="0"/>
                <w:numId w:val="0"/>
              </w:numPr>
              <w:spacing w:before="62"/>
              <w:ind w:leftChars="0"/>
              <w:jc w:val="center"/>
              <w:rPr>
                <w:rFonts w:hint="eastAsia"/>
                <w:lang w:val="en-US" w:eastAsia="zh-CN"/>
              </w:rPr>
            </w:pPr>
          </w:p>
          <w:p w14:paraId="448F6B9D">
            <w:pPr>
              <w:pStyle w:val="4"/>
              <w:numPr>
                <w:ilvl w:val="0"/>
                <w:numId w:val="0"/>
              </w:numPr>
              <w:spacing w:before="62"/>
              <w:ind w:leftChars="0"/>
              <w:jc w:val="center"/>
              <w:rPr>
                <w:rFonts w:hint="eastAsia"/>
                <w:lang w:val="en-US" w:eastAsia="zh-CN"/>
              </w:rPr>
            </w:pPr>
          </w:p>
          <w:p w14:paraId="1CC079AE">
            <w:pPr>
              <w:pStyle w:val="4"/>
              <w:numPr>
                <w:ilvl w:val="0"/>
                <w:numId w:val="0"/>
              </w:numPr>
              <w:spacing w:before="62"/>
              <w:ind w:leftChars="0"/>
              <w:jc w:val="center"/>
              <w:rPr>
                <w:rFonts w:hint="eastAsia"/>
                <w:lang w:val="en-US" w:eastAsia="zh-CN"/>
              </w:rPr>
            </w:pPr>
          </w:p>
          <w:p w14:paraId="467B449D">
            <w:pPr>
              <w:pStyle w:val="4"/>
              <w:numPr>
                <w:ilvl w:val="0"/>
                <w:numId w:val="0"/>
              </w:numPr>
              <w:spacing w:before="62"/>
              <w:ind w:leftChars="0"/>
              <w:jc w:val="center"/>
              <w:rPr>
                <w:rFonts w:hint="eastAsia"/>
                <w:lang w:val="en-US" w:eastAsia="zh-CN"/>
              </w:rPr>
            </w:pPr>
          </w:p>
          <w:p w14:paraId="0F9E940D">
            <w:pPr>
              <w:pStyle w:val="4"/>
              <w:numPr>
                <w:ilvl w:val="0"/>
                <w:numId w:val="0"/>
              </w:numPr>
              <w:spacing w:before="62"/>
              <w:ind w:leftChars="0"/>
              <w:jc w:val="center"/>
              <w:rPr>
                <w:rFonts w:hint="eastAsia"/>
                <w:lang w:val="en-US" w:eastAsia="zh-CN"/>
              </w:rPr>
            </w:pPr>
          </w:p>
          <w:p w14:paraId="525A7D7C">
            <w:pPr>
              <w:pStyle w:val="4"/>
              <w:numPr>
                <w:ilvl w:val="0"/>
                <w:numId w:val="0"/>
              </w:numPr>
              <w:spacing w:before="62"/>
              <w:ind w:leftChars="0"/>
              <w:jc w:val="center"/>
              <w:rPr>
                <w:rFonts w:hint="eastAsia"/>
                <w:lang w:val="en-US" w:eastAsia="zh-CN"/>
              </w:rPr>
            </w:pPr>
          </w:p>
          <w:p w14:paraId="6B4E9FE3">
            <w:pPr>
              <w:pStyle w:val="4"/>
              <w:numPr>
                <w:ilvl w:val="0"/>
                <w:numId w:val="0"/>
              </w:numPr>
              <w:spacing w:before="62"/>
              <w:ind w:leftChars="0"/>
              <w:jc w:val="center"/>
              <w:rPr>
                <w:rFonts w:hint="default"/>
                <w:lang w:val="en-US" w:eastAsia="zh-CN"/>
              </w:rPr>
            </w:pPr>
            <w:r>
              <w:rPr>
                <w:rFonts w:hint="eastAsia"/>
                <w:lang w:val="en-US" w:eastAsia="zh-CN"/>
              </w:rPr>
              <w:t>11</w:t>
            </w:r>
          </w:p>
        </w:tc>
        <w:tc>
          <w:tcPr>
            <w:tcW w:w="1709" w:type="dxa"/>
            <w:vAlign w:val="top"/>
          </w:tcPr>
          <w:p w14:paraId="158F71A5">
            <w:pPr>
              <w:pStyle w:val="4"/>
              <w:spacing w:before="255" w:line="273" w:lineRule="auto"/>
              <w:ind w:left="90" w:leftChars="0" w:right="104" w:hanging="9"/>
              <w:jc w:val="both"/>
              <w:rPr>
                <w:rFonts w:hint="eastAsia"/>
                <w:spacing w:val="-1"/>
              </w:rPr>
            </w:pPr>
          </w:p>
          <w:p w14:paraId="2BD8E55E">
            <w:pPr>
              <w:pStyle w:val="4"/>
              <w:spacing w:before="255" w:line="273" w:lineRule="auto"/>
              <w:ind w:left="90" w:leftChars="0" w:right="104" w:hanging="9"/>
              <w:jc w:val="both"/>
              <w:rPr>
                <w:rFonts w:hint="eastAsia"/>
                <w:spacing w:val="-1"/>
              </w:rPr>
            </w:pPr>
          </w:p>
          <w:p w14:paraId="3852FB52">
            <w:pPr>
              <w:pStyle w:val="4"/>
              <w:spacing w:before="255" w:line="273" w:lineRule="auto"/>
              <w:ind w:left="90" w:leftChars="0" w:right="104" w:hanging="9"/>
              <w:jc w:val="both"/>
              <w:rPr>
                <w:rFonts w:hint="eastAsia"/>
                <w:spacing w:val="-1"/>
              </w:rPr>
            </w:pPr>
          </w:p>
          <w:p w14:paraId="58F68F36">
            <w:pPr>
              <w:pStyle w:val="4"/>
              <w:spacing w:before="255" w:line="273" w:lineRule="auto"/>
              <w:ind w:left="90" w:leftChars="0" w:right="104" w:hanging="9"/>
              <w:jc w:val="both"/>
              <w:rPr>
                <w:rFonts w:hint="eastAsia"/>
                <w:spacing w:val="-1"/>
              </w:rPr>
            </w:pPr>
          </w:p>
          <w:p w14:paraId="514BAD89">
            <w:pPr>
              <w:pStyle w:val="4"/>
              <w:spacing w:before="255" w:line="273" w:lineRule="auto"/>
              <w:ind w:left="90" w:leftChars="0" w:right="104" w:hanging="9"/>
              <w:jc w:val="both"/>
              <w:rPr>
                <w:rFonts w:hint="eastAsia"/>
                <w:spacing w:val="-1"/>
              </w:rPr>
            </w:pPr>
          </w:p>
          <w:p w14:paraId="4050E91D">
            <w:pPr>
              <w:pStyle w:val="4"/>
              <w:spacing w:before="255" w:line="273" w:lineRule="auto"/>
              <w:ind w:left="90" w:leftChars="0" w:right="104" w:hanging="9"/>
              <w:jc w:val="both"/>
              <w:rPr>
                <w:rFonts w:hint="eastAsia"/>
                <w:spacing w:val="-1"/>
              </w:rPr>
            </w:pPr>
          </w:p>
          <w:p w14:paraId="7029F7BA">
            <w:pPr>
              <w:pStyle w:val="4"/>
              <w:spacing w:before="255" w:line="273" w:lineRule="auto"/>
              <w:ind w:left="90" w:leftChars="0" w:right="104" w:hanging="9"/>
              <w:jc w:val="both"/>
              <w:rPr>
                <w:rFonts w:hint="eastAsia"/>
                <w:spacing w:val="-1"/>
              </w:rPr>
            </w:pPr>
            <w:r>
              <w:rPr>
                <w:rFonts w:hint="eastAsia"/>
                <w:spacing w:val="-1"/>
              </w:rPr>
              <w:t>对餐饮业经营者违反食品浪费相关行为的监督检查</w:t>
            </w:r>
          </w:p>
        </w:tc>
        <w:tc>
          <w:tcPr>
            <w:tcW w:w="8094" w:type="dxa"/>
            <w:vAlign w:val="top"/>
          </w:tcPr>
          <w:p w14:paraId="52951F75">
            <w:pPr>
              <w:pStyle w:val="4"/>
              <w:spacing w:before="62" w:line="294" w:lineRule="auto"/>
              <w:ind w:left="111" w:leftChars="0" w:hanging="19"/>
              <w:jc w:val="both"/>
              <w:rPr>
                <w:rFonts w:hint="eastAsia"/>
                <w:spacing w:val="-10"/>
              </w:rPr>
            </w:pPr>
            <w:r>
              <w:rPr>
                <w:rFonts w:hint="eastAsia"/>
                <w:spacing w:val="-10"/>
              </w:rPr>
              <w:t>《餐饮业经营管理办法（试行）》（商务部令2014年第4号）</w:t>
            </w:r>
          </w:p>
          <w:p w14:paraId="2C13E2A6">
            <w:pPr>
              <w:pStyle w:val="4"/>
              <w:spacing w:before="62" w:line="294" w:lineRule="auto"/>
              <w:ind w:left="111" w:leftChars="0" w:hanging="19"/>
              <w:jc w:val="both"/>
              <w:rPr>
                <w:rFonts w:hint="eastAsia"/>
                <w:spacing w:val="-10"/>
              </w:rPr>
            </w:pPr>
            <w:r>
              <w:rPr>
                <w:rFonts w:hint="eastAsia"/>
                <w:spacing w:val="-10"/>
              </w:rPr>
              <w:t>第三条：商务部负责全国餐饮行业管理工作，制定行业规划、政策和标准，开展行业统计，规范行业秩序。地方各级人民政府商务主管部门负责本行政区域内餐饮业行业管理工作。</w:t>
            </w:r>
          </w:p>
          <w:p w14:paraId="787907F3">
            <w:pPr>
              <w:pStyle w:val="4"/>
              <w:spacing w:before="62" w:line="294" w:lineRule="auto"/>
              <w:ind w:left="111" w:leftChars="0" w:hanging="19"/>
              <w:jc w:val="both"/>
              <w:rPr>
                <w:rFonts w:hint="eastAsia"/>
                <w:spacing w:val="-10"/>
              </w:rPr>
            </w:pPr>
            <w:r>
              <w:rPr>
                <w:rFonts w:hint="eastAsia"/>
                <w:spacing w:val="-10"/>
              </w:rPr>
              <w:t>第二十一条：商务、价格等主管部门依照法律法规、规章及有关规定，在各自职责范围内对餐饮业经营行为进行监督管理。</w:t>
            </w:r>
          </w:p>
          <w:p w14:paraId="605A5D11">
            <w:pPr>
              <w:pStyle w:val="4"/>
              <w:spacing w:before="62" w:line="294" w:lineRule="auto"/>
              <w:ind w:left="111" w:leftChars="0" w:hanging="19"/>
              <w:jc w:val="both"/>
              <w:rPr>
                <w:rFonts w:hint="eastAsia"/>
                <w:spacing w:val="-10"/>
              </w:rPr>
            </w:pPr>
            <w:r>
              <w:rPr>
                <w:rFonts w:hint="eastAsia"/>
                <w:spacing w:val="-10"/>
              </w:rPr>
              <w:t>对于餐饮经营者违反本办法的行为，法律法规及规章有规定的，商务主管部门可提请有关部门依法处罚；没有规定的，由商务主管部门责令限期改正，其中有违法所得的，可处违法所得3倍以下罚款，但最高不超过3万元；没有违法所得的，可处1万元以下罚款；对涉嫌犯罪的，依法移送司法机关处理。</w:t>
            </w:r>
          </w:p>
          <w:p w14:paraId="748A7860">
            <w:pPr>
              <w:pStyle w:val="4"/>
              <w:spacing w:before="62" w:line="294" w:lineRule="auto"/>
              <w:ind w:left="111" w:leftChars="0" w:hanging="19"/>
              <w:jc w:val="both"/>
              <w:rPr>
                <w:rFonts w:hint="eastAsia"/>
                <w:spacing w:val="-10"/>
              </w:rPr>
            </w:pPr>
            <w:r>
              <w:rPr>
                <w:rFonts w:hint="eastAsia"/>
                <w:spacing w:val="-10"/>
              </w:rPr>
              <w:t>商务、价格等主管部门应当自作出行政处罚决定之日起20个工作日内，公开行政处罚决定书的主要内容，但行政处罚决定书中涉及国家秘密、商业秘密、个人隐私的内容依法不予公开。</w:t>
            </w:r>
          </w:p>
          <w:p w14:paraId="5BB3C7F7">
            <w:pPr>
              <w:pStyle w:val="4"/>
              <w:spacing w:before="62" w:line="294" w:lineRule="auto"/>
              <w:ind w:left="111" w:leftChars="0" w:hanging="19"/>
              <w:jc w:val="both"/>
              <w:rPr>
                <w:rFonts w:hint="eastAsia"/>
                <w:spacing w:val="-10"/>
              </w:rPr>
            </w:pPr>
            <w:r>
              <w:rPr>
                <w:rFonts w:hint="eastAsia"/>
                <w:spacing w:val="-10"/>
              </w:rPr>
              <w:t>《河北省人民代表大会常务委员会关于厉行节约、反对餐饮浪费的规定》（2020 年 9 月 24 日河北省第十三届人民代表大会常务委员会第十九次会议通过）</w:t>
            </w:r>
          </w:p>
          <w:p w14:paraId="7E148120">
            <w:pPr>
              <w:pStyle w:val="4"/>
              <w:spacing w:before="62" w:line="294" w:lineRule="auto"/>
              <w:ind w:left="111" w:leftChars="0" w:hanging="19"/>
              <w:jc w:val="both"/>
              <w:rPr>
                <w:rFonts w:hint="eastAsia"/>
                <w:spacing w:val="-10"/>
              </w:rPr>
            </w:pPr>
            <w:r>
              <w:rPr>
                <w:rFonts w:hint="eastAsia"/>
                <w:spacing w:val="-10"/>
              </w:rPr>
              <w:t>第七条：县级以上人民政府商务主管部门应当加强对厉行节约、反对餐饮浪费工作的行业指导，建立关键环节操作规范，将反对餐饮浪费内容纳入相关服务规程，引导餐饮经营者建立健全标准化服务体系，会同财政等部门研究建立餐饮经营者反对餐饮浪费工作奖惩制度，在餐饮经营者等级评定工作中，强化和落实反对餐饮浪费的要求。</w:t>
            </w:r>
          </w:p>
          <w:p w14:paraId="741AEDE4">
            <w:pPr>
              <w:pStyle w:val="4"/>
              <w:spacing w:before="62" w:line="294" w:lineRule="auto"/>
              <w:ind w:left="111" w:leftChars="0" w:hanging="19"/>
              <w:jc w:val="both"/>
              <w:rPr>
                <w:rFonts w:hint="eastAsia"/>
                <w:spacing w:val="-10"/>
              </w:rPr>
            </w:pPr>
            <w:r>
              <w:rPr>
                <w:rFonts w:hint="eastAsia"/>
                <w:spacing w:val="-10"/>
              </w:rPr>
              <w:t>第三十二条：违反本规定，餐饮经营者未建立节约用餐提醒提示制度，未在显著位置张贴或者摆放厉行节约、反对浪费的标识的，由商务等负有厉行节约、反对餐饮浪费职责的部门责令改正；拒不改正的，处一百元以上五百元以下的罚款。</w:t>
            </w:r>
          </w:p>
        </w:tc>
        <w:tc>
          <w:tcPr>
            <w:tcW w:w="2446" w:type="dxa"/>
            <w:vAlign w:val="top"/>
          </w:tcPr>
          <w:p w14:paraId="744787E3">
            <w:pPr>
              <w:pStyle w:val="4"/>
              <w:spacing w:before="62" w:line="294" w:lineRule="auto"/>
              <w:ind w:left="111" w:leftChars="0" w:hanging="19"/>
              <w:jc w:val="both"/>
              <w:rPr>
                <w:rFonts w:hint="eastAsia"/>
                <w:spacing w:val="-10"/>
              </w:rPr>
            </w:pPr>
          </w:p>
          <w:p w14:paraId="643EDDAE">
            <w:pPr>
              <w:pStyle w:val="4"/>
              <w:spacing w:before="62" w:line="294" w:lineRule="auto"/>
              <w:ind w:left="111" w:leftChars="0" w:hanging="19"/>
              <w:jc w:val="both"/>
              <w:rPr>
                <w:rFonts w:hint="eastAsia"/>
                <w:spacing w:val="-10"/>
              </w:rPr>
            </w:pPr>
          </w:p>
          <w:p w14:paraId="13C4CFD9">
            <w:pPr>
              <w:pStyle w:val="4"/>
              <w:spacing w:before="62" w:line="294" w:lineRule="auto"/>
              <w:ind w:left="111" w:leftChars="0" w:hanging="19"/>
              <w:jc w:val="both"/>
              <w:rPr>
                <w:rFonts w:hint="eastAsia"/>
                <w:spacing w:val="-10"/>
              </w:rPr>
            </w:pPr>
          </w:p>
          <w:p w14:paraId="11F7522A">
            <w:pPr>
              <w:pStyle w:val="4"/>
              <w:spacing w:before="62" w:line="294" w:lineRule="auto"/>
              <w:ind w:left="111" w:leftChars="0" w:hanging="19"/>
              <w:jc w:val="both"/>
              <w:rPr>
                <w:rFonts w:hint="eastAsia"/>
                <w:spacing w:val="-10"/>
              </w:rPr>
            </w:pPr>
          </w:p>
          <w:p w14:paraId="4CFB8EA0">
            <w:pPr>
              <w:pStyle w:val="4"/>
              <w:spacing w:before="62" w:line="294" w:lineRule="auto"/>
              <w:ind w:left="111" w:leftChars="0" w:hanging="19"/>
              <w:jc w:val="both"/>
              <w:rPr>
                <w:rFonts w:hint="eastAsia"/>
                <w:spacing w:val="-10"/>
              </w:rPr>
            </w:pPr>
          </w:p>
          <w:p w14:paraId="4E88964E">
            <w:pPr>
              <w:pStyle w:val="4"/>
              <w:spacing w:before="62" w:line="294" w:lineRule="auto"/>
              <w:ind w:left="111" w:leftChars="0" w:hanging="19"/>
              <w:jc w:val="both"/>
              <w:rPr>
                <w:rFonts w:hint="eastAsia"/>
                <w:spacing w:val="-10"/>
              </w:rPr>
            </w:pPr>
          </w:p>
          <w:p w14:paraId="75232E42">
            <w:pPr>
              <w:pStyle w:val="4"/>
              <w:spacing w:before="62" w:line="294" w:lineRule="auto"/>
              <w:ind w:left="111" w:leftChars="0" w:hanging="19"/>
              <w:jc w:val="both"/>
              <w:rPr>
                <w:rFonts w:hint="eastAsia"/>
                <w:spacing w:val="-10"/>
              </w:rPr>
            </w:pPr>
          </w:p>
          <w:p w14:paraId="7365D3A8">
            <w:pPr>
              <w:pStyle w:val="4"/>
              <w:spacing w:before="62" w:line="294" w:lineRule="auto"/>
              <w:ind w:left="111" w:leftChars="0" w:hanging="19"/>
              <w:jc w:val="both"/>
              <w:rPr>
                <w:rFonts w:hint="eastAsia"/>
                <w:spacing w:val="-10"/>
              </w:rPr>
            </w:pPr>
          </w:p>
          <w:p w14:paraId="74969268">
            <w:pPr>
              <w:pStyle w:val="4"/>
              <w:spacing w:before="62" w:line="294" w:lineRule="auto"/>
              <w:ind w:left="111" w:leftChars="0" w:hanging="19"/>
              <w:jc w:val="both"/>
              <w:rPr>
                <w:rFonts w:hint="eastAsia"/>
                <w:spacing w:val="-10"/>
              </w:rPr>
            </w:pPr>
          </w:p>
          <w:p w14:paraId="43124D64">
            <w:pPr>
              <w:pStyle w:val="4"/>
              <w:spacing w:before="62" w:line="294" w:lineRule="auto"/>
              <w:ind w:left="111" w:leftChars="0" w:hanging="19"/>
              <w:jc w:val="both"/>
              <w:rPr>
                <w:rFonts w:hint="eastAsia"/>
                <w:spacing w:val="-10"/>
              </w:rPr>
            </w:pPr>
            <w:r>
              <w:rPr>
                <w:rFonts w:hint="eastAsia"/>
                <w:spacing w:val="-10"/>
              </w:rPr>
              <w:t>《餐饮业经营管理办法（试行）》（商务部令2014年第4号）</w:t>
            </w:r>
          </w:p>
          <w:p w14:paraId="7585AB7F">
            <w:pPr>
              <w:pStyle w:val="4"/>
              <w:spacing w:before="62" w:line="264" w:lineRule="auto"/>
              <w:ind w:left="97" w:leftChars="0" w:right="58" w:hanging="14"/>
              <w:jc w:val="both"/>
              <w:rPr>
                <w:rFonts w:hint="eastAsia"/>
                <w:spacing w:val="-2"/>
              </w:rPr>
            </w:pPr>
          </w:p>
        </w:tc>
      </w:tr>
      <w:tr w14:paraId="0191A1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13" w:hRule="atLeast"/>
        </w:trPr>
        <w:tc>
          <w:tcPr>
            <w:tcW w:w="764" w:type="dxa"/>
            <w:vAlign w:val="top"/>
          </w:tcPr>
          <w:p w14:paraId="2B9B74CE">
            <w:pPr>
              <w:pStyle w:val="4"/>
              <w:numPr>
                <w:ilvl w:val="0"/>
                <w:numId w:val="0"/>
              </w:numPr>
              <w:spacing w:before="62"/>
              <w:ind w:leftChars="0"/>
              <w:jc w:val="center"/>
              <w:rPr>
                <w:rFonts w:hint="eastAsia"/>
                <w:lang w:val="en-US" w:eastAsia="zh-CN"/>
              </w:rPr>
            </w:pPr>
          </w:p>
          <w:p w14:paraId="01806168">
            <w:pPr>
              <w:pStyle w:val="4"/>
              <w:numPr>
                <w:ilvl w:val="0"/>
                <w:numId w:val="0"/>
              </w:numPr>
              <w:spacing w:before="62"/>
              <w:ind w:leftChars="0"/>
              <w:jc w:val="center"/>
              <w:rPr>
                <w:rFonts w:hint="eastAsia"/>
                <w:lang w:val="en-US" w:eastAsia="zh-CN"/>
              </w:rPr>
            </w:pPr>
          </w:p>
          <w:p w14:paraId="29D5E1D3">
            <w:pPr>
              <w:pStyle w:val="4"/>
              <w:numPr>
                <w:ilvl w:val="0"/>
                <w:numId w:val="0"/>
              </w:numPr>
              <w:spacing w:before="62"/>
              <w:ind w:leftChars="0"/>
              <w:jc w:val="center"/>
              <w:rPr>
                <w:rFonts w:hint="eastAsia"/>
                <w:lang w:val="en-US" w:eastAsia="zh-CN"/>
              </w:rPr>
            </w:pPr>
          </w:p>
          <w:p w14:paraId="6475B7B6">
            <w:pPr>
              <w:pStyle w:val="4"/>
              <w:numPr>
                <w:ilvl w:val="0"/>
                <w:numId w:val="0"/>
              </w:numPr>
              <w:spacing w:before="62"/>
              <w:ind w:leftChars="0"/>
              <w:jc w:val="center"/>
              <w:rPr>
                <w:rFonts w:hint="eastAsia"/>
                <w:lang w:val="en-US" w:eastAsia="zh-CN"/>
              </w:rPr>
            </w:pPr>
          </w:p>
          <w:p w14:paraId="3DBD04A2">
            <w:pPr>
              <w:pStyle w:val="4"/>
              <w:numPr>
                <w:ilvl w:val="0"/>
                <w:numId w:val="0"/>
              </w:numPr>
              <w:spacing w:before="62"/>
              <w:ind w:leftChars="0"/>
              <w:jc w:val="center"/>
              <w:rPr>
                <w:rFonts w:hint="eastAsia"/>
                <w:lang w:val="en-US" w:eastAsia="zh-CN"/>
              </w:rPr>
            </w:pPr>
          </w:p>
          <w:p w14:paraId="43F145D6">
            <w:pPr>
              <w:pStyle w:val="4"/>
              <w:numPr>
                <w:ilvl w:val="0"/>
                <w:numId w:val="0"/>
              </w:numPr>
              <w:spacing w:before="62"/>
              <w:ind w:leftChars="0"/>
              <w:jc w:val="center"/>
              <w:rPr>
                <w:rFonts w:hint="eastAsia"/>
                <w:lang w:val="en-US" w:eastAsia="zh-CN"/>
              </w:rPr>
            </w:pPr>
          </w:p>
          <w:p w14:paraId="5824D7F1">
            <w:pPr>
              <w:pStyle w:val="4"/>
              <w:numPr>
                <w:ilvl w:val="0"/>
                <w:numId w:val="0"/>
              </w:numPr>
              <w:spacing w:before="62"/>
              <w:ind w:leftChars="0"/>
              <w:jc w:val="center"/>
              <w:rPr>
                <w:rFonts w:hint="eastAsia"/>
                <w:lang w:val="en-US" w:eastAsia="zh-CN"/>
              </w:rPr>
            </w:pPr>
          </w:p>
          <w:p w14:paraId="21CC197E">
            <w:pPr>
              <w:pStyle w:val="4"/>
              <w:numPr>
                <w:ilvl w:val="0"/>
                <w:numId w:val="0"/>
              </w:numPr>
              <w:spacing w:before="62"/>
              <w:ind w:leftChars="0"/>
              <w:jc w:val="center"/>
              <w:rPr>
                <w:rFonts w:hint="eastAsia"/>
                <w:lang w:val="en-US" w:eastAsia="zh-CN"/>
              </w:rPr>
            </w:pPr>
          </w:p>
          <w:p w14:paraId="3CC630E3">
            <w:pPr>
              <w:pStyle w:val="4"/>
              <w:numPr>
                <w:ilvl w:val="0"/>
                <w:numId w:val="0"/>
              </w:numPr>
              <w:spacing w:before="62"/>
              <w:ind w:leftChars="0"/>
              <w:jc w:val="center"/>
              <w:rPr>
                <w:rFonts w:hint="eastAsia"/>
                <w:lang w:val="en-US" w:eastAsia="zh-CN"/>
              </w:rPr>
            </w:pPr>
          </w:p>
          <w:p w14:paraId="44284BB3">
            <w:pPr>
              <w:pStyle w:val="4"/>
              <w:numPr>
                <w:ilvl w:val="0"/>
                <w:numId w:val="0"/>
              </w:numPr>
              <w:spacing w:before="62"/>
              <w:ind w:leftChars="0"/>
              <w:jc w:val="center"/>
              <w:rPr>
                <w:rFonts w:hint="eastAsia"/>
                <w:lang w:val="en-US" w:eastAsia="zh-CN"/>
              </w:rPr>
            </w:pPr>
          </w:p>
          <w:p w14:paraId="41A98149">
            <w:pPr>
              <w:pStyle w:val="4"/>
              <w:numPr>
                <w:ilvl w:val="0"/>
                <w:numId w:val="0"/>
              </w:numPr>
              <w:spacing w:before="62"/>
              <w:ind w:leftChars="0"/>
              <w:jc w:val="center"/>
              <w:rPr>
                <w:rFonts w:hint="default"/>
                <w:lang w:val="en-US" w:eastAsia="zh-CN"/>
              </w:rPr>
            </w:pPr>
            <w:r>
              <w:rPr>
                <w:rFonts w:hint="eastAsia"/>
                <w:lang w:val="en-US" w:eastAsia="zh-CN"/>
              </w:rPr>
              <w:t>12</w:t>
            </w:r>
          </w:p>
        </w:tc>
        <w:tc>
          <w:tcPr>
            <w:tcW w:w="1709" w:type="dxa"/>
            <w:vAlign w:val="top"/>
          </w:tcPr>
          <w:p w14:paraId="6F69DC6F">
            <w:pPr>
              <w:pStyle w:val="4"/>
              <w:spacing w:before="255" w:line="273" w:lineRule="auto"/>
              <w:ind w:left="90" w:leftChars="0" w:right="104" w:hanging="9"/>
              <w:jc w:val="left"/>
              <w:rPr>
                <w:rFonts w:hint="eastAsia"/>
                <w:spacing w:val="-1"/>
              </w:rPr>
            </w:pPr>
          </w:p>
          <w:p w14:paraId="7E8217CB">
            <w:pPr>
              <w:pStyle w:val="4"/>
              <w:spacing w:before="255" w:line="273" w:lineRule="auto"/>
              <w:ind w:left="90" w:leftChars="0" w:right="104" w:hanging="9"/>
              <w:jc w:val="left"/>
              <w:rPr>
                <w:rFonts w:hint="eastAsia"/>
                <w:spacing w:val="-1"/>
              </w:rPr>
            </w:pPr>
          </w:p>
          <w:p w14:paraId="6BB92426">
            <w:pPr>
              <w:pStyle w:val="4"/>
              <w:spacing w:before="255" w:line="273" w:lineRule="auto"/>
              <w:ind w:left="90" w:leftChars="0" w:right="104" w:hanging="9"/>
              <w:jc w:val="left"/>
              <w:rPr>
                <w:rFonts w:hint="eastAsia"/>
                <w:spacing w:val="-1"/>
              </w:rPr>
            </w:pPr>
          </w:p>
          <w:p w14:paraId="13724962">
            <w:pPr>
              <w:pStyle w:val="4"/>
              <w:spacing w:before="255" w:line="273" w:lineRule="auto"/>
              <w:ind w:left="90" w:leftChars="0" w:right="104" w:hanging="9"/>
              <w:jc w:val="left"/>
              <w:rPr>
                <w:rFonts w:hint="eastAsia"/>
                <w:spacing w:val="-1"/>
              </w:rPr>
            </w:pPr>
          </w:p>
          <w:p w14:paraId="78346CC0">
            <w:pPr>
              <w:pStyle w:val="4"/>
              <w:spacing w:before="255" w:line="273" w:lineRule="auto"/>
              <w:ind w:left="90" w:leftChars="0" w:right="104" w:hanging="9"/>
              <w:jc w:val="left"/>
              <w:rPr>
                <w:rFonts w:hint="eastAsia"/>
                <w:spacing w:val="-1"/>
              </w:rPr>
            </w:pPr>
            <w:r>
              <w:rPr>
                <w:rFonts w:hint="eastAsia"/>
                <w:spacing w:val="-1"/>
              </w:rPr>
              <w:t>对商务领域经营者执行国家禁限使用不可降解塑料袋等一次性塑料制品规定和使用、回收报告活动行为的监督检查</w:t>
            </w:r>
          </w:p>
        </w:tc>
        <w:tc>
          <w:tcPr>
            <w:tcW w:w="8094" w:type="dxa"/>
            <w:vAlign w:val="top"/>
          </w:tcPr>
          <w:p w14:paraId="0E128AF9">
            <w:pPr>
              <w:pStyle w:val="4"/>
              <w:spacing w:before="62" w:line="294" w:lineRule="auto"/>
              <w:ind w:left="111" w:leftChars="0" w:hanging="19"/>
              <w:jc w:val="left"/>
              <w:rPr>
                <w:rFonts w:hint="eastAsia"/>
                <w:spacing w:val="-10"/>
              </w:rPr>
            </w:pPr>
            <w:r>
              <w:rPr>
                <w:rFonts w:hint="eastAsia"/>
                <w:spacing w:val="-10"/>
              </w:rPr>
              <w:t>《商务领域经营者使用、报告一次性塑料制品管理办法》（商务部令2023年第1号）</w:t>
            </w:r>
          </w:p>
          <w:p w14:paraId="788D8D1D">
            <w:pPr>
              <w:pStyle w:val="4"/>
              <w:spacing w:before="62" w:line="294" w:lineRule="auto"/>
              <w:ind w:left="111" w:leftChars="0" w:hanging="19"/>
              <w:jc w:val="left"/>
              <w:rPr>
                <w:rFonts w:hint="eastAsia"/>
                <w:spacing w:val="-10"/>
              </w:rPr>
            </w:pPr>
            <w:r>
              <w:rPr>
                <w:rFonts w:hint="eastAsia"/>
                <w:spacing w:val="-10"/>
              </w:rPr>
              <w:t>第六条第三款：县级以上地方商务主管部门依据职责对本行政区域内商务领域执行国家禁限使用规定和一次性塑料制品报告活动实施监督管理。县级以上地方商务主管部门涉及本办法有关商务执法职责发生调整的，有关商务执法职责由本级人民政府确定的承担相关职责的部门实施。</w:t>
            </w:r>
          </w:p>
          <w:p w14:paraId="37722680">
            <w:pPr>
              <w:pStyle w:val="4"/>
              <w:spacing w:before="62" w:line="294" w:lineRule="auto"/>
              <w:ind w:left="111" w:leftChars="0" w:hanging="19"/>
              <w:jc w:val="left"/>
              <w:rPr>
                <w:rFonts w:hint="eastAsia"/>
                <w:spacing w:val="-10"/>
              </w:rPr>
            </w:pPr>
            <w:r>
              <w:rPr>
                <w:rFonts w:hint="eastAsia"/>
                <w:spacing w:val="-10"/>
              </w:rPr>
              <w:t>第二十一条：县级以上地方商务主管部门采取“双随机、一公开”方式，对本行政区域内商务领域经营者执行国家禁限使用规定和使用、回收报告活动实施日常监督检查，重点检查以下方面：</w:t>
            </w:r>
          </w:p>
          <w:p w14:paraId="06BA191F">
            <w:pPr>
              <w:pStyle w:val="4"/>
              <w:spacing w:before="62" w:line="294" w:lineRule="auto"/>
              <w:ind w:left="111" w:leftChars="0" w:hanging="19"/>
              <w:jc w:val="left"/>
              <w:rPr>
                <w:rFonts w:hint="eastAsia"/>
                <w:spacing w:val="-10"/>
              </w:rPr>
            </w:pPr>
            <w:r>
              <w:rPr>
                <w:rFonts w:hint="eastAsia"/>
                <w:spacing w:val="-10"/>
              </w:rPr>
              <w:t>（一）一次性塑料制品使用的情况；</w:t>
            </w:r>
          </w:p>
          <w:p w14:paraId="0720360F">
            <w:pPr>
              <w:pStyle w:val="4"/>
              <w:spacing w:before="62" w:line="294" w:lineRule="auto"/>
              <w:ind w:left="111" w:leftChars="0" w:hanging="19"/>
              <w:jc w:val="left"/>
              <w:rPr>
                <w:rFonts w:hint="eastAsia"/>
                <w:spacing w:val="-10"/>
              </w:rPr>
            </w:pPr>
            <w:r>
              <w:rPr>
                <w:rFonts w:hint="eastAsia"/>
                <w:spacing w:val="-10"/>
              </w:rPr>
              <w:t>（二）商务领域经营者张贴、摆放或设置国家禁限使用规定标语或链接标识的情况；</w:t>
            </w:r>
          </w:p>
          <w:p w14:paraId="01C59859">
            <w:pPr>
              <w:pStyle w:val="4"/>
              <w:spacing w:before="62" w:line="294" w:lineRule="auto"/>
              <w:ind w:left="111" w:leftChars="0" w:hanging="19"/>
              <w:jc w:val="left"/>
              <w:rPr>
                <w:rFonts w:hint="eastAsia"/>
                <w:spacing w:val="-10"/>
              </w:rPr>
            </w:pPr>
            <w:r>
              <w:rPr>
                <w:rFonts w:hint="eastAsia"/>
                <w:spacing w:val="-10"/>
              </w:rPr>
              <w:t>（三）商品零售场所开办单位、电子商务平台（含外卖平台）企业对其入驻经营者作出自律承诺督促管理的情况；</w:t>
            </w:r>
          </w:p>
          <w:p w14:paraId="2FEF4F92">
            <w:pPr>
              <w:pStyle w:val="4"/>
              <w:spacing w:before="62" w:line="294" w:lineRule="auto"/>
              <w:ind w:left="111" w:leftChars="0" w:hanging="19"/>
              <w:jc w:val="left"/>
              <w:rPr>
                <w:rFonts w:hint="eastAsia"/>
                <w:spacing w:val="-10"/>
              </w:rPr>
            </w:pPr>
            <w:r>
              <w:rPr>
                <w:rFonts w:hint="eastAsia"/>
                <w:spacing w:val="-10"/>
              </w:rPr>
              <w:t>（四）电子商务平台（含外卖平台）企业平台规则制定情况；</w:t>
            </w:r>
          </w:p>
          <w:p w14:paraId="5163FAAC">
            <w:pPr>
              <w:pStyle w:val="4"/>
              <w:spacing w:before="62" w:line="294" w:lineRule="auto"/>
              <w:ind w:left="111" w:leftChars="0" w:hanging="19"/>
              <w:jc w:val="left"/>
              <w:rPr>
                <w:rFonts w:hint="eastAsia"/>
                <w:spacing w:val="-10"/>
              </w:rPr>
            </w:pPr>
            <w:r>
              <w:rPr>
                <w:rFonts w:hint="eastAsia"/>
                <w:spacing w:val="-10"/>
              </w:rPr>
              <w:t>（五）展馆经营者告知义务履行的情况；</w:t>
            </w:r>
          </w:p>
          <w:p w14:paraId="2B02EFD1">
            <w:pPr>
              <w:pStyle w:val="4"/>
              <w:spacing w:before="62" w:line="294" w:lineRule="auto"/>
              <w:ind w:left="111" w:leftChars="0" w:hanging="19"/>
              <w:jc w:val="left"/>
              <w:rPr>
                <w:rFonts w:hint="eastAsia"/>
                <w:spacing w:val="-10"/>
              </w:rPr>
            </w:pPr>
            <w:r>
              <w:rPr>
                <w:rFonts w:hint="eastAsia"/>
                <w:spacing w:val="-10"/>
              </w:rPr>
              <w:t>（六）一次性塑料制品使用、回收报告的情况。</w:t>
            </w:r>
          </w:p>
          <w:p w14:paraId="7905377D">
            <w:pPr>
              <w:pStyle w:val="4"/>
              <w:spacing w:before="62" w:line="294" w:lineRule="auto"/>
              <w:ind w:left="111" w:leftChars="0" w:hanging="19"/>
              <w:jc w:val="left"/>
              <w:rPr>
                <w:rFonts w:hint="eastAsia"/>
                <w:spacing w:val="-10"/>
              </w:rPr>
            </w:pPr>
            <w:r>
              <w:rPr>
                <w:rFonts w:hint="eastAsia"/>
                <w:spacing w:val="-10"/>
              </w:rPr>
              <w:t>第二十二条：县级以上地方商务主管部门可以依法采取以下措施实施监督检查：</w:t>
            </w:r>
          </w:p>
          <w:p w14:paraId="230B42EF">
            <w:pPr>
              <w:pStyle w:val="4"/>
              <w:spacing w:before="62" w:line="294" w:lineRule="auto"/>
              <w:ind w:left="111" w:leftChars="0" w:hanging="19"/>
              <w:jc w:val="left"/>
              <w:rPr>
                <w:rFonts w:hint="eastAsia"/>
                <w:spacing w:val="-10"/>
              </w:rPr>
            </w:pPr>
            <w:r>
              <w:rPr>
                <w:rFonts w:hint="eastAsia"/>
                <w:spacing w:val="-10"/>
              </w:rPr>
              <w:t>（一）进入一次性塑料制品使用等场所进行检查；</w:t>
            </w:r>
          </w:p>
          <w:p w14:paraId="65ABDCF3">
            <w:pPr>
              <w:pStyle w:val="4"/>
              <w:spacing w:before="62" w:line="294" w:lineRule="auto"/>
              <w:ind w:left="111" w:leftChars="0" w:hanging="19"/>
              <w:jc w:val="left"/>
              <w:rPr>
                <w:rFonts w:hint="eastAsia"/>
                <w:spacing w:val="-10"/>
              </w:rPr>
            </w:pPr>
            <w:r>
              <w:rPr>
                <w:rFonts w:hint="eastAsia"/>
                <w:spacing w:val="-10"/>
              </w:rPr>
              <w:t>（二）询问与监督检查事项有关的单位或个人，要求其说明情况；</w:t>
            </w:r>
          </w:p>
          <w:p w14:paraId="43C644E0">
            <w:pPr>
              <w:pStyle w:val="4"/>
              <w:spacing w:before="62" w:line="294" w:lineRule="auto"/>
              <w:ind w:left="111" w:leftChars="0" w:hanging="19"/>
              <w:jc w:val="left"/>
              <w:rPr>
                <w:rFonts w:hint="eastAsia"/>
                <w:spacing w:val="-10"/>
              </w:rPr>
            </w:pPr>
            <w:r>
              <w:rPr>
                <w:rFonts w:hint="eastAsia"/>
                <w:spacing w:val="-10"/>
              </w:rPr>
              <w:t>（三）查阅、复制有关文件、资料；</w:t>
            </w:r>
          </w:p>
          <w:p w14:paraId="25C3A47B">
            <w:pPr>
              <w:pStyle w:val="4"/>
              <w:spacing w:before="62" w:line="294" w:lineRule="auto"/>
              <w:ind w:left="111" w:leftChars="0" w:hanging="19"/>
              <w:jc w:val="left"/>
              <w:rPr>
                <w:rFonts w:hint="eastAsia"/>
                <w:spacing w:val="-10"/>
              </w:rPr>
            </w:pPr>
            <w:r>
              <w:rPr>
                <w:rFonts w:hint="eastAsia"/>
                <w:spacing w:val="-10"/>
              </w:rPr>
              <w:t>（四）依据有关法律法规采取的其他措施。</w:t>
            </w:r>
          </w:p>
        </w:tc>
        <w:tc>
          <w:tcPr>
            <w:tcW w:w="2446" w:type="dxa"/>
            <w:vAlign w:val="top"/>
          </w:tcPr>
          <w:p w14:paraId="177C37AB">
            <w:pPr>
              <w:pStyle w:val="4"/>
              <w:spacing w:before="62" w:line="294" w:lineRule="auto"/>
              <w:ind w:left="111" w:leftChars="0" w:hanging="19"/>
              <w:jc w:val="left"/>
              <w:rPr>
                <w:rFonts w:hint="eastAsia"/>
                <w:spacing w:val="-10"/>
              </w:rPr>
            </w:pPr>
          </w:p>
          <w:p w14:paraId="20200568">
            <w:pPr>
              <w:pStyle w:val="4"/>
              <w:spacing w:before="62" w:line="294" w:lineRule="auto"/>
              <w:ind w:left="111" w:leftChars="0" w:hanging="19"/>
              <w:jc w:val="left"/>
              <w:rPr>
                <w:rFonts w:hint="eastAsia"/>
                <w:spacing w:val="-10"/>
              </w:rPr>
            </w:pPr>
          </w:p>
          <w:p w14:paraId="708253DF">
            <w:pPr>
              <w:pStyle w:val="4"/>
              <w:spacing w:before="62" w:line="294" w:lineRule="auto"/>
              <w:ind w:left="111" w:leftChars="0" w:hanging="19"/>
              <w:jc w:val="left"/>
              <w:rPr>
                <w:rFonts w:hint="eastAsia"/>
                <w:spacing w:val="-10"/>
              </w:rPr>
            </w:pPr>
          </w:p>
          <w:p w14:paraId="2A12F8B2">
            <w:pPr>
              <w:pStyle w:val="4"/>
              <w:spacing w:before="62" w:line="294" w:lineRule="auto"/>
              <w:ind w:left="111" w:leftChars="0" w:hanging="19"/>
              <w:jc w:val="left"/>
              <w:rPr>
                <w:rFonts w:hint="eastAsia"/>
                <w:spacing w:val="-10"/>
              </w:rPr>
            </w:pPr>
          </w:p>
          <w:p w14:paraId="63BCB586">
            <w:pPr>
              <w:pStyle w:val="4"/>
              <w:spacing w:before="62" w:line="294" w:lineRule="auto"/>
              <w:ind w:left="111" w:leftChars="0" w:hanging="19"/>
              <w:jc w:val="left"/>
              <w:rPr>
                <w:rFonts w:hint="eastAsia"/>
                <w:spacing w:val="-10"/>
              </w:rPr>
            </w:pPr>
          </w:p>
          <w:p w14:paraId="62BC6253">
            <w:pPr>
              <w:pStyle w:val="4"/>
              <w:spacing w:before="62" w:line="294" w:lineRule="auto"/>
              <w:ind w:left="111" w:leftChars="0" w:hanging="19"/>
              <w:jc w:val="left"/>
              <w:rPr>
                <w:rFonts w:hint="eastAsia"/>
                <w:spacing w:val="-10"/>
              </w:rPr>
            </w:pPr>
          </w:p>
          <w:p w14:paraId="3310CE89">
            <w:pPr>
              <w:pStyle w:val="4"/>
              <w:spacing w:before="62" w:line="294" w:lineRule="auto"/>
              <w:ind w:left="111" w:leftChars="0" w:hanging="19"/>
              <w:jc w:val="left"/>
              <w:rPr>
                <w:rFonts w:hint="eastAsia"/>
                <w:spacing w:val="-10"/>
              </w:rPr>
            </w:pPr>
          </w:p>
          <w:p w14:paraId="567825CE">
            <w:pPr>
              <w:pStyle w:val="4"/>
              <w:spacing w:before="62" w:line="294" w:lineRule="auto"/>
              <w:ind w:left="111" w:leftChars="0" w:hanging="19"/>
              <w:jc w:val="left"/>
              <w:rPr>
                <w:rFonts w:hint="eastAsia"/>
                <w:spacing w:val="-10"/>
              </w:rPr>
            </w:pPr>
            <w:r>
              <w:rPr>
                <w:rFonts w:hint="eastAsia"/>
                <w:spacing w:val="-10"/>
              </w:rPr>
              <w:t>《商务领域经营者使用、报告一次性塑料制品管理办法》（商务部令2023年第1号）</w:t>
            </w:r>
          </w:p>
          <w:p w14:paraId="0AB306C4">
            <w:pPr>
              <w:pStyle w:val="4"/>
              <w:spacing w:before="62" w:line="264" w:lineRule="auto"/>
              <w:ind w:left="97" w:leftChars="0" w:right="58" w:hanging="14"/>
              <w:jc w:val="left"/>
              <w:rPr>
                <w:rFonts w:hint="eastAsia"/>
                <w:spacing w:val="-2"/>
              </w:rPr>
            </w:pPr>
          </w:p>
        </w:tc>
      </w:tr>
    </w:tbl>
    <w:p w14:paraId="13602DD9">
      <w:pPr>
        <w:ind w:left="0" w:leftChars="0"/>
        <w:jc w:val="left"/>
      </w:pPr>
    </w:p>
    <w:sectPr>
      <w:pgSz w:w="16838" w:h="11906" w:orient="landscape"/>
      <w:pgMar w:top="1800" w:right="1440" w:bottom="1800" w:left="144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1F710C"/>
    <w:rsid w:val="02912AFE"/>
    <w:rsid w:val="26F542E9"/>
    <w:rsid w:val="29DF6333"/>
    <w:rsid w:val="2A1F710C"/>
    <w:rsid w:val="30181800"/>
    <w:rsid w:val="514725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Table Text"/>
    <w:basedOn w:val="1"/>
    <w:semiHidden/>
    <w:qFormat/>
    <w:uiPriority w:val="0"/>
    <w:rPr>
      <w:rFonts w:ascii="宋体" w:hAnsi="宋体" w:eastAsia="宋体" w:cs="宋体"/>
      <w:sz w:val="19"/>
      <w:szCs w:val="19"/>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1284</Words>
  <Characters>1318</Characters>
  <Lines>0</Lines>
  <Paragraphs>0</Paragraphs>
  <TotalTime>14</TotalTime>
  <ScaleCrop>false</ScaleCrop>
  <LinksUpToDate>false</LinksUpToDate>
  <CharactersWithSpaces>1322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2025-11-07T02:05:00Z</dcterms:created>
  <dc:creator>路是一生</dc:creator>
  <cp:lastModifiedBy>Nzh</cp:lastModifiedBy>
  <dcterms:modified xsi:type="dcterms:W3CDTF">2025-11-07T03:12:08Z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550D64F1932E4FAD8D43A0AC8FE0638B_13</vt:lpwstr>
  </property>
  <property fmtid="{D5CDD505-2E9C-101B-9397-08002B2CF9AE}" pid="4" name="KSOTemplateDocerSaveRecord">
    <vt:lpwstr>eyJoZGlkIjoiZjk0N2M1ZTg0OGVhNGZkNTgxYzM4ZGQxODk4MzRkNTYiLCJ1c2VySWQiOiIyMzA2MDg1MzcifQ==</vt:lpwstr>
  </property>
</Properties>
</file>