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211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中国共产党高邑县委员会宣传部</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center"/>
        <w:textAlignment w:val="auto"/>
        <w:rPr>
          <w:rFonts w:ascii="黑体" w:hAnsi="黑体" w:eastAsia="黑体" w:cs="黑体"/>
          <w:b/>
          <w:bCs/>
          <w:spacing w:val="-23"/>
          <w:w w:val="90"/>
          <w:sz w:val="72"/>
          <w:szCs w:val="72"/>
        </w:rPr>
      </w:pPr>
      <w:r>
        <w:rPr>
          <w:rFonts w:hint="eastAsia" w:ascii="黑体" w:hAnsi="黑体" w:eastAsia="黑体" w:cs="黑体"/>
          <w:b/>
          <w:bCs/>
          <w:spacing w:val="-23"/>
          <w:w w:val="90"/>
          <w:sz w:val="72"/>
          <w:szCs w:val="72"/>
        </w:rPr>
        <w:t>2023年度</w:t>
      </w:r>
      <w:r>
        <w:rPr>
          <w:rFonts w:hint="eastAsia" w:ascii="黑体" w:hAnsi="宋体" w:eastAsia="黑体" w:cs="黑体"/>
          <w:i w:val="0"/>
          <w:iCs w:val="0"/>
          <w:caps w:val="0"/>
          <w:color w:val="000000"/>
          <w:spacing w:val="-23"/>
          <w:w w:val="90"/>
          <w:sz w:val="72"/>
          <w:szCs w:val="72"/>
          <w:highlight w:val="none"/>
          <w:shd w:val="clear" w:fill="FFFFFF"/>
          <w:lang w:eastAsia="zh-CN"/>
        </w:rPr>
        <w:t>部门</w:t>
      </w:r>
      <w:r>
        <w:rPr>
          <w:rFonts w:hint="eastAsia" w:ascii="黑体" w:hAnsi="黑体" w:eastAsia="黑体" w:cs="黑体"/>
          <w:b/>
          <w:bCs/>
          <w:spacing w:val="-23"/>
          <w:w w:val="90"/>
          <w:sz w:val="72"/>
          <w:szCs w:val="72"/>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pacing w:line="600" w:lineRule="auto"/>
        <w:ind w:firstLine="1200" w:firstLineChars="300"/>
        <w:jc w:val="left"/>
        <w:rPr>
          <w:rFonts w:hint="eastAsia" w:ascii="楷体_GB2312" w:hAnsi="楷体_GB2312" w:eastAsia="楷体_GB2312" w:cs="楷体_GB2312"/>
          <w:color w:val="000000"/>
          <w:sz w:val="40"/>
          <w:szCs w:val="40"/>
          <w:lang w:eastAsia="zh-CN"/>
        </w:rPr>
      </w:pPr>
      <w:r>
        <w:rPr>
          <w:rFonts w:hint="eastAsia" w:ascii="楷体_GB2312" w:hAnsi="楷体_GB2312" w:eastAsia="楷体_GB2312" w:cs="楷体_GB2312"/>
          <w:color w:val="000000"/>
          <w:sz w:val="40"/>
          <w:szCs w:val="40"/>
          <w:lang w:eastAsia="zh-CN"/>
        </w:rPr>
        <w:t>中国共产党高邑县委员会宣传部</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rPr>
      </w:pPr>
    </w:p>
    <w:p>
      <w:pPr>
        <w:tabs>
          <w:tab w:val="left" w:pos="2728"/>
        </w:tabs>
        <w:jc w:val="both"/>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273" w:firstLineChars="398"/>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ind w:left="365" w:leftChars="152"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（一）</w:t>
      </w:r>
      <w:r>
        <w:rPr>
          <w:rFonts w:hint="eastAsia" w:ascii="宋体" w:hAnsi="宋体" w:eastAsia="宋体" w:cs="宋体"/>
          <w:sz w:val="28"/>
          <w:szCs w:val="28"/>
        </w:rPr>
        <w:t>拟定全县宣传思想文化工作重大方针政策和事业发展总体规划，统筹协调推进宣传思想文化领域法治建设，按照县委统一部署，协调宣传思想文化系统各</w:t>
      </w:r>
      <w:r>
        <w:rPr>
          <w:rFonts w:hint="eastAsia" w:ascii="宋体" w:hAnsi="宋体" w:eastAsia="宋体" w:cs="宋体"/>
          <w:sz w:val="28"/>
          <w:szCs w:val="28"/>
          <w:lang w:eastAsia="zh-CN"/>
        </w:rPr>
        <w:t>单位</w:t>
      </w:r>
      <w:r>
        <w:rPr>
          <w:rFonts w:hint="eastAsia" w:ascii="宋体" w:hAnsi="宋体" w:eastAsia="宋体" w:cs="宋体"/>
          <w:sz w:val="28"/>
          <w:szCs w:val="28"/>
        </w:rPr>
        <w:t>之间的工作</w:t>
      </w:r>
      <w:r>
        <w:rPr>
          <w:rFonts w:hint="eastAsia" w:ascii="宋体" w:hAnsi="宋体" w:eastAsia="宋体" w:cs="宋体"/>
          <w:sz w:val="28"/>
          <w:szCs w:val="28"/>
          <w:lang w:eastAsia="zh-CN"/>
        </w:rPr>
        <w:t>。</w:t>
      </w:r>
    </w:p>
    <w:p>
      <w:pPr>
        <w:numPr>
          <w:ilvl w:val="0"/>
          <w:numId w:val="0"/>
        </w:numPr>
        <w:ind w:left="365" w:leftChars="152"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（二）</w:t>
      </w:r>
      <w:r>
        <w:rPr>
          <w:rFonts w:hint="eastAsia" w:ascii="宋体" w:hAnsi="宋体" w:eastAsia="宋体" w:cs="宋体"/>
          <w:sz w:val="28"/>
          <w:szCs w:val="28"/>
        </w:rPr>
        <w:t>统筹协调全县党的意识形态工作，贯彻落实县委关于意识形态工作决策部署，组织协调意识形态工作责任制落实和日常监督检查。</w:t>
      </w:r>
    </w:p>
    <w:p>
      <w:pPr>
        <w:numPr>
          <w:ilvl w:val="0"/>
          <w:numId w:val="0"/>
        </w:numPr>
        <w:ind w:left="365" w:leftChars="152"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（三）</w:t>
      </w:r>
      <w:r>
        <w:rPr>
          <w:rFonts w:hint="eastAsia" w:ascii="宋体" w:hAnsi="宋体" w:eastAsia="宋体" w:cs="宋体"/>
          <w:sz w:val="28"/>
          <w:szCs w:val="28"/>
        </w:rPr>
        <w:t>统筹指导协调全县理论研究、理论学习、理论宣传工作，组织推动理论武装工作，推动落实马克思主义理论研究和建设工程任务，负责县委理论学习中心组理论学习的有关工作。</w:t>
      </w:r>
    </w:p>
    <w:p>
      <w:pPr>
        <w:numPr>
          <w:ilvl w:val="0"/>
          <w:numId w:val="0"/>
        </w:num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（四） </w:t>
      </w:r>
      <w:r>
        <w:rPr>
          <w:rFonts w:hint="eastAsia" w:ascii="宋体" w:hAnsi="宋体" w:eastAsia="宋体" w:cs="宋体"/>
          <w:sz w:val="28"/>
          <w:szCs w:val="28"/>
        </w:rPr>
        <w:t>负责规划组织全县全局性思想政治工作任务，组织对先进典型的学习推广。配合县委组织部做好基层党员教育工作会同有关</w:t>
      </w:r>
      <w:r>
        <w:rPr>
          <w:rFonts w:hint="eastAsia" w:ascii="宋体" w:hAnsi="宋体" w:eastAsia="宋体" w:cs="宋体"/>
          <w:sz w:val="28"/>
          <w:szCs w:val="28"/>
          <w:lang w:eastAsia="zh-CN"/>
        </w:rPr>
        <w:t>单位</w:t>
      </w:r>
      <w:r>
        <w:rPr>
          <w:rFonts w:hint="eastAsia" w:ascii="宋体" w:hAnsi="宋体" w:eastAsia="宋体" w:cs="宋体"/>
          <w:sz w:val="28"/>
          <w:szCs w:val="28"/>
        </w:rPr>
        <w:t>研究和改进群众思想教育工作。负责指导协调全县爱国主义教育基地的建设、管理、使用。负责全县国防教育工作</w:t>
      </w:r>
      <w:r>
        <w:rPr>
          <w:rFonts w:hint="eastAsia" w:ascii="宋体" w:hAnsi="宋体" w:eastAsia="宋体" w:cs="宋体"/>
          <w:sz w:val="28"/>
          <w:szCs w:val="28"/>
          <w:lang w:eastAsia="zh-CN"/>
        </w:rPr>
        <w:t>。</w:t>
      </w:r>
    </w:p>
    <w:p>
      <w:pPr>
        <w:numPr>
          <w:ilvl w:val="0"/>
          <w:numId w:val="0"/>
        </w:numPr>
        <w:ind w:firstLine="560" w:firstLineChars="200"/>
        <w:rPr>
          <w:rFonts w:hint="eastAsia" w:ascii="宋体" w:hAnsi="宋体" w:eastAsia="宋体" w:cs="宋体"/>
          <w:sz w:val="28"/>
          <w:szCs w:val="28"/>
        </w:rPr>
      </w:pPr>
      <w:r>
        <w:rPr>
          <w:rFonts w:hint="eastAsia" w:ascii="宋体" w:hAnsi="宋体" w:eastAsia="宋体" w:cs="宋体"/>
          <w:sz w:val="28"/>
          <w:szCs w:val="28"/>
        </w:rPr>
        <w:t>(五)统筹分析研判和引导全县社会舆论，指导协调县直各新闻单位的工作，组织全县突发公共事件应急新闻工作。</w:t>
      </w:r>
    </w:p>
    <w:p>
      <w:pPr>
        <w:numPr>
          <w:ilvl w:val="0"/>
          <w:numId w:val="0"/>
        </w:numPr>
        <w:ind w:firstLine="560" w:firstLineChars="200"/>
        <w:rPr>
          <w:rFonts w:hint="eastAsia" w:ascii="宋体" w:hAnsi="宋体" w:eastAsia="宋体" w:cs="宋体"/>
          <w:sz w:val="28"/>
          <w:szCs w:val="28"/>
        </w:rPr>
      </w:pPr>
      <w:r>
        <w:rPr>
          <w:rFonts w:hint="eastAsia" w:ascii="宋体" w:hAnsi="宋体" w:eastAsia="宋体" w:cs="宋体"/>
          <w:sz w:val="28"/>
          <w:szCs w:val="28"/>
        </w:rPr>
        <w:t>(六)拟定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审核管理。</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(七)从宏观上统筹指导协调全县互联网宣传和信息内容管理工作。统筹数字新媒体的建设和管理</w:t>
      </w:r>
      <w:r>
        <w:rPr>
          <w:rFonts w:hint="eastAsia" w:ascii="宋体" w:hAnsi="宋体" w:eastAsia="宋体" w:cs="宋体"/>
          <w:sz w:val="28"/>
          <w:szCs w:val="28"/>
          <w:lang w:eastAsia="zh-CN"/>
        </w:rPr>
        <w:t>。</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(八)从宏观上统筹指导协调推动全县精神文化产品的创作和生产，协调组织中华优秀传统文化传承发展有关工作，指导协调推动群众文化建设。</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(九)负责管理全县电影行政事务，指导监管电影制片、发行、放映工作，组织对电影内容进行审</w:t>
      </w:r>
      <w:r>
        <w:rPr>
          <w:rFonts w:hint="eastAsia" w:ascii="宋体" w:hAnsi="宋体" w:eastAsia="宋体" w:cs="宋体"/>
          <w:sz w:val="28"/>
          <w:szCs w:val="28"/>
          <w:lang w:eastAsia="zh-CN"/>
        </w:rPr>
        <w:t>查</w:t>
      </w:r>
      <w:r>
        <w:rPr>
          <w:rFonts w:hint="eastAsia" w:ascii="宋体" w:hAnsi="宋体" w:eastAsia="宋体" w:cs="宋体"/>
          <w:sz w:val="28"/>
          <w:szCs w:val="28"/>
        </w:rPr>
        <w:t>，指导协调全县性重大电影活动。</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r>
        <w:rPr>
          <w:rFonts w:hint="eastAsia" w:ascii="宋体" w:hAnsi="宋体" w:eastAsia="宋体" w:cs="宋体"/>
          <w:sz w:val="28"/>
          <w:szCs w:val="28"/>
          <w:lang w:eastAsia="zh-CN"/>
        </w:rPr>
        <w:t>。</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eastAsia="zh-CN"/>
        </w:rPr>
        <w:t>（十一）</w:t>
      </w:r>
      <w:r>
        <w:rPr>
          <w:rFonts w:hint="eastAsia" w:ascii="宋体" w:hAnsi="宋体" w:eastAsia="宋体" w:cs="宋体"/>
          <w:sz w:val="28"/>
          <w:szCs w:val="28"/>
        </w:rPr>
        <w:t>统筹指导全县舆情信息工作，组织协调开展县内外與情信息收集分析研判工作，跟踪了解、研究掌握宣传與情动态</w:t>
      </w:r>
      <w:r>
        <w:rPr>
          <w:rFonts w:hint="eastAsia" w:ascii="宋体" w:hAnsi="宋体" w:eastAsia="宋体" w:cs="宋体"/>
          <w:sz w:val="28"/>
          <w:szCs w:val="28"/>
          <w:lang w:eastAsia="zh-CN"/>
        </w:rPr>
        <w:t>。</w:t>
      </w:r>
    </w:p>
    <w:p>
      <w:pPr>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（十二）</w:t>
      </w:r>
      <w:r>
        <w:rPr>
          <w:rFonts w:hint="eastAsia" w:ascii="宋体" w:hAnsi="宋体" w:eastAsia="宋体" w:cs="宋体"/>
          <w:sz w:val="28"/>
          <w:szCs w:val="28"/>
        </w:rPr>
        <w:t>统筹研究拟定有关全县精神文明建设的方针、政策规划部署全县精神文明建设工作，组织指导全县群众性精神文明创建活动。</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(十三)统筹协调全县对外宣传工作。指导协调有关</w:t>
      </w:r>
      <w:r>
        <w:rPr>
          <w:rFonts w:hint="eastAsia" w:ascii="宋体" w:hAnsi="宋体" w:eastAsia="宋体" w:cs="宋体"/>
          <w:sz w:val="28"/>
          <w:szCs w:val="28"/>
          <w:lang w:eastAsia="zh-CN"/>
        </w:rPr>
        <w:t>单位</w:t>
      </w:r>
      <w:r>
        <w:rPr>
          <w:rFonts w:hint="eastAsia" w:ascii="宋体" w:hAnsi="宋体" w:eastAsia="宋体" w:cs="宋体"/>
          <w:sz w:val="28"/>
          <w:szCs w:val="28"/>
        </w:rPr>
        <w:t>研究拟定全县对外宣传事业发展规划，组织协调我县对外宣传文化交流工作，会同有关</w:t>
      </w:r>
      <w:r>
        <w:rPr>
          <w:rFonts w:hint="eastAsia" w:ascii="宋体" w:hAnsi="宋体" w:eastAsia="宋体" w:cs="宋体"/>
          <w:sz w:val="28"/>
          <w:szCs w:val="28"/>
          <w:lang w:eastAsia="zh-CN"/>
        </w:rPr>
        <w:t>单位</w:t>
      </w:r>
      <w:r>
        <w:rPr>
          <w:rFonts w:hint="eastAsia" w:ascii="宋体" w:hAnsi="宋体" w:eastAsia="宋体" w:cs="宋体"/>
          <w:sz w:val="28"/>
          <w:szCs w:val="28"/>
        </w:rPr>
        <w:t>做好境外记者采访事务方面工作</w:t>
      </w:r>
      <w:r>
        <w:rPr>
          <w:rFonts w:hint="eastAsia" w:ascii="宋体" w:hAnsi="宋体" w:eastAsia="宋体" w:cs="宋体"/>
          <w:sz w:val="28"/>
          <w:szCs w:val="28"/>
          <w:lang w:eastAsia="zh-CN"/>
        </w:rPr>
        <w:t>。</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(十四)统筹协调组织开展新闻发布工作。承担县委新闻发布有关组织协调工作，负责县政府新闻发布组织实施工作</w:t>
      </w:r>
      <w:r>
        <w:rPr>
          <w:rFonts w:hint="eastAsia" w:ascii="宋体" w:hAnsi="宋体" w:eastAsia="宋体" w:cs="宋体"/>
          <w:sz w:val="28"/>
          <w:szCs w:val="28"/>
          <w:lang w:eastAsia="zh-CN"/>
        </w:rPr>
        <w:t>。</w:t>
      </w:r>
    </w:p>
    <w:p>
      <w:pPr>
        <w:ind w:firstLine="560" w:firstLineChars="200"/>
        <w:rPr>
          <w:rFonts w:hint="eastAsia" w:ascii="宋体" w:hAnsi="宋体" w:eastAsia="宋体" w:cs="宋体"/>
          <w:sz w:val="28"/>
          <w:szCs w:val="28"/>
        </w:rPr>
      </w:pPr>
      <w:r>
        <w:rPr>
          <w:rFonts w:hint="eastAsia" w:ascii="宋体" w:hAnsi="宋体" w:eastAsia="宋体" w:cs="宋体"/>
          <w:sz w:val="28"/>
          <w:szCs w:val="28"/>
        </w:rPr>
        <w:t>(十五)受县委委托，会同县委组织部管理新闻、文化、社会科学研究和互联网信息等方面县直宣传思想文化单位的</w:t>
      </w:r>
      <w:r>
        <w:rPr>
          <w:rFonts w:hint="eastAsia" w:ascii="宋体" w:hAnsi="宋体" w:eastAsia="宋体" w:cs="宋体"/>
          <w:sz w:val="28"/>
          <w:szCs w:val="28"/>
          <w:lang w:eastAsia="zh-CN"/>
        </w:rPr>
        <w:t>领导干部</w:t>
      </w:r>
      <w:r>
        <w:rPr>
          <w:rFonts w:hint="eastAsia" w:ascii="宋体" w:hAnsi="宋体" w:eastAsia="宋体" w:cs="宋体"/>
          <w:sz w:val="28"/>
          <w:szCs w:val="28"/>
        </w:rPr>
        <w:t>。对各乡(镇)党委宣传委员的任免提出意见。负责有关重要宣传舆论阵地和重要岗位领导干部管理工作。统筹组织开展宣传思想文化系统干部教育培训和人才工作。</w:t>
      </w:r>
    </w:p>
    <w:p>
      <w:pPr>
        <w:ind w:firstLine="560" w:firstLineChars="200"/>
        <w:rPr>
          <w:rFonts w:hint="eastAsia" w:ascii="宋体" w:hAnsi="宋体" w:eastAsia="宋体" w:cs="宋体"/>
          <w:sz w:val="28"/>
          <w:szCs w:val="28"/>
          <w:lang w:eastAsia="zh-CN"/>
        </w:rPr>
      </w:pPr>
      <w:r>
        <w:rPr>
          <w:rFonts w:hint="eastAsia" w:ascii="宋体" w:hAnsi="宋体" w:eastAsia="宋体" w:cs="宋体"/>
          <w:sz w:val="28"/>
          <w:szCs w:val="28"/>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r>
        <w:rPr>
          <w:rFonts w:hint="eastAsia" w:ascii="宋体" w:hAnsi="宋体" w:eastAsia="宋体" w:cs="宋体"/>
          <w:sz w:val="28"/>
          <w:szCs w:val="28"/>
          <w:lang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560" w:firstLineChars="200"/>
        <w:jc w:val="left"/>
        <w:rPr>
          <w:rFonts w:hint="default" w:ascii="仿宋_GB2312" w:hAnsi="仿宋_GB2312" w:eastAsia="仿宋_GB2312" w:cs="仿宋_GB2312"/>
          <w:i w:val="0"/>
          <w:iCs w:val="0"/>
          <w:caps w:val="0"/>
          <w:color w:val="auto"/>
          <w:spacing w:val="0"/>
          <w:sz w:val="32"/>
          <w:szCs w:val="32"/>
          <w:highlight w:val="yellow"/>
          <w:shd w:val="clear" w:fill="FFFFFF"/>
        </w:rPr>
      </w:pPr>
      <w:r>
        <w:rPr>
          <w:rFonts w:hint="eastAsia" w:ascii="宋体" w:hAnsi="宋体" w:eastAsia="宋体" w:cs="宋体"/>
          <w:sz w:val="28"/>
          <w:szCs w:val="28"/>
        </w:rPr>
        <w:t>(十七)完成县委交办的其他任务。</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中国共产党高邑县委员会宣传部</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64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32"/>
                <w:szCs w:val="32"/>
                <w:lang w:eastAsia="zh-CN"/>
              </w:rPr>
              <w:t>我单位无二级预算单位，因此，中国共产党高邑县委员会宣传部202</w:t>
            </w: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lang w:eastAsia="zh-CN"/>
              </w:rPr>
              <w:t>年度单位决算即中国共产党高邑县委员会宣传部本级202</w:t>
            </w:r>
            <w:r>
              <w:rPr>
                <w:rFonts w:hint="eastAsia" w:ascii="仿宋_GB2312" w:hAnsi="Calibri" w:eastAsia="仿宋_GB2312" w:cs="ArialUnicodeMS"/>
                <w:kern w:val="0"/>
                <w:sz w:val="32"/>
                <w:szCs w:val="32"/>
                <w:lang w:val="en-US" w:eastAsia="zh-CN"/>
              </w:rPr>
              <w:t>3</w:t>
            </w:r>
            <w:r>
              <w:rPr>
                <w:rFonts w:hint="eastAsia" w:ascii="仿宋_GB2312" w:hAnsi="Calibri" w:eastAsia="仿宋_GB2312" w:cs="ArialUnicodeMS"/>
                <w:kern w:val="0"/>
                <w:sz w:val="32"/>
                <w:szCs w:val="32"/>
                <w:lang w:eastAsia="zh-CN"/>
              </w:rPr>
              <w:t>年度决算。”</w:t>
            </w:r>
          </w:p>
        </w:tc>
      </w:tr>
    </w:tbl>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编制部门（单位）：高邑县宣传部</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358.23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0.80</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编制部门（单位）：高邑县宣传部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359.63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359.63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206.52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150.55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55.97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87.69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国家电影事业发展专项资金安排的支出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2070701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资助国产影片放映</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86.29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宣传文化发展专项支出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2079999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其他文化旅游体育与传媒支出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72.29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0.36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16.81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10.29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6.53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编制部门（单位）：高邑县宣传部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215.97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144.46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88.49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88.49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国家电影事业发展专项资金安排的支出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2070701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资助国产影片放映</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宣传文化发展专项支出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10.29</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编制部门（单位）：高邑县宣传部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358.23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206.52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88.49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87.09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1.40</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26.29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16.81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22.31</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22.31</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359.63</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359.03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1.40</w:t>
            </w: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0.80</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0.80</w:t>
            </w: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360.43</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359.03</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1.40</w:t>
            </w: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1"/>
        <w:gridCol w:w="3416"/>
        <w:gridCol w:w="331"/>
        <w:gridCol w:w="982"/>
        <w:gridCol w:w="1037"/>
        <w:gridCol w:w="383"/>
        <w:gridCol w:w="17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编制部门（单位）：高邑县宣传部</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359.03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215.97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143.06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206.52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206.52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150.55</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2013302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55.97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87.09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宣传文化发展专项支出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14.80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2079999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其他文化旅游体育与传媒支出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0.36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3.64</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0.03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0.46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16.81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10.29</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10.29</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6.53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编制部门（单位）：高邑县宣传部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149.96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66.01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38.77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3.00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18.72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13.47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13.94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8.17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10.29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22.31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41.19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149.96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编制部门（单位）：高邑县宣传部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1.40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文化旅游体育与传媒支出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20707</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国家电影事业发展专项资金安排的支出</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01"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2070701</w:t>
            </w:r>
          </w:p>
        </w:tc>
        <w:tc>
          <w:tcPr>
            <w:tcW w:w="703"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资助国产影片放映</w:t>
            </w:r>
          </w:p>
        </w:tc>
        <w:tc>
          <w:tcPr>
            <w:tcW w:w="62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1.40</w:t>
            </w: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编制部门（单位）：高邑县宣传部</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注：本表反映部门本年度国有资本经营预算财政拨款支出情况。本单位本年度无相关收支及结余情况，按要求以空表列示。</w:t>
            </w:r>
          </w:p>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编制部门（单位）：高邑县宣传部</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3.40</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360.43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减少257.86万元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下降41.7%，</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活动减少，项目减少，财政拨款收入减少</w:t>
      </w:r>
      <w:r>
        <w:rPr>
          <w:rFonts w:hint="default" w:ascii="Times New Roman" w:hAnsi="Times New Roman" w:eastAsia="仿宋_GB2312" w:cs="Times New Roman"/>
          <w:kern w:val="2"/>
          <w:sz w:val="32"/>
          <w:szCs w:val="32"/>
          <w:lang w:val="en-US"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djustRightInd w:val="0"/>
        <w:snapToGrid w:val="0"/>
        <w:spacing w:line="580" w:lineRule="exact"/>
        <w:rPr>
          <w:rFonts w:hint="default" w:ascii="Times New Roman" w:hAnsi="Times New Roman" w:eastAsia="仿宋_GB2312" w:cs="Times New Roman"/>
          <w:kern w:val="2"/>
          <w:sz w:val="32"/>
          <w:szCs w:val="32"/>
          <w:highlight w:val="yellow"/>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359.63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359.63</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eastAsia="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360.43万元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215.97万元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占59.92%；</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144.46万元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占40.08%；</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年度财政拨款本年收入359.63</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减少256.5万元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降低41.63%，</w:t>
      </w:r>
      <w:r>
        <w:rPr>
          <w:rFonts w:hint="default" w:ascii="Times New Roman" w:hAnsi="Times New Roman" w:eastAsia="仿宋_GB2312" w:cs="Times New Roman"/>
          <w:color w:val="auto"/>
          <w:kern w:val="2"/>
          <w:sz w:val="32"/>
          <w:szCs w:val="32"/>
          <w:lang w:val="zh-CN" w:eastAsia="zh-CN" w:bidi="ar-SA"/>
        </w:rPr>
        <w:t>主要</w:t>
      </w:r>
      <w:r>
        <w:rPr>
          <w:rFonts w:hint="eastAsia" w:ascii="Times New Roman" w:hAnsi="Times New Roman" w:eastAsia="仿宋_GB2312" w:cs="Times New Roman"/>
          <w:color w:val="auto"/>
          <w:kern w:val="2"/>
          <w:sz w:val="32"/>
          <w:szCs w:val="32"/>
          <w:lang w:val="zh-CN" w:eastAsia="zh-CN" w:bidi="ar-SA"/>
        </w:rPr>
        <w:t>是厉行节约，活动减少</w:t>
      </w:r>
      <w:r>
        <w:rPr>
          <w:rFonts w:hint="default" w:ascii="Times New Roman" w:hAnsi="Times New Roman" w:eastAsia="仿宋_GB2312" w:cs="Times New Roman"/>
          <w:color w:val="auto"/>
          <w:kern w:val="2"/>
          <w:sz w:val="32"/>
          <w:szCs w:val="32"/>
          <w:lang w:val="zh-CN" w:eastAsia="zh-CN" w:bidi="ar-SA"/>
        </w:rPr>
        <w:t>；本年支出 360.43</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减少257.06万元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降低41.63%，</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活动减少，支出</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一般公共预算财政拨款本年收入358.23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减少247.9万元，降低40.9%，</w:t>
      </w:r>
      <w:r>
        <w:rPr>
          <w:rFonts w:hint="default" w:ascii="Times New Roman" w:hAnsi="Times New Roman" w:eastAsia="仿宋_GB2312" w:cs="Times New Roman"/>
          <w:kern w:val="2"/>
          <w:sz w:val="32"/>
          <w:szCs w:val="32"/>
          <w:lang w:val="zh-CN"/>
        </w:rPr>
        <w:t>主</w:t>
      </w:r>
      <w:r>
        <w:rPr>
          <w:rFonts w:hint="default" w:ascii="Times New Roman" w:hAnsi="Times New Roman" w:eastAsia="仿宋_GB2312" w:cs="Times New Roman"/>
          <w:color w:val="auto"/>
          <w:kern w:val="2"/>
          <w:sz w:val="32"/>
          <w:szCs w:val="32"/>
          <w:lang w:val="zh-CN"/>
        </w:rPr>
        <w:t>要是</w:t>
      </w:r>
      <w:r>
        <w:rPr>
          <w:rFonts w:hint="eastAsia" w:ascii="Times New Roman" w:hAnsi="Times New Roman" w:eastAsia="仿宋_GB2312" w:cs="Times New Roman"/>
          <w:color w:val="auto"/>
          <w:kern w:val="2"/>
          <w:sz w:val="32"/>
          <w:szCs w:val="32"/>
          <w:lang w:val="en-US" w:eastAsia="zh-CN"/>
        </w:rPr>
        <w:t>厉行节约，活动减少，项目减少</w:t>
      </w:r>
      <w:r>
        <w:rPr>
          <w:rFonts w:hint="default" w:ascii="Times New Roman" w:hAnsi="Times New Roman" w:eastAsia="仿宋_GB2312" w:cs="Times New Roman"/>
          <w:color w:val="auto"/>
          <w:kern w:val="2"/>
          <w:sz w:val="32"/>
          <w:szCs w:val="32"/>
          <w:lang w:val="zh-CN"/>
        </w:rPr>
        <w:t>；</w:t>
      </w:r>
      <w:r>
        <w:rPr>
          <w:rFonts w:hint="default" w:ascii="Times New Roman" w:hAnsi="Times New Roman" w:eastAsia="仿宋_GB2312" w:cs="Times New Roman"/>
          <w:kern w:val="2"/>
          <w:sz w:val="32"/>
          <w:szCs w:val="32"/>
          <w:lang w:val="zh-CN"/>
        </w:rPr>
        <w:t>本年支出 359.03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减少248.46万元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降低40.9%，</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rPr>
        <w:t>活动减少，项目减少</w:t>
      </w:r>
      <w:r>
        <w:rPr>
          <w:rFonts w:hint="default" w:ascii="Times New Roman" w:hAnsi="Times New Roman" w:eastAsia="仿宋_GB2312" w:cs="Times New Roman"/>
          <w:color w:val="auto"/>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政府性基金预算财政拨款本年收入1.4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减少8.6万元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降低86%，</w:t>
      </w:r>
      <w:r>
        <w:rPr>
          <w:rFonts w:hint="default" w:ascii="Times New Roman" w:hAnsi="Times New Roman" w:eastAsia="仿宋_GB2312" w:cs="Times New Roman"/>
          <w:kern w:val="2"/>
          <w:sz w:val="32"/>
          <w:szCs w:val="32"/>
          <w:lang w:val="zh-CN"/>
        </w:rPr>
        <w:t>主要原因是</w:t>
      </w:r>
      <w:r>
        <w:rPr>
          <w:rFonts w:hint="eastAsia" w:ascii="仿宋_GB2312" w:hAnsi="Times New Roman" w:eastAsia="仿宋_GB2312" w:cs="DengXian-Regular"/>
          <w:sz w:val="32"/>
          <w:szCs w:val="32"/>
          <w:lang w:eastAsia="zh-CN"/>
        </w:rPr>
        <w:t>电影费用减少</w:t>
      </w:r>
      <w:r>
        <w:rPr>
          <w:rFonts w:hint="default" w:ascii="Times New Roman" w:hAnsi="Times New Roman" w:eastAsia="仿宋_GB2312" w:cs="Times New Roman"/>
          <w:kern w:val="2"/>
          <w:sz w:val="32"/>
          <w:szCs w:val="32"/>
          <w:lang w:val="zh-CN"/>
        </w:rPr>
        <w:t>；本年支出 1.4</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减少8.6万元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降低86%，</w:t>
      </w:r>
      <w:r>
        <w:rPr>
          <w:rFonts w:hint="default" w:ascii="Times New Roman" w:hAnsi="Times New Roman" w:eastAsia="仿宋_GB2312" w:cs="Times New Roman"/>
          <w:kern w:val="2"/>
          <w:sz w:val="32"/>
          <w:szCs w:val="32"/>
          <w:lang w:val="zh-CN"/>
        </w:rPr>
        <w:t>主要是</w:t>
      </w:r>
      <w:r>
        <w:rPr>
          <w:rFonts w:hint="eastAsia" w:ascii="仿宋_GB2312" w:hAnsi="Times New Roman" w:eastAsia="仿宋_GB2312" w:cs="DengXian-Regular"/>
          <w:sz w:val="32"/>
          <w:szCs w:val="32"/>
          <w:lang w:eastAsia="zh-CN"/>
        </w:rPr>
        <w:t>电影费用减少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rPr>
      </w:pPr>
      <w:r>
        <w:rPr>
          <w:rFonts w:hint="default" w:ascii="Times New Roman" w:hAnsi="Times New Roman" w:eastAsia="仿宋_GB2312" w:cs="Times New Roman"/>
          <w:color w:val="auto"/>
          <w:kern w:val="2"/>
          <w:sz w:val="32"/>
          <w:szCs w:val="32"/>
          <w:lang w:val="zh-CN"/>
        </w:rPr>
        <w:t xml:space="preserve">3. </w:t>
      </w:r>
      <w:r>
        <w:rPr>
          <w:rFonts w:hint="eastAsia" w:ascii="仿宋_GB2312" w:hAnsi="Times New Roman" w:eastAsia="仿宋_GB2312" w:cs="DengXian-Regular"/>
          <w:color w:val="auto"/>
          <w:sz w:val="32"/>
          <w:szCs w:val="32"/>
          <w:highlight w:val="none"/>
        </w:rPr>
        <w:t>国有资本经营预算财政拨款</w:t>
      </w:r>
      <w:r>
        <w:rPr>
          <w:rFonts w:hint="eastAsia" w:ascii="仿宋_GB2312" w:hAnsi="Times New Roman" w:eastAsia="仿宋_GB2312" w:cs="DengXian-Regular"/>
          <w:color w:val="auto"/>
          <w:sz w:val="32"/>
          <w:szCs w:val="32"/>
          <w:highlight w:val="none"/>
          <w:lang w:val="en-US" w:eastAsia="zh-CN"/>
        </w:rPr>
        <w:t>2022年度、2023年度均无收支等相关数据</w:t>
      </w:r>
      <w:r>
        <w:rPr>
          <w:rFonts w:hint="default" w:ascii="Times New Roman" w:hAnsi="Times New Roman" w:eastAsia="仿宋_GB2312" w:cs="Times New Roman"/>
          <w:color w:val="auto"/>
          <w:kern w:val="2"/>
          <w:sz w:val="32"/>
          <w:szCs w:val="32"/>
          <w:lang w:val="zh-CN"/>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年度财政拨款本年收入359.63万元，完成年初预算的94.08%，比年初预算</w:t>
      </w:r>
      <w:r>
        <w:rPr>
          <w:rFonts w:hint="eastAsia" w:ascii="Times New Roman" w:hAnsi="Times New Roman" w:eastAsia="仿宋_GB2312" w:cs="Times New Roman"/>
          <w:sz w:val="30"/>
          <w:szCs w:val="30"/>
          <w:highlight w:val="none"/>
          <w:lang w:val="zh-CN"/>
        </w:rPr>
        <w:t>减少22.65万元</w:t>
      </w:r>
      <w:r>
        <w:rPr>
          <w:rFonts w:hint="default" w:ascii="Times New Roman" w:hAnsi="Times New Roman" w:eastAsia="仿宋_GB2312" w:cs="Times New Roman"/>
          <w:color w:val="auto"/>
          <w:kern w:val="2"/>
          <w:sz w:val="32"/>
          <w:szCs w:val="32"/>
          <w:lang w:val="zh-CN" w:eastAsia="zh-CN" w:bidi="ar-SA"/>
        </w:rPr>
        <w:t>，决算数小于预算数主要原因是</w:t>
      </w:r>
      <w:r>
        <w:rPr>
          <w:rFonts w:hint="eastAsia" w:ascii="Times New Roman" w:hAnsi="Times New Roman" w:eastAsia="仿宋_GB2312" w:cs="Times New Roman"/>
          <w:color w:val="auto"/>
          <w:kern w:val="2"/>
          <w:sz w:val="32"/>
          <w:szCs w:val="32"/>
          <w:lang w:val="zh-CN" w:eastAsia="zh-CN" w:bidi="ar-SA"/>
        </w:rPr>
        <w:t>活动减少，项目减少</w:t>
      </w:r>
      <w:r>
        <w:rPr>
          <w:rFonts w:hint="default" w:ascii="Times New Roman" w:hAnsi="Times New Roman" w:eastAsia="仿宋_GB2312" w:cs="Times New Roman"/>
          <w:color w:val="auto"/>
          <w:kern w:val="2"/>
          <w:sz w:val="32"/>
          <w:szCs w:val="32"/>
          <w:lang w:val="zh-CN" w:eastAsia="zh-CN" w:bidi="ar-SA"/>
        </w:rPr>
        <w:t>；本年支出360.43万元，完成年初预算的94.28%，比年初预算</w:t>
      </w:r>
      <w:r>
        <w:rPr>
          <w:rFonts w:hint="eastAsia" w:ascii="Times New Roman" w:hAnsi="Times New Roman" w:eastAsia="仿宋_GB2312" w:cs="Times New Roman"/>
          <w:sz w:val="30"/>
          <w:szCs w:val="30"/>
          <w:highlight w:val="none"/>
          <w:lang w:val="zh-CN"/>
        </w:rPr>
        <w:t>减少21.85万元</w:t>
      </w:r>
      <w:r>
        <w:rPr>
          <w:rFonts w:hint="default" w:ascii="Times New Roman" w:hAnsi="Times New Roman" w:eastAsia="仿宋_GB2312" w:cs="Times New Roman"/>
          <w:color w:val="auto"/>
          <w:kern w:val="2"/>
          <w:sz w:val="32"/>
          <w:szCs w:val="32"/>
          <w:lang w:val="zh-CN" w:eastAsia="zh-CN" w:bidi="ar-SA"/>
        </w:rPr>
        <w:t>，决算数小于</w:t>
      </w:r>
      <w:r>
        <w:rPr>
          <w:rFonts w:hint="default"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color w:val="auto"/>
          <w:kern w:val="2"/>
          <w:sz w:val="32"/>
          <w:szCs w:val="32"/>
          <w:lang w:val="zh-CN" w:eastAsia="zh-CN" w:bidi="ar-SA"/>
        </w:rPr>
        <w:t>活动减少，项目减少</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收入358.23万元，完成年初预算的 93.96%，比年初预算</w:t>
      </w:r>
      <w:r>
        <w:rPr>
          <w:rFonts w:hint="eastAsia" w:ascii="Times New Roman" w:hAnsi="Times New Roman" w:eastAsia="仿宋_GB2312" w:cs="Times New Roman"/>
          <w:sz w:val="30"/>
          <w:szCs w:val="30"/>
          <w:highlight w:val="none"/>
          <w:lang w:val="zh-CN"/>
        </w:rPr>
        <w:t>减少23.05万元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zh-CN" w:eastAsia="zh-CN" w:bidi="ar-SA"/>
        </w:rPr>
        <w:t>活动减少，项目减少</w:t>
      </w:r>
      <w:r>
        <w:rPr>
          <w:rFonts w:hint="default" w:ascii="Times New Roman" w:hAnsi="Times New Roman" w:eastAsia="仿宋_GB2312" w:cs="Times New Roman"/>
          <w:color w:val="auto"/>
          <w:kern w:val="2"/>
          <w:sz w:val="32"/>
          <w:szCs w:val="32"/>
          <w:lang w:val="zh-CN"/>
        </w:rPr>
        <w:t>；本年支出359.03万元，完成年初预算的94.16%，比年初预算</w:t>
      </w:r>
      <w:r>
        <w:rPr>
          <w:rFonts w:hint="eastAsia" w:ascii="Times New Roman" w:hAnsi="Times New Roman" w:eastAsia="仿宋_GB2312" w:cs="Times New Roman"/>
          <w:color w:val="auto"/>
          <w:sz w:val="30"/>
          <w:szCs w:val="30"/>
          <w:highlight w:val="none"/>
          <w:lang w:val="zh-CN"/>
        </w:rPr>
        <w:t>减少22.25万元</w:t>
      </w:r>
      <w:r>
        <w:rPr>
          <w:rFonts w:hint="default" w:ascii="Times New Roman" w:hAnsi="Times New Roman" w:eastAsia="仿宋_GB2312" w:cs="Times New Roman"/>
          <w:color w:val="auto"/>
          <w:kern w:val="2"/>
          <w:sz w:val="32"/>
          <w:szCs w:val="32"/>
          <w:lang w:val="zh-CN"/>
        </w:rPr>
        <w:t>，主要原因是主要是</w:t>
      </w:r>
      <w:r>
        <w:rPr>
          <w:rFonts w:hint="eastAsia" w:ascii="Times New Roman" w:hAnsi="Times New Roman" w:eastAsia="仿宋_GB2312" w:cs="Times New Roman"/>
          <w:color w:val="auto"/>
          <w:kern w:val="2"/>
          <w:sz w:val="32"/>
          <w:szCs w:val="32"/>
          <w:lang w:val="zh-CN" w:eastAsia="zh-CN" w:bidi="ar-SA"/>
        </w:rPr>
        <w:t>活动减少，项目减少</w:t>
      </w:r>
      <w:r>
        <w:rPr>
          <w:rFonts w:hint="default" w:ascii="Times New Roman" w:hAnsi="Times New Roman" w:eastAsia="仿宋_GB2312" w:cs="Times New Roman"/>
          <w:color w:val="auto"/>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政府性基金预算财政拨款本年收入1.4万元，完成年初预算的140%，比年初预算</w:t>
      </w:r>
      <w:r>
        <w:rPr>
          <w:rFonts w:hint="eastAsia" w:ascii="Times New Roman" w:hAnsi="Times New Roman" w:eastAsia="仿宋_GB2312" w:cs="Times New Roman"/>
          <w:sz w:val="30"/>
          <w:szCs w:val="30"/>
          <w:highlight w:val="none"/>
          <w:lang w:val="zh-CN"/>
        </w:rPr>
        <w:t>增加0.4万元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电影资金增多</w:t>
      </w:r>
      <w:r>
        <w:rPr>
          <w:rFonts w:hint="default" w:ascii="Times New Roman" w:hAnsi="Times New Roman" w:eastAsia="仿宋_GB2312" w:cs="Times New Roman"/>
          <w:kern w:val="2"/>
          <w:sz w:val="32"/>
          <w:szCs w:val="32"/>
          <w:lang w:val="zh-CN"/>
        </w:rPr>
        <w:t>；本年支出1.4万元，完成年初预算的140%，比年初预算</w:t>
      </w:r>
      <w:r>
        <w:rPr>
          <w:rFonts w:hint="eastAsia" w:ascii="Times New Roman" w:hAnsi="Times New Roman" w:eastAsia="仿宋_GB2312" w:cs="Times New Roman"/>
          <w:sz w:val="30"/>
          <w:szCs w:val="30"/>
          <w:highlight w:val="none"/>
          <w:lang w:val="zh-CN"/>
        </w:rPr>
        <w:t>增加0.4万元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电影资金增多</w:t>
      </w:r>
      <w:r>
        <w:rPr>
          <w:rFonts w:hint="default" w:ascii="Times New Roman" w:hAnsi="Times New Roman" w:eastAsia="仿宋_GB2312" w:cs="Times New Roman"/>
          <w:kern w:val="2"/>
          <w:sz w:val="32"/>
          <w:szCs w:val="32"/>
          <w:lang w:val="zh-CN"/>
        </w:rPr>
        <w:t>。</w:t>
      </w:r>
    </w:p>
    <w:p>
      <w:pPr>
        <w:adjustRightInd w:val="0"/>
        <w:snapToGrid w:val="0"/>
        <w:spacing w:line="580" w:lineRule="exact"/>
        <w:ind w:firstLine="640" w:firstLineChars="200"/>
        <w:rPr>
          <w:rFonts w:hint="default" w:ascii="Times New Roman" w:hAnsi="Times New Roman" w:eastAsia="Arial" w:cs="Times New Roman"/>
          <w:highlight w:val="none"/>
        </w:rPr>
      </w:pPr>
      <w:r>
        <w:rPr>
          <w:rFonts w:hint="default" w:ascii="Times New Roman" w:hAnsi="Times New Roman" w:eastAsia="仿宋_GB2312" w:cs="Times New Roman"/>
          <w:kern w:val="2"/>
          <w:sz w:val="32"/>
          <w:szCs w:val="32"/>
          <w:lang w:val="zh-CN"/>
        </w:rPr>
        <w:t>3.</w:t>
      </w:r>
      <w:r>
        <w:rPr>
          <w:rFonts w:hint="default" w:ascii="Times New Roman" w:hAnsi="Times New Roman" w:eastAsia="仿宋_GB2312" w:cs="Times New Roman"/>
          <w:color w:val="auto"/>
          <w:kern w:val="2"/>
          <w:sz w:val="32"/>
          <w:szCs w:val="32"/>
          <w:lang w:val="zh-CN"/>
        </w:rPr>
        <w:t xml:space="preserve"> </w:t>
      </w:r>
      <w:r>
        <w:rPr>
          <w:rFonts w:hint="eastAsia" w:ascii="仿宋_GB2312" w:hAnsi="Times New Roman" w:eastAsia="仿宋_GB2312" w:cs="DengXian-Regular"/>
          <w:color w:val="auto"/>
          <w:sz w:val="32"/>
          <w:szCs w:val="32"/>
          <w:highlight w:val="none"/>
        </w:rPr>
        <w:t>国有资本经营预算财政拨款本年</w:t>
      </w:r>
      <w:r>
        <w:rPr>
          <w:rFonts w:hint="eastAsia" w:ascii="仿宋_GB2312" w:hAnsi="Times New Roman" w:eastAsia="仿宋_GB2312" w:cs="DengXian-Regular"/>
          <w:color w:val="auto"/>
          <w:sz w:val="32"/>
          <w:szCs w:val="32"/>
          <w:highlight w:val="none"/>
          <w:lang w:eastAsia="zh-CN"/>
        </w:rPr>
        <w:t>无预、决算收支等相关数据</w:t>
      </w:r>
      <w:r>
        <w:rPr>
          <w:rFonts w:hint="eastAsia" w:ascii="仿宋_GB2312" w:hAnsi="Times New Roman" w:eastAsia="仿宋_GB2312" w:cs="DengXian-Regular"/>
          <w:color w:val="auto"/>
          <w:sz w:val="32"/>
          <w:szCs w:val="32"/>
          <w:highlight w:val="none"/>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年度财政拨款支出360.43万元，主要用于以下方面：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一般公共服务（类）支出206.52万元，占57.3%；文化旅游体育与传媒（类）支出88.49万元，占24.55%；社会保障和就业 （类）支出26.29万元，占7.3%；卫生健康（类）支出16.81万元，占4.67%；住房保障（类）支出22.31万元，占6.19%。</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5240" b="17145"/>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年度财政拨款基本支出215.97万元，其中：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人员经费149.96万元，</w:t>
      </w:r>
      <w:r>
        <w:rPr>
          <w:rFonts w:hint="eastAsia" w:ascii="仿宋_GB2312" w:hAnsi="Times New Roman" w:eastAsia="仿宋_GB2312" w:cs="DengXian-Regular"/>
          <w:sz w:val="32"/>
          <w:szCs w:val="32"/>
        </w:rPr>
        <w:t>主要包括基本工资、津贴补贴、奖金、绩效工资、机关事业单位基本养老保险缴费、职业年金缴费、职工基本医疗保险缴费、公务员医疗补助缴费、住房公积金、医疗费、其他社会保障缴费、其他工资福利支出、退休费、生活补助、医疗费补助、奖励金、其他对个人和家庭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公用经费66.01万元，</w:t>
      </w:r>
      <w:r>
        <w:rPr>
          <w:rFonts w:hint="eastAsia" w:ascii="仿宋_GB2312" w:hAnsi="Times New Roman" w:eastAsia="仿宋_GB2312" w:cs="DengXian-Regular"/>
          <w:sz w:val="32"/>
          <w:szCs w:val="32"/>
        </w:rPr>
        <w:t>主要包括办公费、印刷费、水费、电费、邮电费、取暖费、差旅费、维修（护）费、租赁费、会议费、培训费、公务接待费、劳务费、委托业务费、工会经费、福利费、公务用车运行维护费、其他交通费用、其他商品和服务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年度“三公”经费财政拨款支出预算为3.4万元，支出决算为3.4万元，完成预算的100%，</w:t>
      </w:r>
      <w:r>
        <w:rPr>
          <w:rFonts w:hint="eastAsia" w:ascii="Times New Roman" w:hAnsi="Times New Roman" w:eastAsia="仿宋_GB2312" w:cs="Times New Roman"/>
          <w:color w:val="auto"/>
          <w:kern w:val="2"/>
          <w:sz w:val="32"/>
          <w:szCs w:val="32"/>
          <w:lang w:val="zh-CN" w:eastAsia="zh-CN" w:bidi="ar-SA"/>
        </w:rPr>
        <w:t>与全年</w:t>
      </w:r>
      <w:r>
        <w:rPr>
          <w:rFonts w:hint="default" w:ascii="Times New Roman" w:hAnsi="Times New Roman" w:eastAsia="仿宋_GB2312" w:cs="Times New Roman"/>
          <w:color w:val="auto"/>
          <w:kern w:val="2"/>
          <w:sz w:val="32"/>
          <w:szCs w:val="32"/>
          <w:lang w:val="zh-CN" w:eastAsia="zh-CN" w:bidi="ar-SA"/>
        </w:rPr>
        <w:t>预算</w:t>
      </w:r>
      <w:r>
        <w:rPr>
          <w:rFonts w:hint="eastAsia" w:ascii="Times New Roman" w:hAnsi="Times New Roman" w:eastAsia="仿宋_GB2312" w:cs="Times New Roman"/>
          <w:color w:val="auto"/>
          <w:kern w:val="2"/>
          <w:sz w:val="32"/>
          <w:szCs w:val="32"/>
          <w:lang w:val="zh-CN" w:eastAsia="zh-CN" w:bidi="ar-SA"/>
        </w:rPr>
        <w:t>持平。与</w:t>
      </w:r>
      <w:r>
        <w:rPr>
          <w:rFonts w:hint="default" w:ascii="Times New Roman" w:hAnsi="Times New Roman" w:eastAsia="仿宋_GB2312" w:cs="Times New Roman"/>
          <w:color w:val="auto"/>
          <w:kern w:val="2"/>
          <w:sz w:val="32"/>
          <w:szCs w:val="32"/>
          <w:lang w:val="zh-CN" w:eastAsia="zh-CN" w:bidi="ar-SA"/>
        </w:rPr>
        <w:t>2022年度决算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。因公出国（境）团组0个、共0人、参加其他单位组织的因公出国（境）团组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个、共</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en-US" w:eastAsia="zh-CN" w:bidi="ar-SA"/>
        </w:rPr>
        <w:t>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年度公务用车购置及运行维护费预算为3.4万元，支出决算 3.4万元，完成预算的100%,较预算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。其中：</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Arial" w:cs="Times New Roman"/>
          <w:highlight w:val="none"/>
        </w:rPr>
      </w:pP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年度公务用车购置量0辆，发生“公务用车购置”经费支出 0万元。公务用车购置费支出较预算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，主要是</w:t>
      </w:r>
      <w:r>
        <w:rPr>
          <w:rFonts w:hint="eastAsia" w:ascii="仿宋_GB2312" w:hAnsi="Times New Roman" w:eastAsia="仿宋_GB2312" w:cs="Wingdings"/>
          <w:sz w:val="32"/>
          <w:szCs w:val="32"/>
          <w:lang w:val="en-US" w:eastAsia="zh-CN"/>
        </w:rPr>
        <w:t>无公车购置需求</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主要原因是</w:t>
      </w:r>
      <w:r>
        <w:rPr>
          <w:rFonts w:hint="eastAsia" w:ascii="仿宋_GB2312" w:hAnsi="Times New Roman" w:eastAsia="仿宋_GB2312" w:cs="Wingdings"/>
          <w:sz w:val="32"/>
          <w:szCs w:val="32"/>
          <w:lang w:eastAsia="zh-CN"/>
        </w:rPr>
        <w:t>未发生“公务用车购置”经费支出</w:t>
      </w:r>
      <w:r>
        <w:rPr>
          <w:rFonts w:hint="eastAsia" w:ascii="仿宋_GB2312" w:hAnsi="Times New Roman" w:eastAsia="仿宋_GB2312" w:cs="Wingdings"/>
          <w:sz w:val="32"/>
          <w:szCs w:val="32"/>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3.4</w:t>
      </w:r>
      <w:r>
        <w:rPr>
          <w:rFonts w:hint="default" w:ascii="Times New Roman" w:hAnsi="Times New Roman" w:eastAsia="仿宋_GB2312" w:cs="Times New Roman"/>
          <w:b/>
          <w:sz w:val="32"/>
          <w:szCs w:val="32"/>
        </w:rPr>
        <w:t>万元：</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年度单位公务用车保有量1辆，发生运行维护费支出3.4万元。公车运行维护费支出较预算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年度机关运行经费支出66.01万元，较2022年度</w:t>
      </w:r>
      <w:r>
        <w:rPr>
          <w:rFonts w:hint="eastAsia" w:ascii="Times New Roman" w:hAnsi="Times New Roman" w:eastAsia="仿宋_GB2312" w:cs="Times New Roman"/>
          <w:color w:val="auto"/>
          <w:kern w:val="2"/>
          <w:sz w:val="32"/>
          <w:szCs w:val="32"/>
          <w:lang w:val="zh-CN" w:eastAsia="zh-CN" w:bidi="ar-SA"/>
        </w:rPr>
        <w:t>增加40.11万元，增长154.83%，</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人员增加，费用增加</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年度政府采购支出总额0万元，从采购类型来看，政府采购货物支出0万元、政府采购工程支出0万元、政府采购服务支出0万元。授予中小企业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0万元，占政府采购支出总额的0%，其中授予小微企业合同金额0万元，占政府采购支出总额的0%。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无相关需求</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用车0辆，机要通信用车1辆，应急保障用车0辆，执法执勤用车0辆，特种专业技术用车0辆，离退休干部用车0辆，其他用车0辆，其他用车</w:t>
      </w:r>
      <w:r>
        <w:rPr>
          <w:rFonts w:hint="eastAsia" w:ascii="Times New Roman" w:hAnsi="Times New Roman" w:eastAsia="仿宋_GB2312" w:cs="Times New Roman"/>
          <w:color w:val="auto"/>
          <w:kern w:val="2"/>
          <w:sz w:val="32"/>
          <w:szCs w:val="32"/>
          <w:lang w:val="en-US" w:eastAsia="zh-CN" w:bidi="ar-SA"/>
        </w:rPr>
        <w:t>0辆。</w:t>
      </w:r>
      <w:r>
        <w:rPr>
          <w:rFonts w:hint="default" w:ascii="Times New Roman" w:hAnsi="Times New Roman" w:eastAsia="仿宋_GB2312" w:cs="Times New Roman"/>
          <w:color w:val="auto"/>
          <w:kern w:val="2"/>
          <w:sz w:val="32"/>
          <w:szCs w:val="32"/>
          <w:lang w:val="zh-CN" w:eastAsia="zh-CN" w:bidi="ar-SA"/>
        </w:rPr>
        <w:t xml:space="preserve"> </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根据预算绩效管理要求，本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组织对202</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年度一般公共预算项目支出全面开展绩效自评，其中，一般公共预算项目</w:t>
      </w:r>
      <w:r>
        <w:rPr>
          <w:rFonts w:hint="eastAsia" w:ascii="仿宋_GB2312" w:hAnsi="Times New Roman" w:eastAsia="仿宋_GB2312" w:cs="DengXian-Regular"/>
          <w:sz w:val="32"/>
          <w:szCs w:val="32"/>
          <w:lang w:val="en-US" w:eastAsia="zh-CN"/>
        </w:rPr>
        <w:t>8</w:t>
      </w:r>
      <w:r>
        <w:rPr>
          <w:rFonts w:hint="eastAsia" w:ascii="仿宋_GB2312" w:hAnsi="Times New Roman" w:eastAsia="仿宋_GB2312" w:cs="DengXian-Regular"/>
          <w:sz w:val="32"/>
          <w:szCs w:val="32"/>
        </w:rPr>
        <w:t>个，共涉及资金</w:t>
      </w:r>
      <w:r>
        <w:rPr>
          <w:rFonts w:hint="eastAsia" w:ascii="仿宋_GB2312" w:hAnsi="Times New Roman" w:eastAsia="仿宋_GB2312" w:cs="DengXian-Regular"/>
          <w:sz w:val="32"/>
          <w:szCs w:val="32"/>
          <w:lang w:val="en-US" w:eastAsia="zh-CN"/>
        </w:rPr>
        <w:t>143.058</w:t>
      </w:r>
      <w:r>
        <w:rPr>
          <w:rFonts w:hint="eastAsia" w:ascii="仿宋_GB2312" w:hAnsi="Times New Roman" w:eastAsia="仿宋_GB2312" w:cs="DengXian-Regular"/>
          <w:sz w:val="32"/>
          <w:szCs w:val="32"/>
        </w:rPr>
        <w:t>万元，占一般公共预算项目支出总额的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%。组织对</w:t>
      </w:r>
      <w:r>
        <w:rPr>
          <w:rFonts w:hint="eastAsia" w:ascii="仿宋_GB2312" w:hAnsi="Times New Roman" w:eastAsia="仿宋_GB2312" w:cs="DengXian-Regular"/>
          <w:sz w:val="32"/>
          <w:szCs w:val="32"/>
          <w:lang w:val="en-US" w:eastAsia="zh-CN"/>
        </w:rPr>
        <w:t>2023年中央、省级国家电影事业发展专项资金1</w:t>
      </w:r>
      <w:r>
        <w:rPr>
          <w:rFonts w:hint="eastAsia" w:ascii="仿宋_GB2312" w:hAnsi="Times New Roman" w:eastAsia="仿宋_GB2312" w:cs="DengXian-Regular"/>
          <w:sz w:val="32"/>
          <w:szCs w:val="32"/>
        </w:rPr>
        <w:t>个政府性基金预算项目支出开展绩效自评，共涉及资金</w:t>
      </w:r>
      <w:r>
        <w:rPr>
          <w:rFonts w:hint="eastAsia" w:ascii="仿宋_GB2312" w:hAnsi="Times New Roman" w:eastAsia="仿宋_GB2312" w:cs="DengXian-Regular"/>
          <w:sz w:val="32"/>
          <w:szCs w:val="32"/>
          <w:lang w:val="en-US" w:eastAsia="zh-CN"/>
        </w:rPr>
        <w:t>1.4</w:t>
      </w:r>
      <w:r>
        <w:rPr>
          <w:rFonts w:hint="eastAsia" w:ascii="仿宋_GB2312" w:hAnsi="Times New Roman" w:eastAsia="仿宋_GB2312" w:cs="DengXian-Regular"/>
          <w:sz w:val="32"/>
          <w:szCs w:val="32"/>
        </w:rPr>
        <w:t>万元，占政府性基金预算项目支出总额的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p>
    <w:p>
      <w:pPr>
        <w:adjustRightInd w:val="0"/>
        <w:snapToGrid w:val="0"/>
        <w:spacing w:line="600" w:lineRule="exact"/>
        <w:ind w:firstLine="640" w:firstLineChars="200"/>
        <w:rPr>
          <w:rFonts w:hint="default" w:ascii="Times New Roman" w:hAnsi="Times New Roman" w:eastAsia="Arial" w:cs="Times New Roman"/>
          <w:highlight w:val="none"/>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思想道德理论建设</w:t>
      </w:r>
      <w:r>
        <w:rPr>
          <w:rFonts w:hint="eastAsia" w:ascii="仿宋_GB2312" w:hAnsi="仿宋_GB2312" w:eastAsia="仿宋_GB2312" w:cs="仿宋_GB2312"/>
          <w:sz w:val="32"/>
          <w:szCs w:val="32"/>
        </w:rPr>
        <w:t>”等项目开展了</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重点评价，涉及一般公共预算支出</w:t>
      </w:r>
      <w:r>
        <w:rPr>
          <w:rFonts w:hint="eastAsia" w:ascii="仿宋_GB2312" w:hAnsi="Times New Roman" w:eastAsia="仿宋_GB2312" w:cs="DengXian-Regular"/>
          <w:sz w:val="32"/>
          <w:szCs w:val="32"/>
          <w:lang w:val="en-US" w:eastAsia="zh-CN"/>
        </w:rPr>
        <w:t>143.058</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val="en-US" w:eastAsia="zh-CN"/>
        </w:rPr>
        <w:t>2023年农村电影公益放映场次补贴</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思想道德理论建设</w:t>
      </w:r>
      <w:r>
        <w:rPr>
          <w:rFonts w:hint="eastAsia" w:ascii="仿宋_GB2312" w:hAnsi="仿宋_GB2312" w:eastAsia="仿宋_GB2312" w:cs="仿宋_GB2312"/>
          <w:sz w:val="32"/>
          <w:szCs w:val="32"/>
        </w:rPr>
        <w:t>”等项目</w:t>
      </w:r>
      <w:r>
        <w:rPr>
          <w:rFonts w:hint="eastAsia" w:ascii="仿宋_GB2312" w:hAnsi="仿宋_GB2312" w:eastAsia="仿宋_GB2312" w:cs="仿宋_GB2312"/>
          <w:sz w:val="32"/>
          <w:szCs w:val="32"/>
          <w:lang w:eastAsia="zh-CN"/>
        </w:rPr>
        <w:t>利用单位</w:t>
      </w:r>
      <w:r>
        <w:rPr>
          <w:rFonts w:hint="eastAsia" w:ascii="仿宋_GB2312" w:hAnsi="仿宋_GB2312" w:eastAsia="仿宋_GB2312" w:cs="仿宋_GB2312"/>
          <w:sz w:val="32"/>
          <w:szCs w:val="32"/>
        </w:rPr>
        <w:t>内评审机构开展绩效评价。</w:t>
      </w:r>
      <w:bookmarkStart w:id="0" w:name="_GoBack"/>
      <w:bookmarkEnd w:id="0"/>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（二）部门决算中项目绩效自评结果</w:t>
      </w:r>
    </w:p>
    <w:p>
      <w:pPr>
        <w:adjustRightInd w:val="0"/>
        <w:snapToGrid w:val="0"/>
        <w:spacing w:line="580" w:lineRule="exact"/>
        <w:ind w:firstLine="660" w:firstLineChars="200"/>
        <w:rPr>
          <w:rFonts w:hint="eastAsia" w:ascii="仿宋_GB2312" w:hAnsi="仿宋_GB2312" w:eastAsia="仿宋_GB2312" w:cs="仿宋_GB2312"/>
          <w:sz w:val="32"/>
          <w:szCs w:val="32"/>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2023年农村电影公益放映场次补贴</w:t>
      </w:r>
      <w:r>
        <w:rPr>
          <w:rFonts w:hint="eastAsia" w:ascii="仿宋_GB2312" w:hAnsi="仿宋_GB2312" w:eastAsia="仿宋_GB2312" w:cs="仿宋_GB2312"/>
          <w:sz w:val="32"/>
          <w:szCs w:val="32"/>
        </w:rPr>
        <w:t>”项目绩效自评结果。</w:t>
      </w:r>
    </w:p>
    <w:p>
      <w:pPr>
        <w:numPr>
          <w:ilvl w:val="0"/>
          <w:numId w:val="0"/>
        </w:numPr>
        <w:adjustRightInd w:val="0"/>
        <w:snapToGrid w:val="0"/>
        <w:spacing w:line="580" w:lineRule="exact"/>
        <w:ind w:firstLine="320" w:firstLineChars="1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2023年农村电影公益放映场次补贴</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val="en-US" w:eastAsia="zh-CN"/>
        </w:rPr>
        <w:t>2023年农村电影公益放映场次补贴</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13.218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13.218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。项目绩效目标完成情况：公益电影放映场次补贴。107个村每村每月放映1场电影，每场电影补助200元.（中央：省：县比例为10:3:7）保障农民群众观看公益电影</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发现的主要问题及原因及下一步改进措施：在设置总体目标和具体绩效指标时，牢牢把握关联性、可控性、可实施性，精准性，可衡量和低成本的原则，根据各项预算特点设置相应绩效目标。但由于绩效目标管理经验不足，导致预算绩效目标设置和绩效指标编制水平有待进一步提高。</w:t>
      </w:r>
    </w:p>
    <w:p>
      <w:p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1、部分绩效指标设定不易量化，只能用定性方法考核，造成评分具有一定主观性；</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2、部分评价指标的设置不够合理和科学，主要原因是设置评价指标时，和主管科室的沟通不及时。</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3、评价指标不够祥细，主要原因是未从多方面考虑绩效评价指标。</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整改措施</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1、在工作中根据不断出现的新情况和发现的新问题，逐步完善项目绩效评价管理体系，进一步提高项目绩效管理水平；</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对相关人员加强培训，特别是针对《预算法》，《政府会计制度》，项目立项规范，绩效评价相关方针、政策以及市财政有关规定等的学习培训，切实提高</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预算收支管理水平、项目立项管理水平和绩效目标管理水平。</w:t>
      </w: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p>
      <w:pPr>
        <w:widowControl w:val="0"/>
        <w:numPr>
          <w:ilvl w:val="0"/>
          <w:numId w:val="0"/>
        </w:numPr>
        <w:adjustRightInd w:val="0"/>
        <w:snapToGrid w:val="0"/>
        <w:spacing w:line="580" w:lineRule="exact"/>
        <w:jc w:val="both"/>
        <w:rPr>
          <w:rFonts w:hint="eastAsia" w:ascii="仿宋_GB2312" w:hAnsi="仿宋_GB2312" w:eastAsia="仿宋_GB2312" w:cs="仿宋_GB2312"/>
          <w:sz w:val="32"/>
          <w:szCs w:val="32"/>
        </w:rPr>
      </w:pP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10"/>
        <w:gridCol w:w="1725"/>
        <w:gridCol w:w="915"/>
        <w:gridCol w:w="1324"/>
        <w:gridCol w:w="881"/>
        <w:gridCol w:w="780"/>
        <w:gridCol w:w="877"/>
        <w:gridCol w:w="8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5000" w:type="pct"/>
            <w:gridSpan w:val="8"/>
            <w:vMerge w:val="restart"/>
            <w:tcBorders>
              <w:top w:val="nil"/>
              <w:left w:val="nil"/>
              <w:bottom w:val="nil"/>
              <w:right w:val="nil"/>
            </w:tcBorders>
            <w:shd w:val="clear" w:color="auto" w:fill="auto"/>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县级部门预算项目绩效自评表</w:t>
            </w:r>
            <w:r>
              <w:rPr>
                <w:rFonts w:hint="default" w:ascii="方正小标宋_GBK" w:hAnsi="方正小标宋_GBK" w:eastAsia="方正小标宋_GBK" w:cs="方正小标宋_GBK"/>
                <w:i w:val="0"/>
                <w:iCs w:val="0"/>
                <w:color w:val="000000"/>
                <w:kern w:val="0"/>
                <w:sz w:val="32"/>
                <w:szCs w:val="32"/>
                <w:u w:val="none"/>
                <w:lang w:val="en-US" w:eastAsia="zh-CN" w:bidi="ar"/>
              </w:rPr>
              <w:br w:type="textWrapping"/>
            </w:r>
            <w:r>
              <w:rPr>
                <w:rFonts w:hint="default" w:ascii="方正小标宋_GBK" w:hAnsi="方正小标宋_GBK" w:eastAsia="方正小标宋_GBK" w:cs="方正小标宋_GBK"/>
                <w:i w:val="0"/>
                <w:iCs w:val="0"/>
                <w:color w:val="000000"/>
                <w:kern w:val="0"/>
                <w:sz w:val="32"/>
                <w:szCs w:val="32"/>
                <w:u w:val="none"/>
                <w:lang w:val="en-US" w:eastAsia="zh-CN" w:bidi="ar"/>
              </w:rPr>
              <w:t>（2023年度）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5000" w:type="pct"/>
            <w:gridSpan w:val="8"/>
            <w:vMerge w:val="continue"/>
            <w:tcBorders>
              <w:top w:val="nil"/>
              <w:left w:val="nil"/>
              <w:bottom w:val="nil"/>
              <w:right w:val="nil"/>
            </w:tcBorders>
            <w:shd w:val="clear" w:color="auto" w:fill="auto"/>
            <w:vAlign w:val="center"/>
          </w:tcPr>
          <w:p>
            <w:pPr>
              <w:jc w:val="center"/>
              <w:rPr>
                <w:rFonts w:hint="default" w:ascii="方正小标宋_GBK" w:hAnsi="方正小标宋_GBK" w:eastAsia="方正小标宋_GBK" w:cs="方正小标宋_GBK"/>
                <w:i w:val="0"/>
                <w:iCs w:val="0"/>
                <w:color w:val="000000"/>
                <w:sz w:val="32"/>
                <w:szCs w:val="3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填报单位：</w:t>
            </w:r>
          </w:p>
        </w:tc>
        <w:tc>
          <w:tcPr>
            <w:tcW w:w="1012"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中国共产党高邑县委员会宣传部</w:t>
            </w:r>
          </w:p>
        </w:tc>
        <w:tc>
          <w:tcPr>
            <w:tcW w:w="53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77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51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457"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514"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金额单位：万元</w:t>
            </w:r>
          </w:p>
        </w:tc>
        <w:tc>
          <w:tcPr>
            <w:tcW w:w="475"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40" w:hRule="atLeast"/>
        </w:trPr>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一、基本情况</w:t>
            </w:r>
          </w:p>
        </w:tc>
        <w:tc>
          <w:tcPr>
            <w:tcW w:w="1012"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131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2023</w:t>
            </w:r>
            <w:r>
              <w:rPr>
                <w:rFonts w:hint="eastAsia" w:ascii="宋体" w:hAnsi="宋体" w:eastAsia="宋体" w:cs="宋体"/>
                <w:i w:val="0"/>
                <w:iCs w:val="0"/>
                <w:color w:val="000000"/>
                <w:kern w:val="0"/>
                <w:sz w:val="24"/>
                <w:szCs w:val="24"/>
                <w:u w:val="none"/>
                <w:lang w:val="en-US" w:eastAsia="zh-CN" w:bidi="ar"/>
              </w:rPr>
              <w:t>年农村电影公益放映场次补贴资金（省级和县配套）</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实施（主管）单位</w:t>
            </w:r>
          </w:p>
        </w:tc>
        <w:tc>
          <w:tcPr>
            <w:tcW w:w="144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中国共产党高邑县委员会宣传部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09"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二、预算执行情况</w:t>
            </w:r>
          </w:p>
        </w:tc>
        <w:tc>
          <w:tcPr>
            <w:tcW w:w="154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预算安排情况（调整后）</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资金到位情况</w:t>
            </w:r>
          </w:p>
        </w:tc>
        <w:tc>
          <w:tcPr>
            <w:tcW w:w="972"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资金执行情况</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预算数：</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7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到位数：</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执行数：</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7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其中：财政资金</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13.218</w:t>
            </w: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Calibri" w:hAnsi="Calibri" w:eastAsia="宋体" w:cs="Calibri"/>
                <w:i w:val="0"/>
                <w:iCs w:val="0"/>
                <w:color w:val="000000"/>
                <w:sz w:val="24"/>
                <w:szCs w:val="24"/>
                <w:u w:val="none"/>
              </w:rPr>
            </w:pPr>
          </w:p>
        </w:tc>
        <w:tc>
          <w:tcPr>
            <w:tcW w:w="77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516"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4"/>
                <w:szCs w:val="24"/>
                <w:u w:val="none"/>
              </w:rPr>
            </w:pP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24"/>
                <w:szCs w:val="24"/>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三、目标完成情况</w:t>
            </w:r>
          </w:p>
        </w:tc>
        <w:tc>
          <w:tcPr>
            <w:tcW w:w="232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年度预期目标</w:t>
            </w:r>
          </w:p>
        </w:tc>
        <w:tc>
          <w:tcPr>
            <w:tcW w:w="1489"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目前完成情况</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2325" w:type="pct"/>
            <w:gridSpan w:val="3"/>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公益电影放映场次补贴。107个村每村每月放映1场电影，每场电影补助200元.（中央：省：县比例为10:3:7）保障农民群众观看公益电影</w:t>
            </w:r>
          </w:p>
        </w:tc>
        <w:tc>
          <w:tcPr>
            <w:tcW w:w="1489" w:type="pct"/>
            <w:gridSpan w:val="3"/>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公益电影放映场次补贴。107个村每村每月放映1场电影，每场电影补助200元.（中央：省：县比例为10:3:7）保障农民群众观看公益电影</w:t>
            </w:r>
          </w:p>
        </w:tc>
        <w:tc>
          <w:tcPr>
            <w:tcW w:w="475"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19" w:hRule="atLeast"/>
        </w:trPr>
        <w:tc>
          <w:tcPr>
            <w:tcW w:w="709" w:type="pct"/>
            <w:vMerge w:val="continue"/>
            <w:tcBorders>
              <w:top w:val="single" w:color="000000" w:sz="4" w:space="0"/>
              <w:left w:val="single" w:color="000000" w:sz="4" w:space="0"/>
              <w:bottom w:val="nil"/>
              <w:right w:val="single" w:color="000000" w:sz="4" w:space="0"/>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2325"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489" w:type="pct"/>
            <w:gridSpan w:val="3"/>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475"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2" w:hRule="atLeast"/>
        </w:trPr>
        <w:tc>
          <w:tcPr>
            <w:tcW w:w="709" w:type="pct"/>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四、</w:t>
            </w:r>
            <w:r>
              <w:rPr>
                <w:rStyle w:val="27"/>
                <w:rFonts w:eastAsia="宋体"/>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年度绩效指标完成情况</w:t>
            </w:r>
          </w:p>
        </w:tc>
        <w:tc>
          <w:tcPr>
            <w:tcW w:w="1012" w:type="pc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预期指标值</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实际完成值</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产出指标（40分）</w:t>
            </w:r>
          </w:p>
        </w:tc>
        <w:tc>
          <w:tcPr>
            <w:tcW w:w="536" w:type="pct"/>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放映场次</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≥12</w:t>
            </w:r>
            <w:r>
              <w:rPr>
                <w:rFonts w:hint="eastAsia" w:ascii="宋体" w:hAnsi="宋体" w:eastAsia="宋体" w:cs="宋体"/>
                <w:i w:val="0"/>
                <w:iCs w:val="0"/>
                <w:color w:val="000000"/>
                <w:kern w:val="0"/>
                <w:sz w:val="24"/>
                <w:szCs w:val="24"/>
                <w:u w:val="none"/>
                <w:lang w:val="en-US" w:eastAsia="zh-CN" w:bidi="ar"/>
              </w:rPr>
              <w:t>场</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12</w:t>
            </w:r>
            <w:r>
              <w:rPr>
                <w:rFonts w:hint="eastAsia" w:ascii="宋体" w:hAnsi="宋体" w:eastAsia="宋体" w:cs="宋体"/>
                <w:i w:val="0"/>
                <w:iCs w:val="0"/>
                <w:color w:val="000000"/>
                <w:kern w:val="0"/>
                <w:sz w:val="24"/>
                <w:szCs w:val="24"/>
                <w:u w:val="none"/>
                <w:lang w:val="en-US" w:eastAsia="zh-CN" w:bidi="ar"/>
              </w:rPr>
              <w:t>场</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放映质量</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≥90%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90%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放映电影放映完成时间</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12</w:t>
            </w:r>
            <w:r>
              <w:rPr>
                <w:rFonts w:hint="eastAsia" w:ascii="宋体" w:hAnsi="宋体" w:eastAsia="宋体" w:cs="宋体"/>
                <w:i w:val="0"/>
                <w:iCs w:val="0"/>
                <w:color w:val="000000"/>
                <w:kern w:val="0"/>
                <w:sz w:val="24"/>
                <w:szCs w:val="24"/>
                <w:u w:val="none"/>
                <w:lang w:val="en-US" w:eastAsia="zh-CN" w:bidi="ar"/>
              </w:rPr>
              <w:t>月底完成</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12</w:t>
            </w:r>
            <w:r>
              <w:rPr>
                <w:rFonts w:hint="eastAsia" w:ascii="宋体" w:hAnsi="宋体" w:eastAsia="宋体" w:cs="宋体"/>
                <w:i w:val="0"/>
                <w:iCs w:val="0"/>
                <w:color w:val="000000"/>
                <w:kern w:val="0"/>
                <w:sz w:val="24"/>
                <w:szCs w:val="24"/>
                <w:u w:val="none"/>
                <w:lang w:val="en-US" w:eastAsia="zh-CN" w:bidi="ar"/>
              </w:rPr>
              <w:t>月底完成</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36"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支付金额</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13.218</w:t>
            </w:r>
            <w:r>
              <w:rPr>
                <w:rFonts w:hint="eastAsia" w:ascii="宋体" w:hAnsi="宋体" w:eastAsia="宋体" w:cs="宋体"/>
                <w:i w:val="0"/>
                <w:iCs w:val="0"/>
                <w:color w:val="000000"/>
                <w:kern w:val="0"/>
                <w:sz w:val="24"/>
                <w:szCs w:val="24"/>
                <w:u w:val="none"/>
                <w:lang w:val="en-US" w:eastAsia="zh-CN" w:bidi="ar"/>
              </w:rPr>
              <w:t>万元</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13.218</w:t>
            </w:r>
            <w:r>
              <w:rPr>
                <w:rFonts w:hint="eastAsia" w:ascii="宋体" w:hAnsi="宋体" w:eastAsia="宋体" w:cs="宋体"/>
                <w:i w:val="0"/>
                <w:iCs w:val="0"/>
                <w:color w:val="000000"/>
                <w:kern w:val="0"/>
                <w:sz w:val="24"/>
                <w:szCs w:val="24"/>
                <w:u w:val="none"/>
                <w:lang w:val="en-US" w:eastAsia="zh-CN" w:bidi="ar"/>
              </w:rPr>
              <w:t>万元</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预算执行率指标（10分）</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预算执行率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年度总体预算执行情况</w:t>
            </w:r>
          </w:p>
        </w:tc>
        <w:tc>
          <w:tcPr>
            <w:tcW w:w="457" w:type="pc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restart"/>
            <w:tcBorders>
              <w:top w:val="nil"/>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效益指标（40分）</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人民群众精神文化水平提高</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提高</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显著提高</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vMerge w:val="continue"/>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可持续影响指标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电影放映工作可持续每年进行</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持续</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持续</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101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满意度指标（10分）</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1293"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100%</w:t>
            </w:r>
          </w:p>
        </w:tc>
        <w:tc>
          <w:tcPr>
            <w:tcW w:w="514"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90%</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709" w:type="pct"/>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24"/>
                <w:szCs w:val="24"/>
                <w:u w:val="none"/>
              </w:rPr>
            </w:pPr>
          </w:p>
        </w:tc>
        <w:tc>
          <w:tcPr>
            <w:tcW w:w="3814"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47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4"/>
                <w:szCs w:val="24"/>
                <w:u w:val="none"/>
              </w:rPr>
            </w:pPr>
            <w:r>
              <w:rPr>
                <w:rFonts w:hint="default" w:ascii="Calibri" w:hAnsi="Calibri" w:eastAsia="宋体" w:cs="Calibri"/>
                <w:i w:val="0"/>
                <w:iCs w:val="0"/>
                <w:color w:val="000000"/>
                <w:kern w:val="0"/>
                <w:sz w:val="24"/>
                <w:szCs w:val="24"/>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5" w:hRule="atLeast"/>
        </w:trPr>
        <w:tc>
          <w:tcPr>
            <w:tcW w:w="70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五、存在问题、原因及下一步整改措施</w:t>
            </w:r>
          </w:p>
        </w:tc>
        <w:tc>
          <w:tcPr>
            <w:tcW w:w="429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放映影片有所变化，群众满意度有待提高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709"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填报人：</w:t>
            </w:r>
          </w:p>
        </w:tc>
        <w:tc>
          <w:tcPr>
            <w:tcW w:w="1012" w:type="pct"/>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葛琳</w:t>
            </w:r>
          </w:p>
        </w:tc>
        <w:tc>
          <w:tcPr>
            <w:tcW w:w="53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77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516" w:type="pct"/>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1447" w:type="pct"/>
            <w:gridSpan w:val="3"/>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联系电话：84031343</w:t>
            </w:r>
          </w:p>
        </w:tc>
      </w:tr>
    </w:tbl>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ind w:firstLine="640" w:firstLineChars="200"/>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rPr>
          <w:rFonts w:hint="eastAsia" w:ascii="仿宋_GB2312" w:hAnsi="仿宋_GB2312" w:eastAsia="仿宋_GB2312" w:cs="仿宋_GB2312"/>
          <w:sz w:val="32"/>
          <w:szCs w:val="32"/>
        </w:rPr>
      </w:pP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（三）部门评价项目绩效评价结果</w:t>
      </w:r>
    </w:p>
    <w:p>
      <w:pPr>
        <w:adjustRightInd w:val="0"/>
        <w:snapToGrid w:val="0"/>
        <w:spacing w:line="580" w:lineRule="exact"/>
        <w:ind w:firstLine="640" w:firstLineChars="200"/>
        <w:rPr>
          <w:rFonts w:hint="default" w:ascii="Times New Roman" w:hAnsi="Times New Roman" w:eastAsia="楷体_GB2312" w:cs="Times New Roman"/>
          <w:b/>
          <w:bCs/>
          <w:sz w:val="32"/>
          <w:szCs w:val="32"/>
        </w:rPr>
      </w:pPr>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w:t>
      </w:r>
      <w:r>
        <w:rPr>
          <w:rFonts w:hint="eastAsia" w:ascii="仿宋_GB2312" w:hAnsi="仿宋_GB2312" w:eastAsia="仿宋_GB2312" w:cs="仿宋_GB2312"/>
          <w:sz w:val="32"/>
          <w:szCs w:val="32"/>
        </w:rPr>
        <w:t>未</w:t>
      </w:r>
      <w:r>
        <w:rPr>
          <w:rFonts w:hint="eastAsia" w:ascii="Times New Roman" w:hAnsi="Times New Roman" w:eastAsia="仿宋_GB2312" w:cs="Times New Roman"/>
          <w:sz w:val="32"/>
          <w:szCs w:val="32"/>
        </w:rPr>
        <w:t>发生</w:t>
      </w:r>
      <w:r>
        <w:rPr>
          <w:rFonts w:hint="eastAsia" w:ascii="Times New Roman" w:hAnsi="Times New Roman" w:eastAsia="仿宋_GB2312" w:cs="Times New Roman"/>
          <w:sz w:val="32"/>
          <w:szCs w:val="32"/>
          <w:lang w:eastAsia="zh-CN"/>
        </w:rPr>
        <w:t>国有资本经营预算财政拨款</w:t>
      </w:r>
      <w:r>
        <w:rPr>
          <w:rFonts w:hint="eastAsia" w:ascii="Times New Roman" w:hAnsi="Times New Roman" w:eastAsia="仿宋_GB2312" w:cs="Times New Roman"/>
          <w:sz w:val="32"/>
          <w:szCs w:val="32"/>
        </w:rPr>
        <w:t>无收支及结转结余情况，故</w:t>
      </w:r>
      <w:r>
        <w:rPr>
          <w:rFonts w:hint="eastAsia" w:ascii="Times New Roman" w:hAnsi="Times New Roman" w:eastAsia="仿宋_GB2312" w:cs="Times New Roman"/>
          <w:sz w:val="32"/>
          <w:szCs w:val="32"/>
          <w:lang w:val="en-US" w:eastAsia="zh-CN"/>
        </w:rPr>
        <w:t>08</w:t>
      </w:r>
      <w:r>
        <w:rPr>
          <w:rFonts w:hint="eastAsia"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21EDB33B-6AFD-445A-B284-69810282ACE2}"/>
  </w:font>
  <w:font w:name="Arial">
    <w:panose1 w:val="020B0604020202020204"/>
    <w:charset w:val="01"/>
    <w:family w:val="swiss"/>
    <w:pitch w:val="default"/>
    <w:sig w:usb0="E0002AFF" w:usb1="C0007843" w:usb2="00000009" w:usb3="00000000" w:csb0="400001FF" w:csb1="FFFF0000"/>
    <w:embedRegular r:id="rId2" w:fontKey="{6FF0FC3A-5E54-4F34-B97F-180B7D9861B0}"/>
  </w:font>
  <w:font w:name="黑体">
    <w:panose1 w:val="02010609060101010101"/>
    <w:charset w:val="86"/>
    <w:family w:val="auto"/>
    <w:pitch w:val="default"/>
    <w:sig w:usb0="800002BF" w:usb1="38CF7CFA" w:usb2="00000016" w:usb3="00000000" w:csb0="00040001" w:csb1="00000000"/>
    <w:embedRegular r:id="rId3" w:fontKey="{D7C0003B-7136-4DAC-9E73-F418A29ACA2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4" w:fontKey="{43C3A8FC-B658-4481-9263-E5B64E70A9DC}"/>
  </w:font>
  <w:font w:name="仿宋">
    <w:panose1 w:val="02010609060101010101"/>
    <w:charset w:val="86"/>
    <w:family w:val="modern"/>
    <w:pitch w:val="default"/>
    <w:sig w:usb0="800002BF" w:usb1="38CF7CFA" w:usb2="00000016" w:usb3="00000000" w:csb0="00040001" w:csb1="00000000"/>
    <w:embedRegular r:id="rId5" w:fontKey="{9E2EB5F4-5BDD-4ECB-94DA-194F45352489}"/>
  </w:font>
  <w:font w:name="Calibri Light">
    <w:altName w:val="Calibri"/>
    <w:panose1 w:val="020F0302020204030204"/>
    <w:charset w:val="00"/>
    <w:family w:val="auto"/>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6" w:fontKey="{2BE703D4-249E-495F-920D-9069D1BC4507}"/>
  </w:font>
  <w:font w:name="微软雅黑">
    <w:panose1 w:val="020B0503020204020204"/>
    <w:charset w:val="86"/>
    <w:family w:val="auto"/>
    <w:pitch w:val="default"/>
    <w:sig w:usb0="80000287" w:usb1="280F3C52" w:usb2="00000016" w:usb3="00000000" w:csb0="0004001F" w:csb1="00000000"/>
  </w:font>
  <w:font w:name="思源黑体 CN Heavy">
    <w:altName w:val="黑体"/>
    <w:panose1 w:val="00000000000000000000"/>
    <w:charset w:val="86"/>
    <w:family w:val="swiss"/>
    <w:pitch w:val="default"/>
    <w:sig w:usb0="00000000" w:usb1="00000000" w:usb2="00000016" w:usb3="00000000" w:csb0="00060107" w:csb1="00000000"/>
    <w:embedRegular r:id="rId7" w:fontKey="{3458C0C9-ECB7-4332-ADB0-A685D70CF523}"/>
  </w:font>
  <w:font w:name="楷体_GB2312">
    <w:panose1 w:val="02010609030101010101"/>
    <w:charset w:val="86"/>
    <w:family w:val="auto"/>
    <w:pitch w:val="default"/>
    <w:sig w:usb0="00000001" w:usb1="080E0000" w:usb2="00000000" w:usb3="00000000" w:csb0="00040000" w:csb1="00000000"/>
    <w:embedRegular r:id="rId8" w:fontKey="{3DBD7DCE-2C3E-466E-84DF-E51B4910681E}"/>
  </w:font>
  <w:font w:name="仿宋_GB2312">
    <w:panose1 w:val="02010609030101010101"/>
    <w:charset w:val="86"/>
    <w:family w:val="auto"/>
    <w:pitch w:val="default"/>
    <w:sig w:usb0="00000001" w:usb1="080E0000" w:usb2="00000000" w:usb3="00000000" w:csb0="00040000" w:csb1="00000000"/>
    <w:embedRegular r:id="rId9" w:fontKey="{35269F37-D704-4BE5-9B65-D38BDA197836}"/>
  </w:font>
  <w:font w:name="ArialUnicodeMS">
    <w:altName w:val="Malgun Gothic"/>
    <w:panose1 w:val="00000000000000000000"/>
    <w:charset w:val="81"/>
    <w:family w:val="auto"/>
    <w:pitch w:val="default"/>
    <w:sig w:usb0="00000000" w:usb1="00000000" w:usb2="00000010" w:usb3="00000000" w:csb0="00080001" w:csb1="00000000"/>
    <w:embedRegular r:id="rId10" w:fontKey="{CF50A433-8F19-4CF7-88A2-17432701A54A}"/>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11" w:fontKey="{448F6EB1-B2EB-4F52-BE73-BD56FBE80AC0}"/>
  </w:font>
  <w:font w:name="DengXian-Regular">
    <w:altName w:val="宋体"/>
    <w:panose1 w:val="00000000000000000000"/>
    <w:charset w:val="86"/>
    <w:family w:val="auto"/>
    <w:pitch w:val="default"/>
    <w:sig w:usb0="00000000" w:usb1="00000000" w:usb2="00000010" w:usb3="00000000" w:csb0="00040001" w:csb1="00000000"/>
    <w:embedRegular r:id="rId12" w:fontKey="{34554CC8-8B17-4741-B601-EEC9BFA1562C}"/>
  </w:font>
  <w:font w:name="方正小标宋_GBK">
    <w:altName w:val="Arial Unicode MS"/>
    <w:panose1 w:val="00000000000000000000"/>
    <w:charset w:val="00"/>
    <w:family w:val="auto"/>
    <w:pitch w:val="default"/>
    <w:sig w:usb0="00000000" w:usb1="00000000" w:usb2="00000000" w:usb3="00000000" w:csb0="00000000" w:csb1="00000000"/>
    <w:embedRegular r:id="rId13" w:fontKey="{C0A29E2B-14E5-4DC4-9F69-2D12FD562D01}"/>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D05F303"/>
    <w:multiLevelType w:val="singleLevel"/>
    <w:tmpl w:val="5D05F303"/>
    <w:lvl w:ilvl="0" w:tentative="0">
      <w:start w:val="2"/>
      <w:numFmt w:val="decimal"/>
      <w:suff w:val="nothing"/>
      <w:lvlText w:val="%1、"/>
      <w:lvlJc w:val="left"/>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jAsImhkaWQiOiJiMzk2N2EzZjUyYWViODRjZjJhMDZjM2YyYjk4MTExMiIsInVzZXJDb3VudCI6MX0="/>
  </w:docVars>
  <w:rsids>
    <w:rsidRoot w:val="00000000"/>
    <w:rsid w:val="00086151"/>
    <w:rsid w:val="00236F8C"/>
    <w:rsid w:val="00497FAC"/>
    <w:rsid w:val="008E12CF"/>
    <w:rsid w:val="0096690D"/>
    <w:rsid w:val="00C25C40"/>
    <w:rsid w:val="00C65689"/>
    <w:rsid w:val="00CC2C8E"/>
    <w:rsid w:val="00F27B04"/>
    <w:rsid w:val="01616D62"/>
    <w:rsid w:val="01900E19"/>
    <w:rsid w:val="01A03C5A"/>
    <w:rsid w:val="01A5267D"/>
    <w:rsid w:val="01DA0A75"/>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A665F7"/>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0C1AB8"/>
    <w:rsid w:val="11177F57"/>
    <w:rsid w:val="11217C97"/>
    <w:rsid w:val="11464C20"/>
    <w:rsid w:val="115E4926"/>
    <w:rsid w:val="118A1FFA"/>
    <w:rsid w:val="11E35B5A"/>
    <w:rsid w:val="11E42DD6"/>
    <w:rsid w:val="125F5A1B"/>
    <w:rsid w:val="126979D6"/>
    <w:rsid w:val="129E45A7"/>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A81D42"/>
    <w:rsid w:val="1AB433D9"/>
    <w:rsid w:val="1B1A5611"/>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890338"/>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19AF"/>
    <w:rsid w:val="2BE35C27"/>
    <w:rsid w:val="2BFA504B"/>
    <w:rsid w:val="2C1C21ED"/>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093CDB"/>
    <w:rsid w:val="300E3E7A"/>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3F2740"/>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1A5280"/>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692CD0"/>
    <w:rsid w:val="48AE3D01"/>
    <w:rsid w:val="48BB0D45"/>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D23B50"/>
    <w:rsid w:val="50F1461D"/>
    <w:rsid w:val="50FE5411"/>
    <w:rsid w:val="510B072E"/>
    <w:rsid w:val="511B0BF4"/>
    <w:rsid w:val="51264306"/>
    <w:rsid w:val="516123CE"/>
    <w:rsid w:val="51B177A9"/>
    <w:rsid w:val="51CF0D81"/>
    <w:rsid w:val="51E066EB"/>
    <w:rsid w:val="51E84FDE"/>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5EB"/>
    <w:rsid w:val="5CA76AD9"/>
    <w:rsid w:val="5D242A11"/>
    <w:rsid w:val="5D9217C2"/>
    <w:rsid w:val="5DAD06BF"/>
    <w:rsid w:val="5DE23CB3"/>
    <w:rsid w:val="5DE97EEC"/>
    <w:rsid w:val="5DF43138"/>
    <w:rsid w:val="5DFA5EB0"/>
    <w:rsid w:val="5E0B583E"/>
    <w:rsid w:val="5E201A7B"/>
    <w:rsid w:val="5EBD0484"/>
    <w:rsid w:val="5F2C5C7C"/>
    <w:rsid w:val="5FC5273F"/>
    <w:rsid w:val="602631C2"/>
    <w:rsid w:val="60806DF2"/>
    <w:rsid w:val="61072DA5"/>
    <w:rsid w:val="611C0817"/>
    <w:rsid w:val="61224A52"/>
    <w:rsid w:val="61520CCB"/>
    <w:rsid w:val="61644C2A"/>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9661EC"/>
    <w:rsid w:val="6ABF79B7"/>
    <w:rsid w:val="6AD625F3"/>
    <w:rsid w:val="6B5F25EA"/>
    <w:rsid w:val="6B750BA9"/>
    <w:rsid w:val="6BB93285"/>
    <w:rsid w:val="6C0C698C"/>
    <w:rsid w:val="6C222401"/>
    <w:rsid w:val="6C357519"/>
    <w:rsid w:val="6C56267F"/>
    <w:rsid w:val="6C826EF9"/>
    <w:rsid w:val="6CAE4C93"/>
    <w:rsid w:val="6D0B1869"/>
    <w:rsid w:val="6D65402D"/>
    <w:rsid w:val="6D683822"/>
    <w:rsid w:val="6D8D136C"/>
    <w:rsid w:val="6DBF2759"/>
    <w:rsid w:val="6DC96F36"/>
    <w:rsid w:val="6DFA3EBF"/>
    <w:rsid w:val="6E3E63D2"/>
    <w:rsid w:val="6E5F7BE6"/>
    <w:rsid w:val="6E6918C6"/>
    <w:rsid w:val="6E8E495B"/>
    <w:rsid w:val="6EEB4AC4"/>
    <w:rsid w:val="6F212DD6"/>
    <w:rsid w:val="6F3B5912"/>
    <w:rsid w:val="6F3D39F1"/>
    <w:rsid w:val="6F98573F"/>
    <w:rsid w:val="6FA14A81"/>
    <w:rsid w:val="6FA3261F"/>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2D3534D"/>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hint="default" w:ascii="Calibri" w:hAnsi="Calibri" w:cs="Calibri"/>
      <w:color w:val="000000"/>
      <w:sz w:val="24"/>
      <w:szCs w:val="24"/>
      <w:u w:val="none"/>
    </w:rPr>
  </w:style>
  <w:style w:type="character" w:customStyle="1" w:styleId="26">
    <w:name w:val="font21"/>
    <w:basedOn w:val="13"/>
    <w:qFormat/>
    <w:uiPriority w:val="0"/>
    <w:rPr>
      <w:rFonts w:hint="eastAsia" w:ascii="宋体" w:hAnsi="宋体" w:eastAsia="宋体" w:cs="宋体"/>
      <w:color w:val="000000"/>
      <w:sz w:val="24"/>
      <w:szCs w:val="24"/>
      <w:u w:val="none"/>
    </w:rPr>
  </w:style>
  <w:style w:type="character" w:customStyle="1" w:styleId="27">
    <w:name w:val="font71"/>
    <w:basedOn w:val="13"/>
    <w:qFormat/>
    <w:uiPriority w:val="0"/>
    <w:rPr>
      <w:rFonts w:hint="default" w:ascii="Calibri" w:hAnsi="Calibri" w:cs="Calibri"/>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3" Type="http://schemas.openxmlformats.org/officeDocument/2006/relationships/font" Target="fonts/font13.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618.29</c:v>
                </c:pt>
                <c:pt idx="1">
                  <c:v>360.43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2159736.85</c:v>
                </c:pt>
                <c:pt idx="1">
                  <c:v>1444580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616.13</c:v>
                </c:pt>
                <c:pt idx="1">
                  <c:v>617.49</c:v>
                </c:pt>
                <c:pt idx="2">
                  <c:v>606.13</c:v>
                </c:pt>
                <c:pt idx="3">
                  <c:v>607.49</c:v>
                </c:pt>
                <c:pt idx="4">
                  <c:v>10</c:v>
                </c:pt>
                <c:pt idx="5">
                  <c:v>10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359.63</c:v>
                </c:pt>
                <c:pt idx="1">
                  <c:v>360.43</c:v>
                </c:pt>
                <c:pt idx="2">
                  <c:v>358.23</c:v>
                </c:pt>
                <c:pt idx="3">
                  <c:v>359.03</c:v>
                </c:pt>
                <c:pt idx="4">
                  <c:v>1.4</c:v>
                </c:pt>
                <c:pt idx="5">
                  <c:v>1.4</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382.28</c:v>
                </c:pt>
                <c:pt idx="1">
                  <c:v>382.28</c:v>
                </c:pt>
                <c:pt idx="2">
                  <c:v>381.28</c:v>
                </c:pt>
                <c:pt idx="3">
                  <c:v>381.28</c:v>
                </c:pt>
                <c:pt idx="4">
                  <c:v>1</c:v>
                </c:pt>
                <c:pt idx="5">
                  <c:v>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359.63</c:v>
                </c:pt>
                <c:pt idx="1">
                  <c:v>360.43</c:v>
                </c:pt>
                <c:pt idx="2">
                  <c:v>358.23</c:v>
                </c:pt>
                <c:pt idx="3">
                  <c:v>359.03</c:v>
                </c:pt>
                <c:pt idx="4">
                  <c:v>1.4</c:v>
                </c:pt>
                <c:pt idx="5">
                  <c:v>1.4</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206.52</c:v>
                </c:pt>
                <c:pt idx="1">
                  <c:v>0</c:v>
                </c:pt>
                <c:pt idx="2">
                  <c:v>0</c:v>
                </c:pt>
                <c:pt idx="3">
                  <c:v>0</c:v>
                </c:pt>
                <c:pt idx="4">
                  <c:v>0</c:v>
                </c:pt>
                <c:pt idx="5">
                  <c:v>88.49</c:v>
                </c:pt>
                <c:pt idx="6">
                  <c:v>26.29</c:v>
                </c:pt>
                <c:pt idx="7">
                  <c:v>16.81</c:v>
                </c:pt>
                <c:pt idx="8">
                  <c:v>0</c:v>
                </c:pt>
                <c:pt idx="9">
                  <c:v>0</c:v>
                </c:pt>
                <c:pt idx="10">
                  <c:v>0</c:v>
                </c:pt>
                <c:pt idx="11">
                  <c:v>0</c:v>
                </c:pt>
                <c:pt idx="12">
                  <c:v>0</c:v>
                </c:pt>
                <c:pt idx="13">
                  <c:v>0</c:v>
                </c:pt>
                <c:pt idx="14">
                  <c:v>0</c:v>
                </c:pt>
                <c:pt idx="15">
                  <c:v>0</c:v>
                </c:pt>
                <c:pt idx="16">
                  <c:v>22.31</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57</Pages>
  <Words>10284</Words>
  <Characters>34684</Characters>
  <Lines>86</Lines>
  <Paragraphs>24</Paragraphs>
  <TotalTime>34</TotalTime>
  <ScaleCrop>false</ScaleCrop>
  <LinksUpToDate>false</LinksUpToDate>
  <CharactersWithSpaces>35317</CharactersWithSpaces>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刘先生</cp:lastModifiedBy>
  <cp:lastPrinted>2024-10-14T02:39:00Z</cp:lastPrinted>
  <dcterms:modified xsi:type="dcterms:W3CDTF">2025-09-09T08:50:05Z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96E054311C1A4217929618A8C5E24756</vt:lpwstr>
  </property>
  <property fmtid="{D5CDD505-2E9C-101B-9397-08002B2CF9AE}" pid="4" name="KSOTemplateUUID">
    <vt:lpwstr>v1.0_mb_S7ajbG3IpAnL1wSthNCxfw==</vt:lpwstr>
  </property>
</Properties>
</file>