
<file path=[Content_Types].xml><?xml version="1.0" encoding="utf-8"?>
<Types xmlns="http://schemas.openxmlformats.org/package/2006/content-types">
  <Default Extension="rels" ContentType="application/vnd.openxmlformats-package.relationships+xml"/>
  <Default Extension="xml" ContentType="application/xml"/>
  <Default Extension="jpeg" ContentType="image/jpeg"/>
  <Default Extension="xlsx" ContentType="application/vnd.openxmlformats-officedocument.spreadsheetml.sheet"/>
  <Override PartName="/word/settings.xml" ContentType="application/vnd.openxmlformats-officedocument.wordprocessingml.setting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customXml/itemProps1.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widowControl/>
        <w:jc w:val="center"/>
        <w:rPr>
          <w:rFonts w:ascii="黑体" w:eastAsia="黑体"/>
          <w:b/>
          <w:sz w:val="72"/>
          <w:szCs w:val="72"/>
        </w:rPr>
      </w:pPr>
      <w:bookmarkStart w:id="0" w:name="_GoBack"/>
      <w:bookmarkEnd w:id="0"/>
      <w:r>
        <w:rPr>
          <w:rFonts w:ascii="黑体" w:eastAsia="黑体" w:hint="eastAsia"/>
          <w:color w:val="002060"/>
          <w:sz w:val="72"/>
          <w:szCs w:val="72"/>
        </w:rPr>
        <w:drawing>
          <wp:anchor distT="0" distB="0" distL="114300" distR="114300" simplePos="0" relativeHeight="2" behindDoc="1" locked="0" layoutInCell="1" hidden="0" allowOverlap="1">
            <wp:simplePos x="0" y="0"/>
            <wp:positionH relativeFrom="column">
              <wp:posOffset>-1000125</wp:posOffset>
            </wp:positionH>
            <wp:positionV relativeFrom="paragraph">
              <wp:posOffset>-1355090</wp:posOffset>
            </wp:positionV>
            <wp:extent cx="7576819" cy="10796905"/>
            <wp:effectExtent l="0" t="0" r="0" b="0"/>
            <wp:wrapNone/>
            <wp:docPr id="1" name="图片 7" descr="wc ga"/>
            <wp:cNvGraphicFramePr>
              <a:graphicFrameLocks noChangeAspect="1"/>
            </wp:cNvGraphicFramePr>
            <a:graphic>
              <a:graphicData uri="http://schemas.openxmlformats.org/drawingml/2006/picture">
                <pic:pic>
                  <pic:nvPicPr>
                    <pic:cNvPr id="3" name="图片 7 3"/>
                    <pic:cNvPicPr/>
                  </pic:nvPicPr>
                  <pic:blipFill>
                    <a:blip r:embed="rId2"/>
                    <a:stretch>
                      <a:fillRect/>
                    </a:stretch>
                  </pic:blipFill>
                  <pic:spPr>
                    <a:xfrm rot="0">
                      <a:off x="0" y="0"/>
                      <a:ext cx="7576819" cy="10796905"/>
                    </a:xfrm>
                    <a:prstGeom prst="rect"/>
                    <a:noFill/>
                    <a:ln w="9525" cmpd="sng" cap="flat">
                      <a:noFill/>
                      <a:prstDash val="solid"/>
                      <a:miter/>
                    </a:ln>
                  </pic:spPr>
                </pic:pic>
              </a:graphicData>
            </a:graphic>
          </wp:anchor>
        </w:drawing>
      </w:r>
    </w:p>
    <w:p>
      <w:pPr>
        <w:widowControl/>
        <w:jc w:val="center"/>
        <w:rPr>
          <w:rFonts w:ascii="黑体" w:eastAsia="黑体"/>
          <w:color w:val="002060"/>
          <w:sz w:val="72"/>
          <w:szCs w:val="72"/>
        </w:rPr>
      </w:pPr>
      <w:r>
        <w:rPr>
          <w:sz w:val="72"/>
        </w:rPr>
        <mc:AlternateContent>
          <mc:Choice Requires="wps">
            <w:drawing>
              <wp:anchor distT="0" distB="0" distL="114298" distR="114298" simplePos="0" relativeHeight="61" behindDoc="0" locked="0" layoutInCell="1" hidden="0" allowOverlap="1">
                <wp:simplePos x="0" y="0"/>
                <wp:positionH relativeFrom="column">
                  <wp:posOffset>-1055370</wp:posOffset>
                </wp:positionH>
                <wp:positionV relativeFrom="paragraph">
                  <wp:posOffset>549275</wp:posOffset>
                </wp:positionV>
                <wp:extent cx="7571740" cy="2111375"/>
                <wp:effectExtent l="0" t="0" r="0" b="0"/>
                <wp:wrapNone/>
                <wp:docPr id="4" name="文本框 8"/>
                <wp:cNvGraphicFramePr>
                  <a:graphicFrameLocks noChangeAspect="0"/>
                </wp:cNvGraphicFramePr>
                <a:graphic>
                  <a:graphicData uri="http://schemas.microsoft.com/office/word/2010/wordprocessingShape">
                    <wps:wsp>
                      <wps:cNvSpPr/>
                      <wps:spPr>
                        <a:xfrm rot="0">
                          <a:off x="0" y="0"/>
                          <a:ext cx="7571740" cy="2111375"/>
                        </a:xfrm>
                        <a:prstGeom prst="rect"/>
                        <a:noFill/>
                        <a:ln w="6350" cmpd="sng" cap="flat">
                          <a:noFill/>
                          <a:prstDash val="solid"/>
                          <a:round/>
                        </a:ln>
                      </wps:spPr>
                      <wps:txbx id="5">
                        <w:txbxContent>
                          <w:p>
                            <w:pPr>
                              <w:widowControl/>
                              <w:spacing w:line="1200" w:lineRule="exact"/>
                              <w:jc w:val="center"/>
                              <w:rPr>
                                <w:rFonts w:ascii="黑体" w:eastAsia="黑体"/>
                                <w:color w:val="FDEFBE"/>
                                <w:sz w:val="96"/>
                                <w:szCs w:val="96"/>
                              </w:rPr>
                            </w:pPr>
                            <w:r>
                              <w:rPr>
                                <w:rFonts w:ascii="黑体" w:eastAsia="黑体" w:hint="eastAsia"/>
                                <w:color w:val="FDEFBE"/>
                                <w:sz w:val="96"/>
                                <w:szCs w:val="96"/>
                              </w:rPr>
                              <w:t>城管局</w:t>
                            </w:r>
                          </w:p>
                          <w:p>
                            <w:pPr>
                              <w:widowControl/>
                              <w:spacing w:line="1200" w:lineRule="exact"/>
                              <w:jc w:val="center"/>
                              <w:rPr>
                                <w:color w:val="FDEFBE"/>
                                <w:sz w:val="96"/>
                                <w:szCs w:val="96"/>
                              </w:rPr>
                            </w:pPr>
                            <w:r>
                              <w:rPr>
                                <w:rFonts w:ascii="黑体" w:eastAsia="黑体" w:hint="eastAsia"/>
                                <w:color w:val="FDEFBE"/>
                                <w:sz w:val="96"/>
                                <w:szCs w:val="96"/>
                              </w:rPr>
                              <w:t>2018年度部门决算</w:t>
                            </w:r>
                          </w:p>
                          <w:p>
                            <w:pPr>
                              <w:rPr>
                                <w:color w:val="FDEFBE"/>
                                <w:sz w:val="96"/>
                                <w:szCs w:val="96"/>
                              </w:rPr>
                            </w:pPr>
                          </w:p>
                        </w:txbxContent>
                      </wps:txbx>
                      <wps:bodyPr vert="horz" wrap="square" lIns="91440" tIns="45720" rIns="91440" bIns="45720" anchor="t" anchorCtr="0" upright="0">
                        <a:noAutofit/>
                      </wps:bodyPr>
                    </wps:wsp>
                  </a:graphicData>
                </a:graphic>
              </wp:anchor>
            </w:drawing>
          </mc:Choice>
          <mc:Fallback>
            <w:pict>
              <v:shape type="#_x0000_t202" id="文本框 8 6" o:spid="_x0000_s6" filled="f" stroked="f" strokeweight="0.5pt" style="position:absolute;margin-left:-83.1pt;margin-top:43.25pt;width:596.2pt;height:166.25pt;z-index:61;mso-position-horizontal:absolute;mso-position-vertical:absolute;mso-wrap-distance-left:8.999863pt;mso-wrap-distance-right:8.999863pt;mso-wrap-style:square;">
                <v:stroke color="#000000"/>
                <v:textbox id="849" inset="2.54mm,1.27mm,2.54mm,1.27mm" o:insetmode="custom" style="layout-flow:horizontal;v-text-anchor:top;">
                  <w:txbxContent>
                    <w:p>
                      <w:pPr>
                        <w:widowControl/>
                        <w:spacing w:line="1200" w:lineRule="exact"/>
                        <w:jc w:val="center"/>
                        <w:rPr>
                          <w:rFonts w:ascii="黑体" w:eastAsia="黑体"/>
                          <w:color w:val="FDEFBE"/>
                          <w:sz w:val="96"/>
                          <w:szCs w:val="96"/>
                        </w:rPr>
                      </w:pPr>
                      <w:r>
                        <w:rPr>
                          <w:rFonts w:ascii="黑体" w:eastAsia="黑体" w:hint="eastAsia"/>
                          <w:color w:val="FDEFBE"/>
                          <w:sz w:val="96"/>
                          <w:szCs w:val="96"/>
                        </w:rPr>
                        <w:t>城管局</w:t>
                      </w:r>
                    </w:p>
                    <w:p>
                      <w:pPr>
                        <w:widowControl/>
                        <w:spacing w:line="1200" w:lineRule="exact"/>
                        <w:jc w:val="center"/>
                        <w:rPr>
                          <w:color w:val="FDEFBE"/>
                          <w:sz w:val="96"/>
                          <w:szCs w:val="96"/>
                        </w:rPr>
                      </w:pPr>
                      <w:r>
                        <w:rPr>
                          <w:rFonts w:ascii="黑体" w:eastAsia="黑体" w:hint="eastAsia"/>
                          <w:color w:val="FDEFBE"/>
                          <w:sz w:val="96"/>
                          <w:szCs w:val="96"/>
                        </w:rPr>
                        <w:t>2018年度部门决算</w:t>
                      </w:r>
                    </w:p>
                    <w:p>
                      <w:pPr>
                        <w:rPr>
                          <w:color w:val="FDEFBE"/>
                          <w:sz w:val="96"/>
                          <w:szCs w:val="96"/>
                        </w:rPr>
                      </w:pPr>
                    </w:p>
                  </w:txbxContent>
                </v:textbox>
              </v:shape>
            </w:pict>
          </mc:Fallback>
        </mc:AlternateContent>
      </w:r>
    </w:p>
    <w:p>
      <w:pPr>
        <w:widowControl/>
        <w:jc w:val="center"/>
        <w:rPr>
          <w:rFonts w:ascii="黑体" w:eastAsia="黑体"/>
          <w:b/>
          <w:sz w:val="72"/>
          <w:szCs w:val="72"/>
        </w:rPr>
      </w:pPr>
    </w:p>
    <w:p>
      <w:pPr>
        <w:widowControl/>
        <w:jc w:val="center"/>
        <w:rPr>
          <w:rFonts w:ascii="黑体" w:eastAsia="黑体"/>
          <w:b/>
          <w:sz w:val="72"/>
          <w:szCs w:val="72"/>
        </w:rPr>
      </w:pPr>
    </w:p>
    <w:p>
      <w:pPr>
        <w:widowControl/>
        <w:jc w:val="center"/>
        <w:rPr>
          <w:rFonts w:ascii="黑体" w:eastAsia="黑体"/>
          <w:b/>
          <w:sz w:val="72"/>
          <w:szCs w:val="72"/>
        </w:rPr>
      </w:pPr>
    </w:p>
    <w:p>
      <w:pPr>
        <w:widowControl/>
        <w:jc w:val="center"/>
        <w:rPr>
          <w:rFonts w:ascii="黑体" w:eastAsia="黑体"/>
          <w:b/>
          <w:sz w:val="72"/>
          <w:szCs w:val="72"/>
        </w:rPr>
      </w:pPr>
    </w:p>
    <w:p>
      <w:pPr>
        <w:widowControl/>
        <w:jc w:val="center"/>
        <w:rPr>
          <w:rFonts w:ascii="黑体" w:eastAsia="黑体"/>
          <w:b/>
          <w:sz w:val="72"/>
          <w:szCs w:val="72"/>
        </w:rPr>
      </w:pPr>
    </w:p>
    <w:p>
      <w:pPr>
        <w:widowControl/>
        <w:jc w:val="center"/>
        <w:rPr>
          <w:rFonts w:ascii="黑体" w:eastAsia="黑体"/>
          <w:b/>
          <w:sz w:val="72"/>
          <w:szCs w:val="72"/>
        </w:rPr>
      </w:pPr>
    </w:p>
    <w:p>
      <w:pPr>
        <w:widowControl/>
        <w:jc w:val="center"/>
        <w:rPr>
          <w:rFonts w:ascii="黑体" w:eastAsia="黑体"/>
          <w:b/>
          <w:sz w:val="72"/>
          <w:szCs w:val="72"/>
        </w:rPr>
      </w:pPr>
    </w:p>
    <w:p>
      <w:pPr>
        <w:widowControl/>
        <w:jc w:val="center"/>
        <w:rPr>
          <w:rFonts w:ascii="黑体" w:eastAsia="黑体"/>
          <w:b/>
          <w:sz w:val="72"/>
          <w:szCs w:val="72"/>
        </w:rPr>
      </w:pPr>
    </w:p>
    <w:p>
      <w:pPr>
        <w:widowControl/>
        <w:jc w:val="center"/>
        <w:rPr>
          <w:rFonts w:ascii="楷体" w:eastAsia="楷体" w:cs="楷体"/>
          <w:b/>
          <w:sz w:val="40"/>
          <w:szCs w:val="40"/>
        </w:rPr>
      </w:pPr>
    </w:p>
    <w:p>
      <w:pPr>
        <w:widowControl/>
        <w:jc w:val="center"/>
        <w:rPr>
          <w:rFonts w:ascii="楷体_GB2312" w:eastAsia="楷体_GB2312" w:cs="楷体"/>
          <w:b/>
          <w:sz w:val="40"/>
          <w:szCs w:val="40"/>
        </w:rPr>
        <w:sectPr>
          <w:pgSz w:w="11906" w:h="16838"/>
          <w:pgMar w:top="2098" w:right="1474" w:bottom="1985" w:left="1588" w:header="851" w:footer="992" w:gutter="0"/>
          <w:docGrid w:type="lines" w:linePitch="312" w:charSpace="0"/>
        </w:sectPr>
      </w:pPr>
      <w:r>
        <w:rPr>
          <w:rFonts w:ascii="楷体_GB2312" w:eastAsia="楷体_GB2312" w:cs="楷体" w:hint="eastAsia"/>
          <w:b/>
          <w:sz w:val="40"/>
          <w:szCs w:val="40"/>
        </w:rPr>
        <w:t>二</w:t>
      </w:r>
      <w:r>
        <w:rPr>
          <w:rFonts w:ascii="宋体" w:cs="宋体" w:hint="eastAsia"/>
          <w:b/>
          <w:sz w:val="40"/>
          <w:szCs w:val="40"/>
        </w:rPr>
        <w:t>〇</w:t>
      </w:r>
      <w:r>
        <w:rPr>
          <w:rFonts w:ascii="楷体_GB2312" w:eastAsia="楷体_GB2312" w:cs="楷体_GB2312" w:hint="eastAsia"/>
          <w:b/>
          <w:sz w:val="40"/>
          <w:szCs w:val="40"/>
        </w:rPr>
        <w:t>一九年九</w:t>
      </w:r>
      <w:r>
        <w:rPr>
          <w:rFonts w:ascii="楷体_GB2312" w:eastAsia="楷体_GB2312" w:cs="楷体" w:hint="eastAsia"/>
          <w:b/>
          <w:sz w:val="40"/>
          <w:szCs w:val="40"/>
        </w:rPr>
        <w:t>月十日</w:t>
      </w:r>
    </w:p>
    <w:p>
      <w:pPr>
        <w:spacing w:beforeLines="200" w:before="624" w:after="0" w:line="1000" w:lineRule="exact"/>
        <w:jc w:val="center"/>
        <w:rPr>
          <w:rFonts w:ascii="黑体" w:eastAsia="黑体"/>
          <w:sz w:val="48"/>
          <w:szCs w:val="48"/>
        </w:rPr>
      </w:pPr>
      <w:r>
        <w:rPr>
          <w:sz w:val="48"/>
          <w:szCs w:val="28"/>
        </w:rPr>
        <mc:AlternateContent>
          <mc:Choice Requires="wps">
            <w:drawing>
              <wp:anchor distT="0" distB="0" distL="114298" distR="114298" simplePos="0" relativeHeight="77" behindDoc="0" locked="1" layoutInCell="1" hidden="0" allowOverlap="0">
                <wp:simplePos x="0" y="0"/>
                <wp:positionH relativeFrom="column">
                  <wp:posOffset>-1026160</wp:posOffset>
                </wp:positionH>
                <wp:positionV relativeFrom="page">
                  <wp:posOffset>507366</wp:posOffset>
                </wp:positionV>
                <wp:extent cx="3175635" cy="593089"/>
                <wp:effectExtent l="0" t="0" r="0" b="0"/>
                <wp:wrapNone/>
                <wp:docPr id="7" name="组合"/>
                <wp:cNvGraphicFramePr>
                  <a:graphicFrameLocks noChangeAspect="0"/>
                </wp:cNvGraphicFramePr>
                <a:graphic>
                  <a:graphicData uri="http://schemas.microsoft.com/office/word/2010/wordprocessingGroup">
                    <wpg:wgp>
                      <wpg:cNvPr id="8" name="组合 8"/>
                      <wpg:cNvGrpSpPr/>
                      <wpg:grpSpPr>
                        <a:xfrm rot="0">
                          <a:off x="0" y="0"/>
                          <a:ext cx="3175635" cy="593089"/>
                          <a:chOff x="0" y="0"/>
                          <a:chExt cx="3175635" cy="593089"/>
                        </a:xfrm>
                        <a:prstGeom prst="rect"/>
                        <a:solidFill>
                          <a:srgbClr val="FFFFFF"/>
                        </a:solidFill>
                        <a:ln w="9525" cmpd="sng" cap="flat">
                          <a:solidFill>
                            <a:srgbClr val="000000"/>
                          </a:solidFill>
                          <a:prstDash val="solid"/>
                          <a:miter/>
                        </a:ln>
                      </wpg:grpSpPr>
                      <wps:wsp>
                        <wps:cNvPr id="9" name="_s13 9"/>
                        <wps:cNvSpPr/>
                        <wps:spPr>
                          <a:xfrm rot="0">
                            <a:off x="0" y="0"/>
                            <a:ext cx="3175635" cy="499008"/>
                          </a:xfrm>
                          <a:prstGeom prst="rect"/>
                          <a:solidFill>
                            <a:srgbClr val="B8B8B8"/>
                          </a:solidFill>
                          <a:ln w="9525" cmpd="sng" cap="flat">
                            <a:noFill/>
                            <a:prstDash val="solid"/>
                            <a:miter/>
                          </a:ln>
                        </wps:spPr>
                        <wps:bodyPr vert="horz" wrap="square" lIns="91440" tIns="45720" rIns="91440" bIns="45720" anchor="t" anchorCtr="0" upright="1">
                          <a:noAutofit/>
                        </wps:bodyPr>
                      </wps:wsp>
                      <wps:wsp>
                        <wps:cNvPr id="10" name="_s14 10"/>
                        <wps:cNvSpPr/>
                        <wps:spPr>
                          <a:xfrm rot="0">
                            <a:off x="10159" y="116329"/>
                            <a:ext cx="3093085" cy="476760"/>
                          </a:xfrm>
                          <a:prstGeom prst="rect"/>
                          <a:solidFill>
                            <a:srgbClr val="AD002D"/>
                          </a:solidFill>
                          <a:ln w="25400" cmpd="sng" cap="flat">
                            <a:solidFill>
                              <a:srgbClr val="805514"/>
                            </a:solidFill>
                            <a:prstDash val="solid"/>
                            <a:miter/>
                          </a:ln>
                        </wps:spPr>
                        <wps:txbx id="11">
                          <w:txbxContent>
                            <w:p>
                              <w:pPr>
                                <w:widowControl/>
                                <w:jc w:val="left"/>
                                <w:rPr>
                                  <w:rFonts w:ascii="楷体" w:eastAsia="楷体" w:cs="楷体"/>
                                  <w:b/>
                                  <w:bCs/>
                                  <w:color w:val="FDEFBE"/>
                                  <w:sz w:val="36"/>
                                  <w:szCs w:val="36"/>
                                </w:rPr>
                              </w:pPr>
                              <w:r>
                                <w:rPr>
                                  <w:rFonts w:ascii="楷体" w:eastAsia="楷体" w:cs="楷体" w:hint="eastAsia"/>
                                  <w:b/>
                                  <w:bCs/>
                                  <w:color w:val="FDEFBE"/>
                                  <w:kern w:val="0"/>
                                  <w:sz w:val="36"/>
                                  <w:szCs w:val="36"/>
                                </w:rPr>
                                <w:t>2018年度部门决算☞目 录</w:t>
                              </w:r>
                            </w:p>
                            <w:p>
                              <w:pPr>
                                <w:jc w:val="center"/>
                              </w:pPr>
                            </w:p>
                          </w:txbxContent>
                        </wps:txbx>
                        <wps:bodyPr vert="horz" wrap="square" lIns="91440" tIns="45720" rIns="91440" bIns="45720" anchor="ctr" anchorCtr="0" upright="0">
                          <a:noAutofit/>
                        </wps:bodyPr>
                      </wps:wsp>
                      <wps:bodyPr vert="horz" wrap="square" lIns="91440" tIns="45720" rIns="91440" bIns="45720" anchor="t" anchorCtr="0" upright="1">
                        <a:noAutofit/>
                      </wps:bodyPr>
                    </wpg:wgp>
                  </a:graphicData>
                </a:graphic>
              </wp:anchor>
            </w:drawing>
          </mc:Choice>
          <mc:Fallback>
            <w:pict>
              <v:group type="#_x0000_t1" id="组合 12" o:spid="_x0000_s12" coordorigin="-28,799" coordsize="5001,933" o:allowoverlap="f" style="position:absolute;margin-left:-80.80001pt;margin-top:39.950077pt;width:250.05pt;height:46.699974pt;z-index:77;mso-position-horizontal:absolute;mso-position-vertical:absolute;mso-position-vertical-relative:page;mso-wrap-distance-left:8.999863pt;mso-wrap-distance-right:8.999863pt;">
                <v:rect type="#_x0000_t1" id="_s13" o:spid="_x0000_s13" style="position:absolute;left:-28;top:799;width:5001;height:785;" fillcolor="#B8B8B8" stroked="f">
                  <v:stroke color="#000000"/>
                </v:rect>
                <v:rect type="#_x0000_t1" id="_s14" o:spid="_x0000_s14" style="position:absolute;left:-12;top:982;width:4871;height:750;mso-wrap-style:square;" fillcolor="#AD002D" stroked="t" strokeweight="2.0pt">
                  <v:textbox id="864" inset="2.54mm,1.27mm,2.54mm,1.27mm" o:insetmode="custom" style="layout-flow:horizontal;v-text-anchor:middle;">
                    <w:txbxContent>
                      <w:p>
                        <w:pPr>
                          <w:widowControl/>
                          <w:jc w:val="left"/>
                          <w:rPr>
                            <w:rFonts w:ascii="楷体" w:eastAsia="楷体" w:cs="楷体"/>
                            <w:b/>
                            <w:bCs/>
                            <w:color w:val="FDEFBE"/>
                            <w:sz w:val="36"/>
                            <w:szCs w:val="36"/>
                          </w:rPr>
                        </w:pPr>
                        <w:r>
                          <w:rPr>
                            <w:rFonts w:ascii="楷体" w:eastAsia="楷体" w:cs="楷体" w:hint="eastAsia"/>
                            <w:b/>
                            <w:bCs/>
                            <w:color w:val="FDEFBE"/>
                            <w:kern w:val="0"/>
                            <w:sz w:val="36"/>
                            <w:szCs w:val="36"/>
                          </w:rPr>
                          <w:t>2018年度部门决算☞目 录</w:t>
                        </w:r>
                      </w:p>
                      <w:p>
                        <w:pPr>
                          <w:jc w:val="center"/>
                        </w:pPr>
                      </w:p>
                    </w:txbxContent>
                  </v:textbox>
                  <v:stroke color="#805514"/>
                </v:rect>
                <w10:anchorLock/>
              </v:group>
            </w:pict>
          </mc:Fallback>
        </mc:AlternateContent>
      </w:r>
      <w:r>
        <w:rPr>
          <w:rFonts w:ascii="黑体" w:eastAsia="黑体" w:hint="eastAsia"/>
          <w:sz w:val="48"/>
          <w:szCs w:val="48"/>
        </w:rPr>
        <w:t>目    录</w:t>
      </w:r>
    </w:p>
    <w:p>
      <w:pPr>
        <w:widowControl/>
        <w:spacing w:line="580" w:lineRule="exact"/>
        <w:ind w:firstLineChars="200" w:firstLine="640"/>
        <w:rPr>
          <w:rFonts w:eastAsia="黑体"/>
          <w:sz w:val="32"/>
          <w:szCs w:val="32"/>
        </w:rPr>
      </w:pPr>
    </w:p>
    <w:p>
      <w:pPr>
        <w:widowControl/>
        <w:spacing w:line="580" w:lineRule="exact"/>
        <w:ind w:firstLineChars="200" w:firstLine="640"/>
        <w:rPr>
          <w:rFonts w:eastAsia="仿宋_GB2312"/>
          <w:sz w:val="24"/>
          <w:szCs w:val="32"/>
        </w:rPr>
      </w:pPr>
      <w:r>
        <w:rPr>
          <w:rFonts w:eastAsia="黑体"/>
          <w:sz w:val="32"/>
          <w:szCs w:val="32"/>
        </w:rPr>
        <w:t>第一部分   部门概况</w:t>
      </w:r>
      <w:r>
        <w:rPr>
          <w:rFonts w:eastAsia="仿宋_GB2312" w:hint="eastAsia"/>
          <w:sz w:val="28"/>
          <w:szCs w:val="36"/>
        </w:rPr>
        <w:t xml:space="preserve"> </w:t>
      </w:r>
      <w:r>
        <w:rPr>
          <w:rFonts w:eastAsia="仿宋_GB2312" w:hint="eastAsia"/>
          <w:sz w:val="24"/>
          <w:szCs w:val="32"/>
        </w:rPr>
        <w:t xml:space="preserve"> </w:t>
      </w:r>
    </w:p>
    <w:p>
      <w:pPr>
        <w:widowControl/>
        <w:spacing w:line="580" w:lineRule="exact"/>
        <w:ind w:firstLineChars="398" w:firstLine="1274"/>
        <w:rPr>
          <w:rFonts w:eastAsia="仿宋_GB2312"/>
          <w:sz w:val="32"/>
          <w:szCs w:val="32"/>
        </w:rPr>
      </w:pPr>
      <w:r>
        <w:rPr>
          <w:rFonts w:eastAsia="仿宋_GB2312"/>
          <w:sz w:val="32"/>
          <w:szCs w:val="32"/>
        </w:rPr>
        <w:t>一、部门</w:t>
      </w:r>
      <w:r>
        <w:rPr>
          <w:rFonts w:eastAsia="仿宋_GB2312" w:hint="eastAsia"/>
          <w:sz w:val="32"/>
          <w:szCs w:val="32"/>
        </w:rPr>
        <w:t>职责</w:t>
      </w:r>
    </w:p>
    <w:p>
      <w:pPr>
        <w:widowControl/>
        <w:spacing w:line="580" w:lineRule="exact"/>
        <w:ind w:firstLineChars="398" w:firstLine="1274"/>
        <w:rPr>
          <w:rFonts w:eastAsia="仿宋_GB2312"/>
          <w:sz w:val="32"/>
          <w:szCs w:val="32"/>
        </w:rPr>
      </w:pPr>
      <w:r>
        <w:rPr>
          <w:rFonts w:eastAsia="仿宋_GB2312"/>
          <w:sz w:val="32"/>
          <w:szCs w:val="32"/>
        </w:rPr>
        <w:t>二、</w:t>
      </w:r>
      <w:r>
        <w:rPr>
          <w:rFonts w:eastAsia="仿宋_GB2312" w:hint="eastAsia"/>
          <w:sz w:val="32"/>
          <w:szCs w:val="32"/>
        </w:rPr>
        <w:t>机构设置</w:t>
      </w:r>
    </w:p>
    <w:p>
      <w:pPr>
        <w:widowControl/>
        <w:spacing w:line="580" w:lineRule="exact"/>
        <w:ind w:firstLineChars="200" w:firstLine="640"/>
        <w:rPr>
          <w:rFonts w:eastAsia="仿宋_GB2312"/>
          <w:sz w:val="20"/>
          <w:szCs w:val="32"/>
        </w:rPr>
      </w:pPr>
      <w:r>
        <w:rPr>
          <w:rFonts w:eastAsia="黑体"/>
          <w:sz w:val="32"/>
          <w:szCs w:val="32"/>
        </w:rPr>
        <w:t>第二部分   201</w:t>
      </w:r>
      <w:r>
        <w:rPr>
          <w:rFonts w:eastAsia="黑体" w:hint="eastAsia"/>
          <w:sz w:val="32"/>
          <w:szCs w:val="32"/>
        </w:rPr>
        <w:t>8</w:t>
      </w:r>
      <w:r>
        <w:rPr>
          <w:rFonts w:eastAsia="黑体"/>
          <w:sz w:val="32"/>
          <w:szCs w:val="32"/>
        </w:rPr>
        <w:t>年度部门决算报表</w:t>
      </w:r>
    </w:p>
    <w:p>
      <w:pPr>
        <w:widowControl/>
        <w:spacing w:line="580" w:lineRule="exact"/>
        <w:ind w:left="640" w:firstLineChars="200" w:firstLine="640"/>
        <w:rPr>
          <w:rFonts w:eastAsia="仿宋_GB2312"/>
          <w:sz w:val="32"/>
          <w:szCs w:val="32"/>
        </w:rPr>
      </w:pPr>
      <w:r>
        <w:rPr>
          <w:rFonts w:eastAsia="仿宋_GB2312"/>
          <w:sz w:val="32"/>
          <w:szCs w:val="32"/>
        </w:rPr>
        <w:t>一、收入支出决算总表</w:t>
      </w:r>
    </w:p>
    <w:p>
      <w:pPr>
        <w:widowControl/>
        <w:spacing w:line="580" w:lineRule="exact"/>
        <w:ind w:left="640" w:firstLineChars="200" w:firstLine="640"/>
        <w:rPr>
          <w:rFonts w:eastAsia="仿宋_GB2312"/>
          <w:sz w:val="32"/>
          <w:szCs w:val="32"/>
        </w:rPr>
      </w:pPr>
      <w:r>
        <w:rPr>
          <w:rFonts w:eastAsia="仿宋_GB2312"/>
          <w:sz w:val="32"/>
          <w:szCs w:val="32"/>
        </w:rPr>
        <w:t>二、收入决算表</w:t>
      </w:r>
    </w:p>
    <w:p>
      <w:pPr>
        <w:widowControl/>
        <w:spacing w:line="580" w:lineRule="exact"/>
        <w:ind w:left="640" w:firstLineChars="200" w:firstLine="640"/>
        <w:rPr>
          <w:rFonts w:eastAsia="仿宋_GB2312"/>
          <w:sz w:val="32"/>
          <w:szCs w:val="32"/>
        </w:rPr>
      </w:pPr>
      <w:r>
        <w:rPr>
          <w:rFonts w:eastAsia="仿宋_GB2312"/>
          <w:sz w:val="32"/>
          <w:szCs w:val="32"/>
        </w:rPr>
        <w:t>三、支出决算表</w:t>
      </w:r>
    </w:p>
    <w:p>
      <w:pPr>
        <w:widowControl/>
        <w:spacing w:line="580" w:lineRule="exact"/>
        <w:ind w:left="640" w:firstLineChars="200" w:firstLine="640"/>
        <w:rPr>
          <w:rFonts w:eastAsia="仿宋_GB2312"/>
          <w:sz w:val="32"/>
          <w:szCs w:val="32"/>
        </w:rPr>
      </w:pPr>
      <w:r>
        <w:rPr>
          <w:rFonts w:eastAsia="仿宋_GB2312"/>
          <w:sz w:val="32"/>
          <w:szCs w:val="32"/>
        </w:rPr>
        <w:t>四、财政拨款收入支出决算总表</w:t>
      </w:r>
    </w:p>
    <w:p>
      <w:pPr>
        <w:widowControl/>
        <w:spacing w:line="580" w:lineRule="exact"/>
        <w:ind w:left="640" w:firstLineChars="200" w:firstLine="640"/>
        <w:rPr>
          <w:rFonts w:eastAsia="仿宋_GB2312"/>
          <w:sz w:val="32"/>
          <w:szCs w:val="32"/>
        </w:rPr>
      </w:pPr>
      <w:r>
        <w:rPr>
          <w:rFonts w:eastAsia="仿宋_GB2312"/>
          <w:sz w:val="32"/>
          <w:szCs w:val="32"/>
        </w:rPr>
        <w:t>五、一般公共预算财政拨款支出决算表</w:t>
      </w:r>
    </w:p>
    <w:p>
      <w:pPr>
        <w:widowControl/>
        <w:spacing w:line="580" w:lineRule="exact"/>
        <w:ind w:left="640" w:firstLineChars="200" w:firstLine="640"/>
        <w:rPr>
          <w:rFonts w:eastAsia="仿宋_GB2312"/>
          <w:sz w:val="32"/>
          <w:szCs w:val="32"/>
        </w:rPr>
      </w:pPr>
      <w:r>
        <w:rPr>
          <w:rFonts w:eastAsia="仿宋_GB2312"/>
          <w:sz w:val="32"/>
          <w:szCs w:val="32"/>
        </w:rPr>
        <w:t>六、一般公共预算财政拨款基本支出决算表</w:t>
      </w:r>
    </w:p>
    <w:p>
      <w:pPr>
        <w:widowControl/>
        <w:spacing w:line="580" w:lineRule="exact"/>
        <w:ind w:left="640" w:firstLineChars="200" w:firstLine="640"/>
        <w:rPr>
          <w:rFonts w:eastAsia="仿宋_GB2312"/>
          <w:sz w:val="32"/>
          <w:szCs w:val="32"/>
        </w:rPr>
      </w:pPr>
      <w:r>
        <w:rPr>
          <w:rFonts w:eastAsia="仿宋_GB2312"/>
          <w:sz w:val="32"/>
          <w:szCs w:val="32"/>
        </w:rPr>
        <w:t>七、</w:t>
      </w:r>
      <w:r>
        <w:rPr>
          <w:rFonts w:eastAsia="仿宋_GB2312" w:hint="eastAsia"/>
          <w:sz w:val="32"/>
          <w:szCs w:val="32"/>
        </w:rPr>
        <w:t>一般公共预算财政拨款</w:t>
      </w:r>
      <w:r>
        <w:rPr>
          <w:rFonts w:eastAsia="仿宋_GB2312"/>
          <w:sz w:val="32"/>
          <w:szCs w:val="32"/>
        </w:rPr>
        <w:t>“三公”经费</w:t>
      </w:r>
      <w:r>
        <w:rPr>
          <w:rFonts w:eastAsia="仿宋_GB2312" w:hint="eastAsia"/>
          <w:sz w:val="32"/>
          <w:szCs w:val="32"/>
        </w:rPr>
        <w:t>支出决算表</w:t>
      </w:r>
    </w:p>
    <w:p>
      <w:pPr>
        <w:widowControl/>
        <w:spacing w:line="580" w:lineRule="exact"/>
        <w:ind w:left="640" w:firstLineChars="200" w:firstLine="640"/>
        <w:rPr>
          <w:rFonts w:eastAsia="仿宋_GB2312"/>
          <w:sz w:val="32"/>
          <w:szCs w:val="32"/>
        </w:rPr>
      </w:pPr>
      <w:r>
        <w:rPr>
          <w:rFonts w:eastAsia="仿宋_GB2312" w:hint="eastAsia"/>
          <w:sz w:val="32"/>
          <w:szCs w:val="32"/>
        </w:rPr>
        <w:t>八、</w:t>
      </w:r>
      <w:r>
        <w:rPr>
          <w:rFonts w:eastAsia="仿宋_GB2312"/>
          <w:sz w:val="32"/>
          <w:szCs w:val="32"/>
        </w:rPr>
        <w:t>政府性基金预算财政拨款收入支出决算表</w:t>
      </w:r>
    </w:p>
    <w:p>
      <w:pPr>
        <w:widowControl/>
        <w:spacing w:line="580" w:lineRule="exact"/>
        <w:ind w:left="640" w:firstLineChars="200" w:firstLine="640"/>
        <w:rPr>
          <w:rFonts w:eastAsia="仿宋_GB2312"/>
          <w:sz w:val="32"/>
          <w:szCs w:val="32"/>
        </w:rPr>
      </w:pPr>
      <w:r>
        <w:rPr>
          <w:rFonts w:eastAsia="仿宋_GB2312" w:hint="eastAsia"/>
          <w:sz w:val="32"/>
          <w:szCs w:val="32"/>
        </w:rPr>
        <w:t>九</w:t>
      </w:r>
      <w:r>
        <w:rPr>
          <w:rFonts w:eastAsia="仿宋_GB2312"/>
          <w:sz w:val="32"/>
          <w:szCs w:val="32"/>
        </w:rPr>
        <w:t>、国有资本经营预算</w:t>
      </w:r>
      <w:r>
        <w:rPr>
          <w:rFonts w:eastAsia="仿宋_GB2312" w:hint="eastAsia"/>
          <w:sz w:val="32"/>
          <w:szCs w:val="32"/>
        </w:rPr>
        <w:t>财政拨款</w:t>
      </w:r>
      <w:r>
        <w:rPr>
          <w:rFonts w:eastAsia="仿宋_GB2312"/>
          <w:sz w:val="32"/>
          <w:szCs w:val="32"/>
        </w:rPr>
        <w:t>支出决算表</w:t>
      </w:r>
    </w:p>
    <w:p>
      <w:pPr>
        <w:widowControl/>
        <w:spacing w:line="580" w:lineRule="exact"/>
        <w:ind w:left="640" w:firstLineChars="200" w:firstLine="640"/>
        <w:rPr>
          <w:rFonts w:eastAsia="仿宋_GB2312"/>
          <w:sz w:val="32"/>
          <w:szCs w:val="32"/>
        </w:rPr>
      </w:pPr>
      <w:r>
        <w:rPr>
          <w:rFonts w:eastAsia="仿宋_GB2312" w:hint="eastAsia"/>
          <w:sz w:val="32"/>
          <w:szCs w:val="32"/>
        </w:rPr>
        <w:t>十</w:t>
      </w:r>
      <w:r>
        <w:rPr>
          <w:rFonts w:eastAsia="仿宋_GB2312"/>
          <w:sz w:val="32"/>
          <w:szCs w:val="32"/>
        </w:rPr>
        <w:t>、政府采购情况表</w:t>
      </w:r>
    </w:p>
    <w:p>
      <w:pPr>
        <w:widowControl/>
        <w:spacing w:line="580" w:lineRule="exact"/>
        <w:ind w:firstLineChars="200" w:firstLine="640"/>
        <w:rPr>
          <w:rFonts w:eastAsia="黑体"/>
          <w:sz w:val="32"/>
          <w:szCs w:val="32"/>
        </w:rPr>
      </w:pPr>
    </w:p>
    <w:p>
      <w:pPr>
        <w:widowControl/>
        <w:spacing w:line="580" w:lineRule="exact"/>
        <w:ind w:firstLineChars="200" w:firstLine="640"/>
        <w:rPr>
          <w:rFonts w:eastAsia="黑体"/>
          <w:sz w:val="32"/>
          <w:szCs w:val="32"/>
        </w:rPr>
      </w:pPr>
      <w:r>
        <w:rPr>
          <w:rFonts w:eastAsia="黑体"/>
          <w:sz w:val="32"/>
          <w:szCs w:val="32"/>
        </w:rPr>
        <w:t xml:space="preserve">第三部分 </w:t>
      </w:r>
      <w:r>
        <w:rPr>
          <w:rFonts w:eastAsia="黑体" w:hint="eastAsia"/>
          <w:sz w:val="32"/>
          <w:szCs w:val="32"/>
          <w:lang w:val="en-US" w:eastAsia="zh-CN"/>
        </w:rPr>
        <w:t xml:space="preserve"> 高邑县城管局</w:t>
      </w:r>
      <w:r>
        <w:rPr>
          <w:rFonts w:eastAsia="黑体"/>
          <w:sz w:val="32"/>
          <w:szCs w:val="32"/>
        </w:rPr>
        <w:t>201</w:t>
      </w:r>
      <w:r>
        <w:rPr>
          <w:rFonts w:eastAsia="黑体" w:hint="eastAsia"/>
          <w:sz w:val="32"/>
          <w:szCs w:val="32"/>
        </w:rPr>
        <w:t>8</w:t>
      </w:r>
      <w:r>
        <w:rPr>
          <w:rFonts w:eastAsia="黑体"/>
          <w:sz w:val="32"/>
          <w:szCs w:val="32"/>
        </w:rPr>
        <w:t>年部门决算情况说明</w:t>
      </w:r>
      <w:r>
        <w:rPr>
          <w:sz w:val="44"/>
        </w:rPr>
        <mc:AlternateContent>
          <mc:Choice Requires="wps">
            <w:drawing>
              <wp:anchor distT="0" distB="0" distL="114298" distR="114298" simplePos="0" relativeHeight="75" behindDoc="0" locked="1" layoutInCell="1" hidden="0" allowOverlap="1">
                <wp:simplePos x="0" y="0"/>
                <wp:positionH relativeFrom="column">
                  <wp:posOffset>-1026160</wp:posOffset>
                </wp:positionH>
                <wp:positionV relativeFrom="page">
                  <wp:posOffset>494664</wp:posOffset>
                </wp:positionV>
                <wp:extent cx="2828924" cy="593725"/>
                <wp:effectExtent l="0" t="0" r="0" b="0"/>
                <wp:wrapNone/>
                <wp:docPr id="15" name="组合"/>
                <wp:cNvGraphicFramePr>
                  <a:graphicFrameLocks noChangeAspect="0"/>
                </wp:cNvGraphicFramePr>
                <a:graphic>
                  <a:graphicData uri="http://schemas.microsoft.com/office/word/2010/wordprocessingGroup">
                    <wpg:wgp>
                      <wpg:cNvPr id="16" name="组合 16"/>
                      <wpg:cNvGrpSpPr/>
                      <wpg:grpSpPr>
                        <a:xfrm rot="0">
                          <a:off x="0" y="0"/>
                          <a:ext cx="2828924" cy="593725"/>
                          <a:chOff x="0" y="0"/>
                          <a:chExt cx="2828924" cy="593725"/>
                        </a:xfrm>
                        <a:prstGeom prst="rect"/>
                        <a:solidFill>
                          <a:srgbClr val="FFFFFF"/>
                        </a:solidFill>
                        <a:ln w="9525" cmpd="sng" cap="flat">
                          <a:solidFill>
                            <a:srgbClr val="000000"/>
                          </a:solidFill>
                          <a:prstDash val="solid"/>
                          <a:miter/>
                        </a:ln>
                      </wpg:grpSpPr>
                      <wps:wsp>
                        <wps:cNvPr id="17" name="_s21 17"/>
                        <wps:cNvSpPr/>
                        <wps:spPr>
                          <a:xfrm rot="0">
                            <a:off x="0" y="0"/>
                            <a:ext cx="2828924" cy="498475"/>
                          </a:xfrm>
                          <a:prstGeom prst="rect"/>
                          <a:solidFill>
                            <a:srgbClr val="B8B8B8"/>
                          </a:solidFill>
                          <a:ln w="9525" cmpd="sng" cap="flat">
                            <a:noFill/>
                            <a:prstDash val="solid"/>
                            <a:miter/>
                          </a:ln>
                        </wps:spPr>
                        <wps:bodyPr vert="horz" wrap="square" lIns="91440" tIns="45720" rIns="91440" bIns="45720" anchor="t" anchorCtr="0" upright="1">
                          <a:noAutofit/>
                        </wps:bodyPr>
                      </wps:wsp>
                      <wps:wsp>
                        <wps:cNvPr id="18" name="_s22 18"/>
                        <wps:cNvSpPr/>
                        <wps:spPr>
                          <a:xfrm rot="0">
                            <a:off x="8891" y="117475"/>
                            <a:ext cx="2755883" cy="476250"/>
                          </a:xfrm>
                          <a:prstGeom prst="rect"/>
                          <a:solidFill>
                            <a:srgbClr val="AD002D"/>
                          </a:solidFill>
                          <a:ln w="25400" cmpd="sng" cap="flat">
                            <a:solidFill>
                              <a:srgbClr val="805514"/>
                            </a:solidFill>
                            <a:prstDash val="solid"/>
                            <a:miter/>
                          </a:ln>
                        </wps:spPr>
                        <wps:txbx id="19">
                          <w:txbxContent>
                            <w:p>
                              <w:pPr>
                                <w:widowControl/>
                                <w:jc w:val="left"/>
                                <w:rPr>
                                  <w:rFonts w:ascii="楷体" w:eastAsia="楷体" w:cs="楷体"/>
                                  <w:b/>
                                  <w:bCs/>
                                  <w:color w:val="FDEFBE"/>
                                  <w:sz w:val="32"/>
                                  <w:szCs w:val="32"/>
                                </w:rPr>
                              </w:pPr>
                              <w:r>
                                <w:rPr>
                                  <w:rFonts w:ascii="楷体" w:eastAsia="楷体" w:cs="楷体" w:hint="eastAsia"/>
                                  <w:b/>
                                  <w:bCs/>
                                  <w:color w:val="FDEFBE"/>
                                  <w:kern w:val="0"/>
                                  <w:sz w:val="32"/>
                                  <w:szCs w:val="32"/>
                                </w:rPr>
                                <w:t>2018年度部门决算☞目 录</w:t>
                              </w:r>
                            </w:p>
                            <w:p>
                              <w:pPr>
                                <w:jc w:val="center"/>
                              </w:pPr>
                            </w:p>
                          </w:txbxContent>
                        </wps:txbx>
                        <wps:bodyPr vert="horz" wrap="square" lIns="91440" tIns="45720" rIns="91440" bIns="45720" anchor="ctr" anchorCtr="0" upright="0">
                          <a:noAutofit/>
                        </wps:bodyPr>
                      </wps:wsp>
                      <wps:bodyPr vert="horz" wrap="square" lIns="91440" tIns="45720" rIns="91440" bIns="45720" anchor="t" anchorCtr="0" upright="1">
                        <a:noAutofit/>
                      </wps:bodyPr>
                    </wpg:wgp>
                  </a:graphicData>
                </a:graphic>
              </wp:anchor>
            </w:drawing>
          </mc:Choice>
          <mc:Fallback>
            <w:pict>
              <v:group type="#_x0000_t1" id="组合 20" o:spid="_x0000_s20" coordorigin="-28,778" coordsize="4454,935" style="position:absolute;margin-left:-80.80001pt;margin-top:38.94997pt;width:222.74997pt;height:46.750027pt;z-index:75;mso-position-horizontal:absolute;mso-position-vertical:absolute;mso-position-vertical-relative:page;mso-wrap-distance-left:8.999863pt;mso-wrap-distance-right:8.999863pt;">
                <v:rect type="#_x0000_t1" id="_s21" o:spid="_x0000_s21" style="position:absolute;left:-28;top:778;width:4454;height:785;" fillcolor="#B8B8B8" stroked="f">
                  <v:stroke color="#000000"/>
                </v:rect>
                <v:rect type="#_x0000_t1" id="_s22" o:spid="_x0000_s22" style="position:absolute;left:-13;top:963;width:4339;height:750;mso-wrap-style:square;" fillcolor="#AD002D" stroked="t" strokeweight="2.0pt">
                  <v:textbox id="865" inset="2.54mm,1.27mm,2.54mm,1.27mm" o:insetmode="custom" style="layout-flow:horizontal;v-text-anchor:middle;">
                    <w:txbxContent>
                      <w:p>
                        <w:pPr>
                          <w:widowControl/>
                          <w:jc w:val="left"/>
                          <w:rPr>
                            <w:rFonts w:ascii="楷体" w:eastAsia="楷体" w:cs="楷体"/>
                            <w:b/>
                            <w:bCs/>
                            <w:color w:val="FDEFBE"/>
                            <w:sz w:val="32"/>
                            <w:szCs w:val="32"/>
                          </w:rPr>
                        </w:pPr>
                        <w:r>
                          <w:rPr>
                            <w:rFonts w:ascii="楷体" w:eastAsia="楷体" w:cs="楷体" w:hint="eastAsia"/>
                            <w:b/>
                            <w:bCs/>
                            <w:color w:val="FDEFBE"/>
                            <w:kern w:val="0"/>
                            <w:sz w:val="32"/>
                            <w:szCs w:val="32"/>
                          </w:rPr>
                          <w:t>2018年度部门决算☞目 录</w:t>
                        </w:r>
                      </w:p>
                      <w:p>
                        <w:pPr>
                          <w:jc w:val="center"/>
                        </w:pPr>
                      </w:p>
                    </w:txbxContent>
                  </v:textbox>
                  <v:stroke color="#805514"/>
                </v:rect>
                <w10:anchorLock/>
              </v:group>
            </w:pict>
          </mc:Fallback>
        </mc:AlternateContent>
      </w:r>
    </w:p>
    <w:p>
      <w:pPr>
        <w:widowControl/>
        <w:spacing w:line="580" w:lineRule="exact"/>
        <w:ind w:left="640" w:firstLineChars="200" w:firstLine="640"/>
        <w:rPr>
          <w:rFonts w:eastAsia="仿宋_GB2312"/>
          <w:sz w:val="32"/>
          <w:szCs w:val="32"/>
        </w:rPr>
      </w:pPr>
      <w:r>
        <w:rPr>
          <w:rFonts w:eastAsia="仿宋_GB2312"/>
          <w:sz w:val="32"/>
          <w:szCs w:val="32"/>
        </w:rPr>
        <w:t>一、收入支出决算总体情况说明</w:t>
      </w:r>
    </w:p>
    <w:p>
      <w:pPr>
        <w:widowControl/>
        <w:spacing w:line="580" w:lineRule="exact"/>
        <w:ind w:left="640" w:firstLineChars="200" w:firstLine="640"/>
        <w:rPr>
          <w:rFonts w:eastAsia="仿宋_GB2312"/>
          <w:sz w:val="32"/>
          <w:szCs w:val="32"/>
        </w:rPr>
      </w:pPr>
      <w:r>
        <w:rPr>
          <w:rFonts w:eastAsia="仿宋_GB2312"/>
          <w:sz w:val="32"/>
          <w:szCs w:val="32"/>
        </w:rPr>
        <w:t>二、收入决算情况说明</w:t>
      </w:r>
    </w:p>
    <w:p>
      <w:pPr>
        <w:widowControl/>
        <w:spacing w:line="580" w:lineRule="exact"/>
        <w:ind w:left="640" w:firstLineChars="200" w:firstLine="640"/>
        <w:rPr>
          <w:rFonts w:eastAsia="仿宋_GB2312"/>
          <w:sz w:val="32"/>
          <w:szCs w:val="32"/>
        </w:rPr>
      </w:pPr>
      <w:r>
        <w:rPr>
          <w:rFonts w:eastAsia="仿宋_GB2312"/>
          <w:sz w:val="32"/>
          <w:szCs w:val="32"/>
        </w:rPr>
        <w:t>三、支出决算情况说明</w:t>
      </w:r>
    </w:p>
    <w:p>
      <w:pPr>
        <w:widowControl/>
        <w:spacing w:line="580" w:lineRule="exact"/>
        <w:ind w:left="640" w:firstLineChars="200" w:firstLine="640"/>
        <w:rPr>
          <w:rFonts w:eastAsia="仿宋_GB2312"/>
          <w:sz w:val="32"/>
          <w:szCs w:val="32"/>
        </w:rPr>
      </w:pPr>
      <w:r>
        <w:rPr>
          <w:rFonts w:eastAsia="仿宋_GB2312"/>
          <w:sz w:val="32"/>
          <w:szCs w:val="32"/>
        </w:rPr>
        <w:t>四、财政拨款收入支出决算情况说明</w:t>
      </w:r>
    </w:p>
    <w:p>
      <w:pPr>
        <w:widowControl/>
        <w:spacing w:line="580" w:lineRule="exact"/>
        <w:ind w:left="640" w:firstLineChars="200" w:firstLine="640"/>
        <w:rPr>
          <w:rFonts w:eastAsia="仿宋_GB2312"/>
          <w:sz w:val="32"/>
          <w:szCs w:val="32"/>
        </w:rPr>
      </w:pPr>
      <w:r>
        <w:rPr>
          <w:rFonts w:eastAsia="仿宋_GB2312" w:hint="eastAsia"/>
          <w:sz w:val="32"/>
          <w:szCs w:val="32"/>
        </w:rPr>
        <w:t>五、一般公共预算财政拨款</w:t>
      </w:r>
      <w:r>
        <w:rPr>
          <w:rFonts w:eastAsia="仿宋_GB2312"/>
          <w:sz w:val="32"/>
          <w:szCs w:val="32"/>
        </w:rPr>
        <w:t>“三公”经费支出决算情况说明</w:t>
      </w:r>
    </w:p>
    <w:p>
      <w:pPr>
        <w:widowControl/>
        <w:spacing w:line="580" w:lineRule="exact"/>
        <w:ind w:left="640" w:firstLineChars="200" w:firstLine="640"/>
        <w:rPr>
          <w:rFonts w:eastAsia="仿宋_GB2312"/>
          <w:sz w:val="32"/>
          <w:szCs w:val="32"/>
        </w:rPr>
      </w:pPr>
      <w:r>
        <w:rPr>
          <w:rFonts w:eastAsia="仿宋_GB2312" w:hint="eastAsia"/>
          <w:sz w:val="32"/>
          <w:szCs w:val="32"/>
        </w:rPr>
        <w:t>六</w:t>
      </w:r>
      <w:r>
        <w:rPr>
          <w:rFonts w:eastAsia="仿宋_GB2312"/>
          <w:sz w:val="32"/>
          <w:szCs w:val="32"/>
        </w:rPr>
        <w:t>、预算绩效情况说明</w:t>
      </w:r>
    </w:p>
    <w:p>
      <w:pPr>
        <w:widowControl/>
        <w:spacing w:line="580" w:lineRule="exact"/>
        <w:ind w:left="640" w:firstLineChars="200" w:firstLine="640"/>
        <w:rPr>
          <w:rFonts w:eastAsia="仿宋_GB2312"/>
          <w:sz w:val="32"/>
          <w:szCs w:val="32"/>
        </w:rPr>
      </w:pPr>
      <w:r>
        <w:rPr>
          <w:rFonts w:eastAsia="仿宋_GB2312" w:hint="eastAsia"/>
          <w:sz w:val="32"/>
          <w:szCs w:val="32"/>
        </w:rPr>
        <w:t>七</w:t>
      </w:r>
      <w:r>
        <w:rPr>
          <w:rFonts w:eastAsia="仿宋_GB2312"/>
          <w:sz w:val="32"/>
          <w:szCs w:val="32"/>
        </w:rPr>
        <w:t>、其他重要事项的说明</w:t>
      </w:r>
    </w:p>
    <w:p>
      <w:pPr>
        <w:widowControl/>
        <w:spacing w:line="580" w:lineRule="exact"/>
        <w:ind w:firstLineChars="200" w:firstLine="640"/>
        <w:rPr>
          <w:rFonts w:eastAsia="黑体"/>
          <w:sz w:val="32"/>
          <w:szCs w:val="32"/>
        </w:rPr>
      </w:pPr>
      <w:r>
        <w:rPr>
          <w:rFonts w:eastAsia="黑体"/>
          <w:sz w:val="32"/>
          <w:szCs w:val="32"/>
        </w:rPr>
        <w:t>第四部分  名词解释</w:t>
      </w:r>
    </w:p>
    <w:p>
      <w:pPr>
        <w:widowControl/>
        <w:spacing w:line="580" w:lineRule="exact"/>
        <w:ind w:firstLineChars="200" w:firstLine="640"/>
        <w:rPr>
          <w:rFonts w:eastAsia="黑体"/>
          <w:sz w:val="32"/>
          <w:szCs w:val="32"/>
        </w:rPr>
      </w:pPr>
    </w:p>
    <w:p>
      <w:pPr>
        <w:widowControl/>
        <w:spacing w:line="580" w:lineRule="exact"/>
        <w:ind w:firstLineChars="200" w:firstLine="640"/>
        <w:rPr>
          <w:rFonts w:eastAsia="黑体"/>
          <w:sz w:val="32"/>
          <w:szCs w:val="32"/>
        </w:rPr>
      </w:pPr>
    </w:p>
    <w:p>
      <w:pPr>
        <w:widowControl/>
        <w:spacing w:line="580" w:lineRule="exact"/>
        <w:ind w:firstLineChars="200" w:firstLine="640"/>
        <w:rPr>
          <w:rFonts w:eastAsia="黑体"/>
          <w:sz w:val="32"/>
          <w:szCs w:val="32"/>
        </w:rPr>
      </w:pPr>
    </w:p>
    <w:p>
      <w:pPr>
        <w:widowControl/>
        <w:spacing w:line="580" w:lineRule="exact"/>
        <w:ind w:firstLineChars="200" w:firstLine="640"/>
        <w:rPr>
          <w:rFonts w:eastAsia="黑体"/>
          <w:sz w:val="32"/>
          <w:szCs w:val="32"/>
        </w:rPr>
      </w:pPr>
    </w:p>
    <w:p>
      <w:r>
        <w:br w:type="page"/>
      </w:r>
    </w:p>
    <w:p>
      <w:r>
        <w:rPr>
          <w:rFonts w:ascii="宋体" w:cs="ArialUnicodeMS" w:hint="eastAsia"/>
          <w:color w:val="000000"/>
          <w:kern w:val="0"/>
        </w:rPr>
        <w:drawing>
          <wp:anchor distT="0" distB="0" distL="114300" distR="114300" simplePos="0" relativeHeight="4" behindDoc="1" locked="0" layoutInCell="1" hidden="0" allowOverlap="1">
            <wp:simplePos x="0" y="0"/>
            <wp:positionH relativeFrom="column">
              <wp:posOffset>-1024889</wp:posOffset>
            </wp:positionH>
            <wp:positionV relativeFrom="paragraph">
              <wp:posOffset>-1351914</wp:posOffset>
            </wp:positionV>
            <wp:extent cx="7585710" cy="10727055"/>
            <wp:effectExtent l="0" t="0" r="0" b="0"/>
            <wp:wrapNone/>
            <wp:docPr id="23" name="图片 12" descr="2"/>
            <wp:cNvGraphicFramePr>
              <a:graphicFrameLocks noChangeAspect="1"/>
            </wp:cNvGraphicFramePr>
            <a:graphic>
              <a:graphicData uri="http://schemas.openxmlformats.org/drawingml/2006/picture">
                <pic:pic>
                  <pic:nvPicPr>
                    <pic:cNvPr id="25" name="图片 12 25"/>
                    <pic:cNvPicPr/>
                  </pic:nvPicPr>
                  <pic:blipFill>
                    <a:blip r:embed="rId3"/>
                    <a:stretch>
                      <a:fillRect/>
                    </a:stretch>
                  </pic:blipFill>
                  <pic:spPr>
                    <a:xfrm rot="0">
                      <a:off x="0" y="0"/>
                      <a:ext cx="7585710" cy="10727055"/>
                    </a:xfrm>
                    <a:prstGeom prst="rect"/>
                    <a:noFill/>
                    <a:ln w="9525" cmpd="sng" cap="flat">
                      <a:noFill/>
                      <a:prstDash val="solid"/>
                      <a:miter/>
                    </a:ln>
                  </pic:spPr>
                </pic:pic>
              </a:graphicData>
            </a:graphic>
          </wp:anchor>
        </w:drawing>
      </w:r>
      <w:r>
        <w:rPr>
          <w:sz w:val="72"/>
        </w:rPr>
        <mc:AlternateContent>
          <mc:Choice Requires="wps">
            <w:drawing>
              <wp:anchor distT="0" distB="0" distL="114298" distR="114298" simplePos="0" relativeHeight="71" behindDoc="0" locked="0" layoutInCell="1" hidden="0" allowOverlap="1">
                <wp:simplePos x="0" y="0"/>
                <wp:positionH relativeFrom="column">
                  <wp:posOffset>-1235710</wp:posOffset>
                </wp:positionH>
                <wp:positionV relativeFrom="paragraph">
                  <wp:posOffset>3290570</wp:posOffset>
                </wp:positionV>
                <wp:extent cx="7793355" cy="1037590"/>
                <wp:effectExtent l="0" t="0" r="0" b="0"/>
                <wp:wrapNone/>
                <wp:docPr id="26" name="文本框 118"/>
                <wp:cNvGraphicFramePr>
                  <a:graphicFrameLocks noChangeAspect="0"/>
                </wp:cNvGraphicFramePr>
                <a:graphic>
                  <a:graphicData uri="http://schemas.microsoft.com/office/word/2010/wordprocessingShape">
                    <wps:wsp>
                      <wps:cNvSpPr/>
                      <wps:spPr>
                        <a:xfrm rot="0">
                          <a:off x="0" y="0"/>
                          <a:ext cx="7793355" cy="1037590"/>
                        </a:xfrm>
                        <a:prstGeom prst="rect"/>
                        <a:noFill/>
                        <a:ln w="6350" cmpd="sng" cap="flat">
                          <a:noFill/>
                          <a:prstDash val="solid"/>
                          <a:round/>
                        </a:ln>
                      </wps:spPr>
                      <wps:txbx id="27">
                        <w:txbxContent>
                          <w:p>
                            <w:pPr>
                              <w:widowControl/>
                              <w:jc w:val="center"/>
                              <w:rPr>
                                <w:color w:val="FDEFBE"/>
                                <w:sz w:val="96"/>
                                <w:szCs w:val="96"/>
                              </w:rPr>
                            </w:pPr>
                            <w:r>
                              <w:rPr>
                                <w:rFonts w:ascii="黑体" w:eastAsia="黑体" w:hint="eastAsia"/>
                                <w:color w:val="FDEFBE"/>
                                <w:sz w:val="96"/>
                                <w:szCs w:val="96"/>
                              </w:rPr>
                              <w:t>第一部分  部门概况</w:t>
                            </w:r>
                          </w:p>
                        </w:txbxContent>
                      </wps:txbx>
                      <wps:bodyPr vert="horz" wrap="square" lIns="91440" tIns="45720" rIns="91440" bIns="45720" anchor="t" anchorCtr="0" upright="0">
                        <a:noAutofit/>
                      </wps:bodyPr>
                    </wps:wsp>
                  </a:graphicData>
                </a:graphic>
              </wp:anchor>
            </w:drawing>
          </mc:Choice>
          <mc:Fallback>
            <w:pict>
              <v:shape type="#_x0000_t202" id="文本框 118 28" o:spid="_x0000_s28" filled="f" stroked="f" strokeweight="0.5pt" style="position:absolute;margin-left:-97.299995pt;margin-top:259.1pt;width:613.65pt;height:81.700005pt;z-index:71;mso-position-horizontal:absolute;mso-position-vertical:absolute;mso-wrap-distance-left:8.999863pt;mso-wrap-distance-right:8.999863pt;mso-wrap-style:square;">
                <v:stroke color="#000000"/>
                <v:textbox id="851" inset="2.54mm,1.27mm,2.54mm,1.27mm" o:insetmode="custom" style="layout-flow:horizontal;v-text-anchor:top;">
                  <w:txbxContent>
                    <w:p>
                      <w:pPr>
                        <w:widowControl/>
                        <w:jc w:val="center"/>
                        <w:rPr>
                          <w:color w:val="FDEFBE"/>
                          <w:sz w:val="96"/>
                          <w:szCs w:val="96"/>
                        </w:rPr>
                      </w:pPr>
                      <w:r>
                        <w:rPr>
                          <w:rFonts w:ascii="黑体" w:eastAsia="黑体" w:hint="eastAsia"/>
                          <w:color w:val="FDEFBE"/>
                          <w:sz w:val="96"/>
                          <w:szCs w:val="96"/>
                        </w:rPr>
                        <w:t>第一部分  部门概况</w:t>
                      </w:r>
                    </w:p>
                  </w:txbxContent>
                </v:textbox>
              </v:shape>
            </w:pict>
          </mc:Fallback>
        </mc:AlternateContent>
      </w:r>
    </w:p>
    <w:p/>
    <w:p/>
    <w:p/>
    <w:p/>
    <w:p/>
    <w:p/>
    <w:p/>
    <w:p/>
    <w:p/>
    <w:p/>
    <w:p/>
    <w:p/>
    <w:p/>
    <w:p/>
    <w:p/>
    <w:p>
      <w:pPr>
        <w:pStyle w:val="1"/>
        <w:spacing w:before="0" w:after="0" w:line="600" w:lineRule="exact"/>
        <w:jc w:val="left"/>
        <w:rPr>
          <w:rFonts w:ascii="黑体" w:eastAsia="黑体" w:cs="黑体"/>
          <w:b w:val="0"/>
          <w:bCs w:val="0"/>
          <w:kern w:val="0"/>
          <w:sz w:val="32"/>
          <w:szCs w:val="32"/>
        </w:rPr>
      </w:pPr>
      <w:r>
        <w:rPr>
          <w:b w:val="0"/>
          <w:bCs w:val="0"/>
          <w:sz w:val="32"/>
          <w:szCs w:val="32"/>
        </w:rPr>
        <mc:AlternateContent>
          <mc:Choice Requires="wps">
            <w:drawing>
              <wp:anchor distT="0" distB="0" distL="114298" distR="114298" simplePos="0" relativeHeight="63" behindDoc="0" locked="1" layoutInCell="1" hidden="0" allowOverlap="1">
                <wp:simplePos x="0" y="0"/>
                <wp:positionH relativeFrom="column">
                  <wp:posOffset>-1026160</wp:posOffset>
                </wp:positionH>
                <wp:positionV relativeFrom="page">
                  <wp:posOffset>501650</wp:posOffset>
                </wp:positionV>
                <wp:extent cx="3114675" cy="593089"/>
                <wp:effectExtent l="0" t="0" r="0" b="0"/>
                <wp:wrapNone/>
                <wp:docPr id="29" name="组合"/>
                <wp:cNvGraphicFramePr>
                  <a:graphicFrameLocks noChangeAspect="0"/>
                </wp:cNvGraphicFramePr>
                <a:graphic>
                  <a:graphicData uri="http://schemas.microsoft.com/office/word/2010/wordprocessingGroup">
                    <wpg:wgp>
                      <wpg:cNvPr id="30" name="组合 30"/>
                      <wpg:cNvGrpSpPr/>
                      <wpg:grpSpPr>
                        <a:xfrm rot="0">
                          <a:off x="0" y="0"/>
                          <a:ext cx="3114675" cy="593089"/>
                          <a:chOff x="0" y="0"/>
                          <a:chExt cx="3114675" cy="593089"/>
                        </a:xfrm>
                        <a:prstGeom prst="rect"/>
                        <a:solidFill>
                          <a:srgbClr val="FFFFFF"/>
                        </a:solidFill>
                        <a:ln w="9525" cmpd="sng" cap="flat">
                          <a:solidFill>
                            <a:srgbClr val="000000"/>
                          </a:solidFill>
                          <a:prstDash val="solid"/>
                          <a:miter/>
                        </a:ln>
                      </wpg:grpSpPr>
                      <wps:wsp>
                        <wps:cNvPr id="31" name="_s35 31"/>
                        <wps:cNvSpPr/>
                        <wps:spPr>
                          <a:xfrm rot="0">
                            <a:off x="0" y="0"/>
                            <a:ext cx="3114675" cy="499009"/>
                          </a:xfrm>
                          <a:prstGeom prst="rect"/>
                          <a:solidFill>
                            <a:srgbClr val="B8B8B8"/>
                          </a:solidFill>
                          <a:ln w="9525" cmpd="sng" cap="flat">
                            <a:noFill/>
                            <a:prstDash val="solid"/>
                            <a:miter/>
                          </a:ln>
                        </wps:spPr>
                        <wps:bodyPr vert="horz" wrap="square" lIns="91440" tIns="45720" rIns="91440" bIns="45720" anchor="t" anchorCtr="0" upright="1">
                          <a:noAutofit/>
                        </wps:bodyPr>
                      </wps:wsp>
                      <wps:wsp>
                        <wps:cNvPr id="32" name="_s36 32"/>
                        <wps:cNvSpPr/>
                        <wps:spPr>
                          <a:xfrm rot="0">
                            <a:off x="9525" y="116329"/>
                            <a:ext cx="3033395" cy="476760"/>
                          </a:xfrm>
                          <a:prstGeom prst="rect"/>
                          <a:solidFill>
                            <a:srgbClr val="AD002D"/>
                          </a:solidFill>
                          <a:ln w="25400" cmpd="sng" cap="flat">
                            <a:solidFill>
                              <a:srgbClr val="805514"/>
                            </a:solidFill>
                            <a:prstDash val="solid"/>
                            <a:miter/>
                          </a:ln>
                        </wps:spPr>
                        <wps:txbx id="33">
                          <w:txbxContent>
                            <w:p>
                              <w:pPr>
                                <w:widowControl/>
                                <w:jc w:val="left"/>
                                <w:rPr>
                                  <w:rFonts w:ascii="楷体" w:eastAsia="楷体" w:cs="楷体"/>
                                  <w:b/>
                                  <w:bCs/>
                                  <w:color w:val="FDEFBE"/>
                                  <w:sz w:val="32"/>
                                  <w:szCs w:val="32"/>
                                </w:rPr>
                              </w:pPr>
                              <w:r>
                                <w:rPr>
                                  <w:rFonts w:ascii="楷体" w:eastAsia="楷体" w:cs="楷体" w:hint="eastAsia"/>
                                  <w:b/>
                                  <w:bCs/>
                                  <w:color w:val="FDEFBE"/>
                                  <w:kern w:val="0"/>
                                  <w:sz w:val="32"/>
                                  <w:szCs w:val="32"/>
                                </w:rPr>
                                <w:t>2018年度部门决算☞部门概况</w:t>
                              </w:r>
                            </w:p>
                            <w:p>
                              <w:pPr>
                                <w:jc w:val="center"/>
                              </w:pPr>
                            </w:p>
                          </w:txbxContent>
                        </wps:txbx>
                        <wps:bodyPr vert="horz" wrap="square" lIns="91440" tIns="45720" rIns="91440" bIns="45720" anchor="ctr" anchorCtr="0" upright="0">
                          <a:noAutofit/>
                        </wps:bodyPr>
                      </wps:wsp>
                      <wps:bodyPr vert="horz" wrap="square" lIns="91440" tIns="45720" rIns="91440" bIns="45720" anchor="t" anchorCtr="0" upright="1">
                        <a:noAutofit/>
                      </wps:bodyPr>
                    </wpg:wgp>
                  </a:graphicData>
                </a:graphic>
              </wp:anchor>
            </w:drawing>
          </mc:Choice>
          <mc:Fallback>
            <w:pict>
              <v:group type="#_x0000_t1" id="组合 34" o:spid="_x0000_s34" coordorigin="-28,790" coordsize="4905,933" style="position:absolute;margin-left:-80.80001pt;margin-top:39.500008pt;width:245.25002pt;height:46.699974pt;z-index:63;mso-position-horizontal:absolute;mso-position-vertical:absolute;mso-position-vertical-relative:page;mso-wrap-distance-left:8.999863pt;mso-wrap-distance-right:8.999863pt;">
                <v:rect type="#_x0000_t1" id="_s35" o:spid="_x0000_s35" style="position:absolute;left:-28;top:790;width:4905;height:785;" fillcolor="#B8B8B8" stroked="f">
                  <v:stroke color="#000000"/>
                </v:rect>
                <v:rect type="#_x0000_t1" id="_s36" o:spid="_x0000_s36" style="position:absolute;left:-13;top:973;width:4777;height:750;mso-wrap-style:square;" fillcolor="#AD002D" stroked="t" strokeweight="2.0pt">
                  <v:textbox id="866" inset="2.54mm,1.27mm,2.54mm,1.27mm" o:insetmode="custom" style="layout-flow:horizontal;v-text-anchor:middle;">
                    <w:txbxContent>
                      <w:p>
                        <w:pPr>
                          <w:widowControl/>
                          <w:jc w:val="left"/>
                          <w:rPr>
                            <w:rFonts w:ascii="楷体" w:eastAsia="楷体" w:cs="楷体"/>
                            <w:b/>
                            <w:bCs/>
                            <w:color w:val="FDEFBE"/>
                            <w:sz w:val="32"/>
                            <w:szCs w:val="32"/>
                          </w:rPr>
                        </w:pPr>
                        <w:r>
                          <w:rPr>
                            <w:rFonts w:ascii="楷体" w:eastAsia="楷体" w:cs="楷体" w:hint="eastAsia"/>
                            <w:b/>
                            <w:bCs/>
                            <w:color w:val="FDEFBE"/>
                            <w:kern w:val="0"/>
                            <w:sz w:val="32"/>
                            <w:szCs w:val="32"/>
                          </w:rPr>
                          <w:t>2018年度部门决算☞部门概况</w:t>
                        </w:r>
                      </w:p>
                      <w:p>
                        <w:pPr>
                          <w:jc w:val="center"/>
                        </w:pPr>
                      </w:p>
                    </w:txbxContent>
                  </v:textbox>
                  <v:stroke color="#805514"/>
                </v:rect>
                <w10:anchorLock/>
              </v:group>
            </w:pict>
          </mc:Fallback>
        </mc:AlternateContent>
      </w:r>
      <w:r>
        <w:rPr>
          <w:rFonts w:ascii="黑体" w:eastAsia="黑体" w:cs="黑体" w:hint="eastAsia"/>
          <w:b w:val="0"/>
          <w:bCs w:val="0"/>
          <w:kern w:val="0"/>
          <w:sz w:val="32"/>
          <w:szCs w:val="32"/>
        </w:rPr>
        <w:t>一、部门职责</w:t>
      </w:r>
    </w:p>
    <w:p>
      <w:pPr>
        <w:widowControl/>
        <w:spacing w:line="580" w:lineRule="exact"/>
        <w:rPr>
          <w:rFonts w:eastAsia="仿宋_GB2312"/>
          <w:sz w:val="32"/>
          <w:szCs w:val="32"/>
        </w:rPr>
      </w:pPr>
      <w:r>
        <w:rPr>
          <w:rFonts w:eastAsia="仿宋_GB2312"/>
          <w:sz w:val="32"/>
          <w:szCs w:val="32"/>
        </w:rPr>
        <w:t>一、部门</w:t>
      </w:r>
      <w:r>
        <w:rPr>
          <w:rFonts w:eastAsia="仿宋_GB2312" w:hint="eastAsia"/>
          <w:sz w:val="32"/>
          <w:szCs w:val="32"/>
        </w:rPr>
        <w:t>职责</w:t>
      </w:r>
    </w:p>
    <w:p>
      <w:pPr>
        <w:ind w:firstLine="560"/>
        <w:rPr>
          <w:rFonts w:ascii="仿宋" w:eastAsia="仿宋"/>
          <w:sz w:val="32"/>
          <w:szCs w:val="32"/>
        </w:rPr>
      </w:pPr>
      <w:r>
        <w:rPr>
          <w:rFonts w:ascii="仿宋" w:eastAsia="仿宋"/>
          <w:sz w:val="32"/>
          <w:szCs w:val="32"/>
        </w:rPr>
        <w:t xml:space="preserve"> (1)规划编制</w:t>
      </w:r>
    </w:p>
    <w:p>
      <w:pPr>
        <w:ind w:firstLine="560"/>
        <w:rPr>
          <w:rFonts w:ascii="仿宋" w:eastAsia="仿宋"/>
          <w:sz w:val="32"/>
          <w:szCs w:val="32"/>
        </w:rPr>
      </w:pPr>
      <w:r>
        <w:rPr>
          <w:rFonts w:ascii="仿宋" w:eastAsia="仿宋"/>
          <w:sz w:val="32"/>
          <w:szCs w:val="32"/>
        </w:rPr>
        <w:t>职责名称：规划编制</w:t>
      </w:r>
    </w:p>
    <w:p>
      <w:pPr>
        <w:ind w:firstLine="560"/>
        <w:rPr>
          <w:rFonts w:ascii="仿宋" w:eastAsia="仿宋"/>
          <w:sz w:val="32"/>
          <w:szCs w:val="32"/>
        </w:rPr>
      </w:pPr>
      <w:r>
        <w:rPr>
          <w:rFonts w:ascii="仿宋" w:eastAsia="仿宋"/>
          <w:sz w:val="32"/>
          <w:szCs w:val="32"/>
        </w:rPr>
        <w:t>职责描述：参与编制市容市貌、环境卫生、停车场所等专项规划和年度工作计划并组织实施。</w:t>
      </w:r>
    </w:p>
    <w:p>
      <w:pPr>
        <w:ind w:firstLine="560"/>
        <w:rPr>
          <w:rFonts w:ascii="仿宋" w:eastAsia="仿宋"/>
          <w:sz w:val="32"/>
          <w:szCs w:val="32"/>
        </w:rPr>
      </w:pPr>
      <w:r>
        <w:rPr>
          <w:rFonts w:ascii="仿宋" w:eastAsia="仿宋"/>
          <w:sz w:val="32"/>
          <w:szCs w:val="32"/>
        </w:rPr>
        <w:t>职责目标：加强城市规划管理，改善人居环境，促进城市全面发展。</w:t>
      </w:r>
    </w:p>
    <w:p>
      <w:pPr>
        <w:ind w:firstLine="560"/>
        <w:rPr>
          <w:rFonts w:ascii="仿宋" w:eastAsia="仿宋"/>
          <w:sz w:val="32"/>
          <w:szCs w:val="32"/>
        </w:rPr>
      </w:pPr>
      <w:r>
        <w:rPr>
          <w:rFonts w:ascii="仿宋" w:eastAsia="仿宋"/>
          <w:sz w:val="32"/>
          <w:szCs w:val="32"/>
        </w:rPr>
        <w:t>活动名称:城市管理、园林绿化方面规划编制、实施与监督,保障性安居工程建设管理,资源保护。</w:t>
      </w:r>
    </w:p>
    <w:p>
      <w:pPr>
        <w:ind w:firstLine="560"/>
        <w:rPr>
          <w:rFonts w:ascii="仿宋" w:eastAsia="仿宋"/>
          <w:sz w:val="32"/>
          <w:szCs w:val="32"/>
        </w:rPr>
      </w:pPr>
      <w:r>
        <w:rPr>
          <w:rFonts w:ascii="仿宋" w:eastAsia="仿宋"/>
          <w:sz w:val="32"/>
          <w:szCs w:val="32"/>
        </w:rPr>
        <w:t>活动描述:规划编制,制定全县园林绿化项目实施方案、绿地规划,制定城市绿化资源保护规划，并实施。</w:t>
      </w:r>
    </w:p>
    <w:p>
      <w:pPr>
        <w:ind w:firstLine="560"/>
        <w:rPr>
          <w:rFonts w:ascii="仿宋" w:eastAsia="仿宋"/>
          <w:sz w:val="32"/>
          <w:szCs w:val="32"/>
        </w:rPr>
      </w:pPr>
      <w:r>
        <w:rPr>
          <w:rFonts w:ascii="仿宋" w:eastAsia="仿宋"/>
          <w:sz w:val="32"/>
          <w:szCs w:val="32"/>
        </w:rPr>
        <w:t>（2）城市容貌整治</w:t>
      </w:r>
    </w:p>
    <w:p>
      <w:pPr>
        <w:ind w:firstLine="560"/>
        <w:rPr>
          <w:rFonts w:ascii="仿宋" w:eastAsia="仿宋"/>
          <w:sz w:val="32"/>
          <w:szCs w:val="32"/>
        </w:rPr>
      </w:pPr>
      <w:r>
        <w:rPr>
          <w:rFonts w:ascii="仿宋" w:eastAsia="仿宋"/>
          <w:sz w:val="32"/>
          <w:szCs w:val="32"/>
        </w:rPr>
        <w:t>职责名称：城市容貌整治</w:t>
      </w:r>
    </w:p>
    <w:p>
      <w:pPr>
        <w:ind w:firstLine="560"/>
        <w:rPr>
          <w:rFonts w:ascii="仿宋" w:eastAsia="仿宋"/>
          <w:sz w:val="32"/>
          <w:szCs w:val="32"/>
        </w:rPr>
      </w:pPr>
      <w:r>
        <w:rPr>
          <w:rFonts w:ascii="仿宋" w:eastAsia="仿宋"/>
          <w:sz w:val="32"/>
          <w:szCs w:val="32"/>
        </w:rPr>
        <w:t>职责描述：负责市容市貌和户外广告、标志（牌匾）、横幅宣传品设置的管理；负责城区沿街建（构）筑物装修改造和搭建亭棚等非永久性建（构）筑物及其他设施的管理；负责城市道路的占用管理；参与对城区停、洗车场（点）的设置管理。</w:t>
      </w:r>
    </w:p>
    <w:p>
      <w:pPr>
        <w:ind w:firstLine="560"/>
        <w:rPr>
          <w:rFonts w:ascii="仿宋" w:eastAsia="仿宋"/>
          <w:sz w:val="32"/>
          <w:szCs w:val="32"/>
        </w:rPr>
      </w:pPr>
      <w:r>
        <w:rPr>
          <w:rFonts w:ascii="仿宋" w:eastAsia="仿宋"/>
          <w:sz w:val="32"/>
          <w:szCs w:val="32"/>
        </w:rPr>
        <w:t>职责目标：改善城市面貌，提高城市品位和宜居度。</w:t>
      </w:r>
    </w:p>
    <w:p>
      <w:pPr>
        <w:ind w:firstLine="560"/>
        <w:rPr>
          <w:rFonts w:ascii="仿宋" w:eastAsia="仿宋"/>
          <w:sz w:val="32"/>
          <w:szCs w:val="32"/>
        </w:rPr>
      </w:pPr>
      <w:r>
        <w:rPr>
          <w:rFonts w:ascii="仿宋" w:eastAsia="仿宋"/>
          <w:sz w:val="32"/>
          <w:szCs w:val="32"/>
        </w:rPr>
        <w:t>活动名称:广告牌匾整治、占道经营整治</w:t>
      </w:r>
    </w:p>
    <w:p>
      <w:pPr>
        <w:ind w:firstLine="560"/>
        <w:rPr>
          <w:rFonts w:ascii="仿宋" w:eastAsia="仿宋"/>
          <w:sz w:val="32"/>
          <w:szCs w:val="32"/>
        </w:rPr>
      </w:pPr>
      <w:r>
        <w:rPr>
          <w:rFonts w:ascii="仿宋" w:eastAsia="仿宋"/>
          <w:sz w:val="32"/>
          <w:szCs w:val="32"/>
        </w:rPr>
        <w:t xml:space="preserve">  活动描述:按照标准对县城沿街门市广告牌匾进行统一标准整治、对县城集贸市场、旧货市场、建材市场等违法、违规</w:t>
      </w:r>
    </w:p>
    <w:p>
      <w:pPr>
        <w:ind w:firstLine="560"/>
        <w:rPr>
          <w:rFonts w:ascii="仿宋" w:eastAsia="仿宋"/>
          <w:sz w:val="32"/>
          <w:szCs w:val="32"/>
        </w:rPr>
      </w:pPr>
      <w:r>
        <w:rPr>
          <w:rFonts w:ascii="仿宋" w:eastAsia="仿宋"/>
          <w:sz w:val="32"/>
          <w:szCs w:val="32"/>
        </w:rPr>
        <w:t>（3）环境卫生管理</w:t>
      </w:r>
    </w:p>
    <w:p>
      <w:pPr>
        <w:ind w:firstLine="560"/>
        <w:rPr>
          <w:rFonts w:ascii="仿宋" w:eastAsia="仿宋"/>
          <w:sz w:val="32"/>
          <w:szCs w:val="32"/>
        </w:rPr>
      </w:pPr>
      <w:r>
        <w:rPr>
          <w:rFonts w:ascii="仿宋" w:eastAsia="仿宋"/>
          <w:sz w:val="32"/>
          <w:szCs w:val="32"/>
        </w:rPr>
        <w:t>职责名称：环境卫生管理</w:t>
      </w:r>
    </w:p>
    <w:p>
      <w:pPr>
        <w:ind w:firstLine="560"/>
        <w:rPr>
          <w:rFonts w:ascii="仿宋" w:eastAsia="仿宋"/>
          <w:sz w:val="32"/>
          <w:szCs w:val="32"/>
        </w:rPr>
      </w:pPr>
      <w:r>
        <w:rPr>
          <w:rFonts w:ascii="仿宋" w:eastAsia="仿宋"/>
          <w:sz w:val="32"/>
          <w:szCs w:val="32"/>
        </w:rPr>
        <w:t>职责描述：负责全县域城乡环境卫生的监督管理，指导、检查城市街道社区环境卫生管理工作；负责城区环境卫生设施、建筑垃圾和工程渣土处置、运输的管理以及从事城市生活垃圾和餐厨垃圾经营性清扫、收集、运输、处理服务管理。</w:t>
      </w:r>
    </w:p>
    <w:p>
      <w:pPr>
        <w:ind w:firstLine="560"/>
        <w:rPr>
          <w:rFonts w:ascii="仿宋" w:eastAsia="仿宋"/>
          <w:sz w:val="32"/>
          <w:szCs w:val="32"/>
        </w:rPr>
      </w:pPr>
      <w:r>
        <w:rPr>
          <w:rFonts w:ascii="仿宋" w:eastAsia="仿宋"/>
          <w:sz w:val="32"/>
          <w:szCs w:val="32"/>
        </w:rPr>
        <w:t>职责目标：不断改善城市环境卫生质量</w:t>
      </w:r>
    </w:p>
    <w:p>
      <w:pPr>
        <w:ind w:firstLine="560"/>
        <w:rPr>
          <w:rFonts w:ascii="仿宋" w:eastAsia="仿宋"/>
          <w:sz w:val="32"/>
          <w:szCs w:val="32"/>
        </w:rPr>
      </w:pPr>
      <w:r>
        <w:rPr>
          <w:rFonts w:ascii="仿宋" w:eastAsia="仿宋"/>
          <w:sz w:val="32"/>
          <w:szCs w:val="32"/>
        </w:rPr>
        <w:t>活动名称:城乡环卫一体、化渣土运输管理</w:t>
      </w:r>
    </w:p>
    <w:p>
      <w:pPr>
        <w:ind w:firstLine="560"/>
        <w:rPr>
          <w:rFonts w:ascii="仿宋" w:eastAsia="仿宋"/>
          <w:sz w:val="32"/>
          <w:szCs w:val="32"/>
        </w:rPr>
      </w:pPr>
      <w:r>
        <w:rPr>
          <w:rFonts w:ascii="仿宋" w:eastAsia="仿宋"/>
          <w:sz w:val="32"/>
          <w:szCs w:val="32"/>
        </w:rPr>
        <w:t>活动描述:实施城乡垃圾一体化处理,对城区各施工地点的运输车辆进行管理</w:t>
      </w:r>
    </w:p>
    <w:p>
      <w:pPr>
        <w:ind w:firstLine="560"/>
        <w:rPr>
          <w:rFonts w:ascii="仿宋" w:eastAsia="仿宋"/>
          <w:sz w:val="32"/>
          <w:szCs w:val="32"/>
        </w:rPr>
      </w:pPr>
      <w:r>
        <w:rPr>
          <w:rFonts w:ascii="仿宋" w:eastAsia="仿宋"/>
          <w:sz w:val="32"/>
          <w:szCs w:val="32"/>
        </w:rPr>
        <w:t>（4）园林绿化</w:t>
      </w:r>
    </w:p>
    <w:p>
      <w:pPr>
        <w:ind w:firstLine="560"/>
        <w:rPr>
          <w:rFonts w:ascii="仿宋" w:eastAsia="仿宋"/>
          <w:sz w:val="32"/>
          <w:szCs w:val="32"/>
        </w:rPr>
      </w:pPr>
      <w:r>
        <w:rPr>
          <w:rFonts w:ascii="仿宋" w:eastAsia="仿宋"/>
          <w:sz w:val="32"/>
          <w:szCs w:val="32"/>
        </w:rPr>
        <w:t>职责名称：园林绿化</w:t>
      </w:r>
    </w:p>
    <w:p>
      <w:pPr>
        <w:ind w:firstLine="560"/>
        <w:rPr>
          <w:rFonts w:ascii="仿宋" w:eastAsia="仿宋"/>
          <w:sz w:val="32"/>
          <w:szCs w:val="32"/>
        </w:rPr>
      </w:pPr>
      <w:r>
        <w:rPr>
          <w:rFonts w:ascii="仿宋" w:eastAsia="仿宋"/>
          <w:sz w:val="32"/>
          <w:szCs w:val="32"/>
        </w:rPr>
        <w:t>职责描述：负责城市园林、绿化工程的建设与管理维护。</w:t>
      </w:r>
    </w:p>
    <w:p>
      <w:pPr>
        <w:ind w:firstLine="560"/>
        <w:rPr>
          <w:rFonts w:ascii="仿宋" w:eastAsia="仿宋"/>
          <w:sz w:val="32"/>
          <w:szCs w:val="32"/>
        </w:rPr>
      </w:pPr>
      <w:r>
        <w:rPr>
          <w:rFonts w:ascii="仿宋" w:eastAsia="仿宋"/>
          <w:sz w:val="32"/>
          <w:szCs w:val="32"/>
        </w:rPr>
        <w:t>职责目标：不断加大城市绿量，提高居民舒适度</w:t>
      </w:r>
    </w:p>
    <w:p>
      <w:pPr>
        <w:ind w:firstLine="560"/>
        <w:rPr>
          <w:rFonts w:ascii="仿宋" w:eastAsia="仿宋"/>
          <w:sz w:val="32"/>
          <w:szCs w:val="32"/>
        </w:rPr>
      </w:pPr>
      <w:r>
        <w:rPr>
          <w:rFonts w:ascii="仿宋" w:eastAsia="仿宋"/>
          <w:sz w:val="32"/>
          <w:szCs w:val="32"/>
        </w:rPr>
        <w:t>活动名称:公园、游园建设,道路绿化</w:t>
      </w:r>
    </w:p>
    <w:p>
      <w:pPr>
        <w:ind w:firstLine="560"/>
        <w:rPr>
          <w:rFonts w:ascii="仿宋" w:eastAsia="仿宋"/>
          <w:sz w:val="32"/>
          <w:szCs w:val="32"/>
        </w:rPr>
      </w:pPr>
      <w:r>
        <w:rPr>
          <w:rFonts w:ascii="仿宋" w:eastAsia="仿宋"/>
          <w:sz w:val="32"/>
          <w:szCs w:val="32"/>
        </w:rPr>
        <w:t>活动描述:研究制定公园、游园建设规划，拟定年度建设目标并实施。研究制定道路绿化建设规划，拟定年度建设目标并实施。</w:t>
      </w:r>
    </w:p>
    <w:p>
      <w:pPr>
        <w:ind w:firstLine="560"/>
        <w:rPr>
          <w:rFonts w:ascii="仿宋" w:eastAsia="仿宋"/>
          <w:sz w:val="32"/>
          <w:szCs w:val="32"/>
        </w:rPr>
      </w:pPr>
      <w:r>
        <w:rPr>
          <w:rFonts w:ascii="仿宋" w:eastAsia="仿宋"/>
          <w:sz w:val="32"/>
          <w:szCs w:val="32"/>
        </w:rPr>
        <w:t>（5）行政处罚</w:t>
      </w:r>
    </w:p>
    <w:p>
      <w:pPr>
        <w:ind w:firstLine="560"/>
        <w:rPr>
          <w:rFonts w:ascii="仿宋" w:eastAsia="仿宋"/>
          <w:sz w:val="32"/>
          <w:szCs w:val="32"/>
        </w:rPr>
      </w:pPr>
      <w:r>
        <w:rPr>
          <w:rFonts w:ascii="仿宋" w:eastAsia="仿宋"/>
          <w:sz w:val="32"/>
          <w:szCs w:val="32"/>
        </w:rPr>
        <w:t>职责名称：行政处罚</w:t>
      </w:r>
    </w:p>
    <w:p>
      <w:pPr>
        <w:ind w:firstLine="560"/>
        <w:rPr>
          <w:rFonts w:ascii="仿宋" w:eastAsia="仿宋"/>
          <w:sz w:val="32"/>
          <w:szCs w:val="32"/>
        </w:rPr>
      </w:pPr>
      <w:r>
        <w:rPr>
          <w:rFonts w:ascii="仿宋" w:eastAsia="仿宋"/>
          <w:sz w:val="32"/>
          <w:szCs w:val="32"/>
        </w:rPr>
        <w:t>职责描述：行使城乡规划管理和城市市容环境卫生管理方面法律、法规、规章规定的行政处罚权，依法强制拆除不符合城市容貌标准、环境卫生标准的建筑物或者设施；行使工商行政管理方面法律、法规、规章规定的对在城市道路、广场等室外公共场所无照经营行为的行政处罚权；行使公安交通管理方面法律、法规、规章规定的对侵占城市人行道路行为的行政处罚权；履行法律、法规、规章规定和省政府规定的其他行政处罚职责。</w:t>
      </w:r>
    </w:p>
    <w:p>
      <w:pPr>
        <w:ind w:firstLine="560"/>
        <w:rPr>
          <w:rFonts w:ascii="仿宋" w:eastAsia="仿宋"/>
          <w:sz w:val="32"/>
          <w:szCs w:val="32"/>
        </w:rPr>
      </w:pPr>
      <w:r>
        <w:rPr>
          <w:rFonts w:ascii="仿宋" w:eastAsia="仿宋"/>
          <w:sz w:val="32"/>
          <w:szCs w:val="32"/>
        </w:rPr>
        <w:t>职责目标：消除违法、违规临时建筑，规范市场经营秩序，提高城市管理质量</w:t>
      </w:r>
    </w:p>
    <w:p>
      <w:pPr>
        <w:ind w:firstLine="560"/>
        <w:rPr>
          <w:rFonts w:ascii="仿宋" w:eastAsia="仿宋"/>
          <w:sz w:val="32"/>
          <w:szCs w:val="32"/>
        </w:rPr>
      </w:pPr>
      <w:r>
        <w:rPr>
          <w:rFonts w:ascii="仿宋" w:eastAsia="仿宋"/>
          <w:sz w:val="32"/>
          <w:szCs w:val="32"/>
        </w:rPr>
        <w:t>活动名称:违规建筑拆除</w:t>
      </w:r>
    </w:p>
    <w:p>
      <w:pPr>
        <w:ind w:firstLine="560"/>
        <w:rPr>
          <w:rFonts w:eastAsia="仿宋_GB2312"/>
          <w:sz w:val="32"/>
          <w:szCs w:val="32"/>
        </w:rPr>
      </w:pPr>
      <w:r>
        <w:rPr>
          <w:rFonts w:ascii="仿宋" w:eastAsia="仿宋"/>
          <w:sz w:val="32"/>
          <w:szCs w:val="32"/>
        </w:rPr>
        <w:t>活动描述:依法拆除不符合城市容貌标准、环境卫生标准的建筑物或者设施</w:t>
      </w:r>
    </w:p>
    <w:p>
      <w:pPr>
        <w:pStyle w:val="1"/>
        <w:spacing w:before="0" w:after="0" w:line="600" w:lineRule="exact"/>
        <w:jc w:val="left"/>
        <w:rPr>
          <w:rFonts w:ascii="黑体" w:eastAsia="黑体" w:cs="黑体"/>
          <w:b w:val="0"/>
          <w:bCs w:val="0"/>
          <w:kern w:val="0"/>
          <w:sz w:val="32"/>
          <w:szCs w:val="32"/>
        </w:rPr>
      </w:pPr>
      <w:r>
        <w:rPr>
          <w:rFonts w:ascii="黑体" w:eastAsia="黑体" w:cs="黑体" w:hint="eastAsia"/>
          <w:b w:val="0"/>
          <w:bCs w:val="0"/>
          <w:kern w:val="0"/>
          <w:sz w:val="32"/>
          <w:szCs w:val="32"/>
        </w:rPr>
        <w:t>二、机构设置</w:t>
      </w:r>
    </w:p>
    <w:p>
      <w:pPr>
        <w:spacing w:after="0" w:line="560" w:lineRule="exact"/>
        <w:rPr>
          <w:rFonts w:ascii="仿宋_GB2312" w:eastAsia="仿宋_GB2312" w:cs="ArialUnicodeMS"/>
          <w:kern w:val="0"/>
          <w:sz w:val="32"/>
          <w:szCs w:val="32"/>
        </w:rPr>
      </w:pPr>
      <w:r>
        <w:rPr>
          <w:rFonts w:ascii="仿宋_GB2312" w:eastAsia="仿宋_GB2312" w:cs="ArialUnicodeMS" w:hint="eastAsia"/>
          <w:kern w:val="0"/>
          <w:sz w:val="32"/>
          <w:szCs w:val="32"/>
        </w:rPr>
        <w:t>从决算编报单位构成看，纳入2018 年度本部门决算汇编范围的独立核算单位（以下简称“单位”）共 1个，具体情况如下：</w:t>
      </w:r>
    </w:p>
    <w:tbl>
      <w:tblPr>
        <w:tblpPr w:leftFromText="180" w:rightFromText="180" w:vertAnchor="text" w:horzAnchor="page" w:tblpXSpec="center" w:tblpY="10"/>
        <w:tblOverlap w:val="never"/>
        <w:tblW w:w="9580" w:type="dxa"/>
        <w:tblBorders>
          <w:top w:val="single" w:sz="4" w:space="0" w:color="auto"/>
          <w:left w:val="single" w:sz="4" w:space="0" w:color="auto"/>
          <w:bottom w:val="single" w:sz="4" w:space="0" w:color="auto"/>
          <w:right w:val="single" w:sz="4" w:space="0" w:color="auto"/>
          <w:insideH w:val="single" w:sz="4" w:space="0" w:color="000000"/>
          <w:insideV w:val="single" w:sz="4" w:space="0" w:color="000000"/>
        </w:tblBorders>
        <w:tblLayout w:type="fixed"/>
        <w:tblCellMar>
          <w:top w:w="0" w:type="dxa"/>
          <w:left w:w="108" w:type="dxa"/>
          <w:bottom w:w="0" w:type="dxa"/>
          <w:right w:w="108" w:type="dxa"/>
        </w:tblCellMar>
      </w:tblPr>
      <w:tblGrid>
        <w:gridCol w:w="985"/>
        <w:gridCol w:w="3485"/>
        <w:gridCol w:w="2445"/>
        <w:gridCol w:w="2665"/>
      </w:tblGrid>
      <w:tr>
        <w:trPr>
          <w:trHeight w:val="811"/>
        </w:trPr>
        <w:tc>
          <w:tcPr>
            <w:tcW w:w="985" w:type="dxa"/>
            <w:vAlign w:val="center"/>
          </w:tcPr>
          <w:p>
            <w:pPr>
              <w:spacing w:after="0" w:line="560" w:lineRule="exact"/>
              <w:jc w:val="center"/>
              <w:rPr>
                <w:rFonts w:ascii="仿宋_GB2312" w:eastAsia="仿宋_GB2312" w:cs="ArialUnicodeMS"/>
                <w:b/>
                <w:bCs/>
                <w:kern w:val="0"/>
                <w:sz w:val="28"/>
                <w:szCs w:val="28"/>
              </w:rPr>
            </w:pPr>
            <w:r>
              <w:rPr>
                <w:rFonts w:ascii="仿宋_GB2312" w:eastAsia="仿宋_GB2312" w:cs="ArialUnicodeMS" w:hint="eastAsia"/>
                <w:b/>
                <w:bCs/>
                <w:kern w:val="0"/>
                <w:sz w:val="28"/>
                <w:szCs w:val="28"/>
              </w:rPr>
              <w:t>序号</w:t>
            </w:r>
          </w:p>
        </w:tc>
        <w:tc>
          <w:tcPr>
            <w:tcW w:w="3485" w:type="dxa"/>
            <w:vAlign w:val="center"/>
          </w:tcPr>
          <w:p>
            <w:pPr>
              <w:spacing w:after="0" w:line="560" w:lineRule="exact"/>
              <w:jc w:val="center"/>
              <w:rPr>
                <w:rFonts w:ascii="仿宋_GB2312" w:eastAsia="仿宋_GB2312" w:cs="ArialUnicodeMS"/>
                <w:b/>
                <w:bCs/>
                <w:kern w:val="0"/>
                <w:sz w:val="28"/>
                <w:szCs w:val="28"/>
              </w:rPr>
            </w:pPr>
            <w:r>
              <w:rPr>
                <w:rFonts w:ascii="仿宋_GB2312" w:eastAsia="仿宋_GB2312" w:cs="ArialUnicodeMS" w:hint="eastAsia"/>
                <w:b/>
                <w:bCs/>
                <w:kern w:val="0"/>
                <w:sz w:val="28"/>
                <w:szCs w:val="28"/>
              </w:rPr>
              <w:t>单位名称</w:t>
            </w:r>
          </w:p>
        </w:tc>
        <w:tc>
          <w:tcPr>
            <w:tcW w:w="2445" w:type="dxa"/>
            <w:vAlign w:val="center"/>
          </w:tcPr>
          <w:p>
            <w:pPr>
              <w:spacing w:after="0" w:line="560" w:lineRule="exact"/>
              <w:jc w:val="center"/>
              <w:rPr>
                <w:rFonts w:ascii="仿宋_GB2312" w:eastAsia="仿宋_GB2312" w:cs="ArialUnicodeMS"/>
                <w:b/>
                <w:bCs/>
                <w:kern w:val="0"/>
                <w:sz w:val="28"/>
                <w:szCs w:val="28"/>
              </w:rPr>
            </w:pPr>
            <w:r>
              <w:rPr>
                <w:rFonts w:ascii="仿宋_GB2312" w:eastAsia="仿宋_GB2312" w:cs="ArialUnicodeMS" w:hint="eastAsia"/>
                <w:b/>
                <w:bCs/>
                <w:kern w:val="0"/>
                <w:sz w:val="28"/>
                <w:szCs w:val="28"/>
              </w:rPr>
              <w:t>单位基本性质</w:t>
            </w:r>
          </w:p>
        </w:tc>
        <w:tc>
          <w:tcPr>
            <w:tcW w:w="2665" w:type="dxa"/>
            <w:vAlign w:val="center"/>
          </w:tcPr>
          <w:p>
            <w:pPr>
              <w:spacing w:after="0" w:line="560" w:lineRule="exact"/>
              <w:jc w:val="center"/>
              <w:rPr>
                <w:rFonts w:ascii="仿宋_GB2312" w:eastAsia="仿宋_GB2312" w:cs="ArialUnicodeMS"/>
                <w:b/>
                <w:bCs/>
                <w:kern w:val="0"/>
                <w:sz w:val="28"/>
                <w:szCs w:val="28"/>
              </w:rPr>
            </w:pPr>
            <w:r>
              <w:rPr>
                <w:rFonts w:ascii="仿宋_GB2312" w:eastAsia="仿宋_GB2312" w:cs="ArialUnicodeMS" w:hint="eastAsia"/>
                <w:b/>
                <w:bCs/>
                <w:kern w:val="0"/>
                <w:sz w:val="28"/>
                <w:szCs w:val="28"/>
              </w:rPr>
              <w:t>经费形式</w:t>
            </w:r>
          </w:p>
        </w:tc>
      </w:tr>
      <w:tr>
        <w:trPr>
          <w:trHeight w:val="596"/>
        </w:trPr>
        <w:tc>
          <w:tcPr>
            <w:tcW w:w="985" w:type="dxa"/>
            <w:tcBorders>
              <w:top w:val="single" w:sz="4" w:space="0" w:color="auto"/>
              <w:left w:val="single" w:sz="4" w:space="0" w:color="auto"/>
              <w:right w:val="single" w:sz="4" w:space="0" w:color="auto"/>
            </w:tcBorders>
          </w:tcPr>
          <w:p>
            <w:pPr>
              <w:spacing w:after="0" w:line="560" w:lineRule="exact"/>
              <w:jc w:val="center"/>
              <w:rPr>
                <w:rFonts w:ascii="仿宋_GB2312" w:eastAsia="仿宋_GB2312" w:cs="ArialUnicodeMS"/>
                <w:kern w:val="0"/>
                <w:sz w:val="28"/>
                <w:szCs w:val="28"/>
              </w:rPr>
            </w:pPr>
            <w:r>
              <w:rPr>
                <w:rFonts w:ascii="仿宋_GB2312" w:eastAsia="仿宋_GB2312" w:cs="ArialUnicodeMS" w:hint="eastAsia"/>
                <w:kern w:val="0"/>
                <w:sz w:val="28"/>
                <w:szCs w:val="28"/>
              </w:rPr>
              <w:t>1</w:t>
            </w:r>
          </w:p>
        </w:tc>
        <w:tc>
          <w:tcPr>
            <w:tcW w:w="3485" w:type="dxa"/>
            <w:tcBorders>
              <w:top w:val="single" w:sz="4" w:space="0" w:color="auto"/>
              <w:left w:val="single" w:sz="4" w:space="0" w:color="auto"/>
              <w:right w:val="single" w:sz="4" w:space="0" w:color="auto"/>
            </w:tcBorders>
          </w:tcPr>
          <w:p>
            <w:pPr>
              <w:spacing w:after="0" w:line="560" w:lineRule="exact"/>
              <w:rPr>
                <w:rFonts w:ascii="仿宋_GB2312" w:eastAsia="仿宋_GB2312" w:cs="ArialUnicodeMS"/>
                <w:kern w:val="0"/>
                <w:sz w:val="28"/>
                <w:szCs w:val="28"/>
              </w:rPr>
            </w:pPr>
            <w:r>
              <w:rPr>
                <w:rFonts w:ascii="仿宋_GB2312" w:eastAsia="仿宋_GB2312" w:cs="ArialUnicodeMS" w:hint="eastAsia"/>
                <w:kern w:val="0"/>
                <w:sz w:val="28"/>
                <w:szCs w:val="28"/>
              </w:rPr>
              <w:t>高邑县城市管理综合执法局</w:t>
            </w:r>
          </w:p>
        </w:tc>
        <w:tc>
          <w:tcPr>
            <w:tcW w:w="2445" w:type="dxa"/>
            <w:tcBorders>
              <w:top w:val="single" w:sz="4" w:space="0" w:color="auto"/>
              <w:left w:val="single" w:sz="4" w:space="0" w:color="auto"/>
              <w:right w:val="single" w:sz="4" w:space="0" w:color="auto"/>
            </w:tcBorders>
          </w:tcPr>
          <w:p>
            <w:pPr>
              <w:spacing w:after="0" w:line="560" w:lineRule="exact"/>
              <w:jc w:val="center"/>
              <w:rPr>
                <w:rFonts w:ascii="仿宋_GB2312" w:eastAsia="仿宋_GB2312" w:cs="ArialUnicodeMS"/>
                <w:kern w:val="0"/>
                <w:sz w:val="28"/>
                <w:szCs w:val="28"/>
              </w:rPr>
            </w:pPr>
            <w:r>
              <w:rPr>
                <w:rFonts w:ascii="仿宋" w:eastAsia="仿宋" w:cs="宋体" w:hint="eastAsia"/>
                <w:sz w:val="32"/>
                <w:szCs w:val="32"/>
              </w:rPr>
              <w:t>行政</w:t>
            </w:r>
          </w:p>
        </w:tc>
        <w:tc>
          <w:tcPr>
            <w:tcW w:w="2665" w:type="dxa"/>
            <w:tcBorders>
              <w:top w:val="single" w:sz="4" w:space="0" w:color="auto"/>
              <w:left w:val="single" w:sz="4" w:space="0" w:color="auto"/>
              <w:right w:val="single" w:sz="4" w:space="0" w:color="auto"/>
            </w:tcBorders>
          </w:tcPr>
          <w:p>
            <w:pPr>
              <w:spacing w:after="0" w:line="560" w:lineRule="exact"/>
              <w:jc w:val="center"/>
              <w:rPr>
                <w:rFonts w:ascii="仿宋_GB2312" w:eastAsia="仿宋_GB2312" w:cs="ArialUnicodeMS"/>
                <w:kern w:val="0"/>
                <w:sz w:val="28"/>
                <w:szCs w:val="28"/>
              </w:rPr>
            </w:pPr>
            <w:r>
              <w:rPr>
                <w:rFonts w:ascii="仿宋" w:eastAsia="仿宋" w:cs="宋体" w:hint="eastAsia"/>
                <w:sz w:val="32"/>
                <w:szCs w:val="32"/>
              </w:rPr>
              <w:t>财政拨款</w:t>
            </w:r>
          </w:p>
        </w:tc>
      </w:tr>
      <w:tr>
        <w:trPr>
          <w:trHeight w:val="606"/>
        </w:trPr>
        <w:tc>
          <w:tcPr>
            <w:tcW w:w="9580" w:type="dxa"/>
            <w:gridSpan w:val="4"/>
            <w:tcBorders>
              <w:top w:val="single" w:sz="4" w:space="0" w:color="auto"/>
              <w:left w:val="nil"/>
              <w:bottom w:val="nil"/>
              <w:right w:val="nil"/>
            </w:tcBorders>
          </w:tcPr>
          <w:p>
            <w:pPr>
              <w:spacing w:after="0" w:line="560" w:lineRule="exact"/>
              <w:ind w:firstLineChars="200" w:firstLine="560"/>
              <w:jc w:val="left"/>
              <w:rPr>
                <w:rFonts w:ascii="仿宋_GB2312" w:eastAsia="仿宋_GB2312" w:cs="ArialUnicodeMS"/>
                <w:kern w:val="0"/>
                <w:sz w:val="28"/>
                <w:szCs w:val="28"/>
              </w:rPr>
            </w:pPr>
          </w:p>
        </w:tc>
      </w:tr>
    </w:tbl>
    <w:p>
      <w:pPr>
        <w:spacing w:after="0" w:line="560" w:lineRule="exact"/>
        <w:rPr>
          <w:rFonts w:ascii="仿宋_GB2312" w:eastAsia="仿宋_GB2312" w:cs="ArialUnicodeMS"/>
          <w:kern w:val="0"/>
          <w:sz w:val="32"/>
          <w:szCs w:val="32"/>
        </w:rPr>
      </w:pPr>
    </w:p>
    <w:p>
      <w:pPr>
        <w:widowControl/>
        <w:spacing w:line="560" w:lineRule="exact"/>
        <w:jc w:val="center"/>
        <w:rPr>
          <w:rFonts w:ascii="黑体" w:eastAsia="黑体" w:cs="MS-UIGothic,Bold"/>
          <w:bCs/>
          <w:kern w:val="0"/>
          <w:sz w:val="52"/>
          <w:szCs w:val="52"/>
        </w:rPr>
      </w:pPr>
    </w:p>
    <w:p>
      <w:pPr>
        <w:widowControl/>
        <w:spacing w:line="560" w:lineRule="exact"/>
        <w:jc w:val="center"/>
        <w:rPr>
          <w:rFonts w:ascii="黑体" w:eastAsia="黑体" w:cs="MS-UIGothic,Bold"/>
          <w:bCs/>
          <w:kern w:val="0"/>
          <w:sz w:val="52"/>
          <w:szCs w:val="52"/>
        </w:rPr>
      </w:pPr>
    </w:p>
    <w:p>
      <w:pPr>
        <w:widowControl/>
        <w:spacing w:line="560" w:lineRule="exact"/>
        <w:jc w:val="center"/>
        <w:rPr>
          <w:rFonts w:ascii="黑体" w:eastAsia="黑体" w:cs="MS-UIGothic,Bold"/>
          <w:bCs/>
          <w:kern w:val="0"/>
          <w:sz w:val="52"/>
          <w:szCs w:val="52"/>
        </w:rPr>
        <w:sectPr>
          <w:pgSz w:w="11906" w:h="16838"/>
          <w:pgMar w:top="2098" w:right="1474" w:bottom="1984" w:left="1588" w:header="851" w:footer="992" w:gutter="0"/>
          <w:docGrid w:type="lines" w:linePitch="312" w:charSpace="0"/>
        </w:sectPr>
      </w:pPr>
    </w:p>
    <w:p>
      <w:pPr>
        <w:widowControl/>
        <w:spacing w:line="560" w:lineRule="exact"/>
        <w:jc w:val="center"/>
        <w:rPr>
          <w:rFonts w:ascii="黑体" w:eastAsia="黑体" w:cs="MS-UIGothic,Bold"/>
          <w:bCs/>
          <w:kern w:val="0"/>
          <w:sz w:val="52"/>
          <w:szCs w:val="52"/>
        </w:rPr>
      </w:pPr>
      <w:r>
        <w:rPr>
          <w:rFonts w:ascii="宋体" w:cs="ArialUnicodeMS" w:hint="eastAsia"/>
          <w:color w:val="000000"/>
          <w:kern w:val="0"/>
        </w:rPr>
        <w:drawing>
          <wp:anchor distT="0" distB="0" distL="114300" distR="114300" simplePos="0" relativeHeight="6" behindDoc="1" locked="0" layoutInCell="1" hidden="0" allowOverlap="1">
            <wp:simplePos x="0" y="0"/>
            <wp:positionH relativeFrom="column">
              <wp:posOffset>-1023619</wp:posOffset>
            </wp:positionH>
            <wp:positionV relativeFrom="paragraph">
              <wp:posOffset>-1327150</wp:posOffset>
            </wp:positionV>
            <wp:extent cx="7571105" cy="10680065"/>
            <wp:effectExtent l="0" t="0" r="0" b="0"/>
            <wp:wrapNone/>
            <wp:docPr id="37" name="图片 16" descr="2"/>
            <wp:cNvGraphicFramePr>
              <a:graphicFrameLocks noChangeAspect="1"/>
            </wp:cNvGraphicFramePr>
            <a:graphic>
              <a:graphicData uri="http://schemas.openxmlformats.org/drawingml/2006/picture">
                <pic:pic>
                  <pic:nvPicPr>
                    <pic:cNvPr id="38" name="图片 16 38"/>
                    <pic:cNvPicPr/>
                  </pic:nvPicPr>
                  <pic:blipFill>
                    <a:blip r:embed="rId4"/>
                    <a:stretch>
                      <a:fillRect/>
                    </a:stretch>
                  </pic:blipFill>
                  <pic:spPr>
                    <a:xfrm rot="0">
                      <a:off x="0" y="0"/>
                      <a:ext cx="7571105" cy="10680065"/>
                    </a:xfrm>
                    <a:prstGeom prst="rect"/>
                    <a:noFill/>
                    <a:ln w="9525" cmpd="sng" cap="flat">
                      <a:noFill/>
                      <a:prstDash val="solid"/>
                      <a:miter/>
                    </a:ln>
                  </pic:spPr>
                </pic:pic>
              </a:graphicData>
            </a:graphic>
          </wp:anchor>
        </w:drawing>
      </w:r>
    </w:p>
    <w:p>
      <w:pPr>
        <w:widowControl/>
        <w:spacing w:line="560" w:lineRule="exact"/>
        <w:jc w:val="center"/>
        <w:rPr>
          <w:rFonts w:ascii="黑体" w:eastAsia="黑体" w:cs="MS-UIGothic,Bold"/>
          <w:bCs/>
          <w:kern w:val="0"/>
          <w:sz w:val="52"/>
          <w:szCs w:val="52"/>
        </w:rPr>
      </w:pPr>
    </w:p>
    <w:p>
      <w:pPr>
        <w:rPr>
          <w:rFonts w:ascii="仿宋_GB2312" w:eastAsia="仿宋_GB2312"/>
          <w:b/>
          <w:sz w:val="28"/>
          <w:szCs w:val="28"/>
          <w:highlight w:val="yellow"/>
        </w:rPr>
        <w:sectPr>
          <w:pgSz w:w="11906" w:h="16838"/>
          <w:pgMar w:top="2098" w:right="1474" w:bottom="1984" w:left="1588" w:header="851" w:footer="992" w:gutter="0"/>
          <w:docGrid w:type="lines" w:linePitch="312" w:charSpace="0"/>
        </w:sectPr>
      </w:pPr>
      <w:r>
        <w:rPr>
          <w:sz w:val="72"/>
        </w:rPr>
        <mc:AlternateContent>
          <mc:Choice Requires="wps">
            <w:drawing>
              <wp:anchor distT="0" distB="0" distL="114298" distR="114298" simplePos="0" relativeHeight="65" behindDoc="0" locked="0" layoutInCell="1" hidden="0" allowOverlap="1">
                <wp:simplePos x="0" y="0"/>
                <wp:positionH relativeFrom="column">
                  <wp:posOffset>-942339</wp:posOffset>
                </wp:positionH>
                <wp:positionV relativeFrom="paragraph">
                  <wp:posOffset>1527810</wp:posOffset>
                </wp:positionV>
                <wp:extent cx="7571740" cy="2020569"/>
                <wp:effectExtent l="0" t="0" r="0" b="0"/>
                <wp:wrapNone/>
                <wp:docPr id="39" name="文本框 17"/>
                <wp:cNvGraphicFramePr>
                  <a:graphicFrameLocks noChangeAspect="0"/>
                </wp:cNvGraphicFramePr>
                <a:graphic>
                  <a:graphicData uri="http://schemas.microsoft.com/office/word/2010/wordprocessingShape">
                    <wps:wsp>
                      <wps:cNvSpPr/>
                      <wps:spPr>
                        <a:xfrm rot="0">
                          <a:off x="0" y="0"/>
                          <a:ext cx="7571740" cy="2020569"/>
                        </a:xfrm>
                        <a:prstGeom prst="rect"/>
                        <a:noFill/>
                        <a:ln w="6350" cmpd="sng" cap="flat">
                          <a:noFill/>
                          <a:prstDash val="solid"/>
                          <a:round/>
                        </a:ln>
                      </wps:spPr>
                      <wps:txbx id="40">
                        <w:txbxContent>
                          <w:p>
                            <w:pPr>
                              <w:widowControl/>
                              <w:spacing w:line="1200" w:lineRule="exact"/>
                              <w:jc w:val="center"/>
                              <w:rPr>
                                <w:rFonts w:ascii="黑体" w:eastAsia="黑体"/>
                                <w:color w:val="FDEFBE"/>
                                <w:sz w:val="96"/>
                                <w:szCs w:val="96"/>
                              </w:rPr>
                            </w:pPr>
                            <w:r>
                              <w:rPr>
                                <w:rFonts w:ascii="黑体" w:eastAsia="黑体" w:hint="eastAsia"/>
                                <w:color w:val="FDEFBE"/>
                                <w:sz w:val="96"/>
                                <w:szCs w:val="96"/>
                              </w:rPr>
                              <w:t>第二部分</w:t>
                            </w:r>
                          </w:p>
                          <w:p>
                            <w:pPr>
                              <w:widowControl/>
                              <w:spacing w:line="1200" w:lineRule="exact"/>
                              <w:jc w:val="center"/>
                              <w:rPr>
                                <w:color w:val="FDEFBE"/>
                                <w:sz w:val="96"/>
                                <w:szCs w:val="96"/>
                              </w:rPr>
                            </w:pPr>
                            <w:r>
                              <w:rPr>
                                <w:rFonts w:ascii="黑体" w:eastAsia="黑体" w:hint="eastAsia"/>
                                <w:color w:val="FDEFBE"/>
                                <w:sz w:val="96"/>
                                <w:szCs w:val="96"/>
                              </w:rPr>
                              <w:t>2018年度部门决算报表</w:t>
                            </w:r>
                          </w:p>
                        </w:txbxContent>
                      </wps:txbx>
                      <wps:bodyPr vert="horz" wrap="square" lIns="91440" tIns="45720" rIns="91440" bIns="45720" anchor="t" anchorCtr="0" upright="0">
                        <a:noAutofit/>
                      </wps:bodyPr>
                    </wps:wsp>
                  </a:graphicData>
                </a:graphic>
              </wp:anchor>
            </w:drawing>
          </mc:Choice>
          <mc:Fallback>
            <w:pict>
              <v:shape type="#_x0000_t202" id="文本框 17 41" o:spid="_x0000_s41" filled="f" stroked="f" strokeweight="0.5pt" style="position:absolute;margin-left:-74.2pt;margin-top:120.3pt;width:596.2pt;height:159.09999pt;z-index:65;mso-position-horizontal:absolute;mso-position-vertical:absolute;mso-wrap-distance-left:8.999863pt;mso-wrap-distance-right:8.999863pt;mso-wrap-style:square;">
                <v:stroke color="#000000"/>
                <v:textbox id="853" inset="2.54mm,1.27mm,2.54mm,1.27mm" o:insetmode="custom" style="layout-flow:horizontal;v-text-anchor:top;">
                  <w:txbxContent>
                    <w:p>
                      <w:pPr>
                        <w:widowControl/>
                        <w:spacing w:line="1200" w:lineRule="exact"/>
                        <w:jc w:val="center"/>
                        <w:rPr>
                          <w:rFonts w:ascii="黑体" w:eastAsia="黑体"/>
                          <w:color w:val="FDEFBE"/>
                          <w:sz w:val="96"/>
                          <w:szCs w:val="96"/>
                        </w:rPr>
                      </w:pPr>
                      <w:r>
                        <w:rPr>
                          <w:rFonts w:ascii="黑体" w:eastAsia="黑体" w:hint="eastAsia"/>
                          <w:color w:val="FDEFBE"/>
                          <w:sz w:val="96"/>
                          <w:szCs w:val="96"/>
                        </w:rPr>
                        <w:t>第二部分</w:t>
                      </w:r>
                    </w:p>
                    <w:p>
                      <w:pPr>
                        <w:widowControl/>
                        <w:spacing w:line="1200" w:lineRule="exact"/>
                        <w:jc w:val="center"/>
                        <w:rPr>
                          <w:color w:val="FDEFBE"/>
                          <w:sz w:val="96"/>
                          <w:szCs w:val="96"/>
                        </w:rPr>
                      </w:pPr>
                      <w:r>
                        <w:rPr>
                          <w:rFonts w:ascii="黑体" w:eastAsia="黑体" w:hint="eastAsia"/>
                          <w:color w:val="FDEFBE"/>
                          <w:sz w:val="96"/>
                          <w:szCs w:val="96"/>
                        </w:rPr>
                        <w:t>2018年度部门决算报表</w:t>
                      </w:r>
                    </w:p>
                  </w:txbxContent>
                </v:textbox>
              </v:shape>
            </w:pict>
          </mc:Fallback>
        </mc:AlternateContent>
      </w:r>
    </w:p>
    <w:p>
      <w:pPr>
        <w:rPr>
          <w:rFonts w:ascii="宋体" w:cs="ArialUnicodeMS"/>
          <w:color w:val="000000"/>
          <w:kern w:val="0"/>
        </w:rPr>
        <w:sectPr>
          <w:pgSz w:w="11906" w:h="16838"/>
          <w:pgMar w:top="2098" w:right="1474" w:bottom="1984" w:left="1588" w:header="851" w:footer="992" w:gutter="0"/>
          <w:docGrid w:type="lines" w:linePitch="312" w:charSpace="0"/>
        </w:sectPr>
      </w:pPr>
      <w:r>
        <w:rPr>
          <w:rFonts w:ascii="宋体" w:cs="ArialUnicodeMS" w:hint="eastAsia"/>
          <w:color w:val="000000"/>
          <w:kern w:val="0"/>
        </w:rPr>
        <w:drawing>
          <wp:anchor distT="0" distB="0" distL="114300" distR="114300" simplePos="0" relativeHeight="8" behindDoc="1" locked="0" layoutInCell="1" hidden="0" allowOverlap="1">
            <wp:simplePos x="0" y="0"/>
            <wp:positionH relativeFrom="column">
              <wp:posOffset>-1068070</wp:posOffset>
            </wp:positionH>
            <wp:positionV relativeFrom="paragraph">
              <wp:posOffset>-1515110</wp:posOffset>
            </wp:positionV>
            <wp:extent cx="7776209" cy="11000105"/>
            <wp:effectExtent l="0" t="0" r="0" b="0"/>
            <wp:wrapNone/>
            <wp:docPr id="42" name="图片 4" descr="2"/>
            <wp:cNvGraphicFramePr>
              <a:graphicFrameLocks noChangeAspect="1"/>
            </wp:cNvGraphicFramePr>
            <a:graphic>
              <a:graphicData uri="http://schemas.openxmlformats.org/drawingml/2006/picture">
                <pic:pic>
                  <pic:nvPicPr>
                    <pic:cNvPr id="43" name="图片 4 43"/>
                    <pic:cNvPicPr/>
                  </pic:nvPicPr>
                  <pic:blipFill>
                    <a:blip r:embed="rId5"/>
                    <a:stretch>
                      <a:fillRect/>
                    </a:stretch>
                  </pic:blipFill>
                  <pic:spPr>
                    <a:xfrm rot="0">
                      <a:off x="0" y="0"/>
                      <a:ext cx="7776209" cy="11000105"/>
                    </a:xfrm>
                    <a:prstGeom prst="rect"/>
                    <a:noFill/>
                    <a:ln w="9525" cmpd="sng" cap="flat">
                      <a:noFill/>
                      <a:prstDash val="solid"/>
                      <a:miter/>
                    </a:ln>
                  </pic:spPr>
                </pic:pic>
              </a:graphicData>
            </a:graphic>
          </wp:anchor>
        </w:drawing>
      </w:r>
      <w:r>
        <w:rPr>
          <w:sz w:val="72"/>
        </w:rPr>
        <mc:AlternateContent>
          <mc:Choice Requires="wps">
            <w:drawing>
              <wp:anchor distT="0" distB="0" distL="114298" distR="114298" simplePos="0" relativeHeight="67" behindDoc="0" locked="0" layoutInCell="1" hidden="0" allowOverlap="1">
                <wp:simplePos x="0" y="0"/>
                <wp:positionH relativeFrom="column">
                  <wp:posOffset>-999490</wp:posOffset>
                </wp:positionH>
                <wp:positionV relativeFrom="paragraph">
                  <wp:posOffset>2956560</wp:posOffset>
                </wp:positionV>
                <wp:extent cx="7571740" cy="2020569"/>
                <wp:effectExtent l="0" t="0" r="0" b="0"/>
                <wp:wrapNone/>
                <wp:docPr id="44" name="文本框 5"/>
                <wp:cNvGraphicFramePr>
                  <a:graphicFrameLocks noChangeAspect="0"/>
                </wp:cNvGraphicFramePr>
                <a:graphic>
                  <a:graphicData uri="http://schemas.microsoft.com/office/word/2010/wordprocessingShape">
                    <wps:wsp>
                      <wps:cNvSpPr/>
                      <wps:spPr>
                        <a:xfrm rot="0">
                          <a:off x="0" y="0"/>
                          <a:ext cx="7571740" cy="2020569"/>
                        </a:xfrm>
                        <a:prstGeom prst="rect"/>
                        <a:noFill/>
                        <a:ln w="6350" cmpd="sng" cap="flat">
                          <a:noFill/>
                          <a:prstDash val="solid"/>
                          <a:round/>
                        </a:ln>
                      </wps:spPr>
                      <wps:txbx id="45">
                        <w:txbxContent>
                          <w:p>
                            <w:pPr>
                              <w:widowControl/>
                              <w:spacing w:line="1200" w:lineRule="exact"/>
                              <w:jc w:val="center"/>
                              <w:rPr>
                                <w:rFonts w:ascii="黑体" w:eastAsia="黑体"/>
                                <w:color w:val="FDEFBE"/>
                                <w:sz w:val="96"/>
                                <w:szCs w:val="96"/>
                              </w:rPr>
                            </w:pPr>
                            <w:r>
                              <w:rPr>
                                <w:rFonts w:ascii="黑体" w:eastAsia="黑体" w:hint="eastAsia"/>
                                <w:color w:val="FDEFBE"/>
                                <w:sz w:val="96"/>
                                <w:szCs w:val="96"/>
                              </w:rPr>
                              <w:t>第三部分</w:t>
                            </w:r>
                          </w:p>
                          <w:p>
                            <w:pPr>
                              <w:widowControl/>
                              <w:spacing w:line="1200" w:lineRule="exact"/>
                              <w:jc w:val="center"/>
                              <w:rPr>
                                <w:color w:val="FDEFBE"/>
                                <w:sz w:val="96"/>
                                <w:szCs w:val="96"/>
                              </w:rPr>
                            </w:pPr>
                            <w:r>
                              <w:rPr>
                                <w:rFonts w:ascii="黑体" w:eastAsia="黑体" w:hint="eastAsia"/>
                                <w:color w:val="FDEFBE"/>
                                <w:sz w:val="96"/>
                                <w:szCs w:val="96"/>
                              </w:rPr>
                              <w:t>部门决算情况说明</w:t>
                            </w:r>
                          </w:p>
                        </w:txbxContent>
                      </wps:txbx>
                      <wps:bodyPr vert="horz" wrap="square" lIns="91440" tIns="45720" rIns="91440" bIns="45720" anchor="t" anchorCtr="0" upright="0">
                        <a:noAutofit/>
                      </wps:bodyPr>
                    </wps:wsp>
                  </a:graphicData>
                </a:graphic>
              </wp:anchor>
            </w:drawing>
          </mc:Choice>
          <mc:Fallback>
            <w:pict>
              <v:shape type="#_x0000_t202" id="文本框 5 46" o:spid="_x0000_s46" filled="f" stroked="f" strokeweight="0.5pt" style="position:absolute;margin-left:-78.7pt;margin-top:232.8pt;width:596.2pt;height:159.09998pt;z-index:67;mso-position-horizontal:absolute;mso-position-vertical:absolute;mso-wrap-distance-left:8.999863pt;mso-wrap-distance-right:8.999863pt;mso-wrap-style:square;">
                <v:stroke color="#000000"/>
                <v:textbox id="855" inset="2.54mm,1.27mm,2.54mm,1.27mm" o:insetmode="custom" style="layout-flow:horizontal;v-text-anchor:top;">
                  <w:txbxContent>
                    <w:p>
                      <w:pPr>
                        <w:widowControl/>
                        <w:spacing w:line="1200" w:lineRule="exact"/>
                        <w:jc w:val="center"/>
                        <w:rPr>
                          <w:rFonts w:ascii="黑体" w:eastAsia="黑体"/>
                          <w:color w:val="FDEFBE"/>
                          <w:sz w:val="96"/>
                          <w:szCs w:val="96"/>
                        </w:rPr>
                      </w:pPr>
                      <w:r>
                        <w:rPr>
                          <w:rFonts w:ascii="黑体" w:eastAsia="黑体" w:hint="eastAsia"/>
                          <w:color w:val="FDEFBE"/>
                          <w:sz w:val="96"/>
                          <w:szCs w:val="96"/>
                        </w:rPr>
                        <w:t>第三部分</w:t>
                      </w:r>
                    </w:p>
                    <w:p>
                      <w:pPr>
                        <w:widowControl/>
                        <w:spacing w:line="1200" w:lineRule="exact"/>
                        <w:jc w:val="center"/>
                        <w:rPr>
                          <w:color w:val="FDEFBE"/>
                          <w:sz w:val="96"/>
                          <w:szCs w:val="96"/>
                        </w:rPr>
                      </w:pPr>
                      <w:r>
                        <w:rPr>
                          <w:rFonts w:ascii="黑体" w:eastAsia="黑体" w:hint="eastAsia"/>
                          <w:color w:val="FDEFBE"/>
                          <w:sz w:val="96"/>
                          <w:szCs w:val="96"/>
                        </w:rPr>
                        <w:t>部门决算情况说明</w:t>
                      </w:r>
                    </w:p>
                  </w:txbxContent>
                </v:textbox>
              </v:shape>
            </w:pict>
          </mc:Fallback>
        </mc:AlternateContent>
      </w:r>
    </w:p>
    <w:p>
      <w:pPr>
        <w:pStyle w:val="2"/>
        <w:spacing w:before="0" w:after="0" w:line="580" w:lineRule="exact"/>
        <w:ind w:firstLineChars="200" w:firstLine="640"/>
        <w:rPr>
          <w:rFonts w:ascii="黑体" w:eastAsia="黑体"/>
          <w:b w:val="0"/>
          <w:bCs w:val="0"/>
        </w:rPr>
      </w:pPr>
      <w:r>
        <w:rPr>
          <w:rFonts w:ascii="黑体" w:eastAsia="黑体" w:hint="eastAsia"/>
          <w:b w:val="0"/>
          <w:bCs w:val="0"/>
        </w:rPr>
        <w:t>一、收入</w:t>
      </w:r>
      <w:r>
        <w:rPr>
          <w:rFonts w:ascii="黑体" w:eastAsia="黑体" w:cs="黑体" w:hint="eastAsia"/>
          <w:b w:val="0"/>
          <w:bCs w:val="0"/>
          <w:kern w:val="0"/>
        </w:rPr>
        <w:t>支</w:t>
      </w:r>
      <w:r>
        <w:rPr>
          <w:sz w:val="44"/>
        </w:rPr>
        <mc:AlternateContent>
          <mc:Choice Requires="wps">
            <w:drawing>
              <wp:anchor distT="0" distB="0" distL="114298" distR="114298" simplePos="0" relativeHeight="93" behindDoc="0" locked="1" layoutInCell="1" hidden="0" allowOverlap="1">
                <wp:simplePos x="0" y="0"/>
                <wp:positionH relativeFrom="page">
                  <wp:posOffset>-6984</wp:posOffset>
                </wp:positionH>
                <wp:positionV relativeFrom="page">
                  <wp:posOffset>372111</wp:posOffset>
                </wp:positionV>
                <wp:extent cx="3833495" cy="558164"/>
                <wp:effectExtent l="0" t="0" r="0" b="0"/>
                <wp:wrapNone/>
                <wp:docPr id="47" name="组合"/>
                <wp:cNvGraphicFramePr>
                  <a:graphicFrameLocks noChangeAspect="0"/>
                </wp:cNvGraphicFramePr>
                <a:graphic>
                  <a:graphicData uri="http://schemas.microsoft.com/office/word/2010/wordprocessingGroup">
                    <wpg:wgp>
                      <wpg:cNvPr id="48" name="组合 48"/>
                      <wpg:cNvGrpSpPr/>
                      <wpg:grpSpPr>
                        <a:xfrm rot="0">
                          <a:off x="0" y="0"/>
                          <a:ext cx="3833495" cy="558164"/>
                          <a:chOff x="0" y="0"/>
                          <a:chExt cx="3833495" cy="558164"/>
                        </a:xfrm>
                        <a:prstGeom prst="rect"/>
                        <a:solidFill>
                          <a:srgbClr val="FFFFFF"/>
                        </a:solidFill>
                        <a:ln w="9525" cmpd="sng" cap="flat">
                          <a:solidFill>
                            <a:srgbClr val="000000"/>
                          </a:solidFill>
                          <a:prstDash val="solid"/>
                          <a:miter/>
                        </a:ln>
                      </wpg:grpSpPr>
                      <wps:wsp>
                        <wps:cNvPr id="49" name="_s53 49"/>
                        <wps:cNvSpPr/>
                        <wps:spPr>
                          <a:xfrm rot="0">
                            <a:off x="0" y="0"/>
                            <a:ext cx="3833495" cy="469163"/>
                          </a:xfrm>
                          <a:prstGeom prst="rect"/>
                          <a:solidFill>
                            <a:srgbClr val="B8B8B8"/>
                          </a:solidFill>
                          <a:ln w="9525" cmpd="sng" cap="flat">
                            <a:noFill/>
                            <a:prstDash val="solid"/>
                            <a:miter/>
                          </a:ln>
                        </wps:spPr>
                        <wps:bodyPr vert="horz" wrap="square" lIns="91440" tIns="45720" rIns="91440" bIns="45720" anchor="t" anchorCtr="0" upright="1">
                          <a:noAutofit/>
                        </wps:bodyPr>
                      </wps:wsp>
                      <wps:wsp>
                        <wps:cNvPr id="50" name="_s54 50"/>
                        <wps:cNvSpPr/>
                        <wps:spPr>
                          <a:xfrm rot="0">
                            <a:off x="10160" y="109344"/>
                            <a:ext cx="3733800" cy="448820"/>
                          </a:xfrm>
                          <a:prstGeom prst="rect"/>
                          <a:solidFill>
                            <a:srgbClr val="AD002D"/>
                          </a:solidFill>
                          <a:ln w="25400" cmpd="sng" cap="flat">
                            <a:solidFill>
                              <a:srgbClr val="805514"/>
                            </a:solidFill>
                            <a:prstDash val="solid"/>
                            <a:miter/>
                          </a:ln>
                        </wps:spPr>
                        <wps:txbx id="51">
                          <w:txbxContent>
                            <w:p>
                              <w:pPr>
                                <w:widowControl/>
                                <w:jc w:val="left"/>
                                <w:rPr>
                                  <w:rFonts w:ascii="楷体" w:eastAsia="楷体" w:cs="楷体"/>
                                  <w:b/>
                                  <w:bCs/>
                                  <w:color w:val="FDEFBE"/>
                                  <w:sz w:val="32"/>
                                  <w:szCs w:val="32"/>
                                </w:rPr>
                              </w:pPr>
                              <w:r>
                                <w:rPr>
                                  <w:rFonts w:ascii="楷体" w:eastAsia="楷体" w:cs="楷体" w:hint="eastAsia"/>
                                  <w:b/>
                                  <w:bCs/>
                                  <w:color w:val="FDEFBE"/>
                                  <w:kern w:val="0"/>
                                  <w:sz w:val="32"/>
                                  <w:szCs w:val="32"/>
                                </w:rPr>
                                <w:t>2018年度部门决算☞部门决算情况说明</w:t>
                              </w:r>
                            </w:p>
                            <w:p>
                              <w:pPr>
                                <w:jc w:val="center"/>
                              </w:pPr>
                            </w:p>
                          </w:txbxContent>
                        </wps:txbx>
                        <wps:bodyPr vert="horz" wrap="square" lIns="91440" tIns="45720" rIns="91440" bIns="45720" anchor="ctr" anchorCtr="0" upright="0">
                          <a:noAutofit/>
                        </wps:bodyPr>
                      </wps:wsp>
                      <wps:bodyPr vert="horz" wrap="square" lIns="91440" tIns="45720" rIns="91440" bIns="45720" anchor="t" anchorCtr="0" upright="1">
                        <a:noAutofit/>
                      </wps:bodyPr>
                    </wpg:wgp>
                  </a:graphicData>
                </a:graphic>
              </wp:anchor>
            </w:drawing>
          </mc:Choice>
          <mc:Fallback>
            <w:pict>
              <v:group type="#_x0000_t1" id="组合 52" o:spid="_x0000_s52" coordorigin="-10,586" coordsize="6037,878" style="position:absolute;margin-left:-0.54999465pt;margin-top:29.30009pt;width:301.85pt;height:43.949955pt;z-index:93;mso-position-horizontal:absolute;mso-position-horizontal-relative:page;mso-position-vertical:absolute;mso-position-vertical-relative:page;mso-wrap-distance-left:8.999863pt;mso-wrap-distance-right:8.999863pt;">
                <v:rect type="#_x0000_t1" id="_s53" o:spid="_x0000_s53" style="position:absolute;left:-10;top:586;width:6037;height:738;" fillcolor="#B8B8B8" stroked="f">
                  <v:stroke color="#000000"/>
                </v:rect>
                <v:rect type="#_x0000_t1" id="_s54" o:spid="_x0000_s54" style="position:absolute;left:5;top:758;width:5880;height:706;mso-wrap-style:square;" fillcolor="#AD002D" stroked="t" strokeweight="2.0pt">
                  <v:textbox id="867" inset="2.54mm,1.27mm,2.54mm,1.27mm" o:insetmode="custom" style="layout-flow:horizontal;v-text-anchor:middle;">
                    <w:txbxContent>
                      <w:p>
                        <w:pPr>
                          <w:widowControl/>
                          <w:jc w:val="left"/>
                          <w:rPr>
                            <w:rFonts w:ascii="楷体" w:eastAsia="楷体" w:cs="楷体"/>
                            <w:b/>
                            <w:bCs/>
                            <w:color w:val="FDEFBE"/>
                            <w:sz w:val="32"/>
                            <w:szCs w:val="32"/>
                          </w:rPr>
                        </w:pPr>
                        <w:r>
                          <w:rPr>
                            <w:rFonts w:ascii="楷体" w:eastAsia="楷体" w:cs="楷体" w:hint="eastAsia"/>
                            <w:b/>
                            <w:bCs/>
                            <w:color w:val="FDEFBE"/>
                            <w:kern w:val="0"/>
                            <w:sz w:val="32"/>
                            <w:szCs w:val="32"/>
                          </w:rPr>
                          <w:t>2018年度部门决算☞部门决算情况说明</w:t>
                        </w:r>
                      </w:p>
                      <w:p>
                        <w:pPr>
                          <w:jc w:val="center"/>
                        </w:pPr>
                      </w:p>
                    </w:txbxContent>
                  </v:textbox>
                  <v:stroke color="#805514"/>
                </v:rect>
                <w10:anchorLock/>
              </v:group>
            </w:pict>
          </mc:Fallback>
        </mc:AlternateContent>
      </w:r>
      <w:r>
        <w:rPr>
          <w:rFonts w:ascii="黑体" w:eastAsia="黑体" w:cs="黑体" w:hint="eastAsia"/>
          <w:b w:val="0"/>
          <w:bCs w:val="0"/>
          <w:kern w:val="0"/>
        </w:rPr>
        <w:t>出</w:t>
      </w:r>
      <w:r>
        <w:rPr>
          <w:rFonts w:ascii="黑体" w:eastAsia="黑体" w:hint="eastAsia"/>
          <w:b w:val="0"/>
          <w:bCs w:val="0"/>
        </w:rPr>
        <w:t>决算总体情况说明</w:t>
      </w:r>
    </w:p>
    <w:p>
      <w:pPr>
        <w:widowControl/>
        <w:spacing w:line="580" w:lineRule="exact"/>
        <w:ind w:left="640" w:firstLineChars="200" w:firstLine="640"/>
        <w:rPr>
          <w:rFonts w:eastAsia="仿宋_GB2312"/>
          <w:sz w:val="32"/>
          <w:szCs w:val="32"/>
        </w:rPr>
      </w:pPr>
      <w:r>
        <w:rPr>
          <w:rFonts w:ascii="仿宋_GB2312" w:eastAsia="仿宋_GB2312" w:cs="DengXian-Regular" w:hint="eastAsia"/>
          <w:sz w:val="32"/>
          <w:szCs w:val="32"/>
        </w:rPr>
        <w:t>本部门2018年度收入总计（含结转和结余）7203.58万元，支出总计7203.58万元。与2017年度决算相比，收入增加2526.41万元，增长54.02%，主要原因是主要是</w:t>
      </w:r>
      <w:r>
        <w:rPr>
          <w:rFonts w:ascii="宋体" w:cs="宋体" w:hint="eastAsia"/>
          <w:color w:val="000000"/>
          <w:sz w:val="32"/>
          <w:szCs w:val="32"/>
        </w:rPr>
        <w:t>开</w:t>
      </w:r>
      <w:r>
        <w:rPr>
          <w:rFonts w:ascii="仿宋_GB2312" w:eastAsia="仿宋_GB2312" w:cs="DengXian-Regular" w:hint="eastAsia"/>
          <w:sz w:val="32"/>
          <w:szCs w:val="32"/>
        </w:rPr>
        <w:t>展了城镇建设，绿化，环卫等多项打基础、利长远的基础设施建设和民心工程，需求较大；</w:t>
      </w:r>
      <w:r>
        <w:rPr>
          <w:rFonts w:ascii="宋体" w:cs="宋体" w:hint="eastAsia"/>
          <w:sz w:val="32"/>
          <w:szCs w:val="32"/>
        </w:rPr>
        <w:t>支出增加了2526.41万元，</w:t>
      </w:r>
      <w:r>
        <w:rPr>
          <w:rFonts w:ascii="仿宋_GB2312" w:eastAsia="仿宋_GB2312" w:cs="DengXian-Regular" w:hint="eastAsia"/>
          <w:sz w:val="32"/>
          <w:szCs w:val="32"/>
        </w:rPr>
        <w:t>增长54.02%，</w:t>
      </w:r>
      <w:r>
        <w:rPr>
          <w:rFonts w:ascii="宋体" w:cs="宋体" w:hint="eastAsia"/>
          <w:sz w:val="32"/>
          <w:szCs w:val="32"/>
        </w:rPr>
        <w:t>增加了</w:t>
      </w:r>
      <w:r>
        <w:rPr>
          <w:rFonts w:ascii="仿宋_GB2312" w:eastAsia="仿宋_GB2312" w:cs="DengXian-Regular" w:hint="eastAsia"/>
          <w:sz w:val="32"/>
          <w:szCs w:val="32"/>
        </w:rPr>
        <w:t>主要是加大市政基础设施建设投入，各项工程的施工建设支出。</w:t>
      </w:r>
    </w:p>
    <w:p>
      <w:pPr>
        <w:pStyle w:val="2"/>
        <w:spacing w:before="0" w:after="0" w:line="580" w:lineRule="exact"/>
        <w:ind w:firstLineChars="200" w:firstLine="640"/>
        <w:rPr>
          <w:rFonts w:ascii="黑体" w:eastAsia="黑体"/>
          <w:b w:val="0"/>
          <w:bCs w:val="0"/>
        </w:rPr>
      </w:pPr>
      <w:r>
        <w:rPr>
          <w:rFonts w:ascii="黑体" w:eastAsia="黑体" w:hint="eastAsia"/>
          <w:b w:val="0"/>
          <w:bCs w:val="0"/>
        </w:rPr>
        <w:t>二、收入决算情况说明</w:t>
      </w:r>
    </w:p>
    <w:p>
      <w:pPr>
        <w:adjustRightInd w:val="0"/>
        <w:snapToGrid w:val="0"/>
        <w:spacing w:after="0"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本部门2018年度本年收入合计7152.66万元，其中：财政拨款收入7152.66万元，占100%。如图所示：</w:t>
      </w:r>
    </w:p>
    <w:p>
      <w:pPr>
        <w:adjustRightInd w:val="0"/>
        <w:snapToGrid w:val="0"/>
        <w:spacing w:after="0" w:line="580" w:lineRule="exact"/>
        <w:ind w:firstLineChars="600" w:firstLine="1920"/>
        <w:rPr>
          <w:rFonts w:ascii="仿宋_GB2312" w:eastAsia="仿宋_GB2312" w:cs="DengXian-Regular"/>
          <w:sz w:val="32"/>
          <w:szCs w:val="32"/>
        </w:rPr>
      </w:pPr>
    </w:p>
    <w:p>
      <w:r>
        <w:drawing>
          <wp:inline distT="0" distB="0" distL="0" distR="0">
            <wp:extent cx="4934584" cy="1964690"/>
            <wp:effectExtent l="0" t="0" r="0" b="0"/>
            <wp:docPr id="55" name="图表 1"/>
            <wp:cNvGraphicFramePr>
              <a:graphicFrameLocks noChangeAspect="0"/>
            </wp:cNvGraphicFramePr>
            <a:graphic>
              <a:graphicData uri="http://schemas.openxmlformats.org/drawingml/2006/chart">
                <c:chart xmlns:c="http://schemas.openxmlformats.org/drawingml/2006/chart" r:id="rId6"/>
              </a:graphicData>
            </a:graphic>
          </wp:inline>
        </w:drawing>
      </w:r>
    </w:p>
    <w:p>
      <w:pPr>
        <w:adjustRightInd w:val="0"/>
        <w:snapToGrid w:val="0"/>
        <w:spacing w:after="0" w:line="580" w:lineRule="exact"/>
        <w:ind w:firstLineChars="600" w:firstLine="1920"/>
        <w:rPr>
          <w:rFonts w:ascii="宋体" w:cs="宋体"/>
          <w:sz w:val="32"/>
          <w:szCs w:val="32"/>
        </w:rPr>
      </w:pPr>
      <w:r>
        <w:rPr>
          <w:rFonts w:ascii="宋体" w:cs="宋体" w:hint="eastAsia"/>
          <w:sz w:val="32"/>
          <w:szCs w:val="32"/>
        </w:rPr>
        <w:t>图1：收入构成情况（按支出性质）</w:t>
      </w:r>
    </w:p>
    <w:p>
      <w:pPr>
        <w:adjustRightInd w:val="0"/>
        <w:snapToGrid w:val="0"/>
        <w:spacing w:after="0" w:line="580" w:lineRule="exact"/>
        <w:ind w:firstLineChars="600" w:firstLine="1920"/>
        <w:rPr>
          <w:rFonts w:ascii="仿宋_GB2312" w:eastAsia="仿宋_GB2312" w:cs="DengXian-Regular"/>
          <w:sz w:val="32"/>
          <w:szCs w:val="32"/>
        </w:rPr>
      </w:pPr>
    </w:p>
    <w:p>
      <w:pPr>
        <w:pStyle w:val="2"/>
        <w:spacing w:before="0" w:after="0" w:line="580" w:lineRule="exact"/>
        <w:ind w:firstLineChars="200" w:firstLine="640"/>
        <w:rPr>
          <w:rFonts w:ascii="黑体" w:eastAsia="黑体"/>
        </w:rPr>
      </w:pPr>
    </w:p>
    <w:p>
      <w:pPr>
        <w:pStyle w:val="2"/>
        <w:spacing w:before="0" w:after="0" w:line="580" w:lineRule="exact"/>
        <w:ind w:firstLineChars="200" w:firstLine="640"/>
        <w:rPr>
          <w:rFonts w:ascii="黑体" w:eastAsia="黑体"/>
        </w:rPr>
      </w:pPr>
    </w:p>
    <w:p>
      <w:pPr>
        <w:pStyle w:val="2"/>
        <w:spacing w:before="0" w:after="0" w:line="580" w:lineRule="exact"/>
        <w:ind w:firstLineChars="200" w:firstLine="640"/>
        <w:rPr>
          <w:rFonts w:ascii="黑体" w:eastAsia="黑体"/>
        </w:rPr>
      </w:pPr>
    </w:p>
    <w:p>
      <w:pPr>
        <w:pStyle w:val="2"/>
        <w:spacing w:before="0" w:after="0" w:line="580" w:lineRule="exact"/>
        <w:ind w:firstLineChars="200" w:firstLine="640"/>
        <w:rPr>
          <w:rFonts w:ascii="黑体" w:eastAsia="黑体"/>
          <w:b w:val="0"/>
          <w:bCs w:val="0"/>
        </w:rPr>
      </w:pPr>
    </w:p>
    <w:p>
      <w:pPr>
        <w:pStyle w:val="2"/>
        <w:spacing w:before="0" w:after="0" w:line="580" w:lineRule="exact"/>
        <w:ind w:firstLineChars="200" w:firstLine="640"/>
        <w:rPr>
          <w:rFonts w:ascii="黑体" w:eastAsia="黑体"/>
          <w:b w:val="0"/>
          <w:bCs w:val="0"/>
        </w:rPr>
      </w:pPr>
      <w:r>
        <w:rPr>
          <w:rFonts w:ascii="黑体" w:eastAsia="黑体" w:hint="eastAsia"/>
          <w:b w:val="0"/>
          <w:bCs w:val="0"/>
        </w:rPr>
        <w:t>三、支出决算情况说明</w:t>
      </w:r>
    </w:p>
    <w:p>
      <w:pPr>
        <w:adjustRightInd w:val="0"/>
        <w:snapToGrid w:val="0"/>
        <w:spacing w:after="0"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本部门2018年度本年支出合计636</w:t>
      </w:r>
      <w:r>
        <w:rPr>
          <w:rFonts w:ascii="宋体" w:cs="宋体" w:hint="eastAsia"/>
          <w:sz w:val="32"/>
          <w:szCs w:val="32"/>
        </w:rPr>
        <w:t>9.47</w:t>
      </w:r>
      <w:r>
        <w:rPr>
          <w:rFonts w:ascii="仿宋_GB2312" w:eastAsia="仿宋_GB2312" w:cs="DengXian-Regular" w:hint="eastAsia"/>
          <w:sz w:val="32"/>
          <w:szCs w:val="32"/>
        </w:rPr>
        <w:t>万元，其中：基本支出3786.28万元，占5</w:t>
      </w:r>
      <w:r>
        <w:rPr>
          <w:rFonts w:ascii="宋体" w:cs="宋体" w:hint="eastAsia"/>
          <w:sz w:val="32"/>
          <w:szCs w:val="32"/>
        </w:rPr>
        <w:t>9.44</w:t>
      </w:r>
      <w:r>
        <w:rPr>
          <w:rFonts w:ascii="仿宋_GB2312" w:eastAsia="仿宋_GB2312" w:cs="DengXian-Regular" w:hint="eastAsia"/>
          <w:sz w:val="32"/>
          <w:szCs w:val="32"/>
        </w:rPr>
        <w:t>%；项目支出2583.1</w:t>
      </w:r>
      <w:r>
        <w:rPr>
          <w:rFonts w:ascii="宋体" w:cs="宋体" w:hint="eastAsia"/>
          <w:sz w:val="32"/>
          <w:szCs w:val="32"/>
        </w:rPr>
        <w:t>9</w:t>
      </w:r>
      <w:r>
        <w:rPr>
          <w:rFonts w:ascii="仿宋_GB2312" w:eastAsia="仿宋_GB2312" w:cs="DengXian-Regular" w:hint="eastAsia"/>
          <w:sz w:val="32"/>
          <w:szCs w:val="32"/>
        </w:rPr>
        <w:t>万元，占40.56%。如图所示：</w:t>
      </w:r>
    </w:p>
    <w:p>
      <w:pPr>
        <w:adjustRightInd w:val="0"/>
        <w:snapToGrid w:val="0"/>
        <w:spacing w:after="0" w:line="580" w:lineRule="exact"/>
        <w:ind w:firstLineChars="600" w:firstLine="1920"/>
        <w:rPr>
          <w:rFonts w:ascii="仿宋_GB2312" w:eastAsia="仿宋_GB2312" w:cs="DengXian-Regular"/>
          <w:sz w:val="32"/>
          <w:szCs w:val="32"/>
        </w:rPr>
      </w:pPr>
    </w:p>
    <w:p>
      <w:r>
        <w:drawing>
          <wp:inline distT="0" distB="0" distL="0" distR="0">
            <wp:extent cx="4930775" cy="2483485"/>
            <wp:effectExtent l="0" t="0" r="0" b="0"/>
            <wp:docPr id="56" name="图表 1"/>
            <wp:cNvGraphicFramePr>
              <a:graphicFrameLocks noChangeAspect="0"/>
            </wp:cNvGraphicFramePr>
            <a:graphic>
              <a:graphicData uri="http://schemas.openxmlformats.org/drawingml/2006/chart">
                <c:chart xmlns:c="http://schemas.openxmlformats.org/drawingml/2006/chart" r:id="rId7"/>
              </a:graphicData>
            </a:graphic>
          </wp:inline>
        </w:drawing>
      </w:r>
    </w:p>
    <w:p>
      <w:pPr>
        <w:adjustRightInd w:val="0"/>
        <w:snapToGrid w:val="0"/>
        <w:spacing w:after="0" w:line="580" w:lineRule="exact"/>
        <w:ind w:firstLineChars="600" w:firstLine="2640"/>
        <w:rPr>
          <w:rFonts w:ascii="仿宋_GB2312" w:eastAsia="仿宋_GB2312" w:cs="DengXian-Regular"/>
          <w:sz w:val="32"/>
          <w:szCs w:val="32"/>
        </w:rPr>
      </w:pPr>
      <w:r>
        <w:rPr>
          <w:sz w:val="44"/>
        </w:rPr>
        <mc:AlternateContent>
          <mc:Choice Requires="wps">
            <w:drawing>
              <wp:anchor distT="0" distB="0" distL="114298" distR="114298" simplePos="0" relativeHeight="79" behindDoc="0" locked="1" layoutInCell="1" hidden="0" allowOverlap="1">
                <wp:simplePos x="0" y="0"/>
                <wp:positionH relativeFrom="page">
                  <wp:posOffset>-6984</wp:posOffset>
                </wp:positionH>
                <wp:positionV relativeFrom="page">
                  <wp:posOffset>372111</wp:posOffset>
                </wp:positionV>
                <wp:extent cx="3833495" cy="558164"/>
                <wp:effectExtent l="0" t="0" r="0" b="0"/>
                <wp:wrapNone/>
                <wp:docPr id="57" name="组合"/>
                <wp:cNvGraphicFramePr>
                  <a:graphicFrameLocks noChangeAspect="0"/>
                </wp:cNvGraphicFramePr>
                <a:graphic>
                  <a:graphicData uri="http://schemas.microsoft.com/office/word/2010/wordprocessingGroup">
                    <wpg:wgp>
                      <wpg:cNvPr id="58" name="组合 58"/>
                      <wpg:cNvGrpSpPr/>
                      <wpg:grpSpPr>
                        <a:xfrm rot="0">
                          <a:off x="0" y="0"/>
                          <a:ext cx="3833495" cy="558164"/>
                          <a:chOff x="0" y="0"/>
                          <a:chExt cx="3833495" cy="558164"/>
                        </a:xfrm>
                        <a:prstGeom prst="rect"/>
                        <a:solidFill>
                          <a:srgbClr val="FFFFFF"/>
                        </a:solidFill>
                        <a:ln w="9525" cmpd="sng" cap="flat">
                          <a:solidFill>
                            <a:srgbClr val="000000"/>
                          </a:solidFill>
                          <a:prstDash val="solid"/>
                          <a:miter/>
                        </a:ln>
                      </wpg:grpSpPr>
                      <wps:wsp>
                        <wps:cNvPr id="59" name="_s63 59"/>
                        <wps:cNvSpPr/>
                        <wps:spPr>
                          <a:xfrm rot="0">
                            <a:off x="0" y="0"/>
                            <a:ext cx="3833495" cy="469163"/>
                          </a:xfrm>
                          <a:prstGeom prst="rect"/>
                          <a:solidFill>
                            <a:srgbClr val="B8B8B8"/>
                          </a:solidFill>
                          <a:ln w="9525" cmpd="sng" cap="flat">
                            <a:noFill/>
                            <a:prstDash val="solid"/>
                            <a:miter/>
                          </a:ln>
                        </wps:spPr>
                        <wps:bodyPr vert="horz" wrap="square" lIns="91440" tIns="45720" rIns="91440" bIns="45720" anchor="t" anchorCtr="0" upright="1">
                          <a:noAutofit/>
                        </wps:bodyPr>
                      </wps:wsp>
                      <wps:wsp>
                        <wps:cNvPr id="60" name="_s64 60"/>
                        <wps:cNvSpPr/>
                        <wps:spPr>
                          <a:xfrm rot="0">
                            <a:off x="10160" y="109344"/>
                            <a:ext cx="3733800" cy="448820"/>
                          </a:xfrm>
                          <a:prstGeom prst="rect"/>
                          <a:solidFill>
                            <a:srgbClr val="AD002D"/>
                          </a:solidFill>
                          <a:ln w="25400" cmpd="sng" cap="flat">
                            <a:solidFill>
                              <a:srgbClr val="805514"/>
                            </a:solidFill>
                            <a:prstDash val="solid"/>
                            <a:miter/>
                          </a:ln>
                        </wps:spPr>
                        <wps:txbx id="61">
                          <w:txbxContent>
                            <w:p>
                              <w:pPr>
                                <w:widowControl/>
                                <w:jc w:val="left"/>
                                <w:rPr>
                                  <w:rFonts w:ascii="楷体" w:eastAsia="楷体" w:cs="楷体"/>
                                  <w:b/>
                                  <w:bCs/>
                                  <w:color w:val="FDEFBE"/>
                                  <w:sz w:val="32"/>
                                  <w:szCs w:val="32"/>
                                </w:rPr>
                              </w:pPr>
                              <w:r>
                                <w:rPr>
                                  <w:rFonts w:ascii="楷体" w:eastAsia="楷体" w:cs="楷体" w:hint="eastAsia"/>
                                  <w:b/>
                                  <w:bCs/>
                                  <w:color w:val="FDEFBE"/>
                                  <w:kern w:val="0"/>
                                  <w:sz w:val="32"/>
                                  <w:szCs w:val="32"/>
                                </w:rPr>
                                <w:t>2018年度部门决算☞部门决算情况说明</w:t>
                              </w:r>
                            </w:p>
                            <w:p>
                              <w:pPr>
                                <w:jc w:val="center"/>
                              </w:pPr>
                            </w:p>
                          </w:txbxContent>
                        </wps:txbx>
                        <wps:bodyPr vert="horz" wrap="square" lIns="91440" tIns="45720" rIns="91440" bIns="45720" anchor="ctr" anchorCtr="0" upright="0">
                          <a:noAutofit/>
                        </wps:bodyPr>
                      </wps:wsp>
                      <wps:bodyPr vert="horz" wrap="square" lIns="91440" tIns="45720" rIns="91440" bIns="45720" anchor="t" anchorCtr="0" upright="1">
                        <a:noAutofit/>
                      </wps:bodyPr>
                    </wpg:wgp>
                  </a:graphicData>
                </a:graphic>
              </wp:anchor>
            </w:drawing>
          </mc:Choice>
          <mc:Fallback>
            <w:pict>
              <v:group type="#_x0000_t1" id="组合 62" o:spid="_x0000_s62" coordorigin="-10,586" coordsize="6037,878" style="position:absolute;margin-left:-0.54999465pt;margin-top:29.30009pt;width:301.85pt;height:43.949955pt;z-index:79;mso-position-horizontal:absolute;mso-position-horizontal-relative:page;mso-position-vertical:absolute;mso-position-vertical-relative:page;mso-wrap-distance-left:8.999863pt;mso-wrap-distance-right:8.999863pt;">
                <v:rect type="#_x0000_t1" id="_s63" o:spid="_x0000_s63" style="position:absolute;left:-10;top:586;width:6037;height:738;" fillcolor="#B8B8B8" stroked="f">
                  <v:stroke color="#000000"/>
                </v:rect>
                <v:rect type="#_x0000_t1" id="_s64" o:spid="_x0000_s64" style="position:absolute;left:5;top:758;width:5880;height:706;mso-wrap-style:square;" fillcolor="#AD002D" stroked="t" strokeweight="2.0pt">
                  <v:textbox id="868" inset="2.54mm,1.27mm,2.54mm,1.27mm" o:insetmode="custom" style="layout-flow:horizontal;v-text-anchor:middle;">
                    <w:txbxContent>
                      <w:p>
                        <w:pPr>
                          <w:widowControl/>
                          <w:jc w:val="left"/>
                          <w:rPr>
                            <w:rFonts w:ascii="楷体" w:eastAsia="楷体" w:cs="楷体"/>
                            <w:b/>
                            <w:bCs/>
                            <w:color w:val="FDEFBE"/>
                            <w:sz w:val="32"/>
                            <w:szCs w:val="32"/>
                          </w:rPr>
                        </w:pPr>
                        <w:r>
                          <w:rPr>
                            <w:rFonts w:ascii="楷体" w:eastAsia="楷体" w:cs="楷体" w:hint="eastAsia"/>
                            <w:b/>
                            <w:bCs/>
                            <w:color w:val="FDEFBE"/>
                            <w:kern w:val="0"/>
                            <w:sz w:val="32"/>
                            <w:szCs w:val="32"/>
                          </w:rPr>
                          <w:t>2018年度部门决算☞部门决算情况说明</w:t>
                        </w:r>
                      </w:p>
                      <w:p>
                        <w:pPr>
                          <w:jc w:val="center"/>
                        </w:pPr>
                      </w:p>
                    </w:txbxContent>
                  </v:textbox>
                  <v:stroke color="#805514"/>
                </v:rect>
                <w10:anchorLock/>
              </v:group>
            </w:pict>
          </mc:Fallback>
        </mc:AlternateContent>
      </w:r>
      <w:r>
        <w:rPr>
          <w:rFonts w:ascii="仿宋_GB2312" w:eastAsia="仿宋_GB2312" w:cs="DengXian-Regular" w:hint="eastAsia"/>
          <w:sz w:val="32"/>
          <w:szCs w:val="32"/>
        </w:rPr>
        <w:t>图2：支出构成情况（按支出性质）</w:t>
      </w:r>
    </w:p>
    <w:p>
      <w:pPr>
        <w:adjustRightInd w:val="0"/>
        <w:snapToGrid w:val="0"/>
        <w:spacing w:after="0" w:line="580" w:lineRule="exact"/>
        <w:ind w:firstLineChars="600" w:firstLine="1920"/>
        <w:rPr>
          <w:rFonts w:ascii="仿宋_GB2312" w:eastAsia="仿宋_GB2312" w:cs="DengXian-Regular"/>
          <w:sz w:val="32"/>
          <w:szCs w:val="32"/>
        </w:rPr>
      </w:pPr>
    </w:p>
    <w:p>
      <w:pPr>
        <w:pStyle w:val="2"/>
        <w:spacing w:before="0" w:after="0" w:line="580" w:lineRule="exact"/>
        <w:ind w:firstLineChars="200" w:firstLine="640"/>
        <w:rPr>
          <w:rFonts w:ascii="黑体" w:eastAsia="黑体"/>
        </w:rPr>
      </w:pPr>
    </w:p>
    <w:p>
      <w:pPr>
        <w:pStyle w:val="2"/>
        <w:spacing w:before="0" w:after="0" w:line="580" w:lineRule="exact"/>
        <w:ind w:firstLineChars="200" w:firstLine="640"/>
        <w:rPr>
          <w:rFonts w:ascii="黑体" w:eastAsia="黑体"/>
        </w:rPr>
      </w:pPr>
    </w:p>
    <w:p>
      <w:pPr>
        <w:pStyle w:val="2"/>
        <w:spacing w:before="0" w:after="0" w:line="580" w:lineRule="exact"/>
        <w:ind w:firstLineChars="200" w:firstLine="640"/>
        <w:rPr>
          <w:rFonts w:ascii="黑体" w:eastAsia="黑体"/>
        </w:rPr>
      </w:pPr>
    </w:p>
    <w:p>
      <w:pPr>
        <w:pStyle w:val="2"/>
        <w:spacing w:before="0" w:after="0" w:line="580" w:lineRule="exact"/>
        <w:ind w:firstLineChars="200" w:firstLine="640"/>
        <w:rPr>
          <w:rFonts w:ascii="黑体" w:eastAsia="黑体"/>
          <w:b w:val="0"/>
          <w:bCs w:val="0"/>
        </w:rPr>
      </w:pPr>
    </w:p>
    <w:p>
      <w:pPr>
        <w:pStyle w:val="2"/>
        <w:spacing w:before="0" w:after="0" w:line="580" w:lineRule="exact"/>
        <w:ind w:firstLineChars="200" w:firstLine="640"/>
        <w:rPr>
          <w:rFonts w:ascii="黑体" w:eastAsia="黑体"/>
          <w:b w:val="0"/>
          <w:bCs w:val="0"/>
        </w:rPr>
      </w:pPr>
    </w:p>
    <w:p>
      <w:pPr>
        <w:pStyle w:val="2"/>
        <w:spacing w:before="0" w:after="0" w:line="580" w:lineRule="exact"/>
        <w:ind w:firstLineChars="200" w:firstLine="640"/>
        <w:rPr>
          <w:rFonts w:ascii="黑体" w:eastAsia="黑体"/>
          <w:b w:val="0"/>
          <w:bCs w:val="0"/>
        </w:rPr>
      </w:pPr>
      <w:r>
        <w:rPr>
          <w:rFonts w:ascii="黑体" w:eastAsia="黑体" w:hint="eastAsia"/>
          <w:b w:val="0"/>
          <w:bCs w:val="0"/>
        </w:rPr>
        <w:t>四、</w:t>
      </w:r>
      <w:r>
        <w:rPr>
          <w:rFonts w:ascii="黑体" w:eastAsia="黑体" w:cs="黑体" w:hint="eastAsia"/>
          <w:b w:val="0"/>
          <w:bCs w:val="0"/>
          <w:kern w:val="0"/>
        </w:rPr>
        <w:t>财政</w:t>
      </w:r>
      <w:r>
        <w:rPr>
          <w:rFonts w:ascii="黑体" w:eastAsia="黑体" w:hint="eastAsia"/>
          <w:b w:val="0"/>
          <w:bCs w:val="0"/>
        </w:rPr>
        <w:t>拨款收入支出决算情况说明</w:t>
      </w:r>
    </w:p>
    <w:p>
      <w:pPr>
        <w:spacing w:after="0" w:line="580" w:lineRule="exact"/>
        <w:ind w:firstLineChars="200" w:firstLine="640"/>
        <w:rPr>
          <w:rFonts w:ascii="楷体_GB2312" w:eastAsia="楷体_GB2312" w:cs="DengXian-Bold"/>
          <w:b/>
          <w:bCs/>
          <w:sz w:val="32"/>
          <w:szCs w:val="32"/>
        </w:rPr>
      </w:pPr>
      <w:r>
        <w:rPr>
          <w:rFonts w:ascii="楷体_GB2312" w:eastAsia="楷体_GB2312" w:cs="DengXian-Bold" w:hint="eastAsia"/>
          <w:b/>
          <w:bCs/>
          <w:sz w:val="32"/>
          <w:szCs w:val="32"/>
        </w:rPr>
        <w:t>（一）财政拨款收支与2017 年度决算对比情况</w:t>
      </w:r>
    </w:p>
    <w:p>
      <w:p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本部门2018年度财政拨款本年收入7152.66万元,比2017年度增加2773.67万元，增长63.34%，主要是主要是</w:t>
      </w:r>
      <w:r>
        <w:rPr>
          <w:rFonts w:ascii="宋体" w:cs="宋体" w:hint="eastAsia"/>
          <w:color w:val="000000"/>
          <w:sz w:val="32"/>
          <w:szCs w:val="32"/>
        </w:rPr>
        <w:t>开</w:t>
      </w:r>
      <w:r>
        <w:rPr>
          <w:rFonts w:ascii="仿宋_GB2312" w:eastAsia="仿宋_GB2312" w:cs="DengXian-Regular" w:hint="eastAsia"/>
          <w:sz w:val="32"/>
          <w:szCs w:val="32"/>
        </w:rPr>
        <w:t>展了城镇建设，绿化，环卫等多项打基础、利长远的基础设施建设和民心工程，需求较大；本年支出6321.83万元，增加1883.15万元，增长42.42%，主要是主要是加大市政基础设施建设投入，各项工程的施工建设支出。</w:t>
      </w:r>
    </w:p>
    <w:p>
      <w:pPr>
        <w:adjustRightInd w:val="0"/>
        <w:snapToGrid w:val="0"/>
        <w:spacing w:after="0"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其中：其中一般公共预算财政拨款本年收入61</w:t>
      </w:r>
      <w:r>
        <w:rPr>
          <w:rFonts w:ascii="宋体" w:cs="宋体" w:hint="eastAsia"/>
          <w:sz w:val="32"/>
          <w:szCs w:val="32"/>
        </w:rPr>
        <w:t>93.16</w:t>
      </w:r>
      <w:r>
        <w:rPr>
          <w:rFonts w:ascii="仿宋_GB2312" w:eastAsia="仿宋_GB2312" w:cs="DengXian-Regular" w:hint="eastAsia"/>
          <w:sz w:val="32"/>
          <w:szCs w:val="32"/>
        </w:rPr>
        <w:t>万元,比2017年度增加1</w:t>
      </w:r>
      <w:r>
        <w:rPr>
          <w:rFonts w:ascii="宋体" w:cs="宋体" w:hint="eastAsia"/>
          <w:sz w:val="32"/>
          <w:szCs w:val="32"/>
        </w:rPr>
        <w:t>934.17</w:t>
      </w:r>
      <w:r>
        <w:rPr>
          <w:rFonts w:ascii="仿宋_GB2312" w:eastAsia="仿宋_GB2312" w:cs="DengXian-Regular" w:hint="eastAsia"/>
          <w:sz w:val="32"/>
          <w:szCs w:val="32"/>
        </w:rPr>
        <w:t>万元，增长45.41%，主要是主要是</w:t>
      </w:r>
      <w:r>
        <w:rPr>
          <w:rFonts w:ascii="宋体" w:cs="宋体" w:hint="eastAsia"/>
          <w:color w:val="000000"/>
          <w:sz w:val="32"/>
          <w:szCs w:val="32"/>
        </w:rPr>
        <w:t>开</w:t>
      </w:r>
      <w:r>
        <w:rPr>
          <w:rFonts w:ascii="仿宋_GB2312" w:eastAsia="仿宋_GB2312" w:cs="DengXian-Regular" w:hint="eastAsia"/>
          <w:sz w:val="32"/>
          <w:szCs w:val="32"/>
        </w:rPr>
        <w:t>展了城镇建设，绿化，环卫等多项打基础、利长远的基础设施建设和民心工程，需求较大；本年支出5362.78万元，增加1072.17万元，增长24.</w:t>
      </w:r>
      <w:r>
        <w:rPr>
          <w:rFonts w:ascii="宋体" w:cs="宋体" w:hint="eastAsia"/>
          <w:sz w:val="32"/>
          <w:szCs w:val="32"/>
        </w:rPr>
        <w:t>99</w:t>
      </w:r>
      <w:r>
        <w:rPr>
          <w:rFonts w:ascii="仿宋_GB2312" w:eastAsia="仿宋_GB2312" w:cs="DengXian-Regular" w:hint="eastAsia"/>
          <w:sz w:val="32"/>
          <w:szCs w:val="32"/>
        </w:rPr>
        <w:t>%，主要是主要是加大市政基础设施建设投入，各项工程的施工建设支出。</w:t>
      </w:r>
    </w:p>
    <w:p>
      <w:p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政府性基金预算财政拨款本年收入</w:t>
      </w:r>
      <w:r>
        <w:rPr>
          <w:rFonts w:ascii="宋体" w:cs="宋体" w:hint="eastAsia"/>
          <w:sz w:val="32"/>
          <w:szCs w:val="32"/>
        </w:rPr>
        <w:t>959.5</w:t>
      </w:r>
      <w:r>
        <w:rPr>
          <w:rFonts w:ascii="仿宋_GB2312" w:eastAsia="仿宋_GB2312" w:cs="DengXian-Regular" w:hint="eastAsia"/>
          <w:sz w:val="32"/>
          <w:szCs w:val="32"/>
        </w:rPr>
        <w:t>万元，比上年增加83</w:t>
      </w:r>
      <w:r>
        <w:rPr>
          <w:rFonts w:ascii="宋体" w:cs="宋体" w:hint="eastAsia"/>
          <w:sz w:val="32"/>
          <w:szCs w:val="32"/>
        </w:rPr>
        <w:t>9.5</w:t>
      </w:r>
      <w:r>
        <w:rPr>
          <w:rFonts w:ascii="仿宋_GB2312" w:eastAsia="仿宋_GB2312" w:cs="DengXian-Regular" w:hint="eastAsia"/>
          <w:sz w:val="32"/>
          <w:szCs w:val="32"/>
        </w:rPr>
        <w:t>万元，增长6</w:t>
      </w:r>
      <w:r>
        <w:rPr>
          <w:rFonts w:ascii="宋体" w:cs="宋体" w:hint="eastAsia"/>
          <w:sz w:val="32"/>
          <w:szCs w:val="32"/>
        </w:rPr>
        <w:t>99.58</w:t>
      </w:r>
      <w:r>
        <w:rPr>
          <w:rFonts w:ascii="仿宋_GB2312" w:eastAsia="仿宋_GB2312" w:cs="DengXian-Regular" w:hint="eastAsia"/>
          <w:sz w:val="32"/>
          <w:szCs w:val="32"/>
        </w:rPr>
        <w:t>%，主要原因是主要是</w:t>
      </w:r>
      <w:r>
        <w:rPr>
          <w:rFonts w:ascii="宋体" w:cs="宋体" w:hint="eastAsia"/>
          <w:color w:val="000000"/>
          <w:sz w:val="32"/>
          <w:szCs w:val="32"/>
        </w:rPr>
        <w:t>开</w:t>
      </w:r>
      <w:r>
        <w:rPr>
          <w:rFonts w:ascii="仿宋_GB2312" w:eastAsia="仿宋_GB2312" w:cs="DengXian-Regular" w:hint="eastAsia"/>
          <w:sz w:val="32"/>
          <w:szCs w:val="32"/>
        </w:rPr>
        <w:t>展了城镇建设，绿化，环卫等多项打基础、利长远的基础设施建设和民心工程，需求较大;；本年支出</w:t>
      </w:r>
      <w:r>
        <w:rPr>
          <w:rFonts w:ascii="宋体" w:cs="宋体" w:hint="eastAsia"/>
          <w:sz w:val="32"/>
          <w:szCs w:val="32"/>
        </w:rPr>
        <w:t>959.05</w:t>
      </w:r>
      <w:r>
        <w:rPr>
          <w:rFonts w:ascii="仿宋_GB2312" w:eastAsia="仿宋_GB2312" w:cs="DengXian-Regular" w:hint="eastAsia"/>
          <w:sz w:val="32"/>
          <w:szCs w:val="32"/>
        </w:rPr>
        <w:t>万元，年末结转结余0.45万元，比上年增加810.</w:t>
      </w:r>
      <w:r>
        <w:rPr>
          <w:rFonts w:ascii="宋体" w:cs="宋体" w:hint="eastAsia"/>
          <w:sz w:val="32"/>
          <w:szCs w:val="32"/>
        </w:rPr>
        <w:t>98</w:t>
      </w:r>
      <w:r>
        <w:rPr>
          <w:rFonts w:ascii="仿宋_GB2312" w:eastAsia="仿宋_GB2312" w:cs="DengXian-Regular" w:hint="eastAsia"/>
          <w:sz w:val="32"/>
          <w:szCs w:val="32"/>
        </w:rPr>
        <w:t>万元，增长547.70%，主要是主要是加大市政基础设施建设投入，各项工程的施工建设支出。</w:t>
      </w:r>
    </w:p>
    <w:p>
      <w:r>
        <w:rPr>
          <w:rFonts w:ascii="宋体" w:cs="宋体" w:hint="eastAsia"/>
          <w:sz w:val="32"/>
          <w:szCs w:val="32"/>
        </w:rPr>
        <w:t>:</w:t>
      </w:r>
      <w:r>
        <w:drawing>
          <wp:inline distT="0" distB="0" distL="0" distR="0">
            <wp:extent cx="5303520" cy="2374265"/>
            <wp:effectExtent l="0" t="0" r="0" b="0"/>
            <wp:docPr id="65" name="图表 4"/>
            <wp:cNvGraphicFramePr>
              <a:graphicFrameLocks noChangeAspect="0"/>
            </wp:cNvGraphicFramePr>
            <a:graphic>
              <a:graphicData uri="http://schemas.openxmlformats.org/drawingml/2006/chart">
                <c:chart xmlns:c="http://schemas.openxmlformats.org/drawingml/2006/chart" r:id="rId8"/>
              </a:graphicData>
            </a:graphic>
          </wp:inline>
        </w:drawing>
      </w:r>
    </w:p>
    <w:p>
      <w:pPr>
        <w:adjustRightInd w:val="0"/>
        <w:snapToGrid w:val="0"/>
        <w:spacing w:after="0"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图3：2017-2018年财政拨款收支情况</w:t>
      </w:r>
    </w:p>
    <w:p>
      <w:pPr>
        <w:spacing w:after="0" w:line="580" w:lineRule="exact"/>
        <w:ind w:firstLineChars="200" w:firstLine="640"/>
        <w:rPr>
          <w:rFonts w:ascii="仿宋_GB2312" w:eastAsia="仿宋_GB2312" w:cs="DengXian-Bold"/>
          <w:b/>
          <w:bCs/>
          <w:sz w:val="32"/>
          <w:szCs w:val="32"/>
        </w:rPr>
      </w:pPr>
      <w:r>
        <w:rPr>
          <w:rFonts w:ascii="楷体_GB2312" w:eastAsia="楷体_GB2312" w:cs="DengXian-Bold" w:hint="eastAsia"/>
          <w:b/>
          <w:bCs/>
          <w:sz w:val="32"/>
          <w:szCs w:val="32"/>
        </w:rPr>
        <w:t>（二）财政拨款收支与年初预算数对比情况</w:t>
      </w:r>
    </w:p>
    <w:p>
      <w:p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本部门2018年度财政拨款本年收入7152.66万元，完成年初预算的28</w:t>
      </w:r>
      <w:r>
        <w:rPr>
          <w:rFonts w:ascii="宋体" w:cs="宋体" w:hint="eastAsia"/>
          <w:sz w:val="32"/>
          <w:szCs w:val="32"/>
        </w:rPr>
        <w:t>9.99</w:t>
      </w:r>
      <w:r>
        <w:rPr>
          <w:rFonts w:ascii="仿宋_GB2312" w:eastAsia="仿宋_GB2312" w:cs="DengXian-Regular" w:hint="eastAsia"/>
          <w:sz w:val="32"/>
          <w:szCs w:val="32"/>
        </w:rPr>
        <w:t>%,比年初预算增加4686.13万元，决算数大于预算数主要原因是主要是</w:t>
      </w:r>
      <w:r>
        <w:rPr>
          <w:rFonts w:ascii="宋体" w:cs="宋体" w:hint="eastAsia"/>
          <w:color w:val="000000"/>
          <w:sz w:val="32"/>
          <w:szCs w:val="32"/>
        </w:rPr>
        <w:t>开</w:t>
      </w:r>
      <w:r>
        <w:rPr>
          <w:rFonts w:ascii="仿宋_GB2312" w:eastAsia="仿宋_GB2312" w:cs="DengXian-Regular" w:hint="eastAsia"/>
          <w:sz w:val="32"/>
          <w:szCs w:val="32"/>
        </w:rPr>
        <w:t>展了城镇建设，绿化，环卫等多项打基础、利长远的基础设施建设和民心工程，需求较大；本年支出6321.83万元，完成年初预算的256.30%,比年初预算增加3855.3万元，决算数大于预算数主要原因是绿化多项打基础、利长远的基础设施建设和民心工程的支出。</w:t>
      </w:r>
    </w:p>
    <w:p>
      <w:p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其中，一般公共预算财政拨款本年收入完成年初预算430.37%，比年初预算增加4754.13万元，主要是</w:t>
      </w:r>
      <w:r>
        <w:rPr>
          <w:rFonts w:ascii="宋体" w:cs="宋体" w:hint="eastAsia"/>
          <w:color w:val="000000"/>
          <w:sz w:val="32"/>
          <w:szCs w:val="32"/>
        </w:rPr>
        <w:t>开</w:t>
      </w:r>
      <w:r>
        <w:rPr>
          <w:rFonts w:ascii="仿宋_GB2312" w:eastAsia="仿宋_GB2312" w:cs="DengXian-Regular" w:hint="eastAsia"/>
          <w:sz w:val="32"/>
          <w:szCs w:val="32"/>
        </w:rPr>
        <w:t>展了城镇建设，绿化，环卫等多项打基础、利长远的基础设施建设和民心工程，需求较大；支出完成年初预算372.67%，比年初预算增加3</w:t>
      </w:r>
      <w:r>
        <w:rPr>
          <w:rFonts w:ascii="宋体" w:cs="宋体" w:hint="eastAsia"/>
          <w:sz w:val="32"/>
          <w:szCs w:val="32"/>
        </w:rPr>
        <w:t>923.75</w:t>
      </w:r>
      <w:r>
        <w:rPr>
          <w:rFonts w:ascii="仿宋_GB2312" w:eastAsia="仿宋_GB2312" w:cs="DengXian-Regular" w:hint="eastAsia"/>
          <w:sz w:val="32"/>
          <w:szCs w:val="32"/>
        </w:rPr>
        <w:t>万元，主要是绿化多项打基础、利长远的基础设施建设和民心工程的支出。</w:t>
      </w:r>
    </w:p>
    <w:p>
      <w:pPr>
        <w:adjustRightInd w:val="0"/>
        <w:snapToGrid w:val="0"/>
        <w:spacing w:after="0"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政府性基金预算财政拨款本年收入完成年初预算</w:t>
      </w:r>
      <w:r>
        <w:rPr>
          <w:rFonts w:ascii="宋体" w:cs="宋体" w:hint="eastAsia"/>
          <w:sz w:val="32"/>
          <w:szCs w:val="32"/>
        </w:rPr>
        <w:t>93.38</w:t>
      </w:r>
      <w:r>
        <w:rPr>
          <w:rFonts w:ascii="仿宋_GB2312" w:eastAsia="仿宋_GB2312" w:cs="DengXian-Regular" w:hint="eastAsia"/>
          <w:sz w:val="32"/>
          <w:szCs w:val="32"/>
        </w:rPr>
        <w:t>%，比年初预算减少68万元，主要是</w:t>
      </w:r>
      <w:r>
        <w:rPr>
          <w:rFonts w:ascii="仿宋" w:eastAsia="仿宋" w:hint="eastAsia"/>
          <w:sz w:val="32"/>
          <w:szCs w:val="32"/>
        </w:rPr>
        <w:t>坚持勤俭节约，积极采取有效措施，切实提高约束力</w:t>
      </w:r>
      <w:r>
        <w:rPr>
          <w:rFonts w:ascii="仿宋_GB2312" w:eastAsia="仿宋_GB2312" w:cs="DengXian-Regular" w:hint="eastAsia"/>
          <w:sz w:val="32"/>
          <w:szCs w:val="32"/>
        </w:rPr>
        <w:t>；支出完成年初预算</w:t>
      </w:r>
      <w:r>
        <w:rPr>
          <w:rFonts w:ascii="宋体" w:cs="宋体" w:hint="eastAsia"/>
          <w:sz w:val="32"/>
          <w:szCs w:val="32"/>
        </w:rPr>
        <w:t>93.33</w:t>
      </w:r>
      <w:r>
        <w:rPr>
          <w:rFonts w:ascii="仿宋_GB2312" w:eastAsia="仿宋_GB2312" w:cs="DengXian-Regular" w:hint="eastAsia"/>
          <w:sz w:val="32"/>
          <w:szCs w:val="32"/>
        </w:rPr>
        <w:t>%，比年初预算减少68.45万元，主要是</w:t>
      </w:r>
      <w:r>
        <w:rPr>
          <w:rFonts w:ascii="仿宋" w:eastAsia="仿宋" w:hint="eastAsia"/>
          <w:sz w:val="32"/>
          <w:szCs w:val="32"/>
        </w:rPr>
        <w:t>坚持勤俭节约，积极采取有效措施，切实提高约束力</w:t>
      </w:r>
      <w:r>
        <w:rPr>
          <w:rFonts w:ascii="仿宋_GB2312" w:eastAsia="仿宋_GB2312" w:cs="DengXian-Regular" w:hint="eastAsia"/>
          <w:sz w:val="32"/>
          <w:szCs w:val="32"/>
        </w:rPr>
        <w:t>。</w:t>
      </w:r>
    </w:p>
    <w:p>
      <w:r>
        <w:drawing>
          <wp:inline distT="0" distB="0" distL="0" distR="0">
            <wp:extent cx="5401945" cy="2538095"/>
            <wp:effectExtent l="0" t="0" r="0" b="0"/>
            <wp:docPr id="66" name="图表 4"/>
            <wp:cNvGraphicFramePr>
              <a:graphicFrameLocks noChangeAspect="0"/>
            </wp:cNvGraphicFramePr>
            <a:graphic>
              <a:graphicData uri="http://schemas.openxmlformats.org/drawingml/2006/chart">
                <c:chart xmlns:c="http://schemas.openxmlformats.org/drawingml/2006/chart" r:id="rId9"/>
              </a:graphicData>
            </a:graphic>
          </wp:inline>
        </w:drawing>
      </w:r>
    </w:p>
    <w:p>
      <w:pPr>
        <w:adjustRightInd w:val="0"/>
        <w:snapToGrid w:val="0"/>
        <w:spacing w:after="0"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图4 ：财政玻璃收支预决算对比情况</w:t>
      </w:r>
    </w:p>
    <w:p>
      <w:pPr>
        <w:adjustRightInd w:val="0"/>
        <w:snapToGrid w:val="0"/>
        <w:spacing w:after="0" w:line="580" w:lineRule="exact"/>
        <w:ind w:firstLineChars="200" w:firstLine="640"/>
        <w:rPr>
          <w:rFonts w:ascii="仿宋_GB2312" w:eastAsia="仿宋_GB2312" w:cs="DengXian-Regular"/>
          <w:sz w:val="32"/>
          <w:szCs w:val="32"/>
        </w:rPr>
      </w:pPr>
    </w:p>
    <w:p>
      <w:pPr>
        <w:numPr>
          <w:ilvl w:val="0"/>
          <w:numId w:val="1"/>
        </w:numPr>
        <w:adjustRightInd w:val="0"/>
        <w:snapToGrid w:val="0"/>
        <w:spacing w:after="0" w:line="580" w:lineRule="exact"/>
        <w:ind w:leftChars="200" w:left="420"/>
        <w:rPr>
          <w:rFonts w:ascii="楷体_GB2312" w:eastAsia="楷体_GB2312" w:cs="DengXian-Bold"/>
          <w:b/>
          <w:bCs/>
          <w:sz w:val="32"/>
          <w:szCs w:val="32"/>
        </w:rPr>
      </w:pPr>
      <w:r>
        <w:rPr>
          <w:rFonts w:ascii="楷体_GB2312" w:eastAsia="楷体_GB2312" w:cs="DengXian-Bold" w:hint="eastAsia"/>
          <w:b/>
          <w:bCs/>
          <w:sz w:val="32"/>
          <w:szCs w:val="32"/>
        </w:rPr>
        <w:t>财政拨款支出决算结构情况。</w:t>
      </w:r>
    </w:p>
    <w:p>
      <w:pPr>
        <w:ind w:firstLineChars="100" w:firstLine="320"/>
        <w:rPr>
          <w:rFonts w:ascii="仿宋_GB2312" w:eastAsia="仿宋_GB2312" w:cs="DengXian-Regular"/>
          <w:sz w:val="32"/>
          <w:szCs w:val="32"/>
        </w:rPr>
      </w:pPr>
      <w:r>
        <w:rPr>
          <w:rFonts w:ascii="仿宋_GB2312" w:eastAsia="仿宋_GB2312" w:cs="DengXian-Regular" w:hint="eastAsia"/>
          <w:sz w:val="32"/>
          <w:szCs w:val="32"/>
        </w:rPr>
        <w:t>2018 年度财政拨款支出636</w:t>
      </w:r>
      <w:r>
        <w:rPr>
          <w:rFonts w:ascii="宋体" w:cs="宋体" w:hint="eastAsia"/>
          <w:sz w:val="32"/>
          <w:szCs w:val="32"/>
        </w:rPr>
        <w:t>9.47</w:t>
      </w:r>
      <w:r>
        <w:rPr>
          <w:rFonts w:ascii="仿宋_GB2312" w:eastAsia="仿宋_GB2312" w:cs="DengXian-Regular" w:hint="eastAsia"/>
          <w:sz w:val="32"/>
          <w:szCs w:val="32"/>
        </w:rPr>
        <w:t>万元，主要用于以下方面节能环保支出15</w:t>
      </w:r>
      <w:r>
        <w:rPr>
          <w:rFonts w:ascii="宋体" w:cs="宋体" w:hint="eastAsia"/>
          <w:sz w:val="32"/>
          <w:szCs w:val="32"/>
        </w:rPr>
        <w:t>9</w:t>
      </w:r>
      <w:r>
        <w:rPr>
          <w:rFonts w:ascii="仿宋_GB2312" w:eastAsia="仿宋_GB2312" w:cs="DengXian-Regular" w:hint="eastAsia"/>
          <w:sz w:val="32"/>
          <w:szCs w:val="32"/>
        </w:rPr>
        <w:t xml:space="preserve">万元，占2.5%；城乡社区支出6210.47万元，占 </w:t>
      </w:r>
      <w:r>
        <w:rPr>
          <w:rFonts w:ascii="宋体" w:cs="宋体" w:hint="eastAsia"/>
          <w:sz w:val="32"/>
          <w:szCs w:val="32"/>
        </w:rPr>
        <w:t>97.50</w:t>
      </w:r>
      <w:r>
        <w:rPr>
          <w:rFonts w:ascii="仿宋_GB2312" w:eastAsia="仿宋_GB2312" w:cs="DengXian-Regular" w:hint="eastAsia"/>
          <w:sz w:val="32"/>
          <w:szCs w:val="32"/>
        </w:rPr>
        <w:t>%。</w:t>
      </w:r>
    </w:p>
    <w:p>
      <w:r>
        <w:drawing>
          <wp:inline distT="0" distB="0" distL="0" distR="0">
            <wp:extent cx="4716145" cy="2237740"/>
            <wp:effectExtent l="0" t="0" r="0" b="0"/>
            <wp:docPr id="67" name="图表 6"/>
            <wp:cNvGraphicFramePr>
              <a:graphicFrameLocks noChangeAspect="0"/>
            </wp:cNvGraphicFramePr>
            <a:graphic>
              <a:graphicData uri="http://schemas.openxmlformats.org/drawingml/2006/chart">
                <c:chart xmlns:c="http://schemas.openxmlformats.org/drawingml/2006/chart" r:id="rId10"/>
              </a:graphicData>
            </a:graphic>
          </wp:inline>
        </w:drawing>
      </w:r>
    </w:p>
    <w:p>
      <w:pPr>
        <w:adjustRightInd w:val="0"/>
        <w:snapToGrid w:val="0"/>
        <w:spacing w:line="560" w:lineRule="exact"/>
        <w:jc w:val="center"/>
        <w:rPr>
          <w:rFonts w:ascii="仿宋_GB2312" w:eastAsia="仿宋_GB2312" w:cs="DengXian-Regular"/>
          <w:sz w:val="28"/>
          <w:szCs w:val="28"/>
        </w:rPr>
      </w:pPr>
      <w:r>
        <w:rPr>
          <w:rFonts w:ascii="仿宋_GB2312" w:eastAsia="仿宋_GB2312" w:cs="DengXian-Regular" w:hint="eastAsia"/>
          <w:sz w:val="28"/>
          <w:szCs w:val="28"/>
        </w:rPr>
        <w:t>图5：财政拨款支出决算结构（按功能分类）</w:t>
      </w:r>
    </w:p>
    <w:p>
      <w:pPr>
        <w:adjustRightInd w:val="0"/>
        <w:snapToGrid w:val="0"/>
        <w:spacing w:after="0" w:line="580" w:lineRule="exact"/>
        <w:ind w:leftChars="200" w:left="420"/>
        <w:rPr>
          <w:rFonts w:ascii="楷体_GB2312" w:eastAsia="楷体_GB2312" w:cs="DengXian-Bold"/>
          <w:b/>
          <w:bCs/>
          <w:sz w:val="32"/>
          <w:szCs w:val="32"/>
        </w:rPr>
      </w:pPr>
      <w:r>
        <w:rPr>
          <w:sz w:val="44"/>
        </w:rPr>
        <mc:AlternateContent>
          <mc:Choice Requires="wps">
            <w:drawing>
              <wp:anchor distT="0" distB="0" distL="114298" distR="114298" simplePos="0" relativeHeight="81" behindDoc="0" locked="1" layoutInCell="1" hidden="0" allowOverlap="1">
                <wp:simplePos x="0" y="0"/>
                <wp:positionH relativeFrom="page">
                  <wp:posOffset>-6984</wp:posOffset>
                </wp:positionH>
                <wp:positionV relativeFrom="page">
                  <wp:posOffset>372111</wp:posOffset>
                </wp:positionV>
                <wp:extent cx="3833495" cy="558164"/>
                <wp:effectExtent l="0" t="0" r="0" b="0"/>
                <wp:wrapNone/>
                <wp:docPr id="68" name="组合"/>
                <wp:cNvGraphicFramePr>
                  <a:graphicFrameLocks noChangeAspect="0"/>
                </wp:cNvGraphicFramePr>
                <a:graphic>
                  <a:graphicData uri="http://schemas.microsoft.com/office/word/2010/wordprocessingGroup">
                    <wpg:wgp>
                      <wpg:cNvPr id="69" name="组合 69"/>
                      <wpg:cNvGrpSpPr/>
                      <wpg:grpSpPr>
                        <a:xfrm rot="0">
                          <a:off x="0" y="0"/>
                          <a:ext cx="3833495" cy="558164"/>
                          <a:chOff x="0" y="0"/>
                          <a:chExt cx="3833495" cy="558164"/>
                        </a:xfrm>
                        <a:prstGeom prst="rect"/>
                        <a:solidFill>
                          <a:srgbClr val="FFFFFF"/>
                        </a:solidFill>
                        <a:ln w="9525" cmpd="sng" cap="flat">
                          <a:solidFill>
                            <a:srgbClr val="000000"/>
                          </a:solidFill>
                          <a:prstDash val="solid"/>
                          <a:miter/>
                        </a:ln>
                      </wpg:grpSpPr>
                      <wps:wsp>
                        <wps:cNvPr id="70" name="_s74 70"/>
                        <wps:cNvSpPr/>
                        <wps:spPr>
                          <a:xfrm rot="0">
                            <a:off x="0" y="0"/>
                            <a:ext cx="3833495" cy="469163"/>
                          </a:xfrm>
                          <a:prstGeom prst="rect"/>
                          <a:solidFill>
                            <a:srgbClr val="B8B8B8"/>
                          </a:solidFill>
                          <a:ln w="9525" cmpd="sng" cap="flat">
                            <a:noFill/>
                            <a:prstDash val="solid"/>
                            <a:miter/>
                          </a:ln>
                        </wps:spPr>
                        <wps:bodyPr vert="horz" wrap="square" lIns="91440" tIns="45720" rIns="91440" bIns="45720" anchor="t" anchorCtr="0" upright="1">
                          <a:noAutofit/>
                        </wps:bodyPr>
                      </wps:wsp>
                      <wps:wsp>
                        <wps:cNvPr id="71" name="_s75 71"/>
                        <wps:cNvSpPr/>
                        <wps:spPr>
                          <a:xfrm rot="0">
                            <a:off x="10160" y="109344"/>
                            <a:ext cx="3733800" cy="448820"/>
                          </a:xfrm>
                          <a:prstGeom prst="rect"/>
                          <a:solidFill>
                            <a:srgbClr val="AD002D"/>
                          </a:solidFill>
                          <a:ln w="25400" cmpd="sng" cap="flat">
                            <a:solidFill>
                              <a:srgbClr val="805514"/>
                            </a:solidFill>
                            <a:prstDash val="solid"/>
                            <a:miter/>
                          </a:ln>
                        </wps:spPr>
                        <wps:txbx id="72">
                          <w:txbxContent>
                            <w:p>
                              <w:pPr>
                                <w:widowControl/>
                                <w:jc w:val="left"/>
                                <w:rPr>
                                  <w:rFonts w:ascii="楷体" w:eastAsia="楷体" w:cs="楷体"/>
                                  <w:b/>
                                  <w:bCs/>
                                  <w:color w:val="FDEFBE"/>
                                  <w:sz w:val="32"/>
                                  <w:szCs w:val="32"/>
                                </w:rPr>
                              </w:pPr>
                              <w:r>
                                <w:rPr>
                                  <w:rFonts w:ascii="楷体" w:eastAsia="楷体" w:cs="楷体" w:hint="eastAsia"/>
                                  <w:b/>
                                  <w:bCs/>
                                  <w:color w:val="FDEFBE"/>
                                  <w:kern w:val="0"/>
                                  <w:sz w:val="32"/>
                                  <w:szCs w:val="32"/>
                                </w:rPr>
                                <w:t>2018年度部门决算☞部门决算情况说明</w:t>
                              </w:r>
                            </w:p>
                            <w:p>
                              <w:pPr>
                                <w:jc w:val="center"/>
                              </w:pPr>
                            </w:p>
                          </w:txbxContent>
                        </wps:txbx>
                        <wps:bodyPr vert="horz" wrap="square" lIns="91440" tIns="45720" rIns="91440" bIns="45720" anchor="ctr" anchorCtr="0" upright="0">
                          <a:noAutofit/>
                        </wps:bodyPr>
                      </wps:wsp>
                      <wps:bodyPr vert="horz" wrap="square" lIns="91440" tIns="45720" rIns="91440" bIns="45720" anchor="t" anchorCtr="0" upright="1">
                        <a:noAutofit/>
                      </wps:bodyPr>
                    </wpg:wgp>
                  </a:graphicData>
                </a:graphic>
              </wp:anchor>
            </w:drawing>
          </mc:Choice>
          <mc:Fallback>
            <w:pict>
              <v:group type="#_x0000_t1" id="组合 73" o:spid="_x0000_s73" coordorigin="-10,586" coordsize="6037,878" style="position:absolute;margin-left:-0.54999465pt;margin-top:29.30009pt;width:301.85pt;height:43.949955pt;z-index:81;mso-position-horizontal:absolute;mso-position-horizontal-relative:page;mso-position-vertical:absolute;mso-position-vertical-relative:page;mso-wrap-distance-left:8.999863pt;mso-wrap-distance-right:8.999863pt;">
                <v:rect type="#_x0000_t1" id="_s74" o:spid="_x0000_s74" style="position:absolute;left:-10;top:586;width:6037;height:738;" fillcolor="#B8B8B8" stroked="f">
                  <v:stroke color="#000000"/>
                </v:rect>
                <v:rect type="#_x0000_t1" id="_s75" o:spid="_x0000_s75" style="position:absolute;left:5;top:758;width:5880;height:706;mso-wrap-style:square;" fillcolor="#AD002D" stroked="t" strokeweight="2.0pt">
                  <v:textbox id="869" inset="2.54mm,1.27mm,2.54mm,1.27mm" o:insetmode="custom" style="layout-flow:horizontal;v-text-anchor:middle;">
                    <w:txbxContent>
                      <w:p>
                        <w:pPr>
                          <w:widowControl/>
                          <w:jc w:val="left"/>
                          <w:rPr>
                            <w:rFonts w:ascii="楷体" w:eastAsia="楷体" w:cs="楷体"/>
                            <w:b/>
                            <w:bCs/>
                            <w:color w:val="FDEFBE"/>
                            <w:sz w:val="32"/>
                            <w:szCs w:val="32"/>
                          </w:rPr>
                        </w:pPr>
                        <w:r>
                          <w:rPr>
                            <w:rFonts w:ascii="楷体" w:eastAsia="楷体" w:cs="楷体" w:hint="eastAsia"/>
                            <w:b/>
                            <w:bCs/>
                            <w:color w:val="FDEFBE"/>
                            <w:kern w:val="0"/>
                            <w:sz w:val="32"/>
                            <w:szCs w:val="32"/>
                          </w:rPr>
                          <w:t>2018年度部门决算☞部门决算情况说明</w:t>
                        </w:r>
                      </w:p>
                      <w:p>
                        <w:pPr>
                          <w:jc w:val="center"/>
                        </w:pPr>
                      </w:p>
                    </w:txbxContent>
                  </v:textbox>
                  <v:stroke color="#805514"/>
                </v:rect>
                <w10:anchorLock/>
              </v:group>
            </w:pict>
          </mc:Fallback>
        </mc:AlternateContent>
      </w:r>
      <w:r>
        <w:rPr>
          <w:rFonts w:ascii="楷体_GB2312" w:eastAsia="楷体_GB2312" w:cs="DengXian-Bold" w:hint="eastAsia"/>
          <w:b/>
          <w:bCs/>
          <w:sz w:val="32"/>
          <w:szCs w:val="32"/>
        </w:rPr>
        <w:t>（四）一般公共预算财政拨款基本支出决算情况说明</w:t>
      </w:r>
    </w:p>
    <w:p>
      <w:pPr>
        <w:adjustRightInd w:val="0"/>
        <w:snapToGrid w:val="0"/>
        <w:spacing w:after="0"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2018 年度一般公共预算财政拨款基本支出3676.</w:t>
      </w:r>
      <w:r>
        <w:rPr>
          <w:rFonts w:ascii="宋体" w:cs="宋体" w:hint="eastAsia"/>
          <w:sz w:val="32"/>
          <w:szCs w:val="32"/>
        </w:rPr>
        <w:t>93</w:t>
      </w:r>
      <w:r>
        <w:rPr>
          <w:rFonts w:ascii="仿宋_GB2312" w:eastAsia="仿宋_GB2312" w:cs="DengXian-Regular" w:hint="eastAsia"/>
          <w:sz w:val="32"/>
          <w:szCs w:val="32"/>
        </w:rPr>
        <w:t>万元，其中：人员经费 310.63万元，主要包括基本工资、机关事业单位基本养老保险缴费、职业年金缴费、其他社会保障缴费；公用经费3366.3万元，主要包括办公费、印刷费水费、电费、邮电费租赁费、培训费、公务接待费、委托业务费、公务用车运行维护费、其他交通费用、其他商品和服务支出。</w:t>
      </w:r>
    </w:p>
    <w:p>
      <w:pPr>
        <w:pStyle w:val="2"/>
        <w:spacing w:before="0" w:after="0" w:line="580" w:lineRule="exact"/>
        <w:ind w:firstLineChars="200" w:firstLine="640"/>
        <w:rPr>
          <w:rFonts w:ascii="黑体" w:eastAsia="黑体"/>
          <w:b w:val="0"/>
          <w:bCs w:val="0"/>
        </w:rPr>
      </w:pPr>
      <w:r>
        <w:rPr>
          <w:rFonts w:ascii="黑体" w:eastAsia="黑体" w:hint="eastAsia"/>
          <w:b w:val="0"/>
          <w:bCs w:val="0"/>
        </w:rPr>
        <w:t>五、一般公共预算财政拨款“三公” 经费支出决算情况说明</w:t>
      </w:r>
    </w:p>
    <w:p>
      <w:pPr>
        <w:adjustRightInd w:val="0"/>
        <w:snapToGrid w:val="0"/>
        <w:spacing w:after="0"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本部门2018年度 “三公”经费支出共计4.16万元，</w:t>
      </w:r>
      <w:r>
        <w:rPr>
          <w:rFonts w:ascii="仿宋_GB2312" w:eastAsia="仿宋_GB2312" w:cs="DengXian-Regular" w:hint="eastAsia"/>
          <w:b/>
          <w:bCs/>
          <w:sz w:val="32"/>
          <w:szCs w:val="32"/>
        </w:rPr>
        <w:t>较年初预算减少6.84万元，降低62.18%，</w:t>
      </w:r>
      <w:r>
        <w:rPr>
          <w:rFonts w:ascii="仿宋_GB2312" w:eastAsia="仿宋_GB2312" w:cs="DengXian-Regular" w:hint="eastAsia"/>
          <w:sz w:val="32"/>
          <w:szCs w:val="32"/>
        </w:rPr>
        <w:t>主要是认真贯彻落实中央八项规定精神和厉行节约要求，从严控制“三公”经费开支，全年实际支出比预算有所节约。具体情况如下：</w:t>
      </w:r>
    </w:p>
    <w:p>
      <w:pPr>
        <w:adjustRightInd w:val="0"/>
        <w:snapToGrid w:val="0"/>
        <w:spacing w:after="0" w:line="580" w:lineRule="exact"/>
        <w:ind w:firstLineChars="200" w:firstLine="640"/>
        <w:rPr>
          <w:rFonts w:ascii="仿宋_GB2312" w:eastAsia="仿宋_GB2312" w:cs="DengXian-Regular"/>
          <w:sz w:val="32"/>
          <w:szCs w:val="32"/>
        </w:rPr>
      </w:pPr>
      <w:r>
        <w:rPr>
          <w:rFonts w:ascii="楷体_GB2312" w:eastAsia="楷体_GB2312" w:cs="DengXian-Bold" w:hint="eastAsia"/>
          <w:b/>
          <w:bCs/>
          <w:sz w:val="32"/>
          <w:szCs w:val="32"/>
        </w:rPr>
        <w:t>（</w:t>
      </w:r>
      <w:r>
        <w:rPr>
          <w:sz w:val="44"/>
        </w:rPr>
        <mc:AlternateContent>
          <mc:Choice Requires="wps">
            <w:drawing>
              <wp:anchor distT="0" distB="0" distL="114298" distR="114298" simplePos="0" relativeHeight="83" behindDoc="0" locked="1" layoutInCell="1" hidden="0" allowOverlap="1">
                <wp:simplePos x="0" y="0"/>
                <wp:positionH relativeFrom="page">
                  <wp:posOffset>-6984</wp:posOffset>
                </wp:positionH>
                <wp:positionV relativeFrom="page">
                  <wp:posOffset>372111</wp:posOffset>
                </wp:positionV>
                <wp:extent cx="3833495" cy="558164"/>
                <wp:effectExtent l="0" t="0" r="0" b="0"/>
                <wp:wrapNone/>
                <wp:docPr id="76" name="组合"/>
                <wp:cNvGraphicFramePr>
                  <a:graphicFrameLocks noChangeAspect="0"/>
                </wp:cNvGraphicFramePr>
                <a:graphic>
                  <a:graphicData uri="http://schemas.microsoft.com/office/word/2010/wordprocessingGroup">
                    <wpg:wgp>
                      <wpg:cNvPr id="77" name="组合 77"/>
                      <wpg:cNvGrpSpPr/>
                      <wpg:grpSpPr>
                        <a:xfrm rot="0">
                          <a:off x="0" y="0"/>
                          <a:ext cx="3833495" cy="558164"/>
                          <a:chOff x="0" y="0"/>
                          <a:chExt cx="3833495" cy="558164"/>
                        </a:xfrm>
                        <a:prstGeom prst="rect"/>
                        <a:solidFill>
                          <a:srgbClr val="FFFFFF"/>
                        </a:solidFill>
                        <a:ln w="9525" cmpd="sng" cap="flat">
                          <a:solidFill>
                            <a:srgbClr val="000000"/>
                          </a:solidFill>
                          <a:prstDash val="solid"/>
                          <a:miter/>
                        </a:ln>
                      </wpg:grpSpPr>
                      <wps:wsp>
                        <wps:cNvPr id="78" name="_s82 78"/>
                        <wps:cNvSpPr/>
                        <wps:spPr>
                          <a:xfrm rot="0">
                            <a:off x="0" y="0"/>
                            <a:ext cx="3833495" cy="469163"/>
                          </a:xfrm>
                          <a:prstGeom prst="rect"/>
                          <a:solidFill>
                            <a:srgbClr val="B8B8B8"/>
                          </a:solidFill>
                          <a:ln w="9525" cmpd="sng" cap="flat">
                            <a:noFill/>
                            <a:prstDash val="solid"/>
                            <a:miter/>
                          </a:ln>
                        </wps:spPr>
                        <wps:bodyPr vert="horz" wrap="square" lIns="91440" tIns="45720" rIns="91440" bIns="45720" anchor="t" anchorCtr="0" upright="1">
                          <a:noAutofit/>
                        </wps:bodyPr>
                      </wps:wsp>
                      <wps:wsp>
                        <wps:cNvPr id="79" name="_s83 79"/>
                        <wps:cNvSpPr/>
                        <wps:spPr>
                          <a:xfrm rot="0">
                            <a:off x="10160" y="109344"/>
                            <a:ext cx="3733800" cy="448820"/>
                          </a:xfrm>
                          <a:prstGeom prst="rect"/>
                          <a:solidFill>
                            <a:srgbClr val="AD002D"/>
                          </a:solidFill>
                          <a:ln w="25400" cmpd="sng" cap="flat">
                            <a:solidFill>
                              <a:srgbClr val="805514"/>
                            </a:solidFill>
                            <a:prstDash val="solid"/>
                            <a:miter/>
                          </a:ln>
                        </wps:spPr>
                        <wps:txbx id="80">
                          <w:txbxContent>
                            <w:p>
                              <w:pPr>
                                <w:widowControl/>
                                <w:jc w:val="left"/>
                                <w:rPr>
                                  <w:rFonts w:ascii="楷体" w:eastAsia="楷体" w:cs="楷体"/>
                                  <w:b/>
                                  <w:bCs/>
                                  <w:color w:val="FDEFBE"/>
                                  <w:sz w:val="32"/>
                                  <w:szCs w:val="32"/>
                                </w:rPr>
                              </w:pPr>
                              <w:r>
                                <w:rPr>
                                  <w:rFonts w:ascii="楷体" w:eastAsia="楷体" w:cs="楷体" w:hint="eastAsia"/>
                                  <w:b/>
                                  <w:bCs/>
                                  <w:color w:val="FDEFBE"/>
                                  <w:kern w:val="0"/>
                                  <w:sz w:val="32"/>
                                  <w:szCs w:val="32"/>
                                </w:rPr>
                                <w:t>2018年度部门决算☞部门决算情况说明</w:t>
                              </w:r>
                            </w:p>
                            <w:p>
                              <w:pPr>
                                <w:jc w:val="center"/>
                              </w:pPr>
                            </w:p>
                          </w:txbxContent>
                        </wps:txbx>
                        <wps:bodyPr vert="horz" wrap="square" lIns="91440" tIns="45720" rIns="91440" bIns="45720" anchor="ctr" anchorCtr="0" upright="0">
                          <a:noAutofit/>
                        </wps:bodyPr>
                      </wps:wsp>
                      <wps:bodyPr vert="horz" wrap="square" lIns="91440" tIns="45720" rIns="91440" bIns="45720" anchor="t" anchorCtr="0" upright="1">
                        <a:noAutofit/>
                      </wps:bodyPr>
                    </wpg:wgp>
                  </a:graphicData>
                </a:graphic>
              </wp:anchor>
            </w:drawing>
          </mc:Choice>
          <mc:Fallback>
            <w:pict>
              <v:group type="#_x0000_t1" id="组合 81" o:spid="_x0000_s81" coordorigin="-10,586" coordsize="6037,878" style="position:absolute;margin-left:-0.54999465pt;margin-top:29.30009pt;width:301.85pt;height:43.949955pt;z-index:83;mso-position-horizontal:absolute;mso-position-horizontal-relative:page;mso-position-vertical:absolute;mso-position-vertical-relative:page;mso-wrap-distance-left:8.999863pt;mso-wrap-distance-right:8.999863pt;">
                <v:rect type="#_x0000_t1" id="_s82" o:spid="_x0000_s82" style="position:absolute;left:-10;top:586;width:6037;height:738;" fillcolor="#B8B8B8" stroked="f">
                  <v:stroke color="#000000"/>
                </v:rect>
                <v:rect type="#_x0000_t1" id="_s83" o:spid="_x0000_s83" style="position:absolute;left:5;top:758;width:5880;height:706;mso-wrap-style:square;" fillcolor="#AD002D" stroked="t" strokeweight="2.0pt">
                  <v:textbox id="870" inset="2.54mm,1.27mm,2.54mm,1.27mm" o:insetmode="custom" style="layout-flow:horizontal;v-text-anchor:middle;">
                    <w:txbxContent>
                      <w:p>
                        <w:pPr>
                          <w:widowControl/>
                          <w:jc w:val="left"/>
                          <w:rPr>
                            <w:rFonts w:ascii="楷体" w:eastAsia="楷体" w:cs="楷体"/>
                            <w:b/>
                            <w:bCs/>
                            <w:color w:val="FDEFBE"/>
                            <w:sz w:val="32"/>
                            <w:szCs w:val="32"/>
                          </w:rPr>
                        </w:pPr>
                        <w:r>
                          <w:rPr>
                            <w:rFonts w:ascii="楷体" w:eastAsia="楷体" w:cs="楷体" w:hint="eastAsia"/>
                            <w:b/>
                            <w:bCs/>
                            <w:color w:val="FDEFBE"/>
                            <w:kern w:val="0"/>
                            <w:sz w:val="32"/>
                            <w:szCs w:val="32"/>
                          </w:rPr>
                          <w:t>2018年度部门决算☞部门决算情况说明</w:t>
                        </w:r>
                      </w:p>
                      <w:p>
                        <w:pPr>
                          <w:jc w:val="center"/>
                        </w:pPr>
                      </w:p>
                    </w:txbxContent>
                  </v:textbox>
                  <v:stroke color="#805514"/>
                </v:rect>
                <w10:anchorLock/>
              </v:group>
            </w:pict>
          </mc:Fallback>
        </mc:AlternateContent>
      </w:r>
      <w:r>
        <w:rPr>
          <w:rFonts w:ascii="楷体_GB2312" w:eastAsia="楷体_GB2312" w:cs="DengXian-Bold" w:hint="eastAsia"/>
          <w:b/>
          <w:bCs/>
          <w:sz w:val="32"/>
          <w:szCs w:val="32"/>
        </w:rPr>
        <w:t>一）因公出国（境）费支出0万元。</w:t>
      </w:r>
      <w:r>
        <w:rPr>
          <w:rFonts w:ascii="仿宋_GB2312" w:eastAsia="仿宋_GB2312" w:cs="DengXian-Regular" w:hint="eastAsia"/>
          <w:sz w:val="32"/>
          <w:szCs w:val="32"/>
        </w:rPr>
        <w:t>本部门2018年度因公出国（境）团组0个、共0人/参加其他单位组织的因公出国（境）团组0个、共0人/无本单位组织的出国（境）团组。因公出国（境）费支出较年初预算增加（减少）0万元，增长（降低）0%。</w:t>
      </w:r>
    </w:p>
    <w:p>
      <w:pPr>
        <w:adjustRightInd w:val="0"/>
        <w:snapToGrid w:val="0"/>
        <w:spacing w:after="0" w:line="580" w:lineRule="exact"/>
        <w:ind w:firstLineChars="200" w:firstLine="640"/>
        <w:rPr>
          <w:rFonts w:ascii="仿宋_GB2312" w:eastAsia="仿宋_GB2312" w:cs="DengXian-Bold"/>
          <w:b/>
          <w:bCs/>
          <w:sz w:val="32"/>
          <w:szCs w:val="32"/>
        </w:rPr>
      </w:pPr>
      <w:r>
        <w:rPr>
          <w:rFonts w:ascii="楷体_GB2312" w:eastAsia="楷体_GB2312" w:cs="DengXian-Bold" w:hint="eastAsia"/>
          <w:b/>
          <w:bCs/>
          <w:sz w:val="32"/>
          <w:szCs w:val="32"/>
        </w:rPr>
        <w:t>（二）公务用车购置及运行维护费支出</w:t>
      </w:r>
      <w:r>
        <w:rPr>
          <w:rFonts w:ascii="宋体" w:cs="宋体" w:hint="eastAsia"/>
          <w:b/>
          <w:bCs/>
          <w:sz w:val="32"/>
          <w:szCs w:val="32"/>
        </w:rPr>
        <w:t>3.77</w:t>
      </w:r>
      <w:r>
        <w:rPr>
          <w:rFonts w:ascii="楷体_GB2312" w:eastAsia="楷体_GB2312" w:cs="DengXian-Bold" w:hint="eastAsia"/>
          <w:b/>
          <w:bCs/>
          <w:sz w:val="32"/>
          <w:szCs w:val="32"/>
        </w:rPr>
        <w:t>万元。</w:t>
      </w:r>
      <w:r>
        <w:rPr>
          <w:rFonts w:ascii="仿宋_GB2312" w:eastAsia="仿宋_GB2312" w:cs="DengXian-Regular" w:hint="eastAsia"/>
          <w:sz w:val="32"/>
          <w:szCs w:val="32"/>
        </w:rPr>
        <w:t>本部门2018年度公务用车购置及运行维护费较年初预算减少6.83万元，降低64.43%,主要认真贯彻落实中央八项规定精神和厉行节约要求，从严控制“三公”经费开支，全年实际支出比预算有所节约。</w:t>
      </w:r>
      <w:r>
        <w:rPr>
          <w:rFonts w:ascii="仿宋_GB2312" w:eastAsia="仿宋_GB2312" w:cs="DengXian-Bold" w:hint="eastAsia"/>
          <w:b/>
          <w:bCs/>
          <w:sz w:val="32"/>
          <w:szCs w:val="32"/>
        </w:rPr>
        <w:t>其中：</w:t>
      </w:r>
    </w:p>
    <w:p>
      <w:pPr>
        <w:adjustRightInd w:val="0"/>
        <w:snapToGrid w:val="0"/>
        <w:spacing w:after="0" w:line="580" w:lineRule="exact"/>
        <w:ind w:firstLineChars="200" w:firstLine="640"/>
        <w:rPr>
          <w:rFonts w:ascii="仿宋_GB2312" w:eastAsia="仿宋_GB2312" w:cs="DengXian-Regular"/>
          <w:color w:val="000000"/>
          <w:sz w:val="32"/>
          <w:szCs w:val="32"/>
        </w:rPr>
      </w:pPr>
      <w:r>
        <w:rPr>
          <w:rFonts w:ascii="仿宋_GB2312" w:eastAsia="仿宋_GB2312" w:cs="DengXian-Regular" w:hint="eastAsia"/>
          <w:b/>
          <w:sz w:val="32"/>
          <w:szCs w:val="32"/>
        </w:rPr>
        <w:t>公务用车购置费：</w:t>
      </w:r>
      <w:r>
        <w:rPr>
          <w:rFonts w:ascii="仿宋_GB2312" w:eastAsia="仿宋_GB2312" w:cs="DengXian-Regular" w:hint="eastAsia"/>
          <w:sz w:val="32"/>
          <w:szCs w:val="32"/>
        </w:rPr>
        <w:t>本部门2018年度公务用车购置0辆，发生“公务用车购置”经费支出0万元。公务用车购置费支出较年初预算增加（减少）0万元，增长（降低）0%,未发生公务用车购置费，与年初预算持平。</w:t>
      </w:r>
    </w:p>
    <w:p>
      <w:pPr>
        <w:adjustRightInd w:val="0"/>
        <w:snapToGrid w:val="0"/>
        <w:spacing w:after="0" w:line="580" w:lineRule="exact"/>
        <w:ind w:firstLineChars="200" w:firstLine="640"/>
        <w:rPr>
          <w:rFonts w:ascii="仿宋_GB2312" w:eastAsia="仿宋_GB2312" w:cs="DengXian-Regular"/>
          <w:sz w:val="32"/>
          <w:szCs w:val="32"/>
        </w:rPr>
      </w:pPr>
      <w:r>
        <w:rPr>
          <w:rFonts w:ascii="仿宋_GB2312" w:eastAsia="仿宋_GB2312" w:cs="DengXian-Regular" w:hint="eastAsia"/>
          <w:b/>
          <w:sz w:val="32"/>
          <w:szCs w:val="32"/>
        </w:rPr>
        <w:t>公务用车运行维护费：</w:t>
      </w:r>
      <w:r>
        <w:rPr>
          <w:rFonts w:ascii="仿宋_GB2312" w:eastAsia="仿宋_GB2312" w:cs="DengXian-Regular" w:hint="eastAsia"/>
          <w:sz w:val="32"/>
          <w:szCs w:val="32"/>
        </w:rPr>
        <w:t>本部门2018年度单位公务用车保有量1辆。公车运行维护费支出较年初预算减少6.83万元，降低64.43%,主要是认真贯彻落实中央八项规定精神和厉行节约要求，从严控制“三公”经费开支，全年实际支出比预算有所节约。</w:t>
      </w:r>
    </w:p>
    <w:p>
      <w:pPr>
        <w:adjustRightInd w:val="0"/>
        <w:snapToGrid w:val="0"/>
        <w:spacing w:after="0" w:line="580" w:lineRule="exact"/>
        <w:ind w:firstLineChars="200" w:firstLine="640"/>
        <w:rPr>
          <w:rFonts w:ascii="仿宋_GB2312" w:eastAsia="仿宋_GB2312" w:cs="DengXian-Regular"/>
          <w:sz w:val="32"/>
          <w:szCs w:val="32"/>
        </w:rPr>
      </w:pPr>
      <w:r>
        <w:rPr>
          <w:rFonts w:ascii="楷体_GB2312" w:eastAsia="楷体_GB2312" w:cs="DengXian-Bold" w:hint="eastAsia"/>
          <w:b/>
          <w:bCs/>
          <w:sz w:val="32"/>
          <w:szCs w:val="32"/>
        </w:rPr>
        <w:t>（三）公务接待费支出0</w:t>
      </w:r>
      <w:r>
        <w:rPr>
          <w:rFonts w:ascii="宋体" w:cs="宋体" w:hint="eastAsia"/>
          <w:b/>
          <w:bCs/>
          <w:sz w:val="32"/>
          <w:szCs w:val="32"/>
        </w:rPr>
        <w:t>.39</w:t>
      </w:r>
      <w:r>
        <w:rPr>
          <w:rFonts w:ascii="楷体_GB2312" w:eastAsia="楷体_GB2312" w:cs="DengXian-Bold" w:hint="eastAsia"/>
          <w:b/>
          <w:bCs/>
          <w:sz w:val="32"/>
          <w:szCs w:val="32"/>
        </w:rPr>
        <w:t>万元。</w:t>
      </w:r>
      <w:r>
        <w:rPr>
          <w:sz w:val="44"/>
        </w:rPr>
        <mc:AlternateContent>
          <mc:Choice Requires="wps">
            <w:drawing>
              <wp:anchor distT="0" distB="0" distL="114298" distR="114298" simplePos="0" relativeHeight="85" behindDoc="0" locked="1" layoutInCell="1" hidden="0" allowOverlap="1">
                <wp:simplePos x="0" y="0"/>
                <wp:positionH relativeFrom="page">
                  <wp:posOffset>-6984</wp:posOffset>
                </wp:positionH>
                <wp:positionV relativeFrom="page">
                  <wp:posOffset>372111</wp:posOffset>
                </wp:positionV>
                <wp:extent cx="3833495" cy="558164"/>
                <wp:effectExtent l="0" t="0" r="0" b="0"/>
                <wp:wrapNone/>
                <wp:docPr id="84" name="组合"/>
                <wp:cNvGraphicFramePr>
                  <a:graphicFrameLocks noChangeAspect="0"/>
                </wp:cNvGraphicFramePr>
                <a:graphic>
                  <a:graphicData uri="http://schemas.microsoft.com/office/word/2010/wordprocessingGroup">
                    <wpg:wgp>
                      <wpg:cNvPr id="85" name="组合 85"/>
                      <wpg:cNvGrpSpPr/>
                      <wpg:grpSpPr>
                        <a:xfrm rot="0">
                          <a:off x="0" y="0"/>
                          <a:ext cx="3833495" cy="558164"/>
                          <a:chOff x="0" y="0"/>
                          <a:chExt cx="3833495" cy="558164"/>
                        </a:xfrm>
                        <a:prstGeom prst="rect"/>
                        <a:solidFill>
                          <a:srgbClr val="FFFFFF"/>
                        </a:solidFill>
                        <a:ln w="9525" cmpd="sng" cap="flat">
                          <a:solidFill>
                            <a:srgbClr val="000000"/>
                          </a:solidFill>
                          <a:prstDash val="solid"/>
                          <a:miter/>
                        </a:ln>
                      </wpg:grpSpPr>
                      <wps:wsp>
                        <wps:cNvPr id="86" name="_s90 86"/>
                        <wps:cNvSpPr/>
                        <wps:spPr>
                          <a:xfrm rot="0">
                            <a:off x="0" y="0"/>
                            <a:ext cx="3833495" cy="469163"/>
                          </a:xfrm>
                          <a:prstGeom prst="rect"/>
                          <a:solidFill>
                            <a:srgbClr val="B8B8B8"/>
                          </a:solidFill>
                          <a:ln w="9525" cmpd="sng" cap="flat">
                            <a:noFill/>
                            <a:prstDash val="solid"/>
                            <a:miter/>
                          </a:ln>
                        </wps:spPr>
                        <wps:bodyPr vert="horz" wrap="square" lIns="91440" tIns="45720" rIns="91440" bIns="45720" anchor="t" anchorCtr="0" upright="1">
                          <a:noAutofit/>
                        </wps:bodyPr>
                      </wps:wsp>
                      <wps:wsp>
                        <wps:cNvPr id="87" name="_s91 87"/>
                        <wps:cNvSpPr/>
                        <wps:spPr>
                          <a:xfrm rot="0">
                            <a:off x="10160" y="109344"/>
                            <a:ext cx="3733800" cy="448820"/>
                          </a:xfrm>
                          <a:prstGeom prst="rect"/>
                          <a:solidFill>
                            <a:srgbClr val="AD002D"/>
                          </a:solidFill>
                          <a:ln w="25400" cmpd="sng" cap="flat">
                            <a:solidFill>
                              <a:srgbClr val="805514"/>
                            </a:solidFill>
                            <a:prstDash val="solid"/>
                            <a:miter/>
                          </a:ln>
                        </wps:spPr>
                        <wps:txbx id="88">
                          <w:txbxContent>
                            <w:p>
                              <w:pPr>
                                <w:widowControl/>
                                <w:jc w:val="left"/>
                                <w:rPr>
                                  <w:rFonts w:ascii="楷体" w:eastAsia="楷体" w:cs="楷体"/>
                                  <w:b/>
                                  <w:bCs/>
                                  <w:color w:val="FDEFBE"/>
                                  <w:sz w:val="32"/>
                                  <w:szCs w:val="32"/>
                                </w:rPr>
                              </w:pPr>
                              <w:r>
                                <w:rPr>
                                  <w:rFonts w:ascii="楷体" w:eastAsia="楷体" w:cs="楷体" w:hint="eastAsia"/>
                                  <w:b/>
                                  <w:bCs/>
                                  <w:color w:val="FDEFBE"/>
                                  <w:kern w:val="0"/>
                                  <w:sz w:val="32"/>
                                  <w:szCs w:val="32"/>
                                </w:rPr>
                                <w:t>2018年度部门决算☞部门决算情况说明</w:t>
                              </w:r>
                            </w:p>
                            <w:p>
                              <w:pPr>
                                <w:jc w:val="center"/>
                              </w:pPr>
                            </w:p>
                          </w:txbxContent>
                        </wps:txbx>
                        <wps:bodyPr vert="horz" wrap="square" lIns="91440" tIns="45720" rIns="91440" bIns="45720" anchor="ctr" anchorCtr="0" upright="0">
                          <a:noAutofit/>
                        </wps:bodyPr>
                      </wps:wsp>
                      <wps:bodyPr vert="horz" wrap="square" lIns="91440" tIns="45720" rIns="91440" bIns="45720" anchor="t" anchorCtr="0" upright="1">
                        <a:noAutofit/>
                      </wps:bodyPr>
                    </wpg:wgp>
                  </a:graphicData>
                </a:graphic>
              </wp:anchor>
            </w:drawing>
          </mc:Choice>
          <mc:Fallback>
            <w:pict>
              <v:group type="#_x0000_t1" id="组合 89" o:spid="_x0000_s89" coordorigin="-10,586" coordsize="6037,878" style="position:absolute;margin-left:-0.54999465pt;margin-top:29.30009pt;width:301.85pt;height:43.949955pt;z-index:85;mso-position-horizontal:absolute;mso-position-horizontal-relative:page;mso-position-vertical:absolute;mso-position-vertical-relative:page;mso-wrap-distance-left:8.999863pt;mso-wrap-distance-right:8.999863pt;">
                <v:rect type="#_x0000_t1" id="_s90" o:spid="_x0000_s90" style="position:absolute;left:-10;top:586;width:6037;height:738;" fillcolor="#B8B8B8" stroked="f">
                  <v:stroke color="#000000"/>
                </v:rect>
                <v:rect type="#_x0000_t1" id="_s91" o:spid="_x0000_s91" style="position:absolute;left:5;top:758;width:5880;height:706;mso-wrap-style:square;" fillcolor="#AD002D" stroked="t" strokeweight="2.0pt">
                  <v:textbox id="871" inset="2.54mm,1.27mm,2.54mm,1.27mm" o:insetmode="custom" style="layout-flow:horizontal;v-text-anchor:middle;">
                    <w:txbxContent>
                      <w:p>
                        <w:pPr>
                          <w:widowControl/>
                          <w:jc w:val="left"/>
                          <w:rPr>
                            <w:rFonts w:ascii="楷体" w:eastAsia="楷体" w:cs="楷体"/>
                            <w:b/>
                            <w:bCs/>
                            <w:color w:val="FDEFBE"/>
                            <w:sz w:val="32"/>
                            <w:szCs w:val="32"/>
                          </w:rPr>
                        </w:pPr>
                        <w:r>
                          <w:rPr>
                            <w:rFonts w:ascii="楷体" w:eastAsia="楷体" w:cs="楷体" w:hint="eastAsia"/>
                            <w:b/>
                            <w:bCs/>
                            <w:color w:val="FDEFBE"/>
                            <w:kern w:val="0"/>
                            <w:sz w:val="32"/>
                            <w:szCs w:val="32"/>
                          </w:rPr>
                          <w:t>2018年度部门决算☞部门决算情况说明</w:t>
                        </w:r>
                      </w:p>
                      <w:p>
                        <w:pPr>
                          <w:jc w:val="center"/>
                        </w:pPr>
                      </w:p>
                    </w:txbxContent>
                  </v:textbox>
                  <v:stroke color="#805514"/>
                </v:rect>
                <w10:anchorLock/>
              </v:group>
            </w:pict>
          </mc:Fallback>
        </mc:AlternateContent>
      </w:r>
      <w:r>
        <w:rPr>
          <w:rFonts w:ascii="仿宋_GB2312" w:eastAsia="仿宋_GB2312" w:cs="DengXian-Regular" w:hint="eastAsia"/>
          <w:sz w:val="32"/>
          <w:szCs w:val="32"/>
        </w:rPr>
        <w:t>本部门2018年度公务接待共1批次、2人次。公务接待费支出较年初预算减少0.2</w:t>
      </w:r>
      <w:r>
        <w:rPr>
          <w:rFonts w:ascii="宋体" w:cs="宋体" w:hint="eastAsia"/>
          <w:sz w:val="32"/>
          <w:szCs w:val="32"/>
        </w:rPr>
        <w:t>9</w:t>
      </w:r>
      <w:r>
        <w:rPr>
          <w:rFonts w:ascii="仿宋_GB2312" w:eastAsia="仿宋_GB2312" w:cs="DengXian-Regular" w:hint="eastAsia"/>
          <w:sz w:val="32"/>
          <w:szCs w:val="32"/>
        </w:rPr>
        <w:t>万元，增长42.65%,主要是认真贯彻落实中央八项规定精神和厉行节约要求，从严控制“三公”经费开支，全年实际支出比预算有所节约。</w:t>
      </w:r>
    </w:p>
    <w:p>
      <w:pPr>
        <w:pStyle w:val="2"/>
        <w:spacing w:before="0" w:after="0" w:line="500" w:lineRule="exact"/>
        <w:ind w:firstLineChars="200" w:firstLine="640"/>
        <w:rPr>
          <w:rFonts w:ascii="黑体" w:eastAsia="黑体" w:cs="Times New Roman"/>
        </w:rPr>
      </w:pPr>
      <w:r>
        <w:rPr>
          <w:rFonts w:ascii="黑体" w:eastAsia="黑体" w:hint="eastAsia"/>
          <w:szCs w:val="40"/>
        </w:rPr>
        <w:t>六、</w:t>
      </w:r>
      <w:r>
        <w:rPr>
          <w:rFonts w:ascii="黑体" w:eastAsia="黑体" w:cs="Times New Roman" w:hint="eastAsia"/>
        </w:rPr>
        <w:t>绩效预算情况说明(以下内容必有，其他可以多)</w:t>
      </w:r>
    </w:p>
    <w:p>
      <w:pPr>
        <w:adjustRightInd w:val="0"/>
        <w:snapToGrid w:val="0"/>
        <w:spacing w:after="0" w:line="500" w:lineRule="exact"/>
        <w:ind w:firstLineChars="200" w:firstLine="640"/>
        <w:rPr>
          <w:rFonts w:ascii="仿宋_GB2312" w:eastAsia="仿宋_GB2312" w:cs="DengXian-Regular"/>
          <w:color w:val="FF0000"/>
          <w:sz w:val="32"/>
          <w:szCs w:val="32"/>
        </w:rPr>
      </w:pPr>
      <w:r>
        <w:rPr>
          <w:rFonts w:ascii="仿宋_GB2312" w:eastAsia="仿宋_GB2312" w:cs="DengXian-Regular" w:hint="eastAsia"/>
          <w:sz w:val="32"/>
          <w:szCs w:val="32"/>
        </w:rPr>
        <w:t>（一）绩效管理工作开展情况根据《关于开展2018年度财政专项资金部门绩效自评价工作的通知》（石财绩</w:t>
      </w:r>
      <w:r>
        <w:rPr>
          <w:rFonts w:ascii="宋体" w:cs="宋体" w:hint="eastAsia"/>
          <w:sz w:val="32"/>
          <w:szCs w:val="32"/>
        </w:rPr>
        <w:t>[2019]</w:t>
      </w:r>
      <w:r>
        <w:rPr>
          <w:rFonts w:ascii="仿宋_GB2312" w:eastAsia="仿宋_GB2312" w:cs="DengXian-Regular" w:hint="eastAsia"/>
          <w:sz w:val="32"/>
          <w:szCs w:val="32"/>
        </w:rPr>
        <w:t>1号），本单位认真开展了预算绩效管理改革开展情况自查，对部门全面规范绩效预算编制、严格预算执行管理、推进绩效评价工作、推进预决算信息公开等方面进行了自评，考核结果为优秀.</w:t>
      </w:r>
    </w:p>
    <w:p>
      <w:pPr>
        <w:adjustRightInd w:val="0"/>
        <w:snapToGrid w:val="0"/>
        <w:spacing w:after="0" w:line="50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二）预算项目绩效评价开展情况.根据预算绩效管理要求，本单位组织对2018年度一般公共预算项目支出全面开展绩效自评，涉及刘秀公园南扩等2个项目，涉及资金1685.85万元。从评价情况看，评价结果为优秀的项目有2个.</w:t>
      </w:r>
    </w:p>
    <w:p>
      <w:pPr>
        <w:adjustRightInd w:val="0"/>
        <w:snapToGrid w:val="0"/>
        <w:spacing w:after="0" w:line="50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（三）预算项目绩效自评选例</w:t>
      </w:r>
    </w:p>
    <w:p>
      <w:pPr>
        <w:adjustRightInd w:val="0"/>
        <w:snapToGrid w:val="0"/>
        <w:spacing w:after="0" w:line="50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单位刘秀公园南扩项目绩效自评：根据年初设定的绩效目标，刘秀公园南扩项目绩效自评结果为优秀。项目全年预算数为52.80万元，执行数为52.80万元，完成预算的100%。主要产出和效果是提高周围居民生活质量与环境，提高权限绿化水平，丰富了周围居民的生活。</w:t>
      </w:r>
    </w:p>
    <w:p>
      <w:pPr>
        <w:pStyle w:val="2"/>
        <w:spacing w:before="0" w:after="0" w:line="580" w:lineRule="exact"/>
        <w:ind w:firstLineChars="200" w:firstLine="640"/>
        <w:rPr>
          <w:rFonts w:ascii="黑体" w:eastAsia="黑体" w:cs="Times New Roman"/>
          <w:b w:val="0"/>
          <w:bCs w:val="0"/>
        </w:rPr>
      </w:pPr>
      <w:r>
        <w:rPr>
          <w:rFonts w:ascii="黑体" w:eastAsia="黑体" w:cs="Times New Roman" w:hint="eastAsia"/>
          <w:b w:val="0"/>
          <w:bCs w:val="0"/>
        </w:rPr>
        <w:t>七、其他重要事项的说明</w:t>
      </w:r>
    </w:p>
    <w:p>
      <w:pPr>
        <w:pStyle w:val="3"/>
        <w:spacing w:before="0" w:after="0" w:line="580" w:lineRule="exact"/>
        <w:ind w:firstLineChars="200" w:firstLine="640"/>
        <w:rPr>
          <w:rFonts w:ascii="楷体_GB2312" w:eastAsia="楷体_GB2312" w:cs="DengXian-Bold"/>
        </w:rPr>
      </w:pPr>
      <w:r>
        <w:rPr>
          <w:rFonts w:ascii="楷体_GB2312" w:eastAsia="楷体_GB2312" w:cs="DengXian-Bold" w:hint="eastAsia"/>
        </w:rPr>
        <w:t>（一）机关运行经费情况</w:t>
      </w:r>
    </w:p>
    <w:p>
      <w:pPr>
        <w:adjustRightInd w:val="0"/>
        <w:snapToGrid w:val="0"/>
        <w:spacing w:after="0"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本部门2018年度机关运行经费支出336.63万元，比年初预算数减少21.43万元，降低5.</w:t>
      </w:r>
      <w:r>
        <w:rPr>
          <w:rFonts w:ascii="宋体" w:cs="宋体" w:hint="eastAsia"/>
          <w:sz w:val="32"/>
          <w:szCs w:val="32"/>
        </w:rPr>
        <w:t>99</w:t>
      </w:r>
      <w:r>
        <w:rPr>
          <w:rFonts w:ascii="仿宋_GB2312" w:eastAsia="仿宋_GB2312" w:cs="DengXian-Regular" w:hint="eastAsia"/>
          <w:sz w:val="32"/>
          <w:szCs w:val="32"/>
        </w:rPr>
        <w:t>%。主要原因认真贯彻落实中央八项规定精神和厉行节约要求，从严控制经费开支，全年支出比去年有所减少。</w:t>
      </w:r>
    </w:p>
    <w:p>
      <w:pPr>
        <w:pStyle w:val="3"/>
        <w:spacing w:before="0" w:after="0" w:line="580" w:lineRule="exact"/>
        <w:ind w:firstLineChars="200" w:firstLine="640"/>
        <w:rPr>
          <w:rFonts w:ascii="楷体_GB2312" w:eastAsia="楷体_GB2312" w:cs="DengXian-Bold"/>
        </w:rPr>
      </w:pPr>
      <w:r>
        <w:rPr>
          <w:rFonts w:ascii="楷体_GB2312" w:eastAsia="楷体_GB2312" w:cs="DengXian-Bold" w:hint="eastAsia"/>
        </w:rPr>
        <w:t>（二）政府采购情况</w:t>
      </w:r>
    </w:p>
    <w:p>
      <w:pPr>
        <w:widowControl/>
        <w:spacing w:after="0" w:line="580" w:lineRule="exact"/>
        <w:ind w:firstLineChars="200" w:firstLine="640"/>
        <w:jc w:val="left"/>
        <w:rPr>
          <w:rFonts w:ascii="仿宋_GB2312" w:eastAsia="仿宋_GB2312" w:cs="DengXian-Regular"/>
          <w:sz w:val="32"/>
          <w:szCs w:val="32"/>
        </w:rPr>
      </w:pPr>
      <w:r>
        <w:rPr>
          <w:rFonts w:ascii="仿宋_GB2312" w:eastAsia="仿宋_GB2312" w:cs="DengXian-Regular" w:hint="eastAsia"/>
          <w:sz w:val="32"/>
          <w:szCs w:val="32"/>
        </w:rPr>
        <w:t>本部门2018年度政府采购支出总额0.13万元，从采购类型来看，</w:t>
      </w:r>
      <w:r>
        <w:rPr>
          <w:rFonts w:ascii="仿宋_GB2312" w:eastAsia="仿宋_GB2312" w:cs="仿宋_GB2312"/>
          <w:color w:val="000000"/>
          <w:kern w:val="0"/>
          <w:sz w:val="32"/>
          <w:szCs w:val="32"/>
        </w:rPr>
        <w:t>政府采购货物支出</w:t>
      </w:r>
      <w:r>
        <w:rPr>
          <w:rFonts w:ascii="仿宋_GB2312" w:eastAsia="仿宋_GB2312" w:cs="仿宋_GB2312" w:hint="eastAsia"/>
          <w:color w:val="000000"/>
          <w:kern w:val="0"/>
          <w:sz w:val="32"/>
          <w:szCs w:val="32"/>
        </w:rPr>
        <w:t>0.11</w:t>
      </w:r>
      <w:r>
        <w:rPr>
          <w:rFonts w:ascii="仿宋_GB2312" w:eastAsia="仿宋_GB2312" w:cs="仿宋_GB2312"/>
          <w:color w:val="000000"/>
          <w:kern w:val="0"/>
          <w:sz w:val="32"/>
          <w:szCs w:val="32"/>
        </w:rPr>
        <w:t>万元、政府采购工程支出</w:t>
      </w:r>
      <w:r>
        <w:rPr>
          <w:rFonts w:ascii="仿宋_GB2312" w:eastAsia="仿宋_GB2312" w:cs="仿宋_GB2312" w:hint="eastAsia"/>
          <w:color w:val="000000"/>
          <w:kern w:val="0"/>
          <w:sz w:val="32"/>
          <w:szCs w:val="32"/>
        </w:rPr>
        <w:t>0.02</w:t>
      </w:r>
      <w:r>
        <w:rPr>
          <w:rFonts w:ascii="仿宋_GB2312" w:eastAsia="仿宋_GB2312" w:cs="仿宋_GB2312"/>
          <w:color w:val="000000"/>
          <w:kern w:val="0"/>
          <w:sz w:val="32"/>
          <w:szCs w:val="32"/>
        </w:rPr>
        <w:t>万元、政府采购服务支出</w:t>
      </w:r>
      <w:r>
        <w:rPr>
          <w:rFonts w:ascii="仿宋_GB2312" w:eastAsia="仿宋_GB2312" w:cs="仿宋_GB2312" w:hint="eastAsia"/>
          <w:color w:val="000000"/>
          <w:kern w:val="0"/>
          <w:sz w:val="32"/>
          <w:szCs w:val="32"/>
        </w:rPr>
        <w:t>0</w:t>
      </w:r>
      <w:r>
        <w:rPr>
          <w:rFonts w:ascii="仿宋_GB2312" w:eastAsia="仿宋_GB2312" w:cs="仿宋_GB2312"/>
          <w:color w:val="000000"/>
          <w:kern w:val="0"/>
          <w:sz w:val="32"/>
          <w:szCs w:val="32"/>
        </w:rPr>
        <w:t>万元。</w:t>
      </w:r>
    </w:p>
    <w:p>
      <w:pPr>
        <w:pStyle w:val="3"/>
        <w:spacing w:before="0" w:after="0" w:line="580" w:lineRule="exact"/>
        <w:ind w:firstLineChars="200" w:firstLine="640"/>
        <w:rPr>
          <w:rFonts w:ascii="楷体_GB2312" w:eastAsia="楷体_GB2312" w:cs="DengXian-Bold"/>
        </w:rPr>
      </w:pPr>
      <w:r>
        <w:rPr>
          <w:rFonts w:ascii="楷体_GB2312" w:eastAsia="楷体_GB2312" w:cs="DengXian-Bold" w:hint="eastAsia"/>
        </w:rPr>
        <w:t>（三）国有资产占用情况</w:t>
      </w:r>
    </w:p>
    <w:p>
      <w:pPr>
        <w:adjustRightInd w:val="0"/>
        <w:snapToGrid w:val="0"/>
        <w:spacing w:after="0"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截至2018年12月31日，本部门共有车辆38辆，比上年增加16辆，主要是</w:t>
      </w:r>
      <w:r>
        <w:rPr>
          <w:rFonts w:ascii="宋体" w:cs="宋体" w:hint="eastAsia"/>
          <w:sz w:val="32"/>
          <w:szCs w:val="32"/>
        </w:rPr>
        <w:t>创建国家卫生城，文明城，按照县委县政府工作要求购置环卫作业车辆</w:t>
      </w:r>
      <w:r>
        <w:rPr>
          <w:rFonts w:ascii="仿宋_GB2312" w:eastAsia="仿宋_GB2312" w:cs="DengXian-Regular" w:hint="eastAsia"/>
          <w:sz w:val="32"/>
          <w:szCs w:val="32"/>
        </w:rPr>
        <w:t>。其中主要领导干部用车1辆，执法执勤用车11辆，特种专业技术用车26辆。</w:t>
      </w:r>
    </w:p>
    <w:p>
      <w:pPr>
        <w:pStyle w:val="3"/>
        <w:spacing w:before="0" w:after="0" w:line="580" w:lineRule="exact"/>
        <w:ind w:firstLineChars="200" w:firstLine="640"/>
        <w:rPr>
          <w:rFonts w:ascii="楷体_GB2312" w:eastAsia="楷体_GB2312" w:cs="DengXian-Bold"/>
        </w:rPr>
      </w:pPr>
      <w:r>
        <w:rPr>
          <w:rFonts w:ascii="楷体_GB2312" w:eastAsia="楷体_GB2312" w:cs="DengXian-Bold" w:hint="eastAsia"/>
        </w:rPr>
        <w:t>（四）其他需要说明的情况</w:t>
      </w:r>
    </w:p>
    <w:p>
      <w:pPr>
        <w:adjustRightInd w:val="0"/>
        <w:snapToGrid w:val="0"/>
        <w:spacing w:after="0"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1、由于决算公开表格中金额数值应当保留两位小数，公开数据为四舍五入计算结</w:t>
      </w:r>
      <w:r>
        <w:rPr>
          <w:sz w:val="44"/>
        </w:rPr>
        <mc:AlternateContent>
          <mc:Choice Requires="wps">
            <w:drawing>
              <wp:anchor distT="0" distB="0" distL="114298" distR="114298" simplePos="0" relativeHeight="87" behindDoc="0" locked="1" layoutInCell="1" hidden="0" allowOverlap="1">
                <wp:simplePos x="0" y="0"/>
                <wp:positionH relativeFrom="page">
                  <wp:posOffset>-6984</wp:posOffset>
                </wp:positionH>
                <wp:positionV relativeFrom="page">
                  <wp:posOffset>372111</wp:posOffset>
                </wp:positionV>
                <wp:extent cx="3833495" cy="558164"/>
                <wp:effectExtent l="0" t="0" r="0" b="0"/>
                <wp:wrapNone/>
                <wp:docPr id="92" name="组合"/>
                <wp:cNvGraphicFramePr>
                  <a:graphicFrameLocks noChangeAspect="0"/>
                </wp:cNvGraphicFramePr>
                <a:graphic>
                  <a:graphicData uri="http://schemas.microsoft.com/office/word/2010/wordprocessingGroup">
                    <wpg:wgp>
                      <wpg:cNvPr id="93" name="组合 93"/>
                      <wpg:cNvGrpSpPr/>
                      <wpg:grpSpPr>
                        <a:xfrm rot="0">
                          <a:off x="0" y="0"/>
                          <a:ext cx="3833495" cy="558164"/>
                          <a:chOff x="0" y="0"/>
                          <a:chExt cx="3833495" cy="558164"/>
                        </a:xfrm>
                        <a:prstGeom prst="rect"/>
                        <a:solidFill>
                          <a:srgbClr val="FFFFFF"/>
                        </a:solidFill>
                        <a:ln w="9525" cmpd="sng" cap="flat">
                          <a:solidFill>
                            <a:srgbClr val="000000"/>
                          </a:solidFill>
                          <a:prstDash val="solid"/>
                          <a:miter/>
                        </a:ln>
                      </wpg:grpSpPr>
                      <wps:wsp>
                        <wps:cNvPr id="94" name="_s98 94"/>
                        <wps:cNvSpPr/>
                        <wps:spPr>
                          <a:xfrm rot="0">
                            <a:off x="0" y="0"/>
                            <a:ext cx="3833495" cy="469163"/>
                          </a:xfrm>
                          <a:prstGeom prst="rect"/>
                          <a:solidFill>
                            <a:srgbClr val="B8B8B8"/>
                          </a:solidFill>
                          <a:ln w="9525" cmpd="sng" cap="flat">
                            <a:noFill/>
                            <a:prstDash val="solid"/>
                            <a:miter/>
                          </a:ln>
                        </wps:spPr>
                        <wps:bodyPr vert="horz" wrap="square" lIns="91440" tIns="45720" rIns="91440" bIns="45720" anchor="t" anchorCtr="0" upright="1">
                          <a:noAutofit/>
                        </wps:bodyPr>
                      </wps:wsp>
                      <wps:wsp>
                        <wps:cNvPr id="95" name="_s99 95"/>
                        <wps:cNvSpPr/>
                        <wps:spPr>
                          <a:xfrm rot="0">
                            <a:off x="10160" y="109344"/>
                            <a:ext cx="3733800" cy="448820"/>
                          </a:xfrm>
                          <a:prstGeom prst="rect"/>
                          <a:solidFill>
                            <a:srgbClr val="AD002D"/>
                          </a:solidFill>
                          <a:ln w="25400" cmpd="sng" cap="flat">
                            <a:solidFill>
                              <a:srgbClr val="805514"/>
                            </a:solidFill>
                            <a:prstDash val="solid"/>
                            <a:miter/>
                          </a:ln>
                        </wps:spPr>
                        <wps:txbx id="96">
                          <w:txbxContent>
                            <w:p>
                              <w:pPr>
                                <w:widowControl/>
                                <w:jc w:val="left"/>
                                <w:rPr>
                                  <w:rFonts w:ascii="楷体" w:eastAsia="楷体" w:cs="楷体"/>
                                  <w:b/>
                                  <w:bCs/>
                                  <w:color w:val="FDEFBE"/>
                                  <w:sz w:val="32"/>
                                  <w:szCs w:val="32"/>
                                </w:rPr>
                              </w:pPr>
                              <w:r>
                                <w:rPr>
                                  <w:rFonts w:ascii="楷体" w:eastAsia="楷体" w:cs="楷体" w:hint="eastAsia"/>
                                  <w:b/>
                                  <w:bCs/>
                                  <w:color w:val="FDEFBE"/>
                                  <w:kern w:val="0"/>
                                  <w:sz w:val="32"/>
                                  <w:szCs w:val="32"/>
                                </w:rPr>
                                <w:t>2018年度部门决算☞部门决算情况说明</w:t>
                              </w:r>
                            </w:p>
                            <w:p>
                              <w:pPr>
                                <w:jc w:val="center"/>
                              </w:pPr>
                            </w:p>
                          </w:txbxContent>
                        </wps:txbx>
                        <wps:bodyPr vert="horz" wrap="square" lIns="91440" tIns="45720" rIns="91440" bIns="45720" anchor="ctr" anchorCtr="0" upright="0">
                          <a:noAutofit/>
                        </wps:bodyPr>
                      </wps:wsp>
                      <wps:bodyPr vert="horz" wrap="square" lIns="91440" tIns="45720" rIns="91440" bIns="45720" anchor="t" anchorCtr="0" upright="1">
                        <a:noAutofit/>
                      </wps:bodyPr>
                    </wpg:wgp>
                  </a:graphicData>
                </a:graphic>
              </wp:anchor>
            </w:drawing>
          </mc:Choice>
          <mc:Fallback>
            <w:pict>
              <v:group type="#_x0000_t1" id="组合 97" o:spid="_x0000_s97" coordorigin="-10,586" coordsize="6037,878" style="position:absolute;margin-left:-0.54999465pt;margin-top:29.30009pt;width:301.85pt;height:43.949955pt;z-index:87;mso-position-horizontal:absolute;mso-position-horizontal-relative:page;mso-position-vertical:absolute;mso-position-vertical-relative:page;mso-wrap-distance-left:8.999863pt;mso-wrap-distance-right:8.999863pt;">
                <v:rect type="#_x0000_t1" id="_s98" o:spid="_x0000_s98" style="position:absolute;left:-10;top:586;width:6037;height:738;" fillcolor="#B8B8B8" stroked="f">
                  <v:stroke color="#000000"/>
                </v:rect>
                <v:rect type="#_x0000_t1" id="_s99" o:spid="_x0000_s99" style="position:absolute;left:5;top:758;width:5880;height:706;mso-wrap-style:square;" fillcolor="#AD002D" stroked="t" strokeweight="2.0pt">
                  <v:textbox id="872" inset="2.54mm,1.27mm,2.54mm,1.27mm" o:insetmode="custom" style="layout-flow:horizontal;v-text-anchor:middle;">
                    <w:txbxContent>
                      <w:p>
                        <w:pPr>
                          <w:widowControl/>
                          <w:jc w:val="left"/>
                          <w:rPr>
                            <w:rFonts w:ascii="楷体" w:eastAsia="楷体" w:cs="楷体"/>
                            <w:b/>
                            <w:bCs/>
                            <w:color w:val="FDEFBE"/>
                            <w:sz w:val="32"/>
                            <w:szCs w:val="32"/>
                          </w:rPr>
                        </w:pPr>
                        <w:r>
                          <w:rPr>
                            <w:rFonts w:ascii="楷体" w:eastAsia="楷体" w:cs="楷体" w:hint="eastAsia"/>
                            <w:b/>
                            <w:bCs/>
                            <w:color w:val="FDEFBE"/>
                            <w:kern w:val="0"/>
                            <w:sz w:val="32"/>
                            <w:szCs w:val="32"/>
                          </w:rPr>
                          <w:t>2018年度部门决算☞部门决算情况说明</w:t>
                        </w:r>
                      </w:p>
                      <w:p>
                        <w:pPr>
                          <w:jc w:val="center"/>
                        </w:pPr>
                      </w:p>
                    </w:txbxContent>
                  </v:textbox>
                  <v:stroke color="#805514"/>
                </v:rect>
                <w10:anchorLock/>
              </v:group>
            </w:pict>
          </mc:Fallback>
        </mc:AlternateContent>
      </w:r>
      <w:r>
        <w:rPr>
          <w:rFonts w:ascii="仿宋_GB2312" w:eastAsia="仿宋_GB2312" w:cs="DengXian-Regular" w:hint="eastAsia"/>
          <w:sz w:val="32"/>
          <w:szCs w:val="32"/>
        </w:rPr>
        <w:t>果，个别数据合计项与分项之和存在小数点后差额，特此说明。</w:t>
      </w:r>
    </w:p>
    <w:p>
      <w:pPr>
        <w:widowControl/>
        <w:spacing w:after="0" w:line="580" w:lineRule="exact"/>
        <w:ind w:firstLineChars="200" w:firstLine="880"/>
        <w:jc w:val="left"/>
        <w:rPr>
          <w:rFonts w:ascii="宋体" w:eastAsia="宋体" w:cs="MS-UIGothic,Bold"/>
          <w:b/>
          <w:bCs/>
          <w:kern w:val="0"/>
          <w:sz w:val="44"/>
          <w:szCs w:val="44"/>
        </w:rPr>
        <w:sectPr>
          <w:pgSz w:w="11906" w:h="16838"/>
          <w:pgMar w:top="2098" w:right="1474" w:bottom="1984" w:left="1588" w:header="851" w:footer="992" w:gutter="0"/>
          <w:docGrid w:type="lines" w:linePitch="312" w:charSpace="0"/>
        </w:sectPr>
      </w:pPr>
    </w:p>
    <w:p>
      <w:pPr>
        <w:rPr>
          <w:rFonts w:ascii="宋体" w:cs="ArialUnicodeMS"/>
          <w:color w:val="000000"/>
          <w:kern w:val="0"/>
        </w:rPr>
        <w:sectPr>
          <w:pgSz w:w="11906" w:h="16838"/>
          <w:pgMar w:top="2098" w:right="1474" w:bottom="1984" w:left="1588" w:header="851" w:footer="992" w:gutter="0"/>
          <w:docGrid w:type="lines" w:linePitch="312" w:charSpace="0"/>
        </w:sectPr>
      </w:pPr>
      <w:r>
        <w:rPr>
          <w:rFonts w:ascii="宋体" w:cs="ArialUnicodeMS" w:hint="eastAsia"/>
          <w:color w:val="000000"/>
          <w:kern w:val="0"/>
        </w:rPr>
        <w:drawing>
          <wp:anchor distT="0" distB="0" distL="114300" distR="114300" simplePos="0" relativeHeight="10" behindDoc="1" locked="0" layoutInCell="1" hidden="0" allowOverlap="1">
            <wp:simplePos x="0" y="0"/>
            <wp:positionH relativeFrom="column">
              <wp:posOffset>-1009013</wp:posOffset>
            </wp:positionH>
            <wp:positionV relativeFrom="paragraph">
              <wp:posOffset>-1337945</wp:posOffset>
            </wp:positionV>
            <wp:extent cx="7550150" cy="10680065"/>
            <wp:effectExtent l="0" t="0" r="0" b="0"/>
            <wp:wrapNone/>
            <wp:docPr id="100" name="图片 21" descr="2"/>
            <wp:cNvGraphicFramePr>
              <a:graphicFrameLocks noChangeAspect="1"/>
            </wp:cNvGraphicFramePr>
            <a:graphic>
              <a:graphicData uri="http://schemas.openxmlformats.org/drawingml/2006/picture">
                <pic:pic>
                  <pic:nvPicPr>
                    <pic:cNvPr id="101" name="图片 21 101"/>
                    <pic:cNvPicPr/>
                  </pic:nvPicPr>
                  <pic:blipFill>
                    <a:blip r:embed="rId11"/>
                    <a:stretch>
                      <a:fillRect/>
                    </a:stretch>
                  </pic:blipFill>
                  <pic:spPr>
                    <a:xfrm rot="0">
                      <a:off x="0" y="0"/>
                      <a:ext cx="7550150" cy="10680065"/>
                    </a:xfrm>
                    <a:prstGeom prst="rect"/>
                    <a:noFill/>
                    <a:ln w="9525" cmpd="sng" cap="flat">
                      <a:noFill/>
                      <a:prstDash val="solid"/>
                      <a:miter/>
                    </a:ln>
                  </pic:spPr>
                </pic:pic>
              </a:graphicData>
            </a:graphic>
          </wp:anchor>
        </w:drawing>
      </w:r>
      <w:r>
        <w:rPr>
          <w:sz w:val="72"/>
        </w:rPr>
        <mc:AlternateContent>
          <mc:Choice Requires="wps">
            <w:drawing>
              <wp:anchor distT="0" distB="0" distL="114298" distR="114298" simplePos="0" relativeHeight="69" behindDoc="0" locked="0" layoutInCell="1" hidden="0" allowOverlap="1">
                <wp:simplePos x="0" y="0"/>
                <wp:positionH relativeFrom="column">
                  <wp:posOffset>-999490</wp:posOffset>
                </wp:positionH>
                <wp:positionV relativeFrom="paragraph">
                  <wp:posOffset>2956560</wp:posOffset>
                </wp:positionV>
                <wp:extent cx="7571740" cy="2020569"/>
                <wp:effectExtent l="0" t="0" r="0" b="0"/>
                <wp:wrapNone/>
                <wp:docPr id="102" name="文本框 22"/>
                <wp:cNvGraphicFramePr>
                  <a:graphicFrameLocks noChangeAspect="0"/>
                </wp:cNvGraphicFramePr>
                <a:graphic>
                  <a:graphicData uri="http://schemas.microsoft.com/office/word/2010/wordprocessingShape">
                    <wps:wsp>
                      <wps:cNvSpPr/>
                      <wps:spPr>
                        <a:xfrm rot="0">
                          <a:off x="0" y="0"/>
                          <a:ext cx="7571740" cy="2020569"/>
                        </a:xfrm>
                        <a:prstGeom prst="rect"/>
                        <a:noFill/>
                        <a:ln w="6350" cmpd="sng" cap="flat">
                          <a:noFill/>
                          <a:prstDash val="solid"/>
                          <a:round/>
                        </a:ln>
                      </wps:spPr>
                      <wps:txbx id="103">
                        <w:txbxContent>
                          <w:p>
                            <w:pPr>
                              <w:widowControl/>
                              <w:spacing w:line="1200" w:lineRule="exact"/>
                              <w:jc w:val="center"/>
                              <w:rPr>
                                <w:rFonts w:ascii="黑体" w:eastAsia="黑体"/>
                                <w:color w:val="FDEFBE"/>
                                <w:sz w:val="96"/>
                                <w:szCs w:val="96"/>
                              </w:rPr>
                            </w:pPr>
                            <w:r>
                              <w:rPr>
                                <w:rFonts w:ascii="黑体" w:eastAsia="黑体" w:hint="eastAsia"/>
                                <w:color w:val="FDEFBE"/>
                                <w:sz w:val="96"/>
                                <w:szCs w:val="96"/>
                              </w:rPr>
                              <w:t>第四部分</w:t>
                            </w:r>
                          </w:p>
                          <w:p>
                            <w:pPr>
                              <w:widowControl/>
                              <w:spacing w:line="1200" w:lineRule="exact"/>
                              <w:jc w:val="center"/>
                              <w:rPr>
                                <w:color w:val="FDEFBE"/>
                                <w:sz w:val="96"/>
                                <w:szCs w:val="96"/>
                              </w:rPr>
                            </w:pPr>
                            <w:r>
                              <w:rPr>
                                <w:rFonts w:ascii="黑体" w:eastAsia="黑体" w:hint="eastAsia"/>
                                <w:color w:val="FDEFBE"/>
                                <w:sz w:val="96"/>
                                <w:szCs w:val="96"/>
                              </w:rPr>
                              <w:t>名词解释</w:t>
                            </w:r>
                          </w:p>
                        </w:txbxContent>
                      </wps:txbx>
                      <wps:bodyPr vert="horz" wrap="square" lIns="91440" tIns="45720" rIns="91440" bIns="45720" anchor="t" anchorCtr="0" upright="0">
                        <a:noAutofit/>
                      </wps:bodyPr>
                    </wps:wsp>
                  </a:graphicData>
                </a:graphic>
              </wp:anchor>
            </w:drawing>
          </mc:Choice>
          <mc:Fallback>
            <w:pict>
              <v:shape type="#_x0000_t202" id="文本框 22 104" o:spid="_x0000_s104" filled="f" stroked="f" strokeweight="0.5pt" style="position:absolute;margin-left:-78.7pt;margin-top:232.8pt;width:596.2pt;height:159.09998pt;z-index:69;mso-position-horizontal:absolute;mso-position-vertical:absolute;mso-wrap-distance-left:8.999863pt;mso-wrap-distance-right:8.999863pt;mso-wrap-style:square;">
                <v:stroke color="#000000"/>
                <v:textbox id="862" inset="2.54mm,1.27mm,2.54mm,1.27mm" o:insetmode="custom" style="layout-flow:horizontal;v-text-anchor:top;">
                  <w:txbxContent>
                    <w:p>
                      <w:pPr>
                        <w:widowControl/>
                        <w:spacing w:line="1200" w:lineRule="exact"/>
                        <w:jc w:val="center"/>
                        <w:rPr>
                          <w:rFonts w:ascii="黑体" w:eastAsia="黑体"/>
                          <w:color w:val="FDEFBE"/>
                          <w:sz w:val="96"/>
                          <w:szCs w:val="96"/>
                        </w:rPr>
                      </w:pPr>
                      <w:r>
                        <w:rPr>
                          <w:rFonts w:ascii="黑体" w:eastAsia="黑体" w:hint="eastAsia"/>
                          <w:color w:val="FDEFBE"/>
                          <w:sz w:val="96"/>
                          <w:szCs w:val="96"/>
                        </w:rPr>
                        <w:t>第四部分</w:t>
                      </w:r>
                    </w:p>
                    <w:p>
                      <w:pPr>
                        <w:widowControl/>
                        <w:spacing w:line="1200" w:lineRule="exact"/>
                        <w:jc w:val="center"/>
                        <w:rPr>
                          <w:color w:val="FDEFBE"/>
                          <w:sz w:val="96"/>
                          <w:szCs w:val="96"/>
                        </w:rPr>
                      </w:pPr>
                      <w:r>
                        <w:rPr>
                          <w:rFonts w:ascii="黑体" w:eastAsia="黑体" w:hint="eastAsia"/>
                          <w:color w:val="FDEFBE"/>
                          <w:sz w:val="96"/>
                          <w:szCs w:val="96"/>
                        </w:rPr>
                        <w:t>名词解释</w:t>
                      </w:r>
                    </w:p>
                  </w:txbxContent>
                </v:textbox>
              </v:shape>
            </w:pict>
          </mc:Fallback>
        </mc:AlternateContent>
      </w:r>
    </w:p>
    <w:p>
      <w:pPr>
        <w:widowControl/>
        <w:spacing w:after="0" w:line="560" w:lineRule="exact"/>
        <w:ind w:firstLineChars="200" w:firstLine="640"/>
        <w:rPr>
          <w:rFonts w:ascii="仿宋_GB2312" w:eastAsia="仿宋_GB2312"/>
          <w:color w:val="000000"/>
          <w:kern w:val="0"/>
          <w:sz w:val="32"/>
          <w:szCs w:val="32"/>
        </w:rPr>
      </w:pPr>
      <w:r>
        <w:rPr>
          <w:rFonts w:ascii="仿宋_GB2312" w:eastAsia="仿宋_GB2312" w:hint="eastAsia"/>
          <w:b/>
          <w:bCs/>
          <w:color w:val="000000"/>
          <w:kern w:val="0"/>
          <w:sz w:val="32"/>
          <w:szCs w:val="32"/>
        </w:rPr>
        <w:t>（一）财政拨款收入：</w:t>
      </w:r>
      <w:r>
        <w:rPr>
          <w:rFonts w:ascii="仿宋_GB2312" w:eastAsia="仿宋_GB2312" w:hint="eastAsia"/>
          <w:color w:val="000000"/>
          <w:kern w:val="0"/>
          <w:sz w:val="32"/>
          <w:szCs w:val="32"/>
        </w:rPr>
        <w:t>本年度从本级财政部门取得的财政拨款，包括一般公共预算财政拨款和政府性基金预算财政拨款。</w:t>
      </w:r>
    </w:p>
    <w:p>
      <w:pPr>
        <w:widowControl/>
        <w:spacing w:after="0" w:line="560" w:lineRule="exact"/>
        <w:ind w:firstLineChars="200" w:firstLine="640"/>
        <w:rPr>
          <w:rFonts w:ascii="仿宋_GB2312" w:eastAsia="仿宋_GB2312"/>
          <w:color w:val="000000"/>
          <w:kern w:val="0"/>
          <w:sz w:val="32"/>
          <w:szCs w:val="32"/>
        </w:rPr>
      </w:pPr>
      <w:r>
        <w:rPr>
          <w:rFonts w:ascii="仿宋_GB2312" w:eastAsia="仿宋_GB2312" w:hint="eastAsia"/>
          <w:b/>
          <w:bCs/>
          <w:color w:val="000000"/>
          <w:kern w:val="0"/>
          <w:sz w:val="32"/>
          <w:szCs w:val="32"/>
        </w:rPr>
        <w:t>（二）事业收入：</w:t>
      </w:r>
      <w:r>
        <w:rPr>
          <w:rFonts w:ascii="仿宋_GB2312" w:eastAsia="仿宋_GB2312" w:hint="eastAsia"/>
          <w:color w:val="000000"/>
          <w:kern w:val="0"/>
          <w:sz w:val="32"/>
          <w:szCs w:val="32"/>
        </w:rPr>
        <w:t>指事业单位开展专业业务活动及辅助活动所取得的收入。</w:t>
      </w:r>
    </w:p>
    <w:p>
      <w:pPr>
        <w:widowControl/>
        <w:spacing w:after="0" w:line="560" w:lineRule="exact"/>
        <w:ind w:firstLineChars="200" w:firstLine="640"/>
        <w:rPr>
          <w:rFonts w:ascii="仿宋_GB2312" w:eastAsia="仿宋_GB2312"/>
          <w:color w:val="000000"/>
          <w:kern w:val="0"/>
          <w:sz w:val="32"/>
          <w:szCs w:val="32"/>
        </w:rPr>
      </w:pPr>
      <w:r>
        <w:rPr>
          <w:rFonts w:ascii="仿宋_GB2312" w:eastAsia="仿宋_GB2312" w:hint="eastAsia"/>
          <w:b/>
          <w:bCs/>
          <w:color w:val="000000"/>
          <w:kern w:val="0"/>
          <w:sz w:val="32"/>
          <w:szCs w:val="32"/>
        </w:rPr>
        <w:t>（三）其他收入：</w:t>
      </w:r>
      <w:r>
        <w:rPr>
          <w:rFonts w:ascii="仿宋_GB2312" w:eastAsia="仿宋_GB2312" w:hint="eastAsia"/>
          <w:color w:val="000000"/>
          <w:kern w:val="0"/>
          <w:sz w:val="32"/>
          <w:szCs w:val="32"/>
        </w:rPr>
        <w:t>指除上述“财政拨款收入”“事业收入”“经营收入”等以外的收入。</w:t>
      </w:r>
    </w:p>
    <w:p>
      <w:pPr>
        <w:widowControl/>
        <w:spacing w:after="0" w:line="560" w:lineRule="exact"/>
        <w:ind w:firstLineChars="200" w:firstLine="640"/>
        <w:rPr>
          <w:rFonts w:ascii="仿宋_GB2312" w:eastAsia="仿宋_GB2312"/>
          <w:color w:val="000000"/>
          <w:kern w:val="0"/>
          <w:sz w:val="32"/>
          <w:szCs w:val="32"/>
        </w:rPr>
      </w:pPr>
      <w:r>
        <w:rPr>
          <w:rFonts w:ascii="仿宋_GB2312" w:eastAsia="仿宋_GB2312" w:hint="eastAsia"/>
          <w:b/>
          <w:bCs/>
          <w:color w:val="000000"/>
          <w:kern w:val="0"/>
          <w:sz w:val="32"/>
          <w:szCs w:val="32"/>
        </w:rPr>
        <w:t>（四）用事业基金弥补收支差额：</w:t>
      </w:r>
      <w:r>
        <w:rPr>
          <w:rFonts w:ascii="仿宋_GB2312" w:eastAsia="仿宋_GB2312" w:hint="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Chars="200" w:firstLine="640"/>
        <w:rPr>
          <w:rFonts w:ascii="仿宋_GB2312" w:eastAsia="仿宋_GB2312"/>
          <w:color w:val="000000"/>
          <w:kern w:val="0"/>
          <w:sz w:val="32"/>
          <w:szCs w:val="32"/>
        </w:rPr>
      </w:pPr>
      <w:r>
        <w:rPr>
          <w:rFonts w:ascii="仿宋_GB2312" w:eastAsia="仿宋_GB2312" w:hint="eastAsia"/>
          <w:b/>
          <w:bCs/>
          <w:color w:val="000000"/>
          <w:kern w:val="0"/>
          <w:sz w:val="32"/>
          <w:szCs w:val="32"/>
        </w:rPr>
        <w:t>（五）年初结转和结余：</w:t>
      </w:r>
      <w:r>
        <w:rPr>
          <w:rFonts w:ascii="仿宋_GB2312" w:eastAsia="仿宋_GB2312" w:hint="eastAsia"/>
          <w:color w:val="000000"/>
          <w:kern w:val="0"/>
          <w:sz w:val="32"/>
          <w:szCs w:val="32"/>
        </w:rPr>
        <w:t>指以前年度尚未完成、结转到本年仍按原规定用途继续使用的资金，或项目已完成等产生的结余资金。</w:t>
      </w:r>
    </w:p>
    <w:p>
      <w:pPr>
        <w:widowControl/>
        <w:spacing w:after="0" w:line="560" w:lineRule="exact"/>
        <w:ind w:firstLineChars="200" w:firstLine="640"/>
        <w:rPr>
          <w:rFonts w:ascii="仿宋_GB2312" w:eastAsia="仿宋_GB2312"/>
          <w:color w:val="000000"/>
          <w:kern w:val="0"/>
          <w:sz w:val="32"/>
          <w:szCs w:val="32"/>
        </w:rPr>
      </w:pPr>
      <w:r>
        <w:rPr>
          <w:rFonts w:ascii="仿宋_GB2312" w:eastAsia="仿宋_GB2312" w:hint="eastAsia"/>
          <w:b/>
          <w:bCs/>
          <w:color w:val="000000"/>
          <w:kern w:val="0"/>
          <w:sz w:val="32"/>
          <w:szCs w:val="32"/>
        </w:rPr>
        <w:t>（六）结余分配：</w:t>
      </w:r>
      <w:r>
        <w:rPr>
          <w:rFonts w:ascii="仿宋_GB2312" w:eastAsia="仿宋_GB2312" w:hint="eastAsia"/>
          <w:color w:val="000000"/>
          <w:kern w:val="0"/>
          <w:sz w:val="32"/>
          <w:szCs w:val="32"/>
        </w:rPr>
        <w:t>指事业单位按照事业单位会计制度的规定从非财政补助结余中分配的事业基金和职工福利基金等。</w:t>
      </w:r>
    </w:p>
    <w:p>
      <w:pPr>
        <w:widowControl/>
        <w:spacing w:after="0" w:line="560" w:lineRule="exact"/>
        <w:ind w:firstLineChars="200" w:firstLine="640"/>
        <w:rPr>
          <w:rFonts w:ascii="仿宋_GB2312" w:eastAsia="仿宋_GB2312"/>
          <w:color w:val="000000"/>
          <w:kern w:val="0"/>
          <w:sz w:val="32"/>
          <w:szCs w:val="32"/>
        </w:rPr>
      </w:pPr>
      <w:r>
        <w:rPr>
          <w:rFonts w:ascii="仿宋_GB2312" w:eastAsia="仿宋_GB2312" w:hint="eastAsia"/>
          <w:b/>
          <w:bCs/>
          <w:color w:val="000000"/>
          <w:kern w:val="0"/>
          <w:sz w:val="32"/>
          <w:szCs w:val="32"/>
        </w:rPr>
        <w:t>（七）年末结转和结</w:t>
      </w:r>
      <w:r>
        <w:rPr>
          <w:rFonts w:ascii="仿宋_GB2312" w:eastAsia="仿宋_GB2312"/>
          <w:b/>
          <w:bCs/>
          <w:color w:val="000000"/>
          <w:kern w:val="0"/>
          <w:sz w:val="32"/>
          <w:szCs w:val="32"/>
        </w:rPr>
        <mc:AlternateContent>
          <mc:Choice Requires="wps">
            <w:drawing>
              <wp:anchor distT="0" distB="0" distL="114298" distR="114298" simplePos="0" relativeHeight="73" behindDoc="0" locked="1" layoutInCell="1" hidden="0" allowOverlap="1">
                <wp:simplePos x="0" y="0"/>
                <wp:positionH relativeFrom="column">
                  <wp:posOffset>-1029335</wp:posOffset>
                </wp:positionH>
                <wp:positionV relativeFrom="page">
                  <wp:posOffset>503554</wp:posOffset>
                </wp:positionV>
                <wp:extent cx="3363595" cy="558800"/>
                <wp:effectExtent l="0" t="0" r="0" b="0"/>
                <wp:wrapNone/>
                <wp:docPr id="105" name="组合"/>
                <wp:cNvGraphicFramePr>
                  <a:graphicFrameLocks noChangeAspect="0"/>
                </wp:cNvGraphicFramePr>
                <a:graphic>
                  <a:graphicData uri="http://schemas.microsoft.com/office/word/2010/wordprocessingGroup">
                    <wpg:wgp>
                      <wpg:cNvPr id="106" name="组合 106"/>
                      <wpg:cNvGrpSpPr/>
                      <wpg:grpSpPr>
                        <a:xfrm rot="0">
                          <a:off x="0" y="0"/>
                          <a:ext cx="3363595" cy="558800"/>
                          <a:chOff x="0" y="0"/>
                          <a:chExt cx="3363595" cy="558800"/>
                        </a:xfrm>
                        <a:prstGeom prst="rect"/>
                        <a:solidFill>
                          <a:srgbClr val="FFFFFF"/>
                        </a:solidFill>
                        <a:ln w="9525" cmpd="sng" cap="flat">
                          <a:solidFill>
                            <a:srgbClr val="000000"/>
                          </a:solidFill>
                          <a:prstDash val="solid"/>
                          <a:miter/>
                        </a:ln>
                      </wpg:grpSpPr>
                      <wps:wsp>
                        <wps:cNvPr id="107" name="_s111 107"/>
                        <wps:cNvSpPr/>
                        <wps:spPr>
                          <a:xfrm rot="0">
                            <a:off x="0" y="0"/>
                            <a:ext cx="3363595" cy="468630"/>
                          </a:xfrm>
                          <a:prstGeom prst="rect"/>
                          <a:solidFill>
                            <a:srgbClr val="B8B8B8"/>
                          </a:solidFill>
                          <a:ln w="9525" cmpd="sng" cap="flat">
                            <a:noFill/>
                            <a:prstDash val="solid"/>
                            <a:miter/>
                          </a:ln>
                        </wps:spPr>
                        <wps:bodyPr vert="horz" wrap="square" lIns="91440" tIns="45720" rIns="91440" bIns="45720" anchor="t" anchorCtr="0" upright="1">
                          <a:noAutofit/>
                        </wps:bodyPr>
                      </wps:wsp>
                      <wps:wsp>
                        <wps:cNvPr id="108" name="_s112 108"/>
                        <wps:cNvSpPr/>
                        <wps:spPr>
                          <a:xfrm rot="0">
                            <a:off x="10795" y="110490"/>
                            <a:ext cx="3275965" cy="448310"/>
                          </a:xfrm>
                          <a:prstGeom prst="rect"/>
                          <a:solidFill>
                            <a:srgbClr val="AD002D"/>
                          </a:solidFill>
                          <a:ln w="25400" cmpd="sng" cap="flat">
                            <a:solidFill>
                              <a:srgbClr val="805514"/>
                            </a:solidFill>
                            <a:prstDash val="solid"/>
                            <a:miter/>
                          </a:ln>
                        </wps:spPr>
                        <wps:txbx id="109">
                          <w:txbxContent>
                            <w:p>
                              <w:pPr>
                                <w:widowControl/>
                                <w:jc w:val="left"/>
                                <w:rPr>
                                  <w:rFonts w:ascii="楷体" w:eastAsia="楷体" w:cs="楷体"/>
                                  <w:b/>
                                  <w:bCs/>
                                  <w:color w:val="FDEFBE"/>
                                  <w:sz w:val="32"/>
                                  <w:szCs w:val="32"/>
                                </w:rPr>
                              </w:pPr>
                              <w:r>
                                <w:rPr>
                                  <w:rFonts w:ascii="楷体" w:eastAsia="楷体" w:cs="楷体" w:hint="eastAsia"/>
                                  <w:b/>
                                  <w:bCs/>
                                  <w:color w:val="FDEFBE"/>
                                  <w:kern w:val="0"/>
                                  <w:sz w:val="32"/>
                                  <w:szCs w:val="32"/>
                                </w:rPr>
                                <w:t>2018年度部门决算☞名词解释</w:t>
                              </w:r>
                            </w:p>
                            <w:p>
                              <w:pPr>
                                <w:jc w:val="center"/>
                              </w:pPr>
                            </w:p>
                          </w:txbxContent>
                        </wps:txbx>
                        <wps:bodyPr vert="horz" wrap="square" lIns="91440" tIns="45720" rIns="91440" bIns="45720" anchor="ctr" anchorCtr="0" upright="0">
                          <a:noAutofit/>
                        </wps:bodyPr>
                      </wps:wsp>
                      <wps:bodyPr vert="horz" wrap="square" lIns="91440" tIns="45720" rIns="91440" bIns="45720" anchor="t" anchorCtr="0" upright="1">
                        <a:noAutofit/>
                      </wps:bodyPr>
                    </wpg:wgp>
                  </a:graphicData>
                </a:graphic>
              </wp:anchor>
            </w:drawing>
          </mc:Choice>
          <mc:Fallback>
            <w:pict>
              <v:group type="#_x0000_t1" id="组合 110" o:spid="_x0000_s110" coordorigin="-33,792" coordsize="5297,880" style="position:absolute;margin-left:-81.05001pt;margin-top:39.64997pt;width:264.85004pt;height:44.000008pt;z-index:73;mso-position-horizontal:absolute;mso-position-vertical:absolute;mso-position-vertical-relative:page;mso-wrap-distance-left:8.999863pt;mso-wrap-distance-right:8.999863pt;">
                <v:rect type="#_x0000_t1" id="_s111" o:spid="_x0000_s111" style="position:absolute;left:-33;top:792;width:5297;height:738;" fillcolor="#B8B8B8" stroked="f">
                  <v:stroke color="#000000"/>
                </v:rect>
                <v:rect type="#_x0000_t1" id="_s112" o:spid="_x0000_s112" style="position:absolute;left:-16;top:966;width:5159;height:706;mso-wrap-style:square;" fillcolor="#AD002D" stroked="t" strokeweight="2.0pt">
                  <v:textbox id="873" inset="2.54mm,1.27mm,2.54mm,1.27mm" o:insetmode="custom" style="layout-flow:horizontal;v-text-anchor:middle;">
                    <w:txbxContent>
                      <w:p>
                        <w:pPr>
                          <w:widowControl/>
                          <w:jc w:val="left"/>
                          <w:rPr>
                            <w:rFonts w:ascii="楷体" w:eastAsia="楷体" w:cs="楷体"/>
                            <w:b/>
                            <w:bCs/>
                            <w:color w:val="FDEFBE"/>
                            <w:sz w:val="32"/>
                            <w:szCs w:val="32"/>
                          </w:rPr>
                        </w:pPr>
                        <w:r>
                          <w:rPr>
                            <w:rFonts w:ascii="楷体" w:eastAsia="楷体" w:cs="楷体" w:hint="eastAsia"/>
                            <w:b/>
                            <w:bCs/>
                            <w:color w:val="FDEFBE"/>
                            <w:kern w:val="0"/>
                            <w:sz w:val="32"/>
                            <w:szCs w:val="32"/>
                          </w:rPr>
                          <w:t>2018年度部门决算☞名词解释</w:t>
                        </w:r>
                      </w:p>
                      <w:p>
                        <w:pPr>
                          <w:jc w:val="center"/>
                        </w:pPr>
                      </w:p>
                    </w:txbxContent>
                  </v:textbox>
                  <v:stroke color="#805514"/>
                </v:rect>
                <w10:anchorLock/>
              </v:group>
            </w:pict>
          </mc:Fallback>
        </mc:AlternateContent>
      </w:r>
      <w:r>
        <w:rPr>
          <w:rFonts w:ascii="仿宋_GB2312" w:eastAsia="仿宋_GB2312" w:hint="eastAsia"/>
          <w:b/>
          <w:bCs/>
          <w:color w:val="000000"/>
          <w:kern w:val="0"/>
          <w:sz w:val="32"/>
          <w:szCs w:val="32"/>
        </w:rPr>
        <w:t>余：</w:t>
      </w:r>
      <w:r>
        <w:rPr>
          <w:rFonts w:ascii="仿宋_GB2312" w:eastAsia="仿宋_GB2312" w:hint="eastAsia"/>
          <w:color w:val="000000"/>
          <w:kern w:val="0"/>
          <w:sz w:val="32"/>
          <w:szCs w:val="32"/>
        </w:rPr>
        <w:t>指单位按有关规定结转到下年或以后年度继续使用的资金，或项目已完成等产生的结余资金。</w:t>
      </w:r>
    </w:p>
    <w:p>
      <w:pPr>
        <w:widowControl/>
        <w:spacing w:after="0" w:line="560" w:lineRule="exact"/>
        <w:ind w:firstLineChars="200" w:firstLine="640"/>
        <w:rPr>
          <w:rFonts w:ascii="仿宋_GB2312" w:eastAsia="仿宋_GB2312"/>
          <w:color w:val="000000"/>
          <w:kern w:val="0"/>
          <w:sz w:val="32"/>
          <w:szCs w:val="32"/>
        </w:rPr>
      </w:pPr>
      <w:r>
        <w:rPr>
          <w:rFonts w:ascii="仿宋_GB2312" w:eastAsia="仿宋_GB2312" w:hint="eastAsia"/>
          <w:b/>
          <w:bCs/>
          <w:color w:val="000000"/>
          <w:kern w:val="0"/>
          <w:sz w:val="32"/>
          <w:szCs w:val="32"/>
        </w:rPr>
        <w:t>（八）基本支出：</w:t>
      </w:r>
      <w:r>
        <w:rPr>
          <w:rFonts w:ascii="仿宋_GB2312" w:eastAsia="仿宋_GB2312" w:hint="eastAsia"/>
          <w:color w:val="000000"/>
          <w:kern w:val="0"/>
          <w:sz w:val="32"/>
          <w:szCs w:val="32"/>
        </w:rPr>
        <w:t>填列单位为保障机构正常运转、完成日常工作任务而发生的各项支出。</w:t>
      </w:r>
    </w:p>
    <w:p>
      <w:pPr>
        <w:widowControl/>
        <w:spacing w:after="0" w:line="560" w:lineRule="exact"/>
        <w:ind w:firstLineChars="200" w:firstLine="640"/>
        <w:rPr>
          <w:rFonts w:ascii="仿宋_GB2312" w:eastAsia="仿宋_GB2312"/>
          <w:color w:val="000000"/>
          <w:kern w:val="0"/>
          <w:sz w:val="32"/>
          <w:szCs w:val="32"/>
        </w:rPr>
      </w:pPr>
      <w:r>
        <w:rPr>
          <w:rFonts w:ascii="仿宋_GB2312" w:eastAsia="仿宋_GB2312" w:hint="eastAsia"/>
          <w:b/>
          <w:bCs/>
          <w:color w:val="000000"/>
          <w:kern w:val="0"/>
          <w:sz w:val="32"/>
          <w:szCs w:val="32"/>
        </w:rPr>
        <w:t>（九）项目支出：</w:t>
      </w:r>
      <w:r>
        <w:rPr>
          <w:rFonts w:ascii="仿宋_GB2312" w:eastAsia="仿宋_GB2312" w:hint="eastAsia"/>
          <w:color w:val="000000"/>
          <w:kern w:val="0"/>
          <w:sz w:val="32"/>
          <w:szCs w:val="32"/>
        </w:rPr>
        <w:t>填列单位为完成特定的行政工作任务或事业发展目标，在基本支出之外发生的各项支出</w:t>
      </w:r>
    </w:p>
    <w:p>
      <w:pPr>
        <w:widowControl/>
        <w:spacing w:after="0" w:line="560" w:lineRule="exact"/>
        <w:ind w:firstLineChars="200" w:firstLine="640"/>
        <w:rPr>
          <w:rFonts w:ascii="仿宋_GB2312" w:eastAsia="仿宋_GB2312"/>
          <w:color w:val="000000"/>
          <w:kern w:val="0"/>
          <w:sz w:val="32"/>
          <w:szCs w:val="32"/>
        </w:rPr>
      </w:pPr>
      <w:r>
        <w:rPr>
          <w:rFonts w:ascii="仿宋_GB2312" w:eastAsia="仿宋_GB2312" w:hint="eastAsia"/>
          <w:b/>
          <w:bCs/>
          <w:color w:val="000000"/>
          <w:kern w:val="0"/>
          <w:sz w:val="32"/>
          <w:szCs w:val="32"/>
        </w:rPr>
        <w:t>（十）资本性支出（基本建设）：</w:t>
      </w:r>
      <w:r>
        <w:rPr>
          <w:rFonts w:ascii="仿宋_GB2312" w:eastAsia="仿宋_GB2312" w:hint="eastAsia"/>
          <w:color w:val="000000"/>
          <w:kern w:val="0"/>
          <w:sz w:val="32"/>
          <w:szCs w:val="32"/>
        </w:rPr>
        <w:t>填列切块由发展改革部门安排的基本建设支出，对企业补助支出不在此科目反映。</w:t>
      </w:r>
    </w:p>
    <w:p>
      <w:pPr>
        <w:widowControl/>
        <w:spacing w:after="0" w:line="560" w:lineRule="exact"/>
        <w:ind w:firstLineChars="200" w:firstLine="640"/>
        <w:rPr>
          <w:rFonts w:ascii="仿宋_GB2312" w:eastAsia="仿宋_GB2312"/>
          <w:color w:val="000000"/>
          <w:kern w:val="0"/>
          <w:sz w:val="32"/>
          <w:szCs w:val="32"/>
        </w:rPr>
      </w:pPr>
      <w:r>
        <w:rPr>
          <w:rFonts w:ascii="仿宋_GB2312" w:eastAsia="仿宋_GB2312" w:hint="eastAsia"/>
          <w:b/>
          <w:bCs/>
          <w:color w:val="000000"/>
          <w:kern w:val="0"/>
          <w:sz w:val="32"/>
          <w:szCs w:val="32"/>
        </w:rPr>
        <w:t>（十一）资本性支出：</w:t>
      </w:r>
      <w:r>
        <w:rPr>
          <w:rFonts w:ascii="仿宋_GB2312" w:eastAsia="仿宋_GB2312" w:hint="eastAsia"/>
          <w:color w:val="000000"/>
          <w:kern w:val="0"/>
          <w:sz w:val="32"/>
          <w:szCs w:val="32"/>
        </w:rPr>
        <w:t>填列各单位安排的资本性支出。切块由发展改革部门安排的基本建设支出不在此科目反映。</w:t>
      </w:r>
    </w:p>
    <w:p>
      <w:pPr>
        <w:widowControl/>
        <w:spacing w:after="0" w:line="560" w:lineRule="exact"/>
        <w:ind w:firstLineChars="200" w:firstLine="640"/>
        <w:rPr>
          <w:rFonts w:ascii="仿宋_GB2312" w:eastAsia="仿宋_GB2312"/>
          <w:color w:val="000000"/>
          <w:kern w:val="0"/>
          <w:sz w:val="32"/>
          <w:szCs w:val="32"/>
        </w:rPr>
      </w:pPr>
      <w:r>
        <w:rPr>
          <w:rFonts w:ascii="仿宋_GB2312" w:eastAsia="仿宋_GB2312" w:hint="eastAsia"/>
          <w:b/>
          <w:bCs/>
          <w:color w:val="000000"/>
          <w:kern w:val="0"/>
          <w:sz w:val="32"/>
          <w:szCs w:val="32"/>
        </w:rPr>
        <w:t>（十二）“三公”经费：</w:t>
      </w:r>
      <w:r>
        <w:rPr>
          <w:rFonts w:ascii="仿宋_GB2312" w:eastAsia="仿宋_GB2312" w:hint="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w:t>
      </w:r>
      <w:r>
        <w:rPr>
          <w:rFonts w:ascii="仿宋_GB2312" w:eastAsia="仿宋_GB2312"/>
          <w:b/>
          <w:bCs/>
          <w:color w:val="000000"/>
          <w:kern w:val="0"/>
          <w:sz w:val="32"/>
          <w:szCs w:val="32"/>
        </w:rPr>
        <mc:AlternateContent>
          <mc:Choice Requires="wps">
            <w:drawing>
              <wp:anchor distT="0" distB="0" distL="114298" distR="114298" simplePos="0" relativeHeight="89" behindDoc="0" locked="1" layoutInCell="1" hidden="0" allowOverlap="1">
                <wp:simplePos x="0" y="0"/>
                <wp:positionH relativeFrom="column">
                  <wp:posOffset>-1029335</wp:posOffset>
                </wp:positionH>
                <wp:positionV relativeFrom="page">
                  <wp:posOffset>503554</wp:posOffset>
                </wp:positionV>
                <wp:extent cx="3363595" cy="558800"/>
                <wp:effectExtent l="0" t="0" r="0" b="0"/>
                <wp:wrapNone/>
                <wp:docPr id="113" name="组合"/>
                <wp:cNvGraphicFramePr>
                  <a:graphicFrameLocks noChangeAspect="0"/>
                </wp:cNvGraphicFramePr>
                <a:graphic>
                  <a:graphicData uri="http://schemas.microsoft.com/office/word/2010/wordprocessingGroup">
                    <wpg:wgp>
                      <wpg:cNvPr id="114" name="组合 114"/>
                      <wpg:cNvGrpSpPr/>
                      <wpg:grpSpPr>
                        <a:xfrm rot="0">
                          <a:off x="0" y="0"/>
                          <a:ext cx="3363595" cy="558800"/>
                          <a:chOff x="0" y="0"/>
                          <a:chExt cx="3363595" cy="558800"/>
                        </a:xfrm>
                        <a:prstGeom prst="rect"/>
                        <a:solidFill>
                          <a:srgbClr val="FFFFFF"/>
                        </a:solidFill>
                        <a:ln w="9525" cmpd="sng" cap="flat">
                          <a:solidFill>
                            <a:srgbClr val="000000"/>
                          </a:solidFill>
                          <a:prstDash val="solid"/>
                          <a:miter/>
                        </a:ln>
                      </wpg:grpSpPr>
                      <wps:wsp>
                        <wps:cNvPr id="115" name="_s119 115"/>
                        <wps:cNvSpPr/>
                        <wps:spPr>
                          <a:xfrm rot="0">
                            <a:off x="0" y="0"/>
                            <a:ext cx="3363595" cy="468630"/>
                          </a:xfrm>
                          <a:prstGeom prst="rect"/>
                          <a:solidFill>
                            <a:srgbClr val="B8B8B8"/>
                          </a:solidFill>
                          <a:ln w="9525" cmpd="sng" cap="flat">
                            <a:noFill/>
                            <a:prstDash val="solid"/>
                            <a:miter/>
                          </a:ln>
                        </wps:spPr>
                        <wps:bodyPr vert="horz" wrap="square" lIns="91440" tIns="45720" rIns="91440" bIns="45720" anchor="t" anchorCtr="0" upright="1">
                          <a:noAutofit/>
                        </wps:bodyPr>
                      </wps:wsp>
                      <wps:wsp>
                        <wps:cNvPr id="116" name="_s120 116"/>
                        <wps:cNvSpPr/>
                        <wps:spPr>
                          <a:xfrm rot="0">
                            <a:off x="10795" y="110490"/>
                            <a:ext cx="3275965" cy="448310"/>
                          </a:xfrm>
                          <a:prstGeom prst="rect"/>
                          <a:solidFill>
                            <a:srgbClr val="AD002D"/>
                          </a:solidFill>
                          <a:ln w="25400" cmpd="sng" cap="flat">
                            <a:solidFill>
                              <a:srgbClr val="805514"/>
                            </a:solidFill>
                            <a:prstDash val="solid"/>
                            <a:miter/>
                          </a:ln>
                        </wps:spPr>
                        <wps:txbx id="117">
                          <w:txbxContent>
                            <w:p>
                              <w:pPr>
                                <w:widowControl/>
                                <w:jc w:val="left"/>
                                <w:rPr>
                                  <w:rFonts w:ascii="楷体" w:eastAsia="楷体" w:cs="楷体"/>
                                  <w:b/>
                                  <w:bCs/>
                                  <w:color w:val="FDEFBE"/>
                                  <w:sz w:val="32"/>
                                  <w:szCs w:val="32"/>
                                </w:rPr>
                              </w:pPr>
                              <w:r>
                                <w:rPr>
                                  <w:rFonts w:ascii="楷体" w:eastAsia="楷体" w:cs="楷体" w:hint="eastAsia"/>
                                  <w:b/>
                                  <w:bCs/>
                                  <w:color w:val="FDEFBE"/>
                                  <w:kern w:val="0"/>
                                  <w:sz w:val="32"/>
                                  <w:szCs w:val="32"/>
                                </w:rPr>
                                <w:t>2018年度部门决算☞名词解释</w:t>
                              </w:r>
                            </w:p>
                            <w:p>
                              <w:pPr>
                                <w:jc w:val="center"/>
                              </w:pPr>
                            </w:p>
                          </w:txbxContent>
                        </wps:txbx>
                        <wps:bodyPr vert="horz" wrap="square" lIns="91440" tIns="45720" rIns="91440" bIns="45720" anchor="ctr" anchorCtr="0" upright="0">
                          <a:noAutofit/>
                        </wps:bodyPr>
                      </wps:wsp>
                      <wps:bodyPr vert="horz" wrap="square" lIns="91440" tIns="45720" rIns="91440" bIns="45720" anchor="t" anchorCtr="0" upright="1">
                        <a:noAutofit/>
                      </wps:bodyPr>
                    </wpg:wgp>
                  </a:graphicData>
                </a:graphic>
              </wp:anchor>
            </w:drawing>
          </mc:Choice>
          <mc:Fallback>
            <w:pict>
              <v:group type="#_x0000_t1" id="组合 118" o:spid="_x0000_s118" coordorigin="-33,792" coordsize="5297,880" style="position:absolute;margin-left:-81.05001pt;margin-top:39.64997pt;width:264.85004pt;height:44.000008pt;z-index:89;mso-position-horizontal:absolute;mso-position-vertical:absolute;mso-position-vertical-relative:page;mso-wrap-distance-left:8.999863pt;mso-wrap-distance-right:8.999863pt;">
                <v:rect type="#_x0000_t1" id="_s119" o:spid="_x0000_s119" style="position:absolute;left:-33;top:792;width:5297;height:738;" fillcolor="#B8B8B8" stroked="f">
                  <v:stroke color="#000000"/>
                </v:rect>
                <v:rect type="#_x0000_t1" id="_s120" o:spid="_x0000_s120" style="position:absolute;left:-16;top:966;width:5159;height:706;mso-wrap-style:square;" fillcolor="#AD002D" stroked="t" strokeweight="2.0pt">
                  <v:textbox id="874" inset="2.54mm,1.27mm,2.54mm,1.27mm" o:insetmode="custom" style="layout-flow:horizontal;v-text-anchor:middle;">
                    <w:txbxContent>
                      <w:p>
                        <w:pPr>
                          <w:widowControl/>
                          <w:jc w:val="left"/>
                          <w:rPr>
                            <w:rFonts w:ascii="楷体" w:eastAsia="楷体" w:cs="楷体"/>
                            <w:b/>
                            <w:bCs/>
                            <w:color w:val="FDEFBE"/>
                            <w:sz w:val="32"/>
                            <w:szCs w:val="32"/>
                          </w:rPr>
                        </w:pPr>
                        <w:r>
                          <w:rPr>
                            <w:rFonts w:ascii="楷体" w:eastAsia="楷体" w:cs="楷体" w:hint="eastAsia"/>
                            <w:b/>
                            <w:bCs/>
                            <w:color w:val="FDEFBE"/>
                            <w:kern w:val="0"/>
                            <w:sz w:val="32"/>
                            <w:szCs w:val="32"/>
                          </w:rPr>
                          <w:t>2018年度部门决算☞名词解释</w:t>
                        </w:r>
                      </w:p>
                      <w:p>
                        <w:pPr>
                          <w:jc w:val="center"/>
                        </w:pPr>
                      </w:p>
                    </w:txbxContent>
                  </v:textbox>
                  <v:stroke color="#805514"/>
                </v:rect>
                <w10:anchorLock/>
              </v:group>
            </w:pict>
          </mc:Fallback>
        </mc:AlternateContent>
      </w:r>
      <w:r>
        <w:rPr>
          <w:rFonts w:ascii="仿宋_GB2312" w:eastAsia="仿宋_GB2312" w:hint="eastAsia"/>
          <w:color w:val="000000"/>
          <w:kern w:val="0"/>
          <w:sz w:val="32"/>
          <w:szCs w:val="32"/>
        </w:rPr>
        <w:t>待费反映单位按规定开支的各类公务接待（含外宾接待）支出。</w:t>
      </w:r>
    </w:p>
    <w:p>
      <w:pPr>
        <w:widowControl/>
        <w:spacing w:after="0" w:line="560" w:lineRule="exact"/>
        <w:ind w:firstLineChars="200" w:firstLine="640"/>
        <w:rPr>
          <w:rFonts w:ascii="仿宋_GB2312" w:eastAsia="仿宋_GB2312"/>
          <w:color w:val="000000"/>
          <w:kern w:val="0"/>
          <w:sz w:val="32"/>
          <w:szCs w:val="32"/>
        </w:rPr>
      </w:pPr>
      <w:r>
        <w:rPr>
          <w:rFonts w:ascii="仿宋_GB2312" w:eastAsia="仿宋_GB2312" w:hint="eastAsia"/>
          <w:b/>
          <w:bCs/>
          <w:color w:val="000000"/>
          <w:kern w:val="0"/>
          <w:sz w:val="32"/>
          <w:szCs w:val="32"/>
        </w:rPr>
        <w:t>（十三）其</w:t>
      </w:r>
      <w:r>
        <w:rPr>
          <w:rFonts w:ascii="仿宋_GB2312" w:eastAsia="仿宋_GB2312"/>
          <w:b/>
          <w:bCs/>
          <w:color w:val="000000"/>
          <w:kern w:val="0"/>
          <w:sz w:val="32"/>
          <w:szCs w:val="32"/>
        </w:rPr>
        <mc:AlternateContent>
          <mc:Choice Requires="wps">
            <w:drawing>
              <wp:anchor distT="0" distB="0" distL="114298" distR="114298" simplePos="0" relativeHeight="91" behindDoc="0" locked="1" layoutInCell="1" hidden="0" allowOverlap="1">
                <wp:simplePos x="0" y="0"/>
                <wp:positionH relativeFrom="column">
                  <wp:posOffset>-1029335</wp:posOffset>
                </wp:positionH>
                <wp:positionV relativeFrom="page">
                  <wp:posOffset>503554</wp:posOffset>
                </wp:positionV>
                <wp:extent cx="3363595" cy="558800"/>
                <wp:effectExtent l="0" t="0" r="0" b="0"/>
                <wp:wrapNone/>
                <wp:docPr id="121" name="组合"/>
                <wp:cNvGraphicFramePr>
                  <a:graphicFrameLocks noChangeAspect="0"/>
                </wp:cNvGraphicFramePr>
                <a:graphic>
                  <a:graphicData uri="http://schemas.microsoft.com/office/word/2010/wordprocessingGroup">
                    <wpg:wgp>
                      <wpg:cNvPr id="122" name="组合 122"/>
                      <wpg:cNvGrpSpPr/>
                      <wpg:grpSpPr>
                        <a:xfrm rot="0">
                          <a:off x="0" y="0"/>
                          <a:ext cx="3363595" cy="558800"/>
                          <a:chOff x="0" y="0"/>
                          <a:chExt cx="3363595" cy="558800"/>
                        </a:xfrm>
                        <a:prstGeom prst="rect"/>
                        <a:solidFill>
                          <a:srgbClr val="FFFFFF"/>
                        </a:solidFill>
                        <a:ln w="9525" cmpd="sng" cap="flat">
                          <a:solidFill>
                            <a:srgbClr val="000000"/>
                          </a:solidFill>
                          <a:prstDash val="solid"/>
                          <a:miter/>
                        </a:ln>
                      </wpg:grpSpPr>
                      <wps:wsp>
                        <wps:cNvPr id="123" name="_s127 123"/>
                        <wps:cNvSpPr/>
                        <wps:spPr>
                          <a:xfrm rot="0">
                            <a:off x="0" y="0"/>
                            <a:ext cx="3363595" cy="468630"/>
                          </a:xfrm>
                          <a:prstGeom prst="rect"/>
                          <a:solidFill>
                            <a:srgbClr val="B8B8B8"/>
                          </a:solidFill>
                          <a:ln w="9525" cmpd="sng" cap="flat">
                            <a:noFill/>
                            <a:prstDash val="solid"/>
                            <a:miter/>
                          </a:ln>
                        </wps:spPr>
                        <wps:bodyPr vert="horz" wrap="square" lIns="91440" tIns="45720" rIns="91440" bIns="45720" anchor="t" anchorCtr="0" upright="1">
                          <a:noAutofit/>
                        </wps:bodyPr>
                      </wps:wsp>
                      <wps:wsp>
                        <wps:cNvPr id="124" name="_s128 124"/>
                        <wps:cNvSpPr/>
                        <wps:spPr>
                          <a:xfrm rot="0">
                            <a:off x="10795" y="110490"/>
                            <a:ext cx="3275965" cy="448310"/>
                          </a:xfrm>
                          <a:prstGeom prst="rect"/>
                          <a:solidFill>
                            <a:srgbClr val="AD002D"/>
                          </a:solidFill>
                          <a:ln w="25400" cmpd="sng" cap="flat">
                            <a:solidFill>
                              <a:srgbClr val="805514"/>
                            </a:solidFill>
                            <a:prstDash val="solid"/>
                            <a:miter/>
                          </a:ln>
                        </wps:spPr>
                        <wps:txbx id="125">
                          <w:txbxContent>
                            <w:p>
                              <w:pPr>
                                <w:widowControl/>
                                <w:jc w:val="left"/>
                                <w:rPr>
                                  <w:rFonts w:ascii="楷体" w:eastAsia="楷体" w:cs="楷体"/>
                                  <w:b/>
                                  <w:bCs/>
                                  <w:color w:val="FDEFBE"/>
                                  <w:sz w:val="32"/>
                                  <w:szCs w:val="32"/>
                                </w:rPr>
                              </w:pPr>
                              <w:r>
                                <w:rPr>
                                  <w:rFonts w:ascii="楷体" w:eastAsia="楷体" w:cs="楷体" w:hint="eastAsia"/>
                                  <w:b/>
                                  <w:bCs/>
                                  <w:color w:val="FDEFBE"/>
                                  <w:kern w:val="0"/>
                                  <w:sz w:val="32"/>
                                  <w:szCs w:val="32"/>
                                </w:rPr>
                                <w:t>2018年度部门决算☞名词解释</w:t>
                              </w:r>
                            </w:p>
                            <w:p>
                              <w:pPr>
                                <w:jc w:val="center"/>
                              </w:pPr>
                            </w:p>
                          </w:txbxContent>
                        </wps:txbx>
                        <wps:bodyPr vert="horz" wrap="square" lIns="91440" tIns="45720" rIns="91440" bIns="45720" anchor="ctr" anchorCtr="0" upright="0">
                          <a:noAutofit/>
                        </wps:bodyPr>
                      </wps:wsp>
                      <wps:bodyPr vert="horz" wrap="square" lIns="91440" tIns="45720" rIns="91440" bIns="45720" anchor="t" anchorCtr="0" upright="1">
                        <a:noAutofit/>
                      </wps:bodyPr>
                    </wpg:wgp>
                  </a:graphicData>
                </a:graphic>
              </wp:anchor>
            </w:drawing>
          </mc:Choice>
          <mc:Fallback>
            <w:pict>
              <v:group type="#_x0000_t1" id="组合 126" o:spid="_x0000_s126" coordorigin="-33,792" coordsize="5297,880" style="position:absolute;margin-left:-81.05001pt;margin-top:39.64997pt;width:264.85004pt;height:44.000008pt;z-index:91;mso-position-horizontal:absolute;mso-position-vertical:absolute;mso-position-vertical-relative:page;mso-wrap-distance-left:8.999863pt;mso-wrap-distance-right:8.999863pt;">
                <v:rect type="#_x0000_t1" id="_s127" o:spid="_x0000_s127" style="position:absolute;left:-33;top:792;width:5297;height:738;" fillcolor="#B8B8B8" stroked="f">
                  <v:stroke color="#000000"/>
                </v:rect>
                <v:rect type="#_x0000_t1" id="_s128" o:spid="_x0000_s128" style="position:absolute;left:-16;top:966;width:5159;height:706;mso-wrap-style:square;" fillcolor="#AD002D" stroked="t" strokeweight="2.0pt">
                  <v:textbox id="875" inset="2.54mm,1.27mm,2.54mm,1.27mm" o:insetmode="custom" style="layout-flow:horizontal;v-text-anchor:middle;">
                    <w:txbxContent>
                      <w:p>
                        <w:pPr>
                          <w:widowControl/>
                          <w:jc w:val="left"/>
                          <w:rPr>
                            <w:rFonts w:ascii="楷体" w:eastAsia="楷体" w:cs="楷体"/>
                            <w:b/>
                            <w:bCs/>
                            <w:color w:val="FDEFBE"/>
                            <w:sz w:val="32"/>
                            <w:szCs w:val="32"/>
                          </w:rPr>
                        </w:pPr>
                        <w:r>
                          <w:rPr>
                            <w:rFonts w:ascii="楷体" w:eastAsia="楷体" w:cs="楷体" w:hint="eastAsia"/>
                            <w:b/>
                            <w:bCs/>
                            <w:color w:val="FDEFBE"/>
                            <w:kern w:val="0"/>
                            <w:sz w:val="32"/>
                            <w:szCs w:val="32"/>
                          </w:rPr>
                          <w:t>2018年度部门决算☞名词解释</w:t>
                        </w:r>
                      </w:p>
                      <w:p>
                        <w:pPr>
                          <w:jc w:val="center"/>
                        </w:pPr>
                      </w:p>
                    </w:txbxContent>
                  </v:textbox>
                  <v:stroke color="#805514"/>
                </v:rect>
                <w10:anchorLock/>
              </v:group>
            </w:pict>
          </mc:Fallback>
        </mc:AlternateContent>
      </w:r>
      <w:r>
        <w:rPr>
          <w:rFonts w:ascii="仿宋_GB2312" w:eastAsia="仿宋_GB2312" w:hint="eastAsia"/>
          <w:b/>
          <w:bCs/>
          <w:color w:val="000000"/>
          <w:kern w:val="0"/>
          <w:sz w:val="32"/>
          <w:szCs w:val="32"/>
        </w:rPr>
        <w:t>他交通费用：</w:t>
      </w:r>
      <w:r>
        <w:rPr>
          <w:rFonts w:ascii="仿宋_GB2312" w:eastAsia="仿宋_GB2312" w:hint="eastAsia"/>
          <w:color w:val="000000"/>
          <w:kern w:val="0"/>
          <w:sz w:val="32"/>
          <w:szCs w:val="32"/>
        </w:rPr>
        <w:t>填列单位除公务用车运行维护费以外的其他交通费用。如公务交通补贴、租车费用、出租车费用、飞机、船舶等的燃料费、维修费、保险费等。</w:t>
      </w:r>
    </w:p>
    <w:p>
      <w:pPr>
        <w:widowControl/>
        <w:spacing w:after="0" w:line="560" w:lineRule="exact"/>
        <w:ind w:firstLineChars="200" w:firstLine="640"/>
        <w:rPr>
          <w:rFonts w:ascii="仿宋_GB2312" w:eastAsia="仿宋_GB2312"/>
          <w:color w:val="000000"/>
          <w:kern w:val="0"/>
          <w:sz w:val="32"/>
          <w:szCs w:val="32"/>
        </w:rPr>
      </w:pPr>
      <w:r>
        <w:rPr>
          <w:rFonts w:ascii="仿宋_GB2312" w:eastAsia="仿宋_GB2312" w:hint="eastAsia"/>
          <w:b/>
          <w:bCs/>
          <w:color w:val="000000"/>
          <w:kern w:val="0"/>
          <w:sz w:val="32"/>
          <w:szCs w:val="32"/>
        </w:rPr>
        <w:t>（十四）公务用车购置：</w:t>
      </w:r>
      <w:r>
        <w:rPr>
          <w:rFonts w:ascii="仿宋_GB2312" w:eastAsia="仿宋_GB2312" w:hint="eastAsia"/>
          <w:color w:val="000000"/>
          <w:kern w:val="0"/>
          <w:sz w:val="32"/>
          <w:szCs w:val="32"/>
        </w:rPr>
        <w:t>填列单位公务用车购置支出（含车辆购置税、牌照费）。</w:t>
      </w:r>
    </w:p>
    <w:p>
      <w:pPr>
        <w:widowControl/>
        <w:spacing w:after="0" w:line="560" w:lineRule="exact"/>
        <w:ind w:firstLineChars="200" w:firstLine="640"/>
        <w:rPr>
          <w:rFonts w:ascii="仿宋_GB2312" w:eastAsia="仿宋_GB2312"/>
          <w:color w:val="000000"/>
          <w:kern w:val="0"/>
          <w:sz w:val="32"/>
          <w:szCs w:val="32"/>
        </w:rPr>
      </w:pPr>
      <w:r>
        <w:rPr>
          <w:rFonts w:ascii="仿宋_GB2312" w:eastAsia="仿宋_GB2312" w:hint="eastAsia"/>
          <w:b/>
          <w:bCs/>
          <w:color w:val="000000"/>
          <w:kern w:val="0"/>
          <w:sz w:val="32"/>
          <w:szCs w:val="32"/>
        </w:rPr>
        <w:t>（十五）其他交通工具购置：</w:t>
      </w:r>
      <w:r>
        <w:rPr>
          <w:rFonts w:ascii="仿宋_GB2312" w:eastAsia="仿宋_GB2312" w:hint="eastAsia"/>
          <w:color w:val="000000"/>
          <w:kern w:val="0"/>
          <w:sz w:val="32"/>
          <w:szCs w:val="32"/>
        </w:rPr>
        <w:t>填列单位除公务用车外的其他各类交通工具（如船舶、飞机）购置支出（含车辆购置税、牌照费）。</w:t>
      </w:r>
    </w:p>
    <w:p>
      <w:pPr>
        <w:widowControl/>
        <w:spacing w:after="0" w:line="560" w:lineRule="exact"/>
        <w:ind w:firstLineChars="200" w:firstLine="640"/>
        <w:rPr>
          <w:rFonts w:ascii="仿宋_GB2312" w:eastAsia="仿宋_GB2312"/>
          <w:color w:val="000000"/>
          <w:kern w:val="0"/>
          <w:sz w:val="32"/>
          <w:szCs w:val="32"/>
        </w:rPr>
      </w:pPr>
      <w:r>
        <w:rPr>
          <w:rFonts w:ascii="仿宋_GB2312" w:eastAsia="仿宋_GB2312" w:hint="eastAsia"/>
          <w:b/>
          <w:bCs/>
          <w:color w:val="000000"/>
          <w:kern w:val="0"/>
          <w:sz w:val="32"/>
          <w:szCs w:val="32"/>
        </w:rPr>
        <w:t>（十六）机关运行经费：</w:t>
      </w:r>
      <w:r>
        <w:rPr>
          <w:rFonts w:ascii="仿宋_GB2312" w:eastAsia="仿宋_GB2312" w:hint="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after="0" w:line="560" w:lineRule="exact"/>
        <w:ind w:firstLineChars="200" w:firstLine="640"/>
        <w:rPr>
          <w:rFonts w:ascii="仿宋_GB2312" w:eastAsia="仿宋_GB2312" w:cs="ArialUnicodeMS"/>
          <w:kern w:val="0"/>
          <w:sz w:val="32"/>
          <w:szCs w:val="32"/>
        </w:rPr>
        <w:sectPr>
          <w:pgSz w:w="11906" w:h="16838"/>
          <w:pgMar w:top="2098" w:right="1474" w:bottom="1985" w:left="1588" w:header="851" w:footer="992" w:gutter="0"/>
          <w:docGrid w:type="lines" w:linePitch="312" w:charSpace="0"/>
        </w:sectPr>
      </w:pPr>
      <w:r>
        <w:rPr>
          <w:rFonts w:ascii="仿宋_GB2312" w:eastAsia="仿宋_GB2312" w:hint="eastAsia"/>
          <w:b/>
          <w:bCs/>
          <w:color w:val="000000"/>
          <w:kern w:val="0"/>
          <w:sz w:val="32"/>
          <w:szCs w:val="32"/>
        </w:rPr>
        <w:t>（十七）经费形式:</w:t>
      </w:r>
      <w:r>
        <w:rPr>
          <w:rFonts w:ascii="仿宋_GB2312" w:eastAsia="仿宋_GB2312" w:hint="eastAsia"/>
          <w:color w:val="000000"/>
          <w:kern w:val="0"/>
          <w:sz w:val="32"/>
          <w:szCs w:val="32"/>
        </w:rPr>
        <w:t>按照经费来源，</w:t>
      </w:r>
      <w:r>
        <w:rPr>
          <w:rFonts w:ascii="仿宋_GB2312" w:eastAsia="仿宋_GB2312" w:cs="ArialUnicodeMS" w:hint="eastAsia"/>
          <w:kern w:val="0"/>
          <w:sz w:val="32"/>
          <w:szCs w:val="32"/>
        </w:rPr>
        <w:t>可分为财政拨款、财政性资金基本保证、财政性资金定额或定项补助、财政性资金零补助四类。</w:t>
      </w:r>
    </w:p>
    <w:p>
      <w:pPr>
        <w:widowControl/>
        <w:spacing w:after="0" w:line="560" w:lineRule="exact"/>
        <w:ind w:firstLineChars="200" w:firstLine="640"/>
        <w:rPr>
          <w:rFonts w:ascii="仿宋_GB2312" w:eastAsia="仿宋_GB2312" w:cs="ArialUnicodeMS"/>
          <w:kern w:val="0"/>
          <w:sz w:val="32"/>
          <w:szCs w:val="32"/>
        </w:rPr>
      </w:pPr>
      <w:r>
        <w:rPr>
          <w:rFonts w:ascii="仿宋_GB2312" w:eastAsia="仿宋_GB2312" w:cs="ArialUnicodeMS"/>
          <w:kern w:val="0"/>
          <w:sz w:val="32"/>
          <w:szCs w:val="32"/>
        </w:rPr>
        <w:drawing>
          <wp:anchor distT="0" distB="0" distL="114300" distR="114300" simplePos="0" relativeHeight="12" behindDoc="1" locked="0" layoutInCell="1" hidden="0" allowOverlap="1">
            <wp:simplePos x="0" y="0"/>
            <wp:positionH relativeFrom="column">
              <wp:posOffset>-990600</wp:posOffset>
            </wp:positionH>
            <wp:positionV relativeFrom="paragraph">
              <wp:posOffset>-1355090</wp:posOffset>
            </wp:positionV>
            <wp:extent cx="7590155" cy="10735946"/>
            <wp:effectExtent l="0" t="0" r="0" b="0"/>
            <wp:wrapNone/>
            <wp:docPr id="129" name="图片 101" descr="3"/>
            <wp:cNvGraphicFramePr>
              <a:graphicFrameLocks noChangeAspect="1"/>
            </wp:cNvGraphicFramePr>
            <a:graphic>
              <a:graphicData uri="http://schemas.openxmlformats.org/drawingml/2006/picture">
                <pic:pic>
                  <pic:nvPicPr>
                    <pic:cNvPr id="131" name="图片 101 131"/>
                    <pic:cNvPicPr/>
                  </pic:nvPicPr>
                  <pic:blipFill>
                    <a:blip r:embed="rId12"/>
                    <a:stretch>
                      <a:fillRect/>
                    </a:stretch>
                  </pic:blipFill>
                  <pic:spPr>
                    <a:xfrm rot="0">
                      <a:off x="0" y="0"/>
                      <a:ext cx="7590155" cy="10735946"/>
                    </a:xfrm>
                    <a:prstGeom prst="rect"/>
                    <a:noFill/>
                    <a:ln w="9525" cmpd="sng" cap="flat">
                      <a:noFill/>
                      <a:prstDash val="solid"/>
                      <a:miter/>
                    </a:ln>
                  </pic:spPr>
                </pic:pic>
              </a:graphicData>
            </a:graphic>
          </wp:anchor>
        </w:drawing>
      </w:r>
    </w:p>
    <w:sectPr>
      <w:pgSz w:w="11906" w:h="16838"/>
      <w:pgMar w:top="2098" w:right="1474" w:bottom="1985" w:left="1588" w:header="851" w:footer="992" w:gutter="0"/>
      <w:docGrid w:type="lines" w:linePitch="312" w:charSpace="0"/>
    </w:sectPr>
  </w:body>
</w:document>
</file>

<file path=word/fontTable.xml><?xml version="1.0" encoding="utf-8"?>
<w:fonts xmlns:w="http://schemas.openxmlformats.org/wordprocessingml/2006/main" xmlns:r="http://schemas.openxmlformats.org/officeDocument/2006/relationships">
  <w:font w:name="黑体">
    <w:altName w:val="方正黑体_GBK"/>
    <w:panose1 w:val="02010609060101010101"/>
    <w:charset w:val="86"/>
    <w:family w:val="auto"/>
    <w:pitch w:val="variable"/>
    <w:sig w:usb0="800002BF" w:usb1="38CF7CFA" w:usb2="00000016" w:usb3="00000000" w:csb0="00040001" w:csb1="00000000"/>
  </w:font>
  <w:font w:name="楷体">
    <w:altName w:val="方正楷体_GBK"/>
    <w:panose1 w:val="02010609060101010101"/>
    <w:charset w:val="86"/>
    <w:family w:val="modern"/>
    <w:pitch w:val="variable"/>
    <w:sig w:usb0="800002BF" w:usb1="38CF7CFA" w:usb2="00000016" w:usb3="00000000" w:csb0="00040001" w:csb1="00000000"/>
  </w:font>
  <w:font w:name="楷体_GB2312">
    <w:altName w:val="方正楷体_GBK"/>
    <w:panose1 w:val="00000000000000000000"/>
    <w:charset w:val="86"/>
    <w:family w:val="modern"/>
    <w:pitch w:val="variable"/>
    <w:sig w:usb0="00000000" w:usb1="00000000" w:usb2="00000010" w:usb3="00000000" w:csb0="00040000" w:csb1="00000000"/>
  </w:font>
  <w:font w:name="宋体">
    <w:altName w:val="方正书宋_GBK"/>
    <w:panose1 w:val="02010600030101010101"/>
    <w:charset w:val="86"/>
    <w:family w:val="auto"/>
    <w:pitch w:val="variable"/>
    <w:sig w:usb0="00000003" w:usb1="288F0000" w:usb2="00000006" w:usb3="00000000" w:csb0="00040001" w:csb1="00000000"/>
  </w:font>
  <w:font w:name="仿宋_GB2312">
    <w:altName w:val="方正仿宋_GBK"/>
    <w:panose1 w:val="00000000000000000000"/>
    <w:charset w:val="86"/>
    <w:family w:val="modern"/>
    <w:pitch w:val="variable"/>
    <w:sig w:usb0="00000000" w:usb1="00000000" w:usb2="00000010" w:usb3="00000000" w:csb0="00040000" w:csb1="00000000"/>
  </w:font>
  <w:font w:name="ArialUnicodeMS">
    <w:altName w:val="阳光吾坚体"/>
    <w:panose1 w:val="00000000000000000000"/>
    <w:charset w:val="81"/>
    <w:family w:val="auto"/>
    <w:pitch w:val="variable"/>
    <w:sig w:usb0="00000000" w:usb1="00000000" w:usb2="00000010" w:usb3="00000000" w:csb0="00080001" w:csb1="00000000"/>
  </w:font>
  <w:font w:name="仿宋">
    <w:altName w:val="方正仿宋_GBK"/>
    <w:panose1 w:val="02010609060101010101"/>
    <w:charset w:val="86"/>
    <w:family w:val="modern"/>
    <w:pitch w:val="variable"/>
    <w:sig w:usb0="800002BF" w:usb1="38CF7CFA" w:usb2="00000016" w:usb3="00000000" w:csb0="00040001" w:csb1="00000000"/>
  </w:font>
  <w:font w:name="MS-UIGothic,Bold">
    <w:altName w:val="方正黑体_GBK"/>
    <w:panose1 w:val="00000000000000000000"/>
    <w:charset w:val="81"/>
    <w:family w:val="auto"/>
    <w:pitch w:val="variable"/>
    <w:sig w:usb0="00000000" w:usb1="00000000" w:usb2="00000010" w:usb3="00000000" w:csb0="00080000" w:csb1="00000000"/>
  </w:font>
  <w:font w:name="DengXian-Regular">
    <w:altName w:val="方正书宋_GBK"/>
    <w:panose1 w:val="00000000000000000000"/>
    <w:charset w:val="86"/>
    <w:family w:val="auto"/>
    <w:pitch w:val="variable"/>
    <w:sig w:usb0="00000000" w:usb1="00000000" w:usb2="00000010" w:usb3="00000000" w:csb0="00040001" w:csb1="00000000"/>
  </w:font>
  <w:font w:name="DengXian-Bold">
    <w:altName w:val="方正书宋_GBK"/>
    <w:panose1 w:val="00000000000000000000"/>
    <w:charset w:val="86"/>
    <w:family w:val="auto"/>
    <w:pitch w:val="variable"/>
    <w:sig w:usb0="00000000" w:usb1="00000000" w:usb2="00000010" w:usb3="00000000" w:csb0="00040001" w:csb1="00000000"/>
  </w:font>
  <w:font w:name="Times New Roman">
    <w:altName w:val="DejaVu Sans"/>
    <w:panose1 w:val="02020603050405020304"/>
    <w:charset w:val="00"/>
    <w:family w:val="roman"/>
    <w:pitch w:val="variable"/>
    <w:sig w:usb0="20007A87" w:usb1="80000000" w:usb2="00000008" w:usb3="00000000" w:csb0="000001FF" w:csb1="00000000"/>
  </w:font>
  <w:font w:name="Calibri">
    <w:altName w:val="DejaVu Sans"/>
    <w:panose1 w:val="020F0502020204030204"/>
    <w:charset w:val="00"/>
    <w:family w:val="swiss"/>
    <w:pitch w:val="variable"/>
    <w:sig w:usb0="E4002EFF" w:usb1="C000247B" w:usb2="00000009" w:usb3="00000000" w:csb0="200001FF" w:csb1="00000000"/>
  </w:font>
  <w:font w:name="Arial">
    <w:altName w:val="DejaVu Sans"/>
    <w:panose1 w:val="020B0604020202020204"/>
    <w:charset w:val="01"/>
    <w:family w:val="swiss"/>
    <w:pitch w:val="variable"/>
    <w:sig w:usb0="E0002EFF" w:usb1="C000785B" w:usb2="00000009" w:usb3="00000000" w:csb0="400001FF" w:csb1="FFFF0000"/>
  </w:font>
  <w:font w:name="Cambria">
    <w:altName w:val="DejaVu Sans"/>
    <w:panose1 w:val="02040503050406030204"/>
    <w:charset w:val="00"/>
    <w:family w:val="roman"/>
    <w:pitch w:val="variable"/>
    <w:sig w:usb0="E00006FF" w:usb1="420024FF" w:usb2="02000000" w:usb3="00000000" w:csb0="2000019F" w:csb1="00000000"/>
  </w:font>
</w:fonts>
</file>

<file path=word/numbering.xml><?xml version="1.0" encoding="utf-8"?>
<w:numbering xmlns:w="http://schemas.openxmlformats.org/wordprocessingml/2006/main" xmlns:o="urn:schemas-microsoft-com:office:office" xmlns:r="http://schemas.openxmlformats.org/officeDocument/2006/relationships" xmlns:m="http://schemas.openxmlformats.org/officeDocument/2006/math" xmlns:v="urn:schemas-microsoft-com:vml" xmlns:mc="http://schemas.openxmlformats.org/markup-compatibility/2006" xmlns:w14="http://schemas.microsoft.com/office/word/2010/wordml">
  <w:abstractNum w:abstractNumId="0">
    <w:nsid w:val="45DB9A87"/>
    <w:multiLevelType w:val="singleLevel"/>
    <w:tmpl w:val="45DB9A87"/>
    <w:lvl w:ilvl="0">
      <w:start w:val="3"/>
      <w:numFmt w:val="chineseCounting"/>
      <w:lvlRestart w:val="0"/>
      <w:suff w:val="nothing"/>
      <w:lvlText w:val="（%1）"/>
      <w:lvlJc w:val="left"/>
      <w:pPr>
        <w:ind w:left="0" w:hanging="0"/>
      </w:pPr>
      <w:rPr>
        <w:rFonts w:hint="eastAsia"/>
      </w:rPr>
    </w:lvl>
  </w:abstractNum>
  <w:num w:numId="1">
    <w:abstractNumId w:val="0"/>
  </w:num>
</w:numbering>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10"/>
  <w:bordersDoNotSurroundHeader/>
  <w:bordersDoNotSurroundFooter/>
  <w:documentProtection w:edit="readOnly" w:enforcement="0"/>
  <w:defaultTabStop w:val="420"/>
  <w:drawingGridHorizontalSpacing w:val="105"/>
  <w:drawingGridVerticalSpacing w:val="156"/>
  <w:displayHorizontalDrawingGridEvery w:val="0"/>
  <w:displayVerticalDrawingGridEvery w:val="1"/>
  <w:noPunctuationKerning/>
  <w:characterSpacingControl w:val="compressPunctuation"/>
  <w:compat>
    <w:spaceForUL/>
    <w:balanceSingleByteDoubleByteWidth/>
    <w:ulTrailSpace/>
    <w:doNotExpandShiftReturn/>
    <w:adjustLineHeightInTable/>
    <w:compatSetting w:name="compatibilityMode" w:uri="http://schemas.microsoft.com/office/word" w:val="14"/>
  </w:compat>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Times New Roman"/>
        <w:lang w:val="en-US" w:eastAsia="zh-CN" w:bidi="ar-SA"/>
      </w:rPr>
    </w:rPrDefault>
    <w:pPrDefault/>
  </w:docDefaults>
  <w:style w:type="paragraph" w:default="1" w:styleId="0">
    <w:name w:val="Normal"/>
    <w:pPr>
      <w:widowControl w:val="0"/>
      <w:spacing w:after="160" w:line="480" w:lineRule="auto"/>
      <w:jc w:val="both"/>
    </w:pPr>
    <w:rPr>
      <w:rFonts w:ascii="Times New Roman" w:eastAsia="宋体" w:cs="Times New Roman" w:hAnsi="Times New Roman"/>
      <w:kern w:val="2"/>
      <w:sz w:val="21"/>
      <w:szCs w:val="24"/>
      <w:lang w:val="en-US" w:eastAsia="zh-CN" w:bidi="ar-SA"/>
    </w:rPr>
  </w:style>
  <w:style w:type="paragraph" w:styleId="1">
    <w:name w:val="heading 1"/>
    <w:basedOn w:val="0"/>
    <w:next w:val="0"/>
    <w:pPr>
      <w:keepNext/>
      <w:keepLines/>
      <w:widowControl w:val="0"/>
      <w:spacing w:before="340" w:after="330" w:line="578" w:lineRule="auto"/>
      <w:outlineLvl w:val="0"/>
    </w:pPr>
    <w:rPr>
      <w:b/>
      <w:bCs/>
      <w:kern w:val="44"/>
      <w:sz w:val="44"/>
      <w:szCs w:val="44"/>
    </w:rPr>
  </w:style>
  <w:style w:type="paragraph" w:styleId="2">
    <w:name w:val="heading 2"/>
    <w:basedOn w:val="0"/>
    <w:next w:val="0"/>
    <w:pPr>
      <w:keepNext/>
      <w:keepLines/>
      <w:widowControl w:val="0"/>
      <w:spacing w:before="260" w:after="260" w:line="415" w:lineRule="auto"/>
      <w:outlineLvl w:val="1"/>
    </w:pPr>
    <w:rPr>
      <w:rFonts w:ascii="Calibri" w:eastAsia="宋体" w:cs="Arial" w:hAnsi="Calibri"/>
      <w:b/>
      <w:bCs/>
      <w:sz w:val="32"/>
      <w:szCs w:val="32"/>
    </w:rPr>
  </w:style>
  <w:style w:type="paragraph" w:styleId="3">
    <w:name w:val="heading 3"/>
    <w:basedOn w:val="0"/>
    <w:next w:val="0"/>
    <w:pPr>
      <w:keepNext/>
      <w:keepLines/>
      <w:widowControl w:val="0"/>
      <w:spacing w:before="260" w:after="260" w:line="415" w:lineRule="auto"/>
      <w:outlineLvl w:val="2"/>
    </w:pPr>
    <w:rPr>
      <w:b/>
      <w:bCs/>
      <w:sz w:val="32"/>
      <w:szCs w:val="32"/>
    </w:rPr>
  </w:style>
  <w:style w:type="paragraph" w:styleId="4">
    <w:name w:val="heading 4"/>
    <w:basedOn w:val="0"/>
    <w:next w:val="0"/>
    <w:pPr>
      <w:keepNext/>
      <w:keepLines/>
      <w:widowControl w:val="0"/>
      <w:spacing w:before="280" w:after="290" w:line="377" w:lineRule="auto"/>
      <w:outlineLvl w:val="3"/>
    </w:pPr>
    <w:rPr>
      <w:rFonts w:ascii="Calibri" w:eastAsia="宋体" w:cs="Arial" w:hAnsi="Calibri"/>
      <w:b/>
      <w:bCs/>
      <w:sz w:val="28"/>
      <w:szCs w:val="28"/>
    </w:rPr>
  </w:style>
  <w:style w:type="character" w:default="1" w:styleId="10">
    <w:name w:val="Default Paragraph Font"/>
  </w:style>
  <w:style w:type="paragraph" w:styleId="15">
    <w:name w:val="Date"/>
    <w:basedOn w:val="0"/>
    <w:next w:val="0"/>
    <w:pPr>
      <w:ind w:leftChars="2500" w:left="2500"/>
    </w:pPr>
  </w:style>
  <w:style w:type="paragraph" w:styleId="16">
    <w:name w:val="Balloon Text"/>
    <w:basedOn w:val="0"/>
    <w:rPr>
      <w:sz w:val="18"/>
      <w:szCs w:val="18"/>
    </w:rPr>
  </w:style>
  <w:style w:type="paragraph" w:styleId="17">
    <w:name w:val="footer"/>
    <w:basedOn w:val="0"/>
    <w:pPr>
      <w:tabs>
        <w:tab w:val="center" w:pos="4153"/>
        <w:tab w:val="right" w:pos="8306"/>
      </w:tabs>
      <w:snapToGrid w:val="0"/>
      <w:jc w:val="left"/>
    </w:pPr>
    <w:rPr>
      <w:rFonts w:ascii="Cambria" w:eastAsia="黑体" w:cs="Times New Roman" w:hAnsi="Cambria"/>
      <w:sz w:val="18"/>
      <w:szCs w:val="18"/>
    </w:rPr>
  </w:style>
  <w:style w:type="paragraph" w:styleId="18">
    <w:name w:val="header"/>
    <w:basedOn w:val="0"/>
    <w:pPr>
      <w:pBdr>
        <w:bottom w:val="single" w:sz="6" w:space="1" w:color="auto"/>
      </w:pBdr>
      <w:tabs>
        <w:tab w:val="center" w:pos="4153"/>
        <w:tab w:val="right" w:pos="8306"/>
      </w:tabs>
      <w:snapToGrid w:val="0"/>
      <w:jc w:val="center"/>
    </w:pPr>
    <w:rPr>
      <w:rFonts w:ascii="Cambria" w:eastAsia="黑体" w:cs="Times New Roman" w:hAnsi="Cambria"/>
      <w:sz w:val="18"/>
      <w:szCs w:val="18"/>
    </w:rPr>
  </w:style>
  <w:style w:type="paragraph" w:styleId="19">
    <w:name w:val="Subtitle"/>
    <w:basedOn w:val="0"/>
    <w:next w:val="0"/>
    <w:pPr>
      <w:widowControl/>
      <w:spacing w:after="200" w:line="276" w:lineRule="auto"/>
      <w:jc w:val="left"/>
    </w:pPr>
    <w:rPr>
      <w:rFonts w:ascii="Calibri" w:eastAsia="宋体" w:cs="Arial" w:hAnsi="Calibri"/>
      <w:i/>
      <w:iCs/>
      <w:color w:val="F0A22E"/>
      <w:spacing w:val="15"/>
      <w:kern w:val="0"/>
      <w:sz w:val="24"/>
    </w:rPr>
  </w:style>
  <w:style w:type="paragraph" w:styleId="20">
    <w:name w:val="Title"/>
    <w:basedOn w:val="0"/>
    <w:next w:val="0"/>
    <w:pPr>
      <w:widowControl/>
      <w:pBdr>
        <w:bottom w:val="single" w:sz="8" w:space="4" w:color="F0A22E"/>
      </w:pBdr>
      <w:spacing w:after="300"/>
      <w:contextualSpacing/>
      <w:jc w:val="left"/>
    </w:pPr>
    <w:rPr>
      <w:rFonts w:ascii="Calibri" w:eastAsia="宋体" w:cs="Arial" w:hAnsi="Calibri"/>
      <w:color w:val="3A2C23"/>
      <w:spacing w:val="5"/>
      <w:kern w:val="28"/>
      <w:sz w:val="52"/>
      <w:szCs w:val="52"/>
    </w:rPr>
  </w:style>
  <w:style w:type="paragraph" w:styleId="21">
    <w:name w:val="No Spacing"/>
    <w:pPr>
      <w:spacing w:after="160" w:line="480" w:lineRule="auto"/>
    </w:pPr>
    <w:rPr>
      <w:rFonts w:ascii="Cambria" w:eastAsia="黑体" w:cs="Times New Roman" w:hAnsi="Cambria"/>
      <w:sz w:val="22"/>
      <w:szCs w:val="22"/>
      <w:lang w:val="en-US" w:eastAsia="zh-CN" w:bidi="ar-SA"/>
    </w:rPr>
  </w:style>
  <w:style w:type="character" w:customStyle="1" w:styleId="22">
    <w:name w:val="Style1"/>
    <w:basedOn w:val="10"/>
    <w:rPr>
      <w:rFonts w:ascii="Cambria" w:eastAsia="黑体" w:cs="Times New Roman" w:hAnsi="Cambria"/>
      <w:sz w:val="22"/>
      <w:szCs w:val="22"/>
      <w:lang w:eastAsia="zh-CN"/>
    </w:rPr>
  </w:style>
  <w:style w:type="character" w:customStyle="1" w:styleId="23">
    <w:name w:val="Style2"/>
    <w:basedOn w:val="10"/>
    <w:rPr>
      <w:rFonts w:ascii="Cambria" w:eastAsia="黑体" w:cs="Times New Roman" w:hAnsi="Cambria"/>
      <w:sz w:val="22"/>
      <w:szCs w:val="22"/>
      <w:lang w:eastAsia="zh-CN"/>
    </w:rPr>
  </w:style>
  <w:style w:type="character" w:customStyle="1" w:styleId="24">
    <w:name w:val="Style3"/>
    <w:basedOn w:val="10"/>
    <w:rPr>
      <w:rFonts w:ascii="Cambria" w:eastAsia="黑体" w:cs="Times New Roman" w:hAnsi="Cambria"/>
      <w:szCs w:val="22"/>
      <w:lang w:eastAsia="zh-CN"/>
    </w:rPr>
  </w:style>
  <w:style w:type="character" w:customStyle="1" w:styleId="25">
    <w:name w:val="Style4"/>
    <w:basedOn w:val="10"/>
    <w:rPr>
      <w:rFonts w:ascii="Cambria" w:eastAsia="黑体" w:cs="Times New Roman" w:hAnsi="Cambria"/>
      <w:szCs w:val="22"/>
      <w:lang w:eastAsia="zh-CN"/>
    </w:rPr>
  </w:style>
  <w:style w:type="character" w:customStyle="1" w:styleId="26">
    <w:name w:val="Style5"/>
    <w:basedOn w:val="10"/>
    <w:rPr>
      <w:rFonts w:ascii="Cambria" w:eastAsia="黑体" w:cs="Times New Roman" w:hAnsi="Cambria"/>
      <w:sz w:val="22"/>
      <w:szCs w:val="22"/>
      <w:lang w:eastAsia="zh-CN"/>
    </w:rPr>
  </w:style>
  <w:style w:type="paragraph" w:styleId="27">
    <w:name w:val="List Paragraph"/>
    <w:basedOn w:val="0"/>
    <w:pPr>
      <w:ind w:firstLineChars="200" w:firstLine="200"/>
    </w:p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image" Target="media/2.jpeg"/><Relationship Id="rId3" Type="http://schemas.openxmlformats.org/officeDocument/2006/relationships/image" Target="media/24.jpeg"/><Relationship Id="rId4" Type="http://schemas.openxmlformats.org/officeDocument/2006/relationships/image" Target="media/24.jpeg"/><Relationship Id="rId5" Type="http://schemas.openxmlformats.org/officeDocument/2006/relationships/image" Target="media/24.jpeg"/><Relationship Id="rId6" Type="http://schemas.openxmlformats.org/officeDocument/2006/relationships/chart" Target="charts/chart1.xml"/><Relationship Id="rId7" Type="http://schemas.openxmlformats.org/officeDocument/2006/relationships/chart" Target="charts/chart2.xml"/><Relationship Id="rId8" Type="http://schemas.openxmlformats.org/officeDocument/2006/relationships/chart" Target="charts/chart3.xml"/><Relationship Id="rId9" Type="http://schemas.openxmlformats.org/officeDocument/2006/relationships/chart" Target="charts/chart4.xml"/><Relationship Id="rId10" Type="http://schemas.openxmlformats.org/officeDocument/2006/relationships/chart" Target="charts/chart5.xml"/><Relationship Id="rId11" Type="http://schemas.openxmlformats.org/officeDocument/2006/relationships/image" Target="media/24.jpeg"/><Relationship Id="rId12" Type="http://schemas.openxmlformats.org/officeDocument/2006/relationships/image" Target="media/130.jpeg"/><Relationship Id="rId13" Type="http://schemas.openxmlformats.org/officeDocument/2006/relationships/styles" Target="styles.xml"/><Relationship Id="rId14" Type="http://schemas.openxmlformats.org/officeDocument/2006/relationships/numbering" Target="numbering.xml"/><Relationship Id="rId15" Type="http://schemas.openxmlformats.org/officeDocument/2006/relationships/fontTable" Target="fontTable.xml"/><Relationship Id="rId16" Type="http://schemas.openxmlformats.org/officeDocument/2006/relationships/customXml" Target="../customXml/item1.xml"/></Relationships>
</file>

<file path=word/charts/_rels/chart1.xml.rels><?xml version="1.0" encoding="UTF-8" standalone="yes"?>
<Relationships xmlns="http://schemas.openxmlformats.org/package/2006/relationships"><Relationship Id="rId1" Type="http://schemas.openxmlformats.org/officeDocument/2006/relationships/package" Target="../embeddings/char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char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char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chart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chart5.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销售额</c:v>
                </c:pt>
              </c:strCache>
            </c:strRef>
          </c:tx>
          <c:spPr>
            <a:solidFill>
              <a:srgbClr val="4F81BD"/>
            </a:solidFill>
          </c:spPr>
          <c:dPt>
            <c:idx val="0"/>
            <c:bubble3D val="0"/>
            <c:spPr>
              <a:solidFill>
                <a:srgbClr val="4F81BD"/>
              </a:solidFill>
            </c:spPr>
          </c:dPt>
          <c:dLbls>
            <c:spPr>
              <a:noFill/>
              <a:ln>
                <a:noFill/>
              </a:ln>
            </c:spPr>
            <c:txPr>
              <a:bodyPr vert="horz"/>
              <a:lstStyle/>
              <a:p>
                <a:pPr>
                  <a:defRPr sz="1000" b="0" i="0" u="none" strike="noStrike" baseline="0">
                    <a:solidFill>
                      <a:srgbClr val="000000"/>
                    </a:solidFill>
                    <a:latin typeface="方正兰亭黑_GBK"/>
                    <a:ea typeface="方正兰亭黑_GBK"/>
                    <a:cs typeface="Lucida Sans"/>
                  </a:defRPr>
                </a:pPr>
                <a:endParaRPr lang="zh-CN"/>
              </a:p>
            </c:txPr>
            <c:numFmt formatCode="0%" sourceLinked="0"/>
            <c:showLegendKey val="0"/>
            <c:showVal val="0"/>
            <c:showCatName val="1"/>
            <c:showSerName val="0"/>
            <c:showPercent val="1"/>
            <c:showBubbleSize val="0"/>
            <c:showLeaderLines val="1"/>
          </c:dLbls>
          <c:cat>
            <c:strRef>
              <c:f>'Sheet1'!$A$2</c:f>
              <c:strCache>
                <c:ptCount val="1"/>
                <c:pt idx="0">
                  <c:v>财政拨款收入</c:v>
                </c:pt>
              </c:strCache>
            </c:strRef>
          </c:cat>
          <c:val>
            <c:numRef>
              <c:f>Sheet1!$B$2</c:f>
              <c:numCache>
                <c:formatCode>0%</c:formatCode>
                <c:ptCount val="1"/>
                <c:pt idx="0">
                  <c:v>1.0</c:v>
                </c:pt>
              </c:numCache>
            </c:numRef>
          </c:val>
        </c:ser>
        <c:firstSliceAng val="0"/>
      </c:pieChart>
      <c:spPr>
        <a:noFill/>
      </c:spPr>
    </c:plotArea>
    <c:plotVisOnly val="1"/>
    <c:dispBlanksAs val="gap"/>
    <c:showDLblsOverMax val="0"/>
  </c:chart>
  <c:spPr/>
  <c:txPr>
    <a:bodyPr/>
    <a:lstStyle/>
    <a:p>
      <a:pPr>
        <a:defRPr sz="1000" b="0" i="0" u="none" strike="noStrike" baseline="0">
          <a:solidFill>
            <a:srgbClr val="000000"/>
          </a:solidFill>
          <a:latin typeface="方正兰亭黑_GBK"/>
          <a:ea typeface="方正兰亭黑_GBK"/>
          <a:cs typeface="Lucida Sans"/>
        </a:defRPr>
      </a:pPr>
      <a:endParaRPr lang="zh-CN"/>
    </a:p>
  </c:txPr>
  <c:printSettings>
    <c:headerFooter/>
    <c:pageMargins b="0.75" l="0.7" r="0.7" t="0.75" header="0.3" footer="0.3"/>
    <c:pageSetup/>
  </c:printSettings>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 (2)'!$B$1</c:f>
              <c:strCache>
                <c:ptCount val="1"/>
                <c:pt idx="0">
                  <c:v>销售额</c:v>
                </c:pt>
              </c:strCache>
            </c:strRef>
          </c:tx>
          <c:spPr>
            <a:solidFill>
              <a:srgbClr val="4F81BD"/>
            </a:solidFill>
          </c:spPr>
          <c:dPt>
            <c:idx val="0"/>
            <c:bubble3D val="0"/>
            <c:spPr>
              <a:solidFill>
                <a:srgbClr val="4F81BD"/>
              </a:solidFill>
            </c:spPr>
          </c:dPt>
          <c:dPt>
            <c:idx val="1"/>
            <c:bubble3D val="0"/>
            <c:spPr>
              <a:solidFill>
                <a:srgbClr val="C0504D"/>
              </a:solidFill>
            </c:spPr>
          </c:dPt>
          <c:dLbls>
            <c:spPr>
              <a:noFill/>
              <a:ln>
                <a:noFill/>
              </a:ln>
            </c:spPr>
            <c:txPr>
              <a:bodyPr vert="horz"/>
              <a:lstStyle/>
              <a:p>
                <a:pPr>
                  <a:defRPr sz="1000" b="0" i="0" u="none" strike="noStrike" baseline="0">
                    <a:solidFill>
                      <a:srgbClr val="000000"/>
                    </a:solidFill>
                    <a:latin typeface="方正兰亭黑_GBK"/>
                    <a:ea typeface="方正兰亭黑_GBK"/>
                    <a:cs typeface="Lucida Sans"/>
                  </a:defRPr>
                </a:pPr>
                <a:endParaRPr lang="zh-CN"/>
              </a:p>
            </c:txPr>
            <c:numFmt formatCode="0%" sourceLinked="0"/>
            <c:showLegendKey val="0"/>
            <c:showVal val="0"/>
            <c:showCatName val="1"/>
            <c:showSerName val="0"/>
            <c:showPercent val="1"/>
            <c:showBubbleSize val="0"/>
            <c:showLeaderLines val="1"/>
          </c:dLbls>
          <c:cat>
            <c:strRef>
              <c:f>'Sheet1 (2)'!$A$2:$A$3</c:f>
              <c:strCache>
                <c:ptCount val="2"/>
                <c:pt idx="0">
                  <c:v>基本支出</c:v>
                </c:pt>
                <c:pt idx="1">
                  <c:v>项目支出</c:v>
                </c:pt>
              </c:strCache>
            </c:strRef>
          </c:cat>
          <c:val>
            <c:numRef>
              <c:f>'Sheet1 (2)'!$B$2:$B$3</c:f>
              <c:numCache>
                <c:formatCode>0.00%</c:formatCode>
                <c:ptCount val="2"/>
                <c:pt idx="0">
                  <c:v>0.5944</c:v>
                </c:pt>
                <c:pt idx="1">
                  <c:v>0.4056</c:v>
                </c:pt>
              </c:numCache>
            </c:numRef>
          </c:val>
        </c:ser>
        <c:firstSliceAng val="0"/>
      </c:pieChart>
      <c:spPr>
        <a:noFill/>
      </c:spPr>
    </c:plotArea>
    <c:plotVisOnly val="1"/>
    <c:dispBlanksAs val="gap"/>
    <c:showDLblsOverMax val="0"/>
  </c:chart>
  <c:spPr/>
  <c:txPr>
    <a:bodyPr/>
    <a:lstStyle/>
    <a:p>
      <a:pPr>
        <a:defRPr sz="1000" b="0" i="0" u="none" strike="noStrike" baseline="0">
          <a:solidFill>
            <a:srgbClr val="000000"/>
          </a:solidFill>
          <a:latin typeface="方正兰亭黑_GBK"/>
          <a:ea typeface="方正兰亭黑_GBK"/>
          <a:cs typeface="Lucida Sans"/>
        </a:defRPr>
      </a:pPr>
      <a:endParaRPr lang="zh-CN"/>
    </a:p>
  </c:txPr>
  <c:printSettings>
    <c:headerFooter/>
    <c:pageMargins b="0.75" l="0.7" r="0.7" t="0.75" header="0.3" footer="0.3"/>
    <c:pageSetup/>
  </c:printSettings>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stacked"/>
        <c:varyColors val="0"/>
        <c:ser>
          <c:idx val="0"/>
          <c:order val="0"/>
          <c:tx>
            <c:strRef>
              <c:f>'Sheet1 (3)'!$B$1</c:f>
              <c:strCache>
                <c:ptCount val="1"/>
                <c:pt idx="0">
                  <c:v>系列 1</c:v>
                </c:pt>
              </c:strCache>
            </c:strRef>
          </c:tx>
          <c:spPr>
            <a:solidFill>
              <a:srgbClr val="F0A22E"/>
            </a:solidFill>
          </c:spPr>
          <c:invertIfNegative val="0"/>
          <c:dLbls>
            <c:spPr>
              <a:noFill/>
              <a:ln>
                <a:noFill/>
              </a:ln>
            </c:spPr>
            <c:txPr>
              <a:bodyPr vert="horz"/>
              <a:lstStyle/>
              <a:p>
                <a:pPr>
                  <a:defRPr sz="1000" b="0" i="0" u="none" strike="noStrike" baseline="0">
                    <a:solidFill>
                      <a:srgbClr val="000000"/>
                    </a:solidFill>
                    <a:latin typeface="方正兰亭黑_GBK"/>
                    <a:ea typeface="方正兰亭黑_GBK"/>
                    <a:cs typeface="Lucida Sans"/>
                  </a:defRPr>
                </a:pPr>
                <a:endParaRPr lang="zh-CN"/>
              </a:p>
            </c:txPr>
            <c:numFmt formatCode="General" sourceLinked="1"/>
            <c:dLbl>
              <c:idx val="0"/>
              <c:layout>
                <c:manualLayout>
                  <c:x val="0.0"/>
                  <c:y val="-0.41692466"/>
                </c:manualLayout>
              </c:layout>
              <c:spPr>
                <a:noFill/>
                <a:ln>
                  <a:noFill/>
                </a:ln>
              </c:spPr>
              <c:txPr>
                <a:bodyPr vert="horz"/>
                <a:lstStyle/>
                <a:p>
                  <a:pPr>
                    <a:defRPr sz="1000" b="0" i="0" u="none" strike="noStrike" baseline="0">
                      <a:solidFill>
                        <a:srgbClr val="000000"/>
                      </a:solidFill>
                      <a:latin typeface="方正兰亭黑_GBK"/>
                      <a:ea typeface="方正兰亭黑_GBK"/>
                      <a:cs typeface="Lucida Sans"/>
                    </a:defRPr>
                  </a:pPr>
                  <a:endParaRPr lang="zh-CN"/>
                </a:p>
              </c:txPr>
              <c:dLblPos val="ctr"/>
              <c:showLegendKey val="0"/>
              <c:showVal val="1"/>
              <c:showCatName val="0"/>
              <c:showSerName val="0"/>
              <c:showPercent val="0"/>
              <c:showBubbleSize val="0"/>
            </c:dLbl>
            <c:dLbl>
              <c:idx val="1"/>
              <c:layout>
                <c:manualLayout>
                  <c:x val="0.0"/>
                  <c:y val="-0.28070176"/>
                </c:manualLayout>
              </c:layout>
              <c:spPr>
                <a:noFill/>
                <a:ln>
                  <a:noFill/>
                </a:ln>
              </c:spPr>
              <c:txPr>
                <a:bodyPr vert="horz"/>
                <a:lstStyle/>
                <a:p>
                  <a:pPr>
                    <a:defRPr sz="1000" b="0" i="0" u="none" strike="noStrike" baseline="0">
                      <a:solidFill>
                        <a:srgbClr val="000000"/>
                      </a:solidFill>
                      <a:latin typeface="方正兰亭黑_GBK"/>
                      <a:ea typeface="方正兰亭黑_GBK"/>
                      <a:cs typeface="Lucida Sans"/>
                    </a:defRPr>
                  </a:pPr>
                  <a:endParaRPr lang="zh-CN"/>
                </a:p>
              </c:txPr>
              <c:dLblPos val="ctr"/>
              <c:showLegendKey val="0"/>
              <c:showVal val="1"/>
              <c:showCatName val="0"/>
              <c:showSerName val="0"/>
              <c:showPercent val="0"/>
              <c:showBubbleSize val="0"/>
            </c:dLbl>
            <c:dLbl>
              <c:idx val="2"/>
              <c:layout>
                <c:manualLayout>
                  <c:x val="0.0072236937"/>
                  <c:y val="-0.35500515"/>
                </c:manualLayout>
              </c:layout>
              <c:spPr>
                <a:noFill/>
                <a:ln>
                  <a:noFill/>
                </a:ln>
              </c:spPr>
              <c:txPr>
                <a:bodyPr vert="horz"/>
                <a:lstStyle/>
                <a:p>
                  <a:pPr>
                    <a:defRPr sz="1000" b="0" i="0" u="none" strike="noStrike" baseline="0">
                      <a:solidFill>
                        <a:srgbClr val="000000"/>
                      </a:solidFill>
                      <a:latin typeface="方正兰亭黑_GBK"/>
                      <a:ea typeface="方正兰亭黑_GBK"/>
                      <a:cs typeface="Lucida Sans"/>
                    </a:defRPr>
                  </a:pPr>
                  <a:endParaRPr lang="zh-CN"/>
                </a:p>
              </c:txPr>
              <c:dLblPos val="ctr"/>
              <c:showLegendKey val="0"/>
              <c:showVal val="1"/>
              <c:showCatName val="0"/>
              <c:showSerName val="0"/>
              <c:showPercent val="0"/>
              <c:showBubbleSize val="0"/>
            </c:dLbl>
            <c:dLbl>
              <c:idx val="3"/>
              <c:layout>
                <c:manualLayout>
                  <c:x val="0.0"/>
                  <c:y val="-0.27244583"/>
                </c:manualLayout>
              </c:layout>
              <c:spPr>
                <a:noFill/>
                <a:ln>
                  <a:noFill/>
                </a:ln>
              </c:spPr>
              <c:txPr>
                <a:bodyPr vert="horz"/>
                <a:lstStyle/>
                <a:p>
                  <a:pPr>
                    <a:defRPr sz="1000" b="0" i="0" u="none" strike="noStrike" baseline="0">
                      <a:solidFill>
                        <a:srgbClr val="000000"/>
                      </a:solidFill>
                      <a:latin typeface="方正兰亭黑_GBK"/>
                      <a:ea typeface="方正兰亭黑_GBK"/>
                      <a:cs typeface="Lucida Sans"/>
                    </a:defRPr>
                  </a:pPr>
                  <a:endParaRPr lang="zh-CN"/>
                </a:p>
              </c:txPr>
              <c:dLblPos val="ctr"/>
              <c:showLegendKey val="0"/>
              <c:showVal val="1"/>
              <c:showCatName val="0"/>
              <c:showSerName val="0"/>
              <c:showPercent val="0"/>
              <c:showBubbleSize val="0"/>
            </c:dLbl>
            <c:dLblPos val="ctr"/>
            <c:showLegendKey val="0"/>
            <c:showVal val="1"/>
            <c:showCatName val="0"/>
            <c:showSerName val="0"/>
            <c:showPercent val="0"/>
            <c:showBubbleSize val="0"/>
            <c:showLeaderLines val="0"/>
          </c:dLbls>
          <c:cat>
            <c:strRef>
              <c:f>'Sheet1 (3)'!$A$2:$A$5</c:f>
              <c:strCache>
                <c:ptCount val="4"/>
                <c:pt idx="0">
                  <c:v>2018年度收入</c:v>
                </c:pt>
                <c:pt idx="1">
                  <c:v>2017年度收入</c:v>
                </c:pt>
                <c:pt idx="2">
                  <c:v>2018年度支出</c:v>
                </c:pt>
                <c:pt idx="3">
                  <c:v>2017年度支出</c:v>
                </c:pt>
              </c:strCache>
            </c:strRef>
          </c:cat>
          <c:val>
            <c:numRef>
              <c:f>'Sheet1 (3)'!$B$2:$B$5</c:f>
              <c:numCache>
                <c:formatCode>General</c:formatCode>
                <c:ptCount val="4"/>
                <c:pt idx="0">
                  <c:v>7152.66</c:v>
                </c:pt>
                <c:pt idx="1">
                  <c:v>4378.99</c:v>
                </c:pt>
                <c:pt idx="2">
                  <c:v>6321.83</c:v>
                </c:pt>
                <c:pt idx="3">
                  <c:v>4438.68</c:v>
                </c:pt>
              </c:numCache>
            </c:numRef>
          </c:val>
        </c:ser>
        <c:overlap val="100"/>
        <c:gapWidth val="150"/>
        <c:axId val="0"/>
        <c:axId val="1"/>
      </c:barChart>
      <c:catAx>
        <c:axId val="0"/>
        <c:scaling>
          <c:orientation val="minMax"/>
        </c:scaling>
        <c:delete val="0"/>
        <c:axPos val="b"/>
        <c:numFmt formatCode="General" sourceLinked="1"/>
        <c:majorTickMark val="out"/>
        <c:minorTickMark val="none"/>
        <c:tickLblPos val="nextTo"/>
        <c:txPr>
          <a:bodyPr/>
          <a:lstStyle/>
          <a:p>
            <a:pPr>
              <a:defRPr sz="1000" b="0" i="0" u="none" strike="noStrike" baseline="0">
                <a:solidFill>
                  <a:srgbClr val="000000"/>
                </a:solidFill>
                <a:latin typeface="方正兰亭黑_GBK"/>
                <a:ea typeface="方正兰亭黑_GBK"/>
                <a:cs typeface="Lucida Sans"/>
              </a:defRPr>
            </a:pPr>
            <a:endParaRPr lang="zh-CN"/>
          </a:p>
        </c:txPr>
        <c:crosses val="autoZero"/>
        <c:auto val="1"/>
        <c:lblOffset val="100"/>
        <c:lblAlgn val="ctr"/>
        <c:noMultiLvlLbl val="0"/>
        <c:crossAx val="1"/>
      </c:catAx>
      <c:valAx>
        <c:axId val="1"/>
        <c:scaling>
          <c:orientation val="minMax"/>
        </c:scaling>
        <c:delete val="0"/>
        <c:axPos val="l"/>
        <c:majorGridlines/>
        <c:numFmt formatCode="General" sourceLinked="1"/>
        <c:majorTickMark val="out"/>
        <c:minorTickMark val="none"/>
        <c:tickLblPos val="nextTo"/>
        <c:txPr>
          <a:bodyPr/>
          <a:lstStyle/>
          <a:p>
            <a:pPr>
              <a:defRPr sz="1000" b="0" i="0" u="none" strike="noStrike" baseline="0">
                <a:solidFill>
                  <a:srgbClr val="000000"/>
                </a:solidFill>
                <a:latin typeface="方正兰亭黑_GBK"/>
                <a:ea typeface="方正兰亭黑_GBK"/>
                <a:cs typeface="Lucida Sans"/>
              </a:defRPr>
            </a:pPr>
            <a:endParaRPr lang="zh-CN"/>
          </a:p>
        </c:txPr>
        <c:crossesAt val="1.0"/>
        <c:crossBetween val="between"/>
        <c:crossAx val="0"/>
      </c:valAx>
      <c:spPr>
        <a:solidFill>
          <a:srgbClr val="FFFFFF"/>
        </a:solidFill>
      </c:spPr>
    </c:plotArea>
    <c:plotVisOnly val="1"/>
    <c:dispBlanksAs val="gap"/>
    <c:showDLblsOverMax val="0"/>
  </c:chart>
  <c:spPr/>
  <c:txPr>
    <a:bodyPr/>
    <a:lstStyle/>
    <a:p>
      <a:pPr>
        <a:defRPr sz="1000" b="0" i="0" u="none" strike="noStrike" baseline="0">
          <a:solidFill>
            <a:srgbClr val="000000"/>
          </a:solidFill>
          <a:latin typeface="方正兰亭黑_GBK"/>
          <a:ea typeface="方正兰亭黑_GBK"/>
          <a:cs typeface="Lucida Sans"/>
        </a:defRPr>
      </a:pPr>
      <a:endParaRPr lang="zh-CN"/>
    </a:p>
  </c:txPr>
  <c:printSettings>
    <c:headerFooter/>
    <c:pageMargins b="0.75" l="0.7" r="0.7" t="0.75" header="0.3" footer="0.3"/>
    <c:pageSetup/>
  </c:printSettings>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stacked"/>
        <c:varyColors val="0"/>
        <c:ser>
          <c:idx val="0"/>
          <c:order val="0"/>
          <c:tx>
            <c:strRef>
              <c:f>'Sheet1 (4)'!$B$1</c:f>
              <c:strCache>
                <c:ptCount val="1"/>
                <c:pt idx="0">
                  <c:v>系列 1</c:v>
                </c:pt>
              </c:strCache>
            </c:strRef>
          </c:tx>
          <c:spPr>
            <a:solidFill>
              <a:srgbClr val="F0A22E"/>
            </a:solidFill>
          </c:spPr>
          <c:invertIfNegative val="0"/>
          <c:dLbls>
            <c:spPr>
              <a:noFill/>
              <a:ln>
                <a:noFill/>
              </a:ln>
            </c:spPr>
            <c:txPr>
              <a:bodyPr vert="horz"/>
              <a:lstStyle/>
              <a:p>
                <a:pPr>
                  <a:defRPr sz="1000" b="0" i="0" u="none" strike="noStrike" baseline="0">
                    <a:solidFill>
                      <a:srgbClr val="000000"/>
                    </a:solidFill>
                    <a:latin typeface="方正兰亭黑_GBK"/>
                    <a:ea typeface="方正兰亭黑_GBK"/>
                    <a:cs typeface="Lucida Sans"/>
                  </a:defRPr>
                </a:pPr>
                <a:endParaRPr lang="zh-CN"/>
              </a:p>
            </c:txPr>
            <c:numFmt formatCode="General" sourceLinked="1"/>
            <c:dLbl>
              <c:idx val="0"/>
              <c:layout>
                <c:manualLayout>
                  <c:x val="-0.0063939504"/>
                  <c:y val="-0.19683486"/>
                </c:manualLayout>
              </c:layout>
              <c:spPr>
                <a:noFill/>
                <a:ln>
                  <a:noFill/>
                </a:ln>
              </c:spPr>
              <c:txPr>
                <a:bodyPr vert="horz"/>
                <a:lstStyle/>
                <a:p>
                  <a:pPr>
                    <a:defRPr sz="1000" b="0" i="0" u="none" strike="noStrike" baseline="0">
                      <a:solidFill>
                        <a:srgbClr val="000000"/>
                      </a:solidFill>
                      <a:latin typeface="方正兰亭黑_GBK"/>
                      <a:ea typeface="方正兰亭黑_GBK"/>
                      <a:cs typeface="Lucida Sans"/>
                    </a:defRPr>
                  </a:pPr>
                  <a:endParaRPr lang="zh-CN"/>
                </a:p>
              </c:txPr>
              <c:dLblPos val="ctr"/>
              <c:showLegendKey val="0"/>
              <c:showVal val="1"/>
              <c:showCatName val="0"/>
              <c:showSerName val="0"/>
              <c:showPercent val="0"/>
              <c:showBubbleSize val="0"/>
            </c:dLbl>
            <c:dLbl>
              <c:idx val="1"/>
              <c:layout>
                <c:manualLayout>
                  <c:x val="0.0"/>
                  <c:y val="-0.40017885"/>
                </c:manualLayout>
              </c:layout>
              <c:spPr>
                <a:noFill/>
                <a:ln>
                  <a:noFill/>
                </a:ln>
              </c:spPr>
              <c:txPr>
                <a:bodyPr vert="horz"/>
                <a:lstStyle/>
                <a:p>
                  <a:pPr>
                    <a:defRPr sz="1000" b="0" i="0" u="none" strike="noStrike" baseline="0">
                      <a:solidFill>
                        <a:srgbClr val="000000"/>
                      </a:solidFill>
                      <a:latin typeface="方正兰亭黑_GBK"/>
                      <a:ea typeface="方正兰亭黑_GBK"/>
                      <a:cs typeface="Lucida Sans"/>
                    </a:defRPr>
                  </a:pPr>
                  <a:endParaRPr lang="zh-CN"/>
                </a:p>
              </c:txPr>
              <c:dLblPos val="ctr"/>
              <c:showLegendKey val="0"/>
              <c:showVal val="1"/>
              <c:showCatName val="0"/>
              <c:showSerName val="0"/>
              <c:showPercent val="0"/>
              <c:showBubbleSize val="0"/>
            </c:dLbl>
            <c:dLbl>
              <c:idx val="2"/>
              <c:layout>
                <c:manualLayout>
                  <c:x val="-0.0087612225"/>
                  <c:y val="-0.21037497"/>
                </c:manualLayout>
              </c:layout>
              <c:spPr>
                <a:noFill/>
                <a:ln>
                  <a:noFill/>
                </a:ln>
              </c:spPr>
              <c:txPr>
                <a:bodyPr vert="horz"/>
                <a:lstStyle/>
                <a:p>
                  <a:pPr>
                    <a:defRPr sz="1000" b="0" i="0" u="none" strike="noStrike" baseline="0">
                      <a:solidFill>
                        <a:srgbClr val="000000"/>
                      </a:solidFill>
                      <a:latin typeface="方正兰亭黑_GBK"/>
                      <a:ea typeface="方正兰亭黑_GBK"/>
                      <a:cs typeface="Lucida Sans"/>
                    </a:defRPr>
                  </a:pPr>
                  <a:endParaRPr lang="zh-CN"/>
                </a:p>
              </c:txPr>
              <c:dLblPos val="ctr"/>
              <c:showLegendKey val="0"/>
              <c:showVal val="1"/>
              <c:showCatName val="0"/>
              <c:showSerName val="0"/>
              <c:showPercent val="0"/>
              <c:showBubbleSize val="0"/>
            </c:dLbl>
            <c:dLbl>
              <c:idx val="3"/>
              <c:layout>
                <c:manualLayout>
                  <c:x val="0.0"/>
                  <c:y val="-0.27244583"/>
                </c:manualLayout>
              </c:layout>
              <c:spPr>
                <a:noFill/>
                <a:ln>
                  <a:noFill/>
                </a:ln>
              </c:spPr>
              <c:txPr>
                <a:bodyPr vert="horz"/>
                <a:lstStyle/>
                <a:p>
                  <a:pPr>
                    <a:defRPr sz="1000" b="0" i="0" u="none" strike="noStrike" baseline="0">
                      <a:solidFill>
                        <a:srgbClr val="000000"/>
                      </a:solidFill>
                      <a:latin typeface="方正兰亭黑_GBK"/>
                      <a:ea typeface="方正兰亭黑_GBK"/>
                      <a:cs typeface="Lucida Sans"/>
                    </a:defRPr>
                  </a:pPr>
                  <a:endParaRPr lang="zh-CN"/>
                </a:p>
              </c:txPr>
              <c:dLblPos val="ctr"/>
              <c:showLegendKey val="0"/>
              <c:showVal val="1"/>
              <c:showCatName val="0"/>
              <c:showSerName val="0"/>
              <c:showPercent val="0"/>
              <c:showBubbleSize val="0"/>
            </c:dLbl>
            <c:dLblPos val="ctr"/>
            <c:showLegendKey val="0"/>
            <c:showVal val="1"/>
            <c:showCatName val="0"/>
            <c:showSerName val="0"/>
            <c:showPercent val="0"/>
            <c:showBubbleSize val="0"/>
            <c:showLeaderLines val="0"/>
          </c:dLbls>
          <c:cat>
            <c:strRef>
              <c:f>'Sheet1 (4)'!$A$2:$A$5</c:f>
              <c:strCache>
                <c:ptCount val="4"/>
                <c:pt idx="0">
                  <c:v>收入预算数</c:v>
                </c:pt>
                <c:pt idx="1">
                  <c:v>收入决算数</c:v>
                </c:pt>
                <c:pt idx="2">
                  <c:v>支出预算数</c:v>
                </c:pt>
                <c:pt idx="3">
                  <c:v>支出决算数</c:v>
                </c:pt>
              </c:strCache>
            </c:strRef>
          </c:cat>
          <c:val>
            <c:numRef>
              <c:f>'Sheet1 (4)'!$B$2:$B$5</c:f>
              <c:numCache>
                <c:formatCode>General</c:formatCode>
                <c:ptCount val="4"/>
                <c:pt idx="0">
                  <c:v>2466.53</c:v>
                </c:pt>
                <c:pt idx="1">
                  <c:v>7152.66</c:v>
                </c:pt>
                <c:pt idx="2">
                  <c:v>2466.53</c:v>
                </c:pt>
                <c:pt idx="3">
                  <c:v>6321.83</c:v>
                </c:pt>
              </c:numCache>
            </c:numRef>
          </c:val>
        </c:ser>
        <c:overlap val="100"/>
        <c:gapWidth val="150"/>
        <c:axId val="0"/>
        <c:axId val="1"/>
      </c:barChart>
      <c:catAx>
        <c:axId val="0"/>
        <c:scaling>
          <c:orientation val="minMax"/>
        </c:scaling>
        <c:delete val="0"/>
        <c:axPos val="b"/>
        <c:numFmt formatCode="General" sourceLinked="1"/>
        <c:majorTickMark val="out"/>
        <c:minorTickMark val="none"/>
        <c:tickLblPos val="nextTo"/>
        <c:txPr>
          <a:bodyPr/>
          <a:lstStyle/>
          <a:p>
            <a:pPr>
              <a:defRPr sz="1000" b="0" i="0" u="none" strike="noStrike" baseline="0">
                <a:solidFill>
                  <a:srgbClr val="000000"/>
                </a:solidFill>
                <a:latin typeface="方正兰亭黑_GBK"/>
                <a:ea typeface="方正兰亭黑_GBK"/>
                <a:cs typeface="Lucida Sans"/>
              </a:defRPr>
            </a:pPr>
            <a:endParaRPr lang="zh-CN"/>
          </a:p>
        </c:txPr>
        <c:crosses val="autoZero"/>
        <c:auto val="1"/>
        <c:lblOffset val="100"/>
        <c:lblAlgn val="ctr"/>
        <c:noMultiLvlLbl val="0"/>
        <c:crossAx val="1"/>
      </c:catAx>
      <c:valAx>
        <c:axId val="1"/>
        <c:scaling>
          <c:orientation val="minMax"/>
        </c:scaling>
        <c:delete val="0"/>
        <c:axPos val="l"/>
        <c:majorGridlines/>
        <c:numFmt formatCode="General" sourceLinked="1"/>
        <c:majorTickMark val="out"/>
        <c:minorTickMark val="none"/>
        <c:tickLblPos val="nextTo"/>
        <c:txPr>
          <a:bodyPr/>
          <a:lstStyle/>
          <a:p>
            <a:pPr>
              <a:defRPr sz="1000" b="0" i="0" u="none" strike="noStrike" baseline="0">
                <a:solidFill>
                  <a:srgbClr val="000000"/>
                </a:solidFill>
                <a:latin typeface="方正兰亭黑_GBK"/>
                <a:ea typeface="方正兰亭黑_GBK"/>
                <a:cs typeface="Lucida Sans"/>
              </a:defRPr>
            </a:pPr>
            <a:endParaRPr lang="zh-CN"/>
          </a:p>
        </c:txPr>
        <c:crossesAt val="1.0"/>
        <c:crossBetween val="between"/>
        <c:crossAx val="0"/>
      </c:valAx>
      <c:spPr>
        <a:solidFill>
          <a:srgbClr val="FFFFFF"/>
        </a:solidFill>
      </c:spPr>
    </c:plotArea>
    <c:plotVisOnly val="1"/>
    <c:dispBlanksAs val="gap"/>
    <c:showDLblsOverMax val="0"/>
  </c:chart>
  <c:spPr/>
  <c:txPr>
    <a:bodyPr/>
    <a:lstStyle/>
    <a:p>
      <a:pPr>
        <a:defRPr sz="1000" b="0" i="0" u="none" strike="noStrike" baseline="0">
          <a:solidFill>
            <a:srgbClr val="000000"/>
          </a:solidFill>
          <a:latin typeface="方正兰亭黑_GBK"/>
          <a:ea typeface="方正兰亭黑_GBK"/>
          <a:cs typeface="Lucida Sans"/>
        </a:defRPr>
      </a:pPr>
      <a:endParaRPr lang="zh-CN"/>
    </a:p>
  </c:txPr>
  <c:printSettings>
    <c:headerFooter/>
    <c:pageMargins b="0.75" l="0.7" r="0.7" t="0.75" header="0.3" footer="0.3"/>
    <c:pageSetup/>
  </c:printSettings>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0"/>
          <c:y val="0.0"/>
          <c:w val="1.0"/>
          <c:h val="0.9504386"/>
        </c:manualLayout>
      </c:layout>
      <c:pieChart>
        <c:varyColors val="1"/>
        <c:ser>
          <c:idx val="0"/>
          <c:order val="0"/>
          <c:tx>
            <c:strRef>
              <c:f>'Sheet1 (5)'!$B$1</c:f>
              <c:strCache>
                <c:ptCount val="1"/>
                <c:pt idx="0">
                  <c:v>销售额</c:v>
                </c:pt>
              </c:strCache>
            </c:strRef>
          </c:tx>
          <c:spPr>
            <a:solidFill>
              <a:srgbClr val="4F81BD"/>
            </a:solidFill>
            <a:ln>
              <a:noFill/>
            </a:ln>
          </c:spPr>
          <c:dPt>
            <c:idx val="0"/>
            <c:bubble3D val="0"/>
            <c:spPr>
              <a:solidFill>
                <a:srgbClr val="4F81BD"/>
              </a:solidFill>
            </c:spPr>
          </c:dPt>
          <c:dPt>
            <c:idx val="1"/>
            <c:bubble3D val="0"/>
            <c:spPr>
              <a:solidFill>
                <a:srgbClr val="C0504D"/>
              </a:solidFill>
            </c:spPr>
          </c:dPt>
          <c:dLbls>
            <c:spPr>
              <a:noFill/>
              <a:ln>
                <a:noFill/>
              </a:ln>
            </c:spPr>
            <c:txPr>
              <a:bodyPr vert="horz"/>
              <a:lstStyle/>
              <a:p>
                <a:pPr>
                  <a:defRPr sz="1000" b="0" i="0" u="none" strike="noStrike" baseline="0">
                    <a:solidFill>
                      <a:srgbClr val="000000"/>
                    </a:solidFill>
                    <a:latin typeface="方正兰亭黑_GBK"/>
                    <a:ea typeface="方正兰亭黑_GBK"/>
                    <a:cs typeface="Lucida Sans"/>
                  </a:defRPr>
                </a:pPr>
                <a:endParaRPr lang="zh-CN"/>
              </a:p>
            </c:txPr>
            <c:numFmt formatCode="0.00%" sourceLinked="0"/>
            <c:showLegendKey val="0"/>
            <c:showVal val="1"/>
            <c:showCatName val="0"/>
            <c:showSerName val="0"/>
            <c:showPercent val="0"/>
            <c:showBubbleSize val="0"/>
            <c:showLeaderLines val="1"/>
          </c:dLbls>
          <c:cat>
            <c:strRef>
              <c:f>'Sheet1 (5)'!$A$2:$A$3</c:f>
              <c:strCache>
                <c:ptCount val="2"/>
                <c:pt idx="0">
                  <c:v>节能环保支出</c:v>
                </c:pt>
                <c:pt idx="1">
                  <c:v>城乡社区支出</c:v>
                </c:pt>
              </c:strCache>
            </c:strRef>
          </c:cat>
          <c:val>
            <c:numRef>
              <c:f>'Sheet1 (5)'!$B$2:$B$3</c:f>
              <c:numCache>
                <c:formatCode>0.00%</c:formatCode>
                <c:ptCount val="2"/>
                <c:pt idx="0">
                  <c:v>0.025</c:v>
                </c:pt>
                <c:pt idx="1">
                  <c:v>0.975</c:v>
                </c:pt>
              </c:numCache>
            </c:numRef>
          </c:val>
        </c:ser>
        <c:firstSliceAng val="15"/>
      </c:pieChart>
      <c:spPr>
        <a:noFill/>
        <a:ln>
          <a:noFill/>
        </a:ln>
      </c:spPr>
    </c:plotArea>
    <c:plotVisOnly val="1"/>
    <c:dispBlanksAs val="gap"/>
    <c:showDLblsOverMax val="0"/>
  </c:chart>
  <c:spPr/>
  <c:txPr>
    <a:bodyPr/>
    <a:lstStyle/>
    <a:p>
      <a:pPr>
        <a:defRPr sz="1000" b="0" i="0" u="none" strike="noStrike" baseline="0">
          <a:solidFill>
            <a:srgbClr val="000000"/>
          </a:solidFill>
          <a:latin typeface="方正兰亭黑_GBK"/>
          <a:ea typeface="方正兰亭黑_GBK"/>
          <a:cs typeface="Lucida Sans"/>
        </a:defRPr>
      </a:pPr>
      <a:endParaRPr lang="zh-CN"/>
    </a:p>
  </c:txPr>
  <c:printSettings>
    <c:headerFooter/>
    <c:pageMargins b="0.75" l="0.7" r="0.7" t="0.75" header="0.3" footer="0.3"/>
    <c:pageSetup/>
  </c:printSettings>
  <c:externalData r:id="rId1">
    <c:autoUpdate val="0"/>
  </c:externalData>
</c:chartSpac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customProps>
</customData>
</file>

<file path=customXml/itemProps1.xml><?xml version="1.0" encoding="utf-8"?>
<ds:datastoreItem xmlns:ds="http://schemas.openxmlformats.org/officeDocument/2006/customXml" ds:itemID="{2CF7A9FB-830D-469E-8C3E-0EAAE5168F6B}">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3</TotalTime>
  <Application>Yozo_Office27021597764231179</Application>
  <Pages>25</Pages>
  <Words>5415</Words>
  <Characters>5890</Characters>
  <Lines>339</Lines>
  <Paragraphs>130</Paragraphs>
  <CharactersWithSpaces>5912</CharactersWithSpaces>
  <Company>Microsoft</Company>
</Properties>
</file>

<file path=docProps/core.xml><?xml version="1.0" encoding="utf-8"?>
<cp:coreProperties xmlns:cp="http://schemas.openxmlformats.org/package/2006/metadata/core-properties" xmlns:dc="http://purl.org/dc/elements/1.1/" xmlns:dcterms="http://purl.org/dc/terms/" xmlns:xsi="http://www.w3.org/2001/XMLSchema-instance">
  <dc:title>2017年度部门决算</dc:title>
  <dc:subject>石家庄市xxx部门</dc:subject>
  <dc:creator>User</dc:creator>
  <cp:lastModifiedBy>thtf</cp:lastModifiedBy>
  <cp:revision>26</cp:revision>
  <cp:lastPrinted>2019-08-02T01:01:00Z</cp:lastPrinted>
  <dcterms:created xsi:type="dcterms:W3CDTF">2019-08-28T08:40:00Z</dcterms:created>
  <dcterms:modified xsi:type="dcterms:W3CDTF">2025-07-04T07:41:39Z</dcterms:modified>
</cp:coreProperties>
</file>

<file path=docProps/custom.xml><?xml version="1.0" encoding="utf-8"?>
<Properties xmlns:vt="http://schemas.openxmlformats.org/officeDocument/2006/docPropsVTypes" xmlns="http://schemas.openxmlformats.org/officeDocument/2006/custom-properties">
  <property fmtid="{D5CDD505-2E9C-101B-9397-08002B2CF9AE}" pid="2" name="KSOProductBuildVer">
    <vt:lpwstr>2052-11.1.0.9305</vt:lpwstr>
  </property>
</Properties>
</file>