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png" ContentType="image/png"/>
  <Default Extension="bin" ContentType="application/vnd.openxmlformats-officedocument.oleObject"/>
  <Default Extension="emf" ContentType="image/emf"/>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widowControl/>
        <w:jc w:val="center"/>
        <w:rPr>
          <w:rFonts w:ascii="黑体" w:eastAsia="黑体"/>
          <w:b/>
          <w:bCs/>
          <w:sz w:val="72"/>
          <w:szCs w:val="72"/>
        </w:rPr>
      </w:pPr>
      <w:r>
        <w:drawing>
          <wp:anchor distT="0" distB="0" distL="114298" distR="114298" simplePos="0" relativeHeight="2" behindDoc="1" locked="0" layoutInCell="1" hidden="0" allowOverlap="1">
            <wp:simplePos x="0" y="0"/>
            <wp:positionH relativeFrom="column">
              <wp:posOffset>-1000125</wp:posOffset>
            </wp:positionH>
            <wp:positionV relativeFrom="paragraph">
              <wp:posOffset>-1355090</wp:posOffset>
            </wp:positionV>
            <wp:extent cx="7576819" cy="10796905"/>
            <wp:effectExtent l="0" t="0" r="0" b="0"/>
            <wp:wrapNone/>
            <wp:docPr id="1" name="图片 7" descr="wc ga"/>
            <wp:cNvGraphicFramePr>
              <a:graphicFrameLocks noChangeAspect="1"/>
            </wp:cNvGraphicFramePr>
            <a:graphic>
              <a:graphicData uri="http://schemas.openxmlformats.org/drawingml/2006/picture">
                <pic:pic>
                  <pic:nvPicPr>
                    <pic:cNvPr id="3" name="图片 7 3"/>
                    <pic:cNvPicPr/>
                  </pic:nvPicPr>
                  <pic:blipFill>
                    <a:blip r:embed="rId2"/>
                    <a:stretch>
                      <a:fillRect/>
                    </a:stretch>
                  </pic:blipFill>
                  <pic:spPr>
                    <a:xfrm rot="0">
                      <a:off x="0" y="0"/>
                      <a:ext cx="7576819" cy="10796905"/>
                    </a:xfrm>
                    <a:prstGeom prst="rect"/>
                    <a:noFill/>
                    <a:ln w="9525" cmpd="sng" cap="flat">
                      <a:noFill/>
                      <a:prstDash val="solid"/>
                      <a:miter/>
                    </a:ln>
                  </pic:spPr>
                </pic:pic>
              </a:graphicData>
            </a:graphic>
          </wp:anchor>
        </w:drawing>
      </w:r>
    </w:p>
    <w:p>
      <w:pPr>
        <w:widowControl/>
        <w:jc w:val="center"/>
        <w:rPr>
          <w:rFonts w:ascii="黑体" w:eastAsia="黑体"/>
          <w:color w:val="002060"/>
          <w:sz w:val="72"/>
          <w:szCs w:val="72"/>
        </w:rPr>
      </w:pPr>
      <w:r>
        <mc:AlternateContent>
          <mc:Choice Requires="wps">
            <w:drawing>
              <wp:anchor distT="0" distB="0" distL="114298" distR="114298" simplePos="0" relativeHeight="65" behindDoc="0" locked="0" layoutInCell="1" hidden="0" allowOverlap="1">
                <wp:simplePos x="0" y="0"/>
                <wp:positionH relativeFrom="column">
                  <wp:posOffset>-1055370</wp:posOffset>
                </wp:positionH>
                <wp:positionV relativeFrom="paragraph">
                  <wp:posOffset>549275</wp:posOffset>
                </wp:positionV>
                <wp:extent cx="7571740" cy="2111375"/>
                <wp:effectExtent l="0" t="0" r="0" b="0"/>
                <wp:wrapNone/>
                <wp:docPr id="4" name="_x0000_s1027"/>
                <wp:cNvGraphicFramePr>
                  <a:graphicFrameLocks noChangeAspect="0"/>
                </wp:cNvGraphicFramePr>
                <a:graphic>
                  <a:graphicData uri="http://schemas.microsoft.com/office/word/2010/wordprocessingShape">
                    <wps:wsp>
                      <wps:cNvSpPr/>
                      <wps:spPr>
                        <a:xfrm rot="0">
                          <a:off x="0" y="0"/>
                          <a:ext cx="7571740" cy="2111375"/>
                        </a:xfrm>
                        <a:prstGeom prst="rect"/>
                        <a:noFill/>
                        <a:ln w="9525" cmpd="sng" cap="flat">
                          <a:noFill/>
                          <a:prstDash val="solid"/>
                          <a:miter/>
                        </a:ln>
                      </wps:spPr>
                      <wps:txbx id="5">
                        <w:txbxContent>
                          <w:p>
                            <w:pPr>
                              <w:widowControl/>
                              <w:spacing w:line="1200" w:lineRule="exact"/>
                              <w:jc w:val="center"/>
                              <w:rPr>
                                <w:rFonts w:ascii="黑体" w:eastAsia="黑体"/>
                                <w:color w:val="FDEFBE"/>
                                <w:sz w:val="96"/>
                                <w:szCs w:val="96"/>
                              </w:rPr>
                            </w:pPr>
                            <w:r>
                              <w:rPr>
                                <w:rFonts w:ascii="黑体" w:eastAsia="黑体" w:cs="黑体" w:hint="eastAsia"/>
                                <w:color w:val="FDEFBE"/>
                                <w:sz w:val="96"/>
                                <w:szCs w:val="96"/>
                              </w:rPr>
                              <w:t>高邑县住建局</w:t>
                            </w:r>
                          </w:p>
                          <w:p>
                            <w:pPr>
                              <w:widowControl/>
                              <w:spacing w:line="1200" w:lineRule="exact"/>
                              <w:jc w:val="center"/>
                              <w:rPr>
                                <w:color w:val="FDEFBE"/>
                                <w:sz w:val="96"/>
                                <w:szCs w:val="96"/>
                              </w:rPr>
                            </w:pPr>
                            <w:r>
                              <w:rPr>
                                <w:rFonts w:ascii="黑体" w:eastAsia="黑体" w:cs="黑体"/>
                                <w:color w:val="FDEFBE"/>
                                <w:sz w:val="96"/>
                                <w:szCs w:val="96"/>
                              </w:rPr>
                              <w:t>2018</w:t>
                            </w:r>
                            <w:r>
                              <w:rPr>
                                <w:rFonts w:ascii="黑体" w:eastAsia="黑体" w:cs="黑体" w:hint="eastAsia"/>
                                <w:color w:val="FDEFBE"/>
                                <w:sz w:val="96"/>
                                <w:szCs w:val="96"/>
                              </w:rPr>
                              <w:t>年度部门决算</w:t>
                            </w:r>
                          </w:p>
                          <w:p>
                            <w:pPr>
                              <w:rPr>
                                <w:color w:val="FDEFBE"/>
                                <w:sz w:val="96"/>
                                <w:szCs w:val="96"/>
                              </w:rPr>
                            </w:pPr>
                          </w:p>
                        </w:txbxContent>
                      </wps:txbx>
                      <wps:bodyPr vert="horz" wrap="square" lIns="91440" tIns="45720" rIns="91440" bIns="45720" anchor="t" anchorCtr="0" upright="1">
                        <a:noAutofit/>
                      </wps:bodyPr>
                    </wps:wsp>
                  </a:graphicData>
                </a:graphic>
              </wp:anchor>
            </w:drawing>
          </mc:Choice>
          <mc:Fallback>
            <w:pict>
              <v:shape type="#_x0000_t202" id="_x0000_s1027 6" o:spid="_x0000_s6" filled="f" stroked="f" style="position:absolute;margin-left:-83.1pt;margin-top:43.25pt;width:596.2pt;height:166.25pt;z-index:65;mso-position-horizontal:absolute;mso-position-vertical:absolute;mso-wrap-distance-left:8.999863pt;mso-wrap-distance-right:8.999863pt;mso-wrap-style:square;">
                <v:stroke color="#000000"/>
                <v:textbox id="849" inset="2.54mm,1.27mm,2.54mm,1.27mm" o:insetmode="custom" style="layout-flow:horizontal;v-text-anchor:top;">
                  <w:txbxContent>
                    <w:p>
                      <w:pPr>
                        <w:widowControl/>
                        <w:spacing w:line="1200" w:lineRule="exact"/>
                        <w:jc w:val="center"/>
                        <w:rPr>
                          <w:rFonts w:ascii="黑体" w:eastAsia="黑体"/>
                          <w:color w:val="FDEFBE"/>
                          <w:sz w:val="96"/>
                          <w:szCs w:val="96"/>
                        </w:rPr>
                      </w:pPr>
                      <w:r>
                        <w:rPr>
                          <w:rFonts w:ascii="黑体" w:eastAsia="黑体" w:cs="黑体" w:hint="eastAsia"/>
                          <w:color w:val="FDEFBE"/>
                          <w:sz w:val="96"/>
                          <w:szCs w:val="96"/>
                        </w:rPr>
                        <w:t>高邑县住建局</w:t>
                      </w:r>
                    </w:p>
                    <w:p>
                      <w:pPr>
                        <w:widowControl/>
                        <w:spacing w:line="1200" w:lineRule="exact"/>
                        <w:jc w:val="center"/>
                        <w:rPr>
                          <w:color w:val="FDEFBE"/>
                          <w:sz w:val="96"/>
                          <w:szCs w:val="96"/>
                        </w:rPr>
                      </w:pPr>
                      <w:r>
                        <w:rPr>
                          <w:rFonts w:ascii="黑体" w:eastAsia="黑体" w:cs="黑体"/>
                          <w:color w:val="FDEFBE"/>
                          <w:sz w:val="96"/>
                          <w:szCs w:val="96"/>
                        </w:rPr>
                        <w:t>2018</w:t>
                      </w:r>
                      <w:r>
                        <w:rPr>
                          <w:rFonts w:ascii="黑体" w:eastAsia="黑体" w:cs="黑体" w:hint="eastAsia"/>
                          <w:color w:val="FDEFBE"/>
                          <w:sz w:val="96"/>
                          <w:szCs w:val="96"/>
                        </w:rPr>
                        <w:t>年度部门决算</w:t>
                      </w:r>
                    </w:p>
                    <w:p>
                      <w:pPr>
                        <w:rPr>
                          <w:color w:val="FDEFBE"/>
                          <w:sz w:val="96"/>
                          <w:szCs w:val="96"/>
                        </w:rPr>
                      </w:pPr>
                    </w:p>
                  </w:txbxContent>
                </v:textbox>
              </v:shape>
            </w:pict>
          </mc:Fallback>
        </mc:AlternateContent>
      </w:r>
    </w:p>
    <w:p>
      <w:pPr>
        <w:widowControl/>
        <w:jc w:val="center"/>
        <w:rPr>
          <w:rFonts w:ascii="黑体" w:eastAsia="黑体"/>
          <w:b/>
          <w:bCs/>
          <w:sz w:val="72"/>
          <w:szCs w:val="72"/>
        </w:rPr>
      </w:pPr>
    </w:p>
    <w:p>
      <w:pPr>
        <w:widowControl/>
        <w:jc w:val="center"/>
        <w:rPr>
          <w:rFonts w:ascii="黑体" w:eastAsia="黑体"/>
          <w:b/>
          <w:bCs/>
          <w:sz w:val="72"/>
          <w:szCs w:val="72"/>
        </w:rPr>
      </w:pPr>
    </w:p>
    <w:p>
      <w:pPr>
        <w:widowControl/>
        <w:jc w:val="center"/>
        <w:rPr>
          <w:rFonts w:ascii="黑体" w:eastAsia="黑体"/>
          <w:b/>
          <w:bCs/>
          <w:sz w:val="72"/>
          <w:szCs w:val="72"/>
        </w:rPr>
      </w:pPr>
    </w:p>
    <w:p>
      <w:pPr>
        <w:widowControl/>
        <w:jc w:val="center"/>
        <w:rPr>
          <w:rFonts w:ascii="黑体" w:eastAsia="黑体"/>
          <w:b/>
          <w:bCs/>
          <w:sz w:val="72"/>
          <w:szCs w:val="72"/>
        </w:rPr>
      </w:pPr>
    </w:p>
    <w:p>
      <w:pPr>
        <w:widowControl/>
        <w:jc w:val="center"/>
        <w:rPr>
          <w:rFonts w:ascii="黑体" w:eastAsia="黑体"/>
          <w:b/>
          <w:bCs/>
          <w:sz w:val="72"/>
          <w:szCs w:val="72"/>
        </w:rPr>
      </w:pPr>
    </w:p>
    <w:p>
      <w:pPr>
        <w:widowControl/>
        <w:jc w:val="center"/>
        <w:rPr>
          <w:rFonts w:ascii="黑体" w:eastAsia="黑体"/>
          <w:b/>
          <w:bCs/>
          <w:sz w:val="72"/>
          <w:szCs w:val="72"/>
        </w:rPr>
      </w:pPr>
    </w:p>
    <w:p>
      <w:pPr>
        <w:widowControl/>
        <w:jc w:val="center"/>
        <w:rPr>
          <w:rFonts w:ascii="黑体" w:eastAsia="黑体"/>
          <w:b/>
          <w:bCs/>
          <w:sz w:val="72"/>
          <w:szCs w:val="72"/>
        </w:rPr>
      </w:pPr>
    </w:p>
    <w:p>
      <w:pPr>
        <w:widowControl/>
        <w:jc w:val="center"/>
        <w:rPr>
          <w:rFonts w:ascii="黑体" w:eastAsia="黑体"/>
          <w:b/>
          <w:bCs/>
          <w:sz w:val="72"/>
          <w:szCs w:val="72"/>
        </w:rPr>
      </w:pPr>
    </w:p>
    <w:p>
      <w:pPr>
        <w:widowControl/>
        <w:jc w:val="center"/>
        <w:rPr>
          <w:rFonts w:ascii="楷体" w:eastAsia="楷体"/>
          <w:b/>
          <w:bCs/>
          <w:sz w:val="40"/>
          <w:szCs w:val="40"/>
        </w:rPr>
      </w:pPr>
    </w:p>
    <w:p>
      <w:pPr>
        <w:widowControl/>
        <w:jc w:val="center"/>
        <w:rPr>
          <w:rFonts w:ascii="楷体_GB2312" w:eastAsia="楷体_GB2312"/>
          <w:b/>
          <w:bCs/>
          <w:sz w:val="40"/>
          <w:szCs w:val="40"/>
        </w:rPr>
        <w:sectPr>
          <w:pgSz w:w="11906" w:h="16838"/>
          <w:pgMar w:top="2098" w:right="1474" w:bottom="1985" w:left="1588" w:header="851" w:footer="992" w:gutter="0"/>
          <w:docGrid w:type="lines" w:linePitch="312" w:charSpace="0"/>
        </w:sectPr>
      </w:pPr>
      <w:r>
        <w:rPr>
          <w:rFonts w:ascii="楷体_GB2312" w:eastAsia="楷体_GB2312" w:cs="楷体_GB2312" w:hint="eastAsia"/>
          <w:b/>
          <w:bCs/>
          <w:sz w:val="40"/>
          <w:szCs w:val="40"/>
        </w:rPr>
        <w:t>二</w:t>
      </w:r>
      <w:r>
        <w:rPr>
          <w:rFonts w:ascii="宋体" w:cs="宋体" w:hint="eastAsia"/>
          <w:b/>
          <w:bCs/>
          <w:sz w:val="40"/>
          <w:szCs w:val="40"/>
        </w:rPr>
        <w:t>〇</w:t>
      </w:r>
      <w:r>
        <w:rPr>
          <w:rFonts w:ascii="楷体_GB2312" w:eastAsia="楷体_GB2312" w:cs="楷体_GB2312" w:hint="eastAsia"/>
          <w:b/>
          <w:bCs/>
          <w:sz w:val="40"/>
          <w:szCs w:val="40"/>
        </w:rPr>
        <w:t>一九年十月八日</w:t>
      </w:r>
    </w:p>
    <w:p>
      <w:pPr>
        <w:spacing w:beforeLines="200" w:before="624" w:after="0" w:line="1000" w:lineRule="exact"/>
        <w:jc w:val="center"/>
        <w:rPr>
          <w:rFonts w:ascii="黑体" w:eastAsia="黑体"/>
          <w:sz w:val="48"/>
          <w:szCs w:val="48"/>
        </w:rPr>
      </w:pPr>
      <w:r>
        <mc:AlternateContent>
          <mc:Choice Requires="wps">
            <w:drawing>
              <wp:anchor distT="0" distB="0" distL="114298" distR="114298" simplePos="0" relativeHeight="79" behindDoc="0" locked="1" layoutInCell="1" hidden="0" allowOverlap="0">
                <wp:simplePos x="0" y="0"/>
                <wp:positionH relativeFrom="column">
                  <wp:posOffset>-1026160</wp:posOffset>
                </wp:positionH>
                <wp:positionV relativeFrom="page">
                  <wp:posOffset>507366</wp:posOffset>
                </wp:positionV>
                <wp:extent cx="3175635" cy="593089"/>
                <wp:effectExtent l="0" t="0" r="0" b="0"/>
                <wp:wrapNone/>
                <wp:docPr id="7" name="组合"/>
                <wp:cNvGraphicFramePr>
                  <a:graphicFrameLocks noChangeAspect="0"/>
                </wp:cNvGraphicFramePr>
                <a:graphic>
                  <a:graphicData uri="http://schemas.microsoft.com/office/word/2010/wordprocessingGroup">
                    <wpg:wgp>
                      <wpg:cNvPr id="8" name="组合 8"/>
                      <wpg:cNvGrpSpPr/>
                      <wpg:grpSpPr>
                        <a:xfrm rot="0">
                          <a:off x="0" y="0"/>
                          <a:ext cx="3175635" cy="593089"/>
                          <a:chOff x="0" y="0"/>
                          <a:chExt cx="3175635" cy="593089"/>
                        </a:xfrm>
                        <a:prstGeom prst="rect"/>
                        <a:solidFill>
                          <a:srgbClr val="FFFFFF"/>
                        </a:solidFill>
                        <a:ln w="9525" cmpd="sng" cap="flat">
                          <a:solidFill>
                            <a:srgbClr val="000000"/>
                          </a:solidFill>
                          <a:prstDash val="solid"/>
                          <a:miter/>
                        </a:ln>
                      </wpg:grpSpPr>
                      <wps:wsp>
                        <wps:cNvPr id="9" name="_s13 9"/>
                        <wps:cNvSpPr/>
                        <wps:spPr>
                          <a:xfrm rot="0">
                            <a:off x="0" y="0"/>
                            <a:ext cx="3175635" cy="499008"/>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10" name="_s14 10"/>
                        <wps:cNvSpPr/>
                        <wps:spPr>
                          <a:xfrm rot="0">
                            <a:off x="10159" y="116329"/>
                            <a:ext cx="3093085" cy="476760"/>
                          </a:xfrm>
                          <a:prstGeom prst="rect"/>
                          <a:solidFill>
                            <a:srgbClr val="AD002D"/>
                          </a:solidFill>
                          <a:ln w="25400" cmpd="sng" cap="flat">
                            <a:solidFill>
                              <a:srgbClr val="B0761F"/>
                            </a:solidFill>
                            <a:prstDash val="solid"/>
                            <a:miter/>
                          </a:ln>
                        </wps:spPr>
                        <wps:txbx id="11">
                          <w:txbxContent>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2" o:spid="_x0000_s12" coordorigin="-28,799" coordsize="5001,933" o:allowoverlap="f" style="position:absolute;margin-left:-80.80001pt;margin-top:39.950077pt;width:250.05pt;height:46.699974pt;z-index:79;mso-position-horizontal:absolute;mso-position-vertical:absolute;mso-position-vertical-relative:page;mso-wrap-distance-left:8.999863pt;mso-wrap-distance-right:8.999863pt;">
                <v:rect type="#_x0000_t1" id="_s13" o:spid="_x0000_s13" style="position:absolute;left:-28;top:799;width:5001;height:785;" fillcolor="#D9D9D9" stroked="f">
                  <v:stroke color="#000000"/>
                </v:rect>
                <v:rect type="#_x0000_t1" id="_s14" o:spid="_x0000_s14" style="position:absolute;left:-12;top:982;width:4871;height:750;mso-wrap-style:square;" fillcolor="#AD002D" stroked="t" strokeweight="2.0pt">
                  <v:textbox id="864" inset="2.54mm,1.27mm,2.54mm,1.27mm" o:insetmode="custom" style="layout-flow:horizontal;v-text-anchor:middle;">
                    <w:txbxContent>
                      <w:p/>
                    </w:txbxContent>
                  </v:textbox>
                  <v:stroke color="#B0761F"/>
                </v:rect>
                <w10:anchorLock/>
              </v:group>
            </w:pict>
          </mc:Fallback>
        </mc:AlternateContent>
      </w:r>
      <w:r>
        <w:rPr>
          <w:rFonts w:ascii="黑体" w:eastAsia="黑体" w:cs="黑体" w:hint="eastAsia"/>
          <w:sz w:val="48"/>
          <w:szCs w:val="48"/>
        </w:rPr>
        <w:t>目</w:t>
      </w:r>
      <w:r>
        <w:rPr>
          <w:rFonts w:ascii="黑体" w:eastAsia="黑体" w:cs="黑体"/>
          <w:sz w:val="48"/>
          <w:szCs w:val="48"/>
        </w:rPr>
        <w:t xml:space="preserve">    </w:t>
      </w:r>
      <w:r>
        <w:rPr>
          <w:rFonts w:ascii="黑体" w:eastAsia="黑体" w:cs="黑体" w:hint="eastAsia"/>
          <w:sz w:val="48"/>
          <w:szCs w:val="48"/>
        </w:rPr>
        <w:t>录</w:t>
      </w:r>
    </w:p>
    <w:p>
      <w:pPr>
        <w:widowControl/>
        <w:spacing w:line="580" w:lineRule="exact"/>
        <w:ind w:firstLineChars="200" w:firstLine="640"/>
        <w:rPr>
          <w:rFonts w:eastAsia="黑体"/>
          <w:sz w:val="32"/>
          <w:szCs w:val="32"/>
        </w:rPr>
      </w:pPr>
    </w:p>
    <w:p>
      <w:pPr>
        <w:widowControl/>
        <w:spacing w:line="580" w:lineRule="exact"/>
        <w:ind w:firstLineChars="200" w:firstLine="640"/>
        <w:rPr>
          <w:rFonts w:eastAsia="仿宋_GB2312"/>
          <w:sz w:val="24"/>
          <w:szCs w:val="24"/>
        </w:rPr>
      </w:pPr>
      <w:r>
        <w:rPr>
          <w:rFonts w:eastAsia="黑体" w:cs="黑体" w:hint="eastAsia"/>
          <w:sz w:val="32"/>
          <w:szCs w:val="32"/>
        </w:rPr>
        <w:t>第一部分</w:t>
      </w:r>
      <w:r>
        <w:rPr>
          <w:rFonts w:eastAsia="黑体"/>
          <w:sz w:val="32"/>
          <w:szCs w:val="32"/>
        </w:rPr>
        <w:t xml:space="preserve">   </w:t>
      </w:r>
      <w:r>
        <w:rPr>
          <w:rFonts w:eastAsia="黑体" w:cs="黑体" w:hint="eastAsia"/>
          <w:sz w:val="32"/>
          <w:szCs w:val="32"/>
        </w:rPr>
        <w:t>部门概况</w:t>
      </w:r>
      <w:r>
        <w:rPr>
          <w:rFonts w:eastAsia="仿宋_GB2312"/>
          <w:sz w:val="28"/>
          <w:szCs w:val="28"/>
        </w:rPr>
        <w:t xml:space="preserve">  </w:t>
      </w:r>
      <w:r>
        <w:rPr>
          <w:rFonts w:eastAsia="仿宋_GB2312"/>
          <w:sz w:val="24"/>
          <w:szCs w:val="24"/>
        </w:rPr>
        <w:t xml:space="preserve"> </w:t>
      </w:r>
    </w:p>
    <w:p>
      <w:pPr>
        <w:widowControl/>
        <w:spacing w:line="580" w:lineRule="exact"/>
        <w:ind w:firstLineChars="398" w:firstLine="1274"/>
        <w:rPr>
          <w:rFonts w:eastAsia="仿宋_GB2312"/>
          <w:sz w:val="32"/>
          <w:szCs w:val="32"/>
        </w:rPr>
      </w:pPr>
      <w:r>
        <w:rPr>
          <w:rFonts w:eastAsia="仿宋_GB2312" w:cs="仿宋_GB2312" w:hint="eastAsia"/>
          <w:sz w:val="32"/>
          <w:szCs w:val="32"/>
        </w:rPr>
        <w:t>一、部门职责</w:t>
      </w:r>
    </w:p>
    <w:p>
      <w:pPr>
        <w:widowControl/>
        <w:spacing w:line="580" w:lineRule="exact"/>
        <w:ind w:firstLineChars="398" w:firstLine="1274"/>
        <w:rPr>
          <w:rFonts w:eastAsia="仿宋_GB2312"/>
          <w:sz w:val="32"/>
          <w:szCs w:val="32"/>
        </w:rPr>
      </w:pPr>
      <w:r>
        <w:rPr>
          <w:rFonts w:eastAsia="仿宋_GB2312" w:cs="仿宋_GB2312" w:hint="eastAsia"/>
          <w:sz w:val="32"/>
          <w:szCs w:val="32"/>
        </w:rPr>
        <w:t>二、机构设置</w:t>
      </w:r>
    </w:p>
    <w:p>
      <w:pPr>
        <w:widowControl/>
        <w:spacing w:line="580" w:lineRule="exact"/>
        <w:ind w:firstLineChars="200" w:firstLine="640"/>
        <w:rPr>
          <w:rFonts w:eastAsia="仿宋_GB2312"/>
          <w:sz w:val="20"/>
          <w:szCs w:val="20"/>
        </w:rPr>
      </w:pPr>
      <w:r>
        <w:rPr>
          <w:rFonts w:eastAsia="黑体" w:cs="黑体" w:hint="eastAsia"/>
          <w:sz w:val="32"/>
          <w:szCs w:val="32"/>
        </w:rPr>
        <w:t>第二部分</w:t>
      </w:r>
      <w:r>
        <w:rPr>
          <w:rFonts w:eastAsia="黑体"/>
          <w:sz w:val="32"/>
          <w:szCs w:val="32"/>
        </w:rPr>
        <w:t xml:space="preserve">   2018</w:t>
      </w:r>
      <w:r>
        <w:rPr>
          <w:rFonts w:eastAsia="黑体" w:cs="黑体" w:hint="eastAsia"/>
          <w:sz w:val="32"/>
          <w:szCs w:val="32"/>
        </w:rPr>
        <w:t>年度部门决算报表</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一、收入支出决算总表</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二、收入决算表</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三、支出决算表</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四、财政拨款收入支出决算总表</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五、一般公共预算财政拨款支出决算表</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六、一般公共预算财政拨款基本支出决算表</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七、一般公共预算财政拨款</w:t>
      </w:r>
      <w:r>
        <w:rPr>
          <w:rFonts w:eastAsia="仿宋_GB2312"/>
          <w:sz w:val="32"/>
          <w:szCs w:val="32"/>
        </w:rPr>
        <w:t>“</w:t>
      </w:r>
      <w:r>
        <w:rPr>
          <w:rFonts w:eastAsia="仿宋_GB2312" w:cs="仿宋_GB2312" w:hint="eastAsia"/>
          <w:sz w:val="32"/>
          <w:szCs w:val="32"/>
        </w:rPr>
        <w:t>三公</w:t>
      </w:r>
      <w:r>
        <w:rPr>
          <w:rFonts w:eastAsia="仿宋_GB2312"/>
          <w:sz w:val="32"/>
          <w:szCs w:val="32"/>
        </w:rPr>
        <w:t>”</w:t>
      </w:r>
      <w:r>
        <w:rPr>
          <w:rFonts w:eastAsia="仿宋_GB2312" w:cs="仿宋_GB2312" w:hint="eastAsia"/>
          <w:sz w:val="32"/>
          <w:szCs w:val="32"/>
        </w:rPr>
        <w:t>经费支出决算表</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八、政府性基金预算财政拨款收入支出决算表</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九、国有资本经营预算财政拨款支出决算表</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十、政府采购情况表</w:t>
      </w:r>
    </w:p>
    <w:p>
      <w:pPr>
        <w:widowControl/>
        <w:spacing w:line="580" w:lineRule="exact"/>
        <w:ind w:firstLineChars="200" w:firstLine="640"/>
        <w:rPr>
          <w:rFonts w:eastAsia="黑体"/>
          <w:sz w:val="32"/>
          <w:szCs w:val="32"/>
        </w:rPr>
      </w:pPr>
      <w:r>
        <w:rPr>
          <w:rFonts w:eastAsia="黑体" w:cs="黑体" w:hint="eastAsia"/>
          <w:sz w:val="32"/>
          <w:szCs w:val="32"/>
        </w:rPr>
        <w:t>第三部分</w:t>
      </w:r>
      <w:r>
        <w:rPr>
          <w:rFonts w:eastAsia="黑体"/>
          <w:sz w:val="32"/>
          <w:szCs w:val="32"/>
        </w:rPr>
        <w:t xml:space="preserve">  </w:t>
      </w:r>
      <w:r>
        <w:rPr>
          <w:rFonts w:eastAsia="黑体" w:cs="黑体" w:hint="eastAsia"/>
          <w:sz w:val="32"/>
          <w:szCs w:val="32"/>
        </w:rPr>
        <w:t>高邑县住建局</w:t>
      </w:r>
      <w:r>
        <w:rPr>
          <w:rFonts w:eastAsia="黑体"/>
          <w:sz w:val="32"/>
          <w:szCs w:val="32"/>
        </w:rPr>
        <w:t>2018</w:t>
      </w:r>
      <w:r>
        <w:rPr>
          <w:rFonts w:eastAsia="黑体" w:cs="黑体" w:hint="eastAsia"/>
          <w:sz w:val="32"/>
          <w:szCs w:val="32"/>
        </w:rPr>
        <w:t>年部门决算情况说明</w:t>
      </w:r>
      <w:r>
        <mc:AlternateContent>
          <mc:Choice Requires="wps">
            <w:drawing>
              <wp:anchor distT="0" distB="0" distL="114298" distR="114298" simplePos="0" relativeHeight="81" behindDoc="0" locked="1" layoutInCell="1" hidden="0" allowOverlap="1">
                <wp:simplePos x="0" y="0"/>
                <wp:positionH relativeFrom="column">
                  <wp:posOffset>-1026160</wp:posOffset>
                </wp:positionH>
                <wp:positionV relativeFrom="page">
                  <wp:posOffset>494664</wp:posOffset>
                </wp:positionV>
                <wp:extent cx="2828924" cy="593725"/>
                <wp:effectExtent l="0" t="0" r="0" b="0"/>
                <wp:wrapNone/>
                <wp:docPr id="15" name="组合"/>
                <wp:cNvGraphicFramePr>
                  <a:graphicFrameLocks noChangeAspect="0"/>
                </wp:cNvGraphicFramePr>
                <a:graphic>
                  <a:graphicData uri="http://schemas.microsoft.com/office/word/2010/wordprocessingGroup">
                    <wpg:wgp>
                      <wpg:cNvPr id="16" name="组合 16"/>
                      <wpg:cNvGrpSpPr/>
                      <wpg:grpSpPr>
                        <a:xfrm rot="0">
                          <a:off x="0" y="0"/>
                          <a:ext cx="2828924" cy="593725"/>
                          <a:chOff x="0" y="0"/>
                          <a:chExt cx="2828924" cy="593725"/>
                        </a:xfrm>
                        <a:prstGeom prst="rect"/>
                        <a:solidFill>
                          <a:srgbClr val="FFFFFF"/>
                        </a:solidFill>
                        <a:ln w="9525" cmpd="sng" cap="flat">
                          <a:solidFill>
                            <a:srgbClr val="000000"/>
                          </a:solidFill>
                          <a:prstDash val="solid"/>
                          <a:miter/>
                        </a:ln>
                      </wpg:grpSpPr>
                      <wps:wsp>
                        <wps:cNvPr id="17" name="_s21 17"/>
                        <wps:cNvSpPr/>
                        <wps:spPr>
                          <a:xfrm rot="0">
                            <a:off x="0" y="0"/>
                            <a:ext cx="2828924" cy="499009"/>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18" name="_s22 18"/>
                        <wps:cNvSpPr/>
                        <wps:spPr>
                          <a:xfrm rot="0">
                            <a:off x="8889" y="116965"/>
                            <a:ext cx="2755899" cy="476760"/>
                          </a:xfrm>
                          <a:prstGeom prst="rect"/>
                          <a:solidFill>
                            <a:srgbClr val="AD002D"/>
                          </a:solidFill>
                          <a:ln w="25400" cmpd="sng" cap="flat">
                            <a:solidFill>
                              <a:srgbClr val="B0761F"/>
                            </a:solidFill>
                            <a:prstDash val="solid"/>
                            <a:miter/>
                          </a:ln>
                        </wps:spPr>
                        <wps:txbx id="19">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目</w:t>
                              </w:r>
                              <w:r>
                                <w:rPr>
                                  <w:rFonts w:ascii="楷体" w:eastAsia="楷体" w:cs="楷体"/>
                                  <w:b/>
                                  <w:bCs/>
                                  <w:color w:val="FDEFBE"/>
                                  <w:kern w:val="0"/>
                                  <w:sz w:val="32"/>
                                  <w:szCs w:val="32"/>
                                </w:rPr>
                                <w:t xml:space="preserve"> </w:t>
                              </w:r>
                              <w:r>
                                <w:rPr>
                                  <w:rFonts w:ascii="楷体" w:eastAsia="楷体" w:cs="楷体" w:hint="eastAsia"/>
                                  <w:b/>
                                  <w:bCs/>
                                  <w:color w:val="FDEFBE"/>
                                  <w:kern w:val="0"/>
                                  <w:sz w:val="32"/>
                                  <w:szCs w:val="32"/>
                                </w:rPr>
                                <w:t>录</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20" o:spid="_x0000_s20" coordorigin="-28,778" coordsize="4454,935" style="position:absolute;margin-left:-80.80001pt;margin-top:38.94997pt;width:222.74997pt;height:46.750027pt;z-index:81;mso-position-horizontal:absolute;mso-position-vertical:absolute;mso-position-vertical-relative:page;mso-wrap-distance-left:8.999863pt;mso-wrap-distance-right:8.999863pt;">
                <v:rect type="#_x0000_t1" id="_s21" o:spid="_x0000_s21" style="position:absolute;left:-28;top:778;width:4454;height:785;" fillcolor="#D9D9D9" stroked="f">
                  <v:stroke color="#000000"/>
                </v:rect>
                <v:rect type="#_x0000_t1" id="_s22" o:spid="_x0000_s22" style="position:absolute;left:-14;top:963;width:4339;height:750;mso-wrap-style:square;" fillcolor="#AD002D" stroked="t" strokeweight="2.0pt">
                  <v:textbox id="865"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目</w:t>
                        </w:r>
                        <w:r>
                          <w:rPr>
                            <w:rFonts w:ascii="楷体" w:eastAsia="楷体" w:cs="楷体"/>
                            <w:b/>
                            <w:bCs/>
                            <w:color w:val="FDEFBE"/>
                            <w:kern w:val="0"/>
                            <w:sz w:val="32"/>
                            <w:szCs w:val="32"/>
                          </w:rPr>
                          <w:t xml:space="preserve"> </w:t>
                        </w:r>
                        <w:r>
                          <w:rPr>
                            <w:rFonts w:ascii="楷体" w:eastAsia="楷体" w:cs="楷体" w:hint="eastAsia"/>
                            <w:b/>
                            <w:bCs/>
                            <w:color w:val="FDEFBE"/>
                            <w:kern w:val="0"/>
                            <w:sz w:val="32"/>
                            <w:szCs w:val="32"/>
                          </w:rPr>
                          <w:t>录</w:t>
                        </w:r>
                      </w:p>
                      <w:p>
                        <w:pPr>
                          <w:jc w:val="center"/>
                        </w:pPr>
                      </w:p>
                    </w:txbxContent>
                  </v:textbox>
                  <v:stroke color="#B0761F"/>
                </v:rect>
                <w10:anchorLock/>
              </v:group>
            </w:pict>
          </mc:Fallback>
        </mc:AlternateConten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一、收入支出决算总体情况说明</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二、收入决算情况说明</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三、支出决算情况说明</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四、财政拨款收入支出决算情况说明</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五、一般公共预算财政拨款</w:t>
      </w:r>
      <w:r>
        <w:rPr>
          <w:rFonts w:eastAsia="仿宋_GB2312"/>
          <w:sz w:val="32"/>
          <w:szCs w:val="32"/>
        </w:rPr>
        <w:t>“</w:t>
      </w:r>
      <w:r>
        <w:rPr>
          <w:rFonts w:eastAsia="仿宋_GB2312" w:cs="仿宋_GB2312" w:hint="eastAsia"/>
          <w:sz w:val="32"/>
          <w:szCs w:val="32"/>
        </w:rPr>
        <w:t>三公</w:t>
      </w:r>
      <w:r>
        <w:rPr>
          <w:rFonts w:eastAsia="仿宋_GB2312"/>
          <w:sz w:val="32"/>
          <w:szCs w:val="32"/>
        </w:rPr>
        <w:t>”</w:t>
      </w:r>
      <w:r>
        <w:rPr>
          <w:rFonts w:eastAsia="仿宋_GB2312" w:cs="仿宋_GB2312" w:hint="eastAsia"/>
          <w:sz w:val="32"/>
          <w:szCs w:val="32"/>
        </w:rPr>
        <w:t>经费支出决算情况说明</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六、预算绩效情况说明</w:t>
      </w:r>
    </w:p>
    <w:p>
      <w:pPr>
        <w:widowControl/>
        <w:spacing w:line="580" w:lineRule="exact"/>
        <w:ind w:left="640" w:firstLineChars="200" w:firstLine="640"/>
        <w:rPr>
          <w:rFonts w:eastAsia="仿宋_GB2312"/>
          <w:sz w:val="32"/>
          <w:szCs w:val="32"/>
        </w:rPr>
      </w:pPr>
      <w:r>
        <w:rPr>
          <w:rFonts w:eastAsia="仿宋_GB2312" w:cs="仿宋_GB2312" w:hint="eastAsia"/>
          <w:sz w:val="32"/>
          <w:szCs w:val="32"/>
        </w:rPr>
        <w:t>七、其他重要事项的说明</w:t>
      </w:r>
    </w:p>
    <w:p>
      <w:pPr>
        <w:widowControl/>
        <w:spacing w:line="580" w:lineRule="exact"/>
        <w:ind w:firstLineChars="200" w:firstLine="640"/>
        <w:rPr>
          <w:rFonts w:eastAsia="黑体"/>
          <w:sz w:val="32"/>
          <w:szCs w:val="32"/>
        </w:rPr>
      </w:pPr>
      <w:r>
        <w:rPr>
          <w:rFonts w:eastAsia="黑体" w:cs="黑体" w:hint="eastAsia"/>
          <w:sz w:val="32"/>
          <w:szCs w:val="32"/>
        </w:rPr>
        <w:t>第四部分</w:t>
      </w:r>
      <w:r>
        <w:rPr>
          <w:rFonts w:eastAsia="黑体"/>
          <w:sz w:val="32"/>
          <w:szCs w:val="32"/>
        </w:rPr>
        <w:t xml:space="preserve">  </w:t>
      </w:r>
      <w:r>
        <w:rPr>
          <w:rFonts w:eastAsia="黑体" w:cs="黑体" w:hint="eastAsia"/>
          <w:sz w:val="32"/>
          <w:szCs w:val="32"/>
        </w:rPr>
        <w:t>名词解释</w:t>
      </w:r>
    </w:p>
    <w:p>
      <w:pPr>
        <w:widowControl/>
        <w:spacing w:line="580" w:lineRule="exact"/>
        <w:ind w:firstLineChars="200" w:firstLine="640"/>
        <w:rPr>
          <w:rFonts w:eastAsia="黑体"/>
          <w:sz w:val="32"/>
          <w:szCs w:val="32"/>
        </w:rPr>
      </w:pPr>
    </w:p>
    <w:p>
      <w:pPr>
        <w:widowControl/>
        <w:spacing w:line="580" w:lineRule="exact"/>
        <w:ind w:firstLineChars="200" w:firstLine="640"/>
        <w:rPr>
          <w:rFonts w:eastAsia="黑体"/>
          <w:sz w:val="32"/>
          <w:szCs w:val="32"/>
        </w:rPr>
      </w:pPr>
    </w:p>
    <w:p>
      <w:pPr>
        <w:widowControl/>
        <w:spacing w:line="580" w:lineRule="exact"/>
        <w:ind w:firstLineChars="200" w:firstLine="640"/>
        <w:rPr>
          <w:rFonts w:eastAsia="黑体"/>
          <w:sz w:val="32"/>
          <w:szCs w:val="32"/>
        </w:rPr>
      </w:pPr>
    </w:p>
    <w:p>
      <w:pPr>
        <w:widowControl/>
        <w:spacing w:line="580" w:lineRule="exact"/>
        <w:ind w:firstLineChars="200" w:firstLine="640"/>
        <w:rPr>
          <w:rFonts w:eastAsia="黑体"/>
          <w:sz w:val="32"/>
          <w:szCs w:val="32"/>
        </w:rPr>
      </w:pPr>
    </w:p>
    <w:p>
      <w:r>
        <w:br w:type="page"/>
      </w:r>
    </w:p>
    <w:p>
      <w:r>
        <w:drawing>
          <wp:anchor distT="0" distB="0" distL="114298" distR="114298" simplePos="0" relativeHeight="4" behindDoc="1" locked="1" layoutInCell="1" hidden="0" allowOverlap="1">
            <wp:simplePos x="0" y="0"/>
            <wp:positionH relativeFrom="column">
              <wp:posOffset>-1024889</wp:posOffset>
            </wp:positionH>
            <wp:positionV relativeFrom="paragraph">
              <wp:posOffset>-1351914</wp:posOffset>
            </wp:positionV>
            <wp:extent cx="7585710" cy="10727055"/>
            <wp:effectExtent l="0" t="0" r="0" b="0"/>
            <wp:wrapNone/>
            <wp:docPr id="23" name="图片 12" descr="2"/>
            <wp:cNvGraphicFramePr>
              <a:graphicFrameLocks noChangeAspect="1"/>
            </wp:cNvGraphicFramePr>
            <a:graphic>
              <a:graphicData uri="http://schemas.openxmlformats.org/drawingml/2006/picture">
                <pic:pic>
                  <pic:nvPicPr>
                    <pic:cNvPr id="25" name="图片 12 25"/>
                    <pic:cNvPicPr/>
                  </pic:nvPicPr>
                  <pic:blipFill>
                    <a:blip r:embed="rId3"/>
                    <a:stretch>
                      <a:fillRect/>
                    </a:stretch>
                  </pic:blipFill>
                  <pic:spPr>
                    <a:xfrm rot="0">
                      <a:off x="0" y="0"/>
                      <a:ext cx="7585710" cy="10727055"/>
                    </a:xfrm>
                    <a:prstGeom prst="rect"/>
                    <a:noFill/>
                    <a:ln w="9525" cmpd="sng" cap="flat">
                      <a:noFill/>
                      <a:prstDash val="solid"/>
                      <a:miter/>
                    </a:ln>
                  </pic:spPr>
                </pic:pic>
              </a:graphicData>
            </a:graphic>
          </wp:anchor>
        </w:drawing>
      </w:r>
      <w:r>
        <mc:AlternateContent>
          <mc:Choice Requires="wps">
            <w:drawing>
              <wp:anchor distT="0" distB="0" distL="114298" distR="114298" simplePos="0" relativeHeight="75" behindDoc="0" locked="1" layoutInCell="1" hidden="0" allowOverlap="1">
                <wp:simplePos x="0" y="0"/>
                <wp:positionH relativeFrom="column">
                  <wp:posOffset>-1235710</wp:posOffset>
                </wp:positionH>
                <wp:positionV relativeFrom="paragraph">
                  <wp:posOffset>3290570</wp:posOffset>
                </wp:positionV>
                <wp:extent cx="7793355" cy="1037590"/>
                <wp:effectExtent l="0" t="0" r="0" b="0"/>
                <wp:wrapNone/>
                <wp:docPr id="26" name="_x0000_s1035"/>
                <wp:cNvGraphicFramePr>
                  <a:graphicFrameLocks noChangeAspect="0"/>
                </wp:cNvGraphicFramePr>
                <a:graphic>
                  <a:graphicData uri="http://schemas.microsoft.com/office/word/2010/wordprocessingShape">
                    <wps:wsp>
                      <wps:cNvSpPr/>
                      <wps:spPr>
                        <a:xfrm rot="0">
                          <a:off x="0" y="0"/>
                          <a:ext cx="7793355" cy="1037590"/>
                        </a:xfrm>
                        <a:prstGeom prst="rect"/>
                        <a:noFill/>
                        <a:ln w="9525" cmpd="sng" cap="flat">
                          <a:noFill/>
                          <a:prstDash val="solid"/>
                          <a:miter/>
                        </a:ln>
                      </wps:spPr>
                      <wps:txbx id="27">
                        <w:txbxContent>
                          <w:p>
                            <w:pPr>
                              <w:widowControl/>
                              <w:jc w:val="center"/>
                              <w:rPr>
                                <w:color w:val="FDEFBE"/>
                                <w:sz w:val="96"/>
                                <w:szCs w:val="96"/>
                              </w:rPr>
                            </w:pPr>
                            <w:r>
                              <w:rPr>
                                <w:rFonts w:ascii="黑体" w:eastAsia="黑体" w:cs="黑体" w:hint="eastAsia"/>
                                <w:color w:val="FDEFBE"/>
                                <w:sz w:val="96"/>
                                <w:szCs w:val="96"/>
                              </w:rPr>
                              <w:t>第一部分</w:t>
                            </w:r>
                            <w:r>
                              <w:rPr>
                                <w:rFonts w:ascii="黑体" w:eastAsia="黑体" w:cs="黑体"/>
                                <w:color w:val="FDEFBE"/>
                                <w:sz w:val="96"/>
                                <w:szCs w:val="96"/>
                              </w:rPr>
                              <w:t xml:space="preserve">  </w:t>
                            </w:r>
                            <w:r>
                              <w:rPr>
                                <w:rFonts w:ascii="黑体" w:eastAsia="黑体" w:cs="黑体" w:hint="eastAsia"/>
                                <w:color w:val="FDEFBE"/>
                                <w:sz w:val="96"/>
                                <w:szCs w:val="96"/>
                              </w:rPr>
                              <w:t>部门概况</w:t>
                            </w:r>
                          </w:p>
                        </w:txbxContent>
                      </wps:txbx>
                      <wps:bodyPr vert="horz" wrap="square" lIns="91440" tIns="45720" rIns="91440" bIns="45720" anchor="t" anchorCtr="0" upright="1">
                        <a:noAutofit/>
                      </wps:bodyPr>
                    </wps:wsp>
                  </a:graphicData>
                </a:graphic>
              </wp:anchor>
            </w:drawing>
          </mc:Choice>
          <mc:Fallback>
            <w:pict>
              <v:shape type="#_x0000_t202" id="_x0000_s1035 28" o:spid="_x0000_s28" filled="f" stroked="f" style="position:absolute;margin-left:-97.299995pt;margin-top:259.1pt;width:613.65pt;height:81.700005pt;z-index:75;mso-position-horizontal:absolute;mso-position-vertical:absolute;mso-wrap-distance-left:8.999863pt;mso-wrap-distance-right:8.999863pt;mso-wrap-style:square;">
                <v:stroke color="#000000"/>
                <v:textbox id="851" inset="2.54mm,1.27mm,2.54mm,1.27mm" o:insetmode="custom" style="layout-flow:horizontal;v-text-anchor:top;">
                  <w:txbxContent>
                    <w:p>
                      <w:pPr>
                        <w:widowControl/>
                        <w:jc w:val="center"/>
                        <w:rPr>
                          <w:color w:val="FDEFBE"/>
                          <w:sz w:val="96"/>
                          <w:szCs w:val="96"/>
                        </w:rPr>
                      </w:pPr>
                      <w:r>
                        <w:rPr>
                          <w:rFonts w:ascii="黑体" w:eastAsia="黑体" w:cs="黑体" w:hint="eastAsia"/>
                          <w:color w:val="FDEFBE"/>
                          <w:sz w:val="96"/>
                          <w:szCs w:val="96"/>
                        </w:rPr>
                        <w:t>第一部分</w:t>
                      </w:r>
                      <w:r>
                        <w:rPr>
                          <w:rFonts w:ascii="黑体" w:eastAsia="黑体" w:cs="黑体"/>
                          <w:color w:val="FDEFBE"/>
                          <w:sz w:val="96"/>
                          <w:szCs w:val="96"/>
                        </w:rPr>
                        <w:t xml:space="preserve">  </w:t>
                      </w:r>
                      <w:r>
                        <w:rPr>
                          <w:rFonts w:ascii="黑体" w:eastAsia="黑体" w:cs="黑体" w:hint="eastAsia"/>
                          <w:color w:val="FDEFBE"/>
                          <w:sz w:val="96"/>
                          <w:szCs w:val="96"/>
                        </w:rPr>
                        <w:t>部门概况</w:t>
                      </w:r>
                    </w:p>
                  </w:txbxContent>
                </v:textbox>
                <w10:anchorLock/>
              </v:shape>
            </w:pict>
          </mc:Fallback>
        </mc:AlternateContent>
      </w:r>
    </w:p>
    <w:p/>
    <w:p/>
    <w:p/>
    <w:p/>
    <w:p/>
    <w:p/>
    <w:p/>
    <w:p/>
    <w:p/>
    <w:p/>
    <w:p/>
    <w:p/>
    <w:p/>
    <w:p/>
    <w:p/>
    <w:p>
      <w:pPr>
        <w:pStyle w:val="1"/>
        <w:spacing w:before="0" w:after="0" w:line="600" w:lineRule="exact"/>
        <w:jc w:val="left"/>
        <w:rPr>
          <w:rFonts w:ascii="黑体" w:eastAsia="黑体"/>
          <w:b w:val="0"/>
          <w:bCs w:val="0"/>
          <w:kern w:val="0"/>
          <w:sz w:val="32"/>
          <w:szCs w:val="32"/>
        </w:rPr>
      </w:pPr>
      <w:r>
        <mc:AlternateContent>
          <mc:Choice Requires="wps">
            <w:drawing>
              <wp:anchor distT="0" distB="0" distL="114298" distR="114298" simplePos="0" relativeHeight="67" behindDoc="0" locked="1" layoutInCell="1" hidden="0" allowOverlap="1">
                <wp:simplePos x="0" y="0"/>
                <wp:positionH relativeFrom="column">
                  <wp:posOffset>-1026160</wp:posOffset>
                </wp:positionH>
                <wp:positionV relativeFrom="page">
                  <wp:posOffset>501650</wp:posOffset>
                </wp:positionV>
                <wp:extent cx="3114675" cy="593089"/>
                <wp:effectExtent l="0" t="0" r="0" b="0"/>
                <wp:wrapNone/>
                <wp:docPr id="29" name="组合"/>
                <wp:cNvGraphicFramePr>
                  <a:graphicFrameLocks noChangeAspect="0"/>
                </wp:cNvGraphicFramePr>
                <a:graphic>
                  <a:graphicData uri="http://schemas.microsoft.com/office/word/2010/wordprocessingGroup">
                    <wpg:wgp>
                      <wpg:cNvPr id="30" name="组合 30"/>
                      <wpg:cNvGrpSpPr/>
                      <wpg:grpSpPr>
                        <a:xfrm rot="0">
                          <a:off x="0" y="0"/>
                          <a:ext cx="3114675" cy="593089"/>
                          <a:chOff x="0" y="0"/>
                          <a:chExt cx="3114675" cy="593089"/>
                        </a:xfrm>
                        <a:prstGeom prst="rect"/>
                        <a:solidFill>
                          <a:srgbClr val="FFFFFF"/>
                        </a:solidFill>
                        <a:ln w="9525" cmpd="sng" cap="flat">
                          <a:solidFill>
                            <a:srgbClr val="000000"/>
                          </a:solidFill>
                          <a:prstDash val="solid"/>
                          <a:miter/>
                        </a:ln>
                      </wpg:grpSpPr>
                      <wps:wsp>
                        <wps:cNvPr id="31" name="_s35 31"/>
                        <wps:cNvSpPr/>
                        <wps:spPr>
                          <a:xfrm rot="0">
                            <a:off x="0" y="0"/>
                            <a:ext cx="3114675" cy="499009"/>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32" name="_s36 32"/>
                        <wps:cNvSpPr/>
                        <wps:spPr>
                          <a:xfrm rot="0">
                            <a:off x="9525" y="116329"/>
                            <a:ext cx="3033395" cy="476760"/>
                          </a:xfrm>
                          <a:prstGeom prst="rect"/>
                          <a:solidFill>
                            <a:srgbClr val="AD002D"/>
                          </a:solidFill>
                          <a:ln w="25400" cmpd="sng" cap="flat">
                            <a:solidFill>
                              <a:srgbClr val="B0761F"/>
                            </a:solidFill>
                            <a:prstDash val="solid"/>
                            <a:miter/>
                          </a:ln>
                        </wps:spPr>
                        <wps:txbx id="33">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部门概况</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34" o:spid="_x0000_s34" coordorigin="-28,790" coordsize="4905,933" style="position:absolute;margin-left:-80.80001pt;margin-top:39.500008pt;width:245.25002pt;height:46.699974pt;z-index:67;mso-position-horizontal:absolute;mso-position-vertical:absolute;mso-position-vertical-relative:page;mso-wrap-distance-left:8.999863pt;mso-wrap-distance-right:8.999863pt;">
                <v:rect type="#_x0000_t1" id="_s35" o:spid="_x0000_s35" style="position:absolute;left:-28;top:790;width:4905;height:785;" fillcolor="#D9D9D9" stroked="f">
                  <v:stroke color="#000000"/>
                </v:rect>
                <v:rect type="#_x0000_t1" id="_s36" o:spid="_x0000_s36" style="position:absolute;left:-13;top:973;width:4777;height:750;mso-wrap-style:square;" fillcolor="#AD002D" stroked="t" strokeweight="2.0pt">
                  <v:textbox id="866"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部门概况</w:t>
                        </w:r>
                      </w:p>
                      <w:p>
                        <w:pPr>
                          <w:jc w:val="center"/>
                        </w:pPr>
                      </w:p>
                    </w:txbxContent>
                  </v:textbox>
                  <v:stroke color="#B0761F"/>
                </v:rect>
                <w10:anchorLock/>
              </v:group>
            </w:pict>
          </mc:Fallback>
        </mc:AlternateContent>
      </w:r>
      <w:r>
        <w:rPr>
          <w:rFonts w:ascii="黑体" w:eastAsia="黑体" w:cs="黑体" w:hint="eastAsia"/>
          <w:b w:val="0"/>
          <w:bCs w:val="0"/>
          <w:kern w:val="0"/>
          <w:sz w:val="32"/>
          <w:szCs w:val="32"/>
        </w:rPr>
        <w:t>一、部门职责</w:t>
      </w:r>
    </w:p>
    <w:p>
      <w:pPr>
        <w:ind w:firstLineChars="200" w:firstLine="640"/>
        <w:rPr>
          <w:rFonts w:ascii="仿宋_GB2312" w:eastAsia="仿宋_GB2312"/>
          <w:kern w:val="0"/>
          <w:sz w:val="32"/>
          <w:szCs w:val="32"/>
        </w:rPr>
      </w:pPr>
      <w:r>
        <w:rPr>
          <w:rFonts w:ascii="仿宋_GB2312" w:eastAsia="仿宋_GB2312" w:cs="仿宋_GB2312"/>
          <w:kern w:val="0"/>
          <w:sz w:val="32"/>
          <w:szCs w:val="32"/>
        </w:rPr>
        <w:t>1</w:t>
      </w:r>
      <w:r>
        <w:rPr>
          <w:rFonts w:ascii="仿宋_GB2312" w:eastAsia="仿宋_GB2312" w:cs="仿宋_GB2312" w:hint="eastAsia"/>
          <w:kern w:val="0"/>
          <w:sz w:val="32"/>
          <w:szCs w:val="32"/>
        </w:rPr>
        <w:t>、村镇建设：负责全县农村危房改造工作、指导县城内村镇基础建设工作。</w:t>
      </w:r>
    </w:p>
    <w:p>
      <w:pPr>
        <w:ind w:firstLineChars="200" w:firstLine="640"/>
        <w:rPr>
          <w:rFonts w:ascii="仿宋_GB2312" w:eastAsia="仿宋_GB2312"/>
          <w:kern w:val="0"/>
          <w:sz w:val="32"/>
          <w:szCs w:val="32"/>
        </w:rPr>
      </w:pPr>
      <w:r>
        <w:rPr>
          <w:rFonts w:ascii="仿宋_GB2312" w:eastAsia="仿宋_GB2312" w:cs="仿宋_GB2312"/>
          <w:kern w:val="0"/>
          <w:sz w:val="32"/>
          <w:szCs w:val="32"/>
        </w:rPr>
        <w:t>2</w:t>
      </w:r>
      <w:r>
        <w:rPr>
          <w:rFonts w:ascii="仿宋_GB2312" w:eastAsia="仿宋_GB2312" w:cs="仿宋_GB2312" w:hint="eastAsia"/>
          <w:kern w:val="0"/>
          <w:sz w:val="32"/>
          <w:szCs w:val="32"/>
        </w:rPr>
        <w:t>、污水处理厂建设。</w:t>
      </w:r>
    </w:p>
    <w:p>
      <w:pPr>
        <w:ind w:firstLineChars="200" w:firstLine="640"/>
        <w:rPr>
          <w:rFonts w:ascii="仿宋_GB2312" w:eastAsia="仿宋_GB2312"/>
          <w:kern w:val="0"/>
          <w:sz w:val="32"/>
          <w:szCs w:val="32"/>
        </w:rPr>
      </w:pPr>
      <w:r>
        <w:rPr>
          <w:rFonts w:ascii="仿宋_GB2312" w:eastAsia="仿宋_GB2312" w:cs="仿宋_GB2312"/>
          <w:kern w:val="0"/>
          <w:sz w:val="32"/>
          <w:szCs w:val="32"/>
        </w:rPr>
        <w:t>3</w:t>
      </w:r>
      <w:r>
        <w:rPr>
          <w:rFonts w:ascii="仿宋_GB2312" w:eastAsia="仿宋_GB2312" w:cs="仿宋_GB2312" w:hint="eastAsia"/>
          <w:kern w:val="0"/>
          <w:sz w:val="32"/>
          <w:szCs w:val="32"/>
        </w:rPr>
        <w:t>、县城照明设施管理。</w:t>
      </w:r>
    </w:p>
    <w:p>
      <w:pPr>
        <w:ind w:firstLineChars="200" w:firstLine="640"/>
        <w:rPr>
          <w:rFonts w:ascii="仿宋_GB2312" w:eastAsia="仿宋_GB2312"/>
          <w:kern w:val="0"/>
          <w:sz w:val="32"/>
          <w:szCs w:val="32"/>
        </w:rPr>
      </w:pPr>
      <w:r>
        <w:rPr>
          <w:rFonts w:ascii="仿宋_GB2312" w:eastAsia="仿宋_GB2312" w:cs="仿宋_GB2312"/>
          <w:kern w:val="0"/>
          <w:sz w:val="32"/>
          <w:szCs w:val="32"/>
        </w:rPr>
        <w:t>4</w:t>
      </w:r>
      <w:r>
        <w:rPr>
          <w:rFonts w:ascii="仿宋_GB2312" w:eastAsia="仿宋_GB2312" w:cs="仿宋_GB2312" w:hint="eastAsia"/>
          <w:kern w:val="0"/>
          <w:sz w:val="32"/>
          <w:szCs w:val="32"/>
        </w:rPr>
        <w:t>、安全生产监察：建筑活动安全监督。</w:t>
      </w:r>
    </w:p>
    <w:p>
      <w:pPr>
        <w:ind w:firstLineChars="200" w:firstLine="640"/>
        <w:rPr>
          <w:rFonts w:ascii="仿宋_GB2312" w:eastAsia="仿宋_GB2312"/>
          <w:kern w:val="0"/>
          <w:sz w:val="32"/>
          <w:szCs w:val="32"/>
        </w:rPr>
      </w:pPr>
      <w:r>
        <w:rPr>
          <w:rFonts w:ascii="仿宋_GB2312" w:eastAsia="仿宋_GB2312" w:cs="仿宋_GB2312"/>
          <w:kern w:val="0"/>
          <w:sz w:val="32"/>
          <w:szCs w:val="32"/>
        </w:rPr>
        <w:t>5</w:t>
      </w:r>
      <w:r>
        <w:rPr>
          <w:rFonts w:ascii="仿宋_GB2312" w:eastAsia="仿宋_GB2312" w:cs="仿宋_GB2312" w:hint="eastAsia"/>
          <w:kern w:val="0"/>
          <w:sz w:val="32"/>
          <w:szCs w:val="32"/>
        </w:rPr>
        <w:t>、道路、排水、供水、照明等基础设施建设：负责县城内道路、排水、供水、照明等基础设施建设、管理和维护。</w:t>
      </w:r>
    </w:p>
    <w:p>
      <w:pPr>
        <w:ind w:firstLineChars="200" w:firstLine="640"/>
        <w:rPr>
          <w:rFonts w:ascii="仿宋_GB2312" w:eastAsia="仿宋_GB2312"/>
          <w:kern w:val="0"/>
          <w:sz w:val="32"/>
          <w:szCs w:val="32"/>
        </w:rPr>
      </w:pPr>
      <w:r>
        <w:rPr>
          <w:rFonts w:ascii="仿宋_GB2312" w:eastAsia="仿宋_GB2312" w:cs="仿宋_GB2312"/>
          <w:kern w:val="0"/>
          <w:sz w:val="32"/>
          <w:szCs w:val="32"/>
        </w:rPr>
        <w:t>6</w:t>
      </w:r>
      <w:r>
        <w:rPr>
          <w:rFonts w:ascii="仿宋_GB2312" w:eastAsia="仿宋_GB2312" w:cs="仿宋_GB2312" w:hint="eastAsia"/>
          <w:kern w:val="0"/>
          <w:sz w:val="32"/>
          <w:szCs w:val="32"/>
        </w:rPr>
        <w:t>、天然气、液化气、供热监管：对天然气、液化气、供热实行行业管理。</w:t>
      </w:r>
    </w:p>
    <w:p>
      <w:pPr>
        <w:ind w:firstLineChars="200" w:firstLine="640"/>
        <w:rPr>
          <w:rFonts w:ascii="仿宋_GB2312" w:eastAsia="仿宋_GB2312"/>
          <w:kern w:val="0"/>
          <w:sz w:val="32"/>
          <w:szCs w:val="32"/>
        </w:rPr>
      </w:pPr>
      <w:r>
        <w:rPr>
          <w:rFonts w:ascii="仿宋_GB2312" w:eastAsia="仿宋_GB2312" w:cs="仿宋_GB2312"/>
          <w:kern w:val="0"/>
          <w:sz w:val="32"/>
          <w:szCs w:val="32"/>
        </w:rPr>
        <w:t>7</w:t>
      </w:r>
      <w:r>
        <w:rPr>
          <w:rFonts w:ascii="仿宋_GB2312" w:eastAsia="仿宋_GB2312" w:cs="仿宋_GB2312" w:hint="eastAsia"/>
          <w:kern w:val="0"/>
          <w:sz w:val="32"/>
          <w:szCs w:val="32"/>
        </w:rPr>
        <w:t>、监管建筑市场、施工、节能改造：监督管理建筑市场、规范市场各方主体行为。规范建筑市场，监督、管理建筑市场准入、工程招投标、工程咨询、工程监理、工程质量、工程稽查和安全；组织或参与重大工程质量事故的调查处理；负责工程质量的审核与评定及对工程质量纠纷的仲裁；监督检查工程质量及施工安全。负责对建设工程劳务作业分包活动和建筑业企业劳动用工的监督管理。</w:t>
      </w:r>
    </w:p>
    <w:p>
      <w:pPr>
        <w:ind w:firstLineChars="200" w:firstLine="640"/>
        <w:rPr>
          <w:rFonts w:ascii="仿宋_GB2312" w:eastAsia="仿宋_GB2312"/>
          <w:kern w:val="0"/>
          <w:sz w:val="32"/>
          <w:szCs w:val="32"/>
        </w:rPr>
      </w:pPr>
      <w:r>
        <w:rPr>
          <w:rFonts w:ascii="仿宋_GB2312" w:eastAsia="仿宋_GB2312" w:cs="仿宋_GB2312"/>
          <w:kern w:val="0"/>
          <w:sz w:val="32"/>
          <w:szCs w:val="32"/>
        </w:rPr>
        <w:t>8</w:t>
      </w:r>
      <w:r>
        <w:rPr>
          <w:rFonts w:ascii="仿宋_GB2312" w:eastAsia="仿宋_GB2312" w:cs="仿宋_GB2312" w:hint="eastAsia"/>
          <w:kern w:val="0"/>
          <w:sz w:val="32"/>
          <w:szCs w:val="32"/>
        </w:rPr>
        <w:t>、勘察设计：负责建设工程勘察设计工作，规范勘察设计市场。</w:t>
      </w:r>
    </w:p>
    <w:p>
      <w:pPr>
        <w:ind w:firstLineChars="200" w:firstLine="640"/>
        <w:rPr>
          <w:rFonts w:ascii="仿宋_GB2312" w:eastAsia="仿宋_GB2312"/>
          <w:kern w:val="0"/>
          <w:sz w:val="32"/>
          <w:szCs w:val="32"/>
        </w:rPr>
      </w:pPr>
      <w:r>
        <w:rPr>
          <w:rFonts w:ascii="仿宋_GB2312" w:eastAsia="仿宋_GB2312" w:cs="仿宋_GB2312"/>
          <w:kern w:val="0"/>
          <w:sz w:val="32"/>
          <w:szCs w:val="32"/>
        </w:rPr>
        <w:t>9</w:t>
      </w:r>
      <w:r>
        <w:rPr>
          <w:rFonts w:ascii="仿宋_GB2312" w:eastAsia="仿宋_GB2312" w:cs="仿宋_GB2312" w:hint="eastAsia"/>
          <w:kern w:val="0"/>
          <w:sz w:val="32"/>
          <w:szCs w:val="32"/>
        </w:rPr>
        <w:t>、城建档案管理：负责城建档案的日常管理，指导和监督建设单位及专业管理部门做好城建档案的管理和移交工作。</w:t>
      </w:r>
    </w:p>
    <w:p>
      <w:pPr>
        <w:ind w:firstLineChars="200" w:firstLine="640"/>
        <w:rPr>
          <w:rFonts w:ascii="仿宋_GB2312" w:eastAsia="仿宋_GB2312"/>
          <w:kern w:val="0"/>
          <w:sz w:val="32"/>
          <w:szCs w:val="32"/>
        </w:rPr>
      </w:pPr>
      <w:r>
        <w:rPr>
          <w:rFonts w:ascii="仿宋_GB2312" w:eastAsia="仿宋_GB2312" w:cs="仿宋_GB2312"/>
          <w:kern w:val="0"/>
          <w:sz w:val="32"/>
          <w:szCs w:val="32"/>
        </w:rPr>
        <w:t>10</w:t>
      </w:r>
      <w:r>
        <w:rPr>
          <w:rFonts w:ascii="仿宋_GB2312" w:eastAsia="仿宋_GB2312" w:cs="仿宋_GB2312" w:hint="eastAsia"/>
          <w:kern w:val="0"/>
          <w:sz w:val="32"/>
          <w:szCs w:val="32"/>
        </w:rPr>
        <w:t>、综合事务管理：负责建设系统综合业务管理和机关综合事务管理。</w:t>
      </w:r>
    </w:p>
    <w:p>
      <w:pPr>
        <w:ind w:firstLineChars="200" w:firstLine="640"/>
        <w:rPr>
          <w:rFonts w:ascii="仿宋_GB2312" w:eastAsia="仿宋_GB2312"/>
          <w:kern w:val="0"/>
          <w:sz w:val="32"/>
          <w:szCs w:val="32"/>
        </w:rPr>
      </w:pPr>
      <w:r>
        <w:rPr>
          <w:rFonts w:ascii="仿宋_GB2312" w:eastAsia="仿宋_GB2312" w:cs="仿宋_GB2312"/>
          <w:kern w:val="0"/>
          <w:sz w:val="32"/>
          <w:szCs w:val="32"/>
        </w:rPr>
        <w:t>11</w:t>
      </w:r>
      <w:r>
        <w:rPr>
          <w:rFonts w:ascii="仿宋_GB2312" w:eastAsia="仿宋_GB2312" w:cs="仿宋_GB2312" w:hint="eastAsia"/>
          <w:kern w:val="0"/>
          <w:sz w:val="32"/>
          <w:szCs w:val="32"/>
        </w:rPr>
        <w:t>、政务管理：政策法规宣传培训，业务大厅管理，信访稳定工作，国有资产管理。</w:t>
      </w:r>
    </w:p>
    <w:p>
      <w:pPr>
        <w:ind w:firstLineChars="200" w:firstLine="640"/>
        <w:rPr>
          <w:rFonts w:ascii="仿宋_GB2312" w:eastAsia="仿宋_GB2312"/>
          <w:kern w:val="0"/>
          <w:sz w:val="32"/>
          <w:szCs w:val="32"/>
        </w:rPr>
      </w:pPr>
      <w:r>
        <w:rPr>
          <w:rFonts w:ascii="仿宋_GB2312" w:eastAsia="仿宋_GB2312" w:cs="仿宋_GB2312"/>
          <w:kern w:val="0"/>
          <w:sz w:val="32"/>
          <w:szCs w:val="32"/>
        </w:rPr>
        <w:t>12</w:t>
      </w:r>
      <w:r>
        <w:rPr>
          <w:rFonts w:ascii="仿宋_GB2312" w:eastAsia="仿宋_GB2312" w:cs="仿宋_GB2312" w:hint="eastAsia"/>
          <w:kern w:val="0"/>
          <w:sz w:val="32"/>
          <w:szCs w:val="32"/>
        </w:rPr>
        <w:t>、国债及债券还本付息：为了经济建设需要申请的各类国债、政府债券及其他债务需偿还的本金及利息。</w:t>
      </w:r>
    </w:p>
    <w:p>
      <w:pPr>
        <w:ind w:firstLineChars="200" w:firstLine="640"/>
        <w:rPr>
          <w:rFonts w:ascii="仿宋_GB2312" w:eastAsia="仿宋_GB2312"/>
          <w:kern w:val="0"/>
          <w:sz w:val="32"/>
          <w:szCs w:val="32"/>
        </w:rPr>
      </w:pPr>
      <w:r>
        <w:rPr>
          <w:rFonts w:ascii="仿宋_GB2312" w:eastAsia="仿宋_GB2312" w:cs="仿宋_GB2312"/>
          <w:kern w:val="0"/>
          <w:sz w:val="32"/>
          <w:szCs w:val="32"/>
        </w:rPr>
        <w:t>13</w:t>
      </w:r>
      <w:r>
        <w:rPr>
          <w:rFonts w:ascii="仿宋_GB2312" w:eastAsia="仿宋_GB2312" w:cs="仿宋_GB2312" w:hint="eastAsia"/>
          <w:kern w:val="0"/>
          <w:sz w:val="32"/>
          <w:szCs w:val="32"/>
        </w:rPr>
        <w:t>、规划编制：参与编制市容市貌、环境卫生、停车场所等专项规划和年度工作计划并组织实施。</w:t>
      </w:r>
    </w:p>
    <w:p>
      <w:pPr>
        <w:ind w:firstLineChars="200" w:firstLine="640"/>
        <w:rPr>
          <w:rFonts w:ascii="仿宋_GB2312" w:eastAsia="仿宋_GB2312"/>
          <w:kern w:val="0"/>
          <w:sz w:val="32"/>
          <w:szCs w:val="32"/>
        </w:rPr>
      </w:pPr>
      <w:r>
        <w:rPr>
          <w:rFonts w:ascii="仿宋_GB2312" w:eastAsia="仿宋_GB2312" w:cs="仿宋_GB2312"/>
          <w:kern w:val="0"/>
          <w:sz w:val="32"/>
          <w:szCs w:val="32"/>
        </w:rPr>
        <w:t>14</w:t>
      </w:r>
      <w:r>
        <w:rPr>
          <w:rFonts w:ascii="仿宋_GB2312" w:eastAsia="仿宋_GB2312" w:cs="仿宋_GB2312" w:hint="eastAsia"/>
          <w:kern w:val="0"/>
          <w:sz w:val="32"/>
          <w:szCs w:val="32"/>
        </w:rPr>
        <w:t>、城市容貌整治：负责市容市貌和户外广告、标志（牌匾）、横幅宣传品设置的管理；负责城区沿街建（构）筑物装修改造和搭建亭棚等非永久性建（构）筑物及其他设施的管理；负责城市道路的占用管理；参与对城区停、洗车场（点）的设置管理。</w:t>
      </w:r>
    </w:p>
    <w:p>
      <w:pPr>
        <w:ind w:firstLineChars="200" w:firstLine="640"/>
        <w:rPr>
          <w:rFonts w:ascii="仿宋_GB2312" w:eastAsia="仿宋_GB2312"/>
          <w:kern w:val="0"/>
          <w:sz w:val="32"/>
          <w:szCs w:val="32"/>
        </w:rPr>
      </w:pPr>
      <w:r>
        <w:rPr>
          <w:rFonts w:ascii="仿宋_GB2312" w:eastAsia="仿宋_GB2312" w:cs="仿宋_GB2312"/>
          <w:kern w:val="0"/>
          <w:sz w:val="32"/>
          <w:szCs w:val="32"/>
        </w:rPr>
        <w:t>15</w:t>
      </w:r>
      <w:r>
        <w:rPr>
          <w:rFonts w:ascii="仿宋_GB2312" w:eastAsia="仿宋_GB2312" w:cs="仿宋_GB2312" w:hint="eastAsia"/>
          <w:kern w:val="0"/>
          <w:sz w:val="32"/>
          <w:szCs w:val="32"/>
        </w:rPr>
        <w:t>、环境卫生管理：负责全县域城乡环境卫生的监督管理，指导、检查城市街道社区环境卫生管理工作；负责城区环境卫生设施、建筑垃圾和工程渣土处置、运输的管理以及从事城市生活垃圾和餐厨垃圾经营性清扫、收集、运输、处理服务管理。</w:t>
      </w:r>
    </w:p>
    <w:p>
      <w:pPr>
        <w:ind w:firstLineChars="200" w:firstLine="640"/>
        <w:rPr>
          <w:rFonts w:ascii="仿宋_GB2312" w:eastAsia="仿宋_GB2312"/>
          <w:kern w:val="0"/>
          <w:sz w:val="32"/>
          <w:szCs w:val="32"/>
        </w:rPr>
      </w:pPr>
      <w:r>
        <w:rPr>
          <w:rFonts w:ascii="仿宋_GB2312" w:eastAsia="仿宋_GB2312" w:cs="仿宋_GB2312"/>
          <w:kern w:val="0"/>
          <w:sz w:val="32"/>
          <w:szCs w:val="32"/>
        </w:rPr>
        <w:t>16</w:t>
      </w:r>
      <w:r>
        <w:rPr>
          <w:rFonts w:ascii="仿宋_GB2312" w:eastAsia="仿宋_GB2312" w:cs="仿宋_GB2312" w:hint="eastAsia"/>
          <w:kern w:val="0"/>
          <w:sz w:val="32"/>
          <w:szCs w:val="32"/>
        </w:rPr>
        <w:t>、园林绿化：负责城市园林、绿化工程的建设与管理维护。</w:t>
      </w:r>
    </w:p>
    <w:p>
      <w:pPr>
        <w:ind w:firstLineChars="200" w:firstLine="640"/>
        <w:rPr>
          <w:rFonts w:ascii="仿宋_GB2312" w:eastAsia="仿宋_GB2312"/>
          <w:kern w:val="0"/>
          <w:sz w:val="32"/>
          <w:szCs w:val="32"/>
        </w:rPr>
      </w:pPr>
      <w:r>
        <w:rPr>
          <w:rFonts w:ascii="仿宋_GB2312" w:eastAsia="仿宋_GB2312" w:cs="仿宋_GB2312"/>
          <w:kern w:val="0"/>
          <w:sz w:val="32"/>
          <w:szCs w:val="32"/>
        </w:rPr>
        <w:t>17</w:t>
      </w:r>
      <w:r>
        <w:rPr>
          <w:rFonts w:ascii="仿宋_GB2312" w:eastAsia="仿宋_GB2312" w:cs="仿宋_GB2312" w:hint="eastAsia"/>
          <w:kern w:val="0"/>
          <w:sz w:val="32"/>
          <w:szCs w:val="32"/>
        </w:rPr>
        <w:t>、行政处罚：行使城乡规划管理和城市市容环境卫生管理方面法律、法规、规章规定的行政处罚权，依法强制拆除不符合城市容貌标准、环境卫生标准的建筑物或者设施；行使工商行政管理方面法律、法规、规章规定的对在城市道路、广场等室外公共场所无照经营行为的行政处罚权；行使公安交通管理方面法律、法规、规章规定的对侵占城市人行道路行为的行政处罚权；履行法律、法规、规章规定和省政府规定的其他行政处罚职责。</w:t>
      </w:r>
    </w:p>
    <w:p>
      <w:pPr>
        <w:ind w:firstLineChars="200" w:firstLine="640"/>
        <w:rPr>
          <w:rFonts w:ascii="仿宋_GB2312" w:eastAsia="仿宋_GB2312"/>
          <w:kern w:val="0"/>
          <w:sz w:val="32"/>
          <w:szCs w:val="32"/>
        </w:rPr>
      </w:pPr>
      <w:r>
        <w:rPr>
          <w:rFonts w:ascii="仿宋_GB2312" w:eastAsia="仿宋_GB2312" w:cs="仿宋_GB2312"/>
          <w:kern w:val="0"/>
          <w:sz w:val="32"/>
          <w:szCs w:val="32"/>
        </w:rPr>
        <w:t>18</w:t>
      </w:r>
      <w:r>
        <w:rPr>
          <w:rFonts w:ascii="仿宋_GB2312" w:eastAsia="仿宋_GB2312" w:cs="仿宋_GB2312" w:hint="eastAsia"/>
          <w:kern w:val="0"/>
          <w:sz w:val="32"/>
          <w:szCs w:val="32"/>
        </w:rPr>
        <w:t>、房屋权属登记管理工作：负责辖区内各类房屋的初始登记、变更登记、转移登记、注销登记、异议登记、房屋抵押贷款登记和房屋抵押注销登记</w:t>
      </w:r>
      <w:bookmarkStart w:id="0" w:name="_GoBack"/>
      <w:bookmarkEnd w:id="0"/>
      <w:r>
        <w:rPr>
          <w:rFonts w:ascii="仿宋_GB2312" w:eastAsia="仿宋_GB2312" w:cs="仿宋_GB2312" w:hint="eastAsia"/>
          <w:kern w:val="0"/>
          <w:sz w:val="32"/>
          <w:szCs w:val="32"/>
        </w:rPr>
        <w:t>及房屋冻结等。房屋档案的管理和利用。</w:t>
      </w:r>
    </w:p>
    <w:p>
      <w:pPr>
        <w:ind w:firstLineChars="200" w:firstLine="640"/>
        <w:rPr>
          <w:rFonts w:ascii="仿宋_GB2312" w:eastAsia="仿宋_GB2312"/>
          <w:kern w:val="0"/>
          <w:sz w:val="32"/>
          <w:szCs w:val="32"/>
        </w:rPr>
      </w:pPr>
      <w:r>
        <w:rPr>
          <w:rFonts w:ascii="仿宋_GB2312" w:eastAsia="仿宋_GB2312" w:cs="仿宋_GB2312"/>
          <w:kern w:val="0"/>
          <w:sz w:val="32"/>
          <w:szCs w:val="32"/>
        </w:rPr>
        <w:t>19</w:t>
      </w:r>
      <w:r>
        <w:rPr>
          <w:rFonts w:ascii="仿宋_GB2312" w:eastAsia="仿宋_GB2312" w:cs="仿宋_GB2312" w:hint="eastAsia"/>
          <w:kern w:val="0"/>
          <w:sz w:val="32"/>
          <w:szCs w:val="32"/>
        </w:rPr>
        <w:t>、房屋交易管理工作：负责辖区内各类房屋的交易管理。</w:t>
      </w:r>
    </w:p>
    <w:p>
      <w:pPr>
        <w:ind w:firstLineChars="200" w:firstLine="640"/>
        <w:rPr>
          <w:rFonts w:ascii="仿宋_GB2312" w:eastAsia="仿宋_GB2312"/>
          <w:kern w:val="0"/>
          <w:sz w:val="32"/>
          <w:szCs w:val="32"/>
        </w:rPr>
      </w:pPr>
      <w:r>
        <w:rPr>
          <w:rFonts w:ascii="仿宋_GB2312" w:eastAsia="仿宋_GB2312" w:cs="仿宋_GB2312"/>
          <w:kern w:val="0"/>
          <w:sz w:val="32"/>
          <w:szCs w:val="32"/>
        </w:rPr>
        <w:t>20</w:t>
      </w:r>
      <w:r>
        <w:rPr>
          <w:rFonts w:ascii="仿宋_GB2312" w:eastAsia="仿宋_GB2312" w:cs="仿宋_GB2312" w:hint="eastAsia"/>
          <w:kern w:val="0"/>
          <w:sz w:val="32"/>
          <w:szCs w:val="32"/>
        </w:rPr>
        <w:t>、保障性住房工程建设管理：对辖区内廉租住房、公共租赁住房等保障性住房的构建、配建、租赁管理、维修管理、租赁住房补贴发放工作。</w:t>
      </w:r>
    </w:p>
    <w:p>
      <w:pPr>
        <w:ind w:firstLineChars="200" w:firstLine="640"/>
        <w:rPr>
          <w:rFonts w:ascii="仿宋_GB2312" w:eastAsia="仿宋_GB2312"/>
          <w:kern w:val="0"/>
          <w:sz w:val="32"/>
          <w:szCs w:val="32"/>
        </w:rPr>
      </w:pPr>
      <w:r>
        <w:rPr>
          <w:rFonts w:ascii="仿宋_GB2312" w:eastAsia="仿宋_GB2312" w:cs="仿宋_GB2312"/>
          <w:kern w:val="0"/>
          <w:sz w:val="32"/>
          <w:szCs w:val="32"/>
        </w:rPr>
        <w:t>21</w:t>
      </w:r>
      <w:r>
        <w:rPr>
          <w:rFonts w:ascii="仿宋_GB2312" w:eastAsia="仿宋_GB2312" w:cs="仿宋_GB2312" w:hint="eastAsia"/>
          <w:kern w:val="0"/>
          <w:sz w:val="32"/>
          <w:szCs w:val="32"/>
        </w:rPr>
        <w:t>、房产市场监督管理：对辖区内房产市场进行监督，依法查处房产市场的违法违规行为并依法进行处罚，维护房产市场秩序，房产信息建设。</w:t>
      </w:r>
    </w:p>
    <w:p>
      <w:pPr>
        <w:ind w:firstLineChars="200" w:firstLine="640"/>
        <w:rPr>
          <w:rFonts w:ascii="仿宋_GB2312" w:eastAsia="仿宋_GB2312"/>
          <w:kern w:val="0"/>
          <w:sz w:val="32"/>
          <w:szCs w:val="32"/>
        </w:rPr>
      </w:pPr>
      <w:r>
        <w:rPr>
          <w:rFonts w:ascii="仿宋_GB2312" w:eastAsia="仿宋_GB2312" w:cs="仿宋_GB2312"/>
          <w:kern w:val="0"/>
          <w:sz w:val="32"/>
          <w:szCs w:val="32"/>
        </w:rPr>
        <w:t>22</w:t>
      </w:r>
      <w:r>
        <w:rPr>
          <w:rFonts w:ascii="仿宋_GB2312" w:eastAsia="仿宋_GB2312" w:cs="仿宋_GB2312" w:hint="eastAsia"/>
          <w:kern w:val="0"/>
          <w:sz w:val="32"/>
          <w:szCs w:val="32"/>
        </w:rPr>
        <w:t>、物业管理工作：负责辖区内物业管理工作，住宅专项维修资金的管理，负责物业企业资质管理，监督指导住宅区业主委员会组建工作。</w:t>
      </w:r>
    </w:p>
    <w:p>
      <w:pPr>
        <w:ind w:firstLineChars="200" w:firstLine="640"/>
        <w:rPr>
          <w:rFonts w:ascii="仿宋_GB2312" w:eastAsia="仿宋_GB2312"/>
          <w:kern w:val="0"/>
          <w:sz w:val="32"/>
          <w:szCs w:val="32"/>
        </w:rPr>
      </w:pPr>
      <w:r>
        <w:rPr>
          <w:rFonts w:ascii="仿宋_GB2312" w:eastAsia="仿宋_GB2312" w:cs="仿宋_GB2312"/>
          <w:kern w:val="0"/>
          <w:sz w:val="32"/>
          <w:szCs w:val="32"/>
        </w:rPr>
        <w:t>23</w:t>
      </w:r>
      <w:r>
        <w:rPr>
          <w:rFonts w:ascii="仿宋_GB2312" w:eastAsia="仿宋_GB2312" w:cs="仿宋_GB2312" w:hint="eastAsia"/>
          <w:kern w:val="0"/>
          <w:sz w:val="32"/>
          <w:szCs w:val="32"/>
        </w:rPr>
        <w:t>、城市危房管理：负责辖区内危陋住宅改造的管理，危陋住宅安全鉴定工作。</w:t>
      </w:r>
    </w:p>
    <w:p>
      <w:pPr>
        <w:pStyle w:val="1"/>
        <w:spacing w:before="0" w:after="0" w:line="600" w:lineRule="exact"/>
        <w:jc w:val="left"/>
        <w:rPr>
          <w:rFonts w:ascii="黑体" w:eastAsia="黑体"/>
          <w:b w:val="0"/>
          <w:bCs w:val="0"/>
          <w:kern w:val="0"/>
          <w:sz w:val="32"/>
          <w:szCs w:val="32"/>
        </w:rPr>
      </w:pPr>
      <w:r>
        <w:rPr>
          <w:rFonts w:ascii="黑体" w:eastAsia="黑体" w:cs="黑体" w:hint="eastAsia"/>
          <w:b w:val="0"/>
          <w:bCs w:val="0"/>
          <w:kern w:val="0"/>
          <w:sz w:val="32"/>
          <w:szCs w:val="32"/>
        </w:rPr>
        <w:t>二、机构设置</w:t>
      </w:r>
    </w:p>
    <w:p>
      <w:pPr>
        <w:spacing w:after="0" w:line="560" w:lineRule="exact"/>
        <w:rPr>
          <w:rFonts w:ascii="仿宋_GB2312" w:eastAsia="仿宋_GB2312"/>
          <w:kern w:val="0"/>
          <w:sz w:val="32"/>
          <w:szCs w:val="32"/>
        </w:rPr>
      </w:pPr>
      <w:r>
        <w:rPr>
          <w:rFonts w:ascii="仿宋_GB2312" w:eastAsia="仿宋_GB2312" w:cs="仿宋_GB2312" w:hint="eastAsia"/>
          <w:kern w:val="0"/>
          <w:sz w:val="32"/>
          <w:szCs w:val="32"/>
        </w:rPr>
        <w:t>从决算编报单位构成看，纳入</w:t>
      </w:r>
      <w:r>
        <w:rPr>
          <w:rFonts w:ascii="仿宋_GB2312" w:eastAsia="仿宋_GB2312" w:cs="仿宋_GB2312"/>
          <w:kern w:val="0"/>
          <w:sz w:val="32"/>
          <w:szCs w:val="32"/>
        </w:rPr>
        <w:t xml:space="preserve">2018 </w:t>
      </w:r>
      <w:r>
        <w:rPr>
          <w:rFonts w:ascii="仿宋_GB2312" w:eastAsia="仿宋_GB2312" w:cs="仿宋_GB2312" w:hint="eastAsia"/>
          <w:kern w:val="0"/>
          <w:sz w:val="32"/>
          <w:szCs w:val="32"/>
        </w:rPr>
        <w:t>年度本部门决算汇编范围的独立核算单位（以下简称“单位”）共</w:t>
      </w:r>
      <w:r>
        <w:rPr>
          <w:rFonts w:ascii="仿宋_GB2312" w:eastAsia="仿宋_GB2312" w:cs="仿宋_GB2312"/>
          <w:kern w:val="0"/>
          <w:sz w:val="32"/>
          <w:szCs w:val="32"/>
        </w:rPr>
        <w:t>1</w:t>
      </w:r>
      <w:r>
        <w:rPr>
          <w:rFonts w:ascii="仿宋_GB2312" w:eastAsia="仿宋_GB2312" w:cs="仿宋_GB2312" w:hint="eastAsia"/>
          <w:kern w:val="0"/>
          <w:sz w:val="32"/>
          <w:szCs w:val="32"/>
        </w:rPr>
        <w:t>个，具体情况如下：</w:t>
      </w:r>
    </w:p>
    <w:tbl>
      <w:tblPr>
        <w:tblpPr w:leftFromText="180" w:rightFromText="180" w:vertAnchor="text" w:horzAnchor="page" w:tblpXSpec="center" w:tblpY="10"/>
        <w:tblOverlap w:val="never"/>
        <w:tblW w:w="9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985"/>
        <w:gridCol w:w="3485"/>
        <w:gridCol w:w="2445"/>
        <w:gridCol w:w="2665"/>
      </w:tblGrid>
      <w:tr>
        <w:trPr>
          <w:trHeight w:val="811"/>
        </w:trPr>
        <w:tc>
          <w:tcPr>
            <w:tcW w:w="985" w:type="dxa"/>
            <w:vAlign w:val="center"/>
          </w:tcPr>
          <w:p>
            <w:pPr>
              <w:spacing w:after="0" w:line="560" w:lineRule="exact"/>
              <w:jc w:val="center"/>
              <w:rPr>
                <w:rFonts w:ascii="仿宋_GB2312" w:eastAsia="仿宋_GB2312"/>
                <w:b/>
                <w:bCs/>
                <w:kern w:val="0"/>
                <w:sz w:val="28"/>
                <w:szCs w:val="28"/>
              </w:rPr>
            </w:pPr>
            <w:r>
              <w:rPr>
                <w:rFonts w:ascii="仿宋_GB2312" w:eastAsia="仿宋_GB2312" w:cs="仿宋_GB2312" w:hint="eastAsia"/>
                <w:b/>
                <w:bCs/>
                <w:kern w:val="0"/>
                <w:sz w:val="28"/>
                <w:szCs w:val="28"/>
              </w:rPr>
              <w:t>序号</w:t>
            </w:r>
          </w:p>
        </w:tc>
        <w:tc>
          <w:tcPr>
            <w:tcW w:w="3485" w:type="dxa"/>
            <w:vAlign w:val="center"/>
          </w:tcPr>
          <w:p>
            <w:pPr>
              <w:spacing w:after="0" w:line="560" w:lineRule="exact"/>
              <w:jc w:val="center"/>
              <w:rPr>
                <w:rFonts w:ascii="仿宋_GB2312" w:eastAsia="仿宋_GB2312"/>
                <w:b/>
                <w:bCs/>
                <w:kern w:val="0"/>
                <w:sz w:val="28"/>
                <w:szCs w:val="28"/>
              </w:rPr>
            </w:pPr>
            <w:r>
              <w:rPr>
                <w:rFonts w:ascii="仿宋_GB2312" w:eastAsia="仿宋_GB2312" w:cs="仿宋_GB2312" w:hint="eastAsia"/>
                <w:b/>
                <w:bCs/>
                <w:kern w:val="0"/>
                <w:sz w:val="28"/>
                <w:szCs w:val="28"/>
              </w:rPr>
              <w:t>单位名称</w:t>
            </w:r>
          </w:p>
        </w:tc>
        <w:tc>
          <w:tcPr>
            <w:tcW w:w="2445" w:type="dxa"/>
            <w:vAlign w:val="center"/>
          </w:tcPr>
          <w:p>
            <w:pPr>
              <w:spacing w:after="0" w:line="560" w:lineRule="exact"/>
              <w:jc w:val="center"/>
              <w:rPr>
                <w:rFonts w:ascii="仿宋_GB2312" w:eastAsia="仿宋_GB2312"/>
                <w:b/>
                <w:bCs/>
                <w:kern w:val="0"/>
                <w:sz w:val="28"/>
                <w:szCs w:val="28"/>
              </w:rPr>
            </w:pPr>
            <w:r>
              <w:rPr>
                <w:rFonts w:ascii="仿宋_GB2312" w:eastAsia="仿宋_GB2312" w:cs="仿宋_GB2312" w:hint="eastAsia"/>
                <w:b/>
                <w:bCs/>
                <w:kern w:val="0"/>
                <w:sz w:val="28"/>
                <w:szCs w:val="28"/>
              </w:rPr>
              <w:t>单位基本性质</w:t>
            </w:r>
          </w:p>
        </w:tc>
        <w:tc>
          <w:tcPr>
            <w:tcW w:w="2665" w:type="dxa"/>
            <w:vAlign w:val="center"/>
          </w:tcPr>
          <w:p>
            <w:pPr>
              <w:spacing w:after="0" w:line="560" w:lineRule="exact"/>
              <w:jc w:val="center"/>
              <w:rPr>
                <w:rFonts w:ascii="仿宋_GB2312" w:eastAsia="仿宋_GB2312"/>
                <w:b/>
                <w:bCs/>
                <w:kern w:val="0"/>
                <w:sz w:val="28"/>
                <w:szCs w:val="28"/>
              </w:rPr>
            </w:pPr>
            <w:r>
              <w:rPr>
                <w:rFonts w:ascii="仿宋_GB2312" w:eastAsia="仿宋_GB2312" w:cs="仿宋_GB2312" w:hint="eastAsia"/>
                <w:b/>
                <w:bCs/>
                <w:kern w:val="0"/>
                <w:sz w:val="28"/>
                <w:szCs w:val="28"/>
              </w:rPr>
              <w:t>经费形式</w:t>
            </w:r>
          </w:p>
        </w:tc>
      </w:tr>
      <w:tr>
        <w:trPr>
          <w:trHeight w:val="596"/>
        </w:trPr>
        <w:tc>
          <w:tcPr>
            <w:tcW w:w="985" w:type="dxa"/>
          </w:tcPr>
          <w:p>
            <w:pPr>
              <w:spacing w:after="0"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Borders>
              <w:left w:val="single" w:sz="4" w:space="0" w:color="auto"/>
              <w:right w:val="single" w:sz="4" w:space="0" w:color="auto"/>
            </w:tcBorders>
          </w:tcPr>
          <w:p>
            <w:pPr>
              <w:spacing w:after="0" w:line="560" w:lineRule="exact"/>
              <w:rPr>
                <w:rFonts w:ascii="仿宋_GB2312" w:eastAsia="仿宋_GB2312" w:cs="仿宋_GB2312"/>
                <w:kern w:val="0"/>
                <w:sz w:val="28"/>
                <w:szCs w:val="28"/>
              </w:rPr>
            </w:pPr>
            <w:r>
              <w:rPr>
                <w:rFonts w:ascii="仿宋_GB2312" w:eastAsia="仿宋_GB2312" w:cs="仿宋_GB2312" w:hint="eastAsia"/>
                <w:kern w:val="0"/>
                <w:sz w:val="28"/>
                <w:szCs w:val="28"/>
              </w:rPr>
              <w:t>高邑县住房和城乡建设局</w:t>
            </w:r>
            <w:r>
              <w:rPr>
                <w:rFonts w:ascii="仿宋_GB2312" w:eastAsia="仿宋_GB2312" w:cs="仿宋_GB2312"/>
                <w:kern w:val="0"/>
                <w:sz w:val="28"/>
                <w:szCs w:val="28"/>
              </w:rPr>
              <w:t>(</w:t>
            </w:r>
            <w:r>
              <w:rPr>
                <w:rFonts w:ascii="仿宋_GB2312" w:eastAsia="仿宋_GB2312" w:cs="仿宋_GB2312" w:hint="eastAsia"/>
                <w:kern w:val="0"/>
                <w:sz w:val="28"/>
                <w:szCs w:val="28"/>
              </w:rPr>
              <w:t>本级</w:t>
            </w:r>
            <w:r>
              <w:rPr>
                <w:rFonts w:ascii="仿宋_GB2312" w:eastAsia="仿宋_GB2312" w:cs="仿宋_GB2312"/>
                <w:kern w:val="0"/>
                <w:sz w:val="28"/>
                <w:szCs w:val="28"/>
              </w:rPr>
              <w:t>)</w:t>
            </w:r>
          </w:p>
        </w:tc>
        <w:tc>
          <w:tcPr>
            <w:tcW w:w="2445" w:type="dxa"/>
            <w:tcBorders>
              <w:left w:val="single" w:sz="4" w:space="0" w:color="auto"/>
              <w:right w:val="single" w:sz="4" w:space="0" w:color="auto"/>
            </w:tcBorders>
          </w:tcPr>
          <w:p>
            <w:pPr>
              <w:spacing w:after="0" w:line="560" w:lineRule="exact"/>
              <w:jc w:val="center"/>
              <w:rPr>
                <w:rFonts w:ascii="仿宋_GB2312" w:eastAsia="仿宋_GB2312"/>
                <w:kern w:val="0"/>
                <w:sz w:val="28"/>
                <w:szCs w:val="28"/>
              </w:rPr>
            </w:pPr>
            <w:r>
              <w:rPr>
                <w:rFonts w:ascii="仿宋_GB2312" w:eastAsia="仿宋_GB2312" w:cs="仿宋_GB2312" w:hint="eastAsia"/>
                <w:kern w:val="0"/>
                <w:sz w:val="28"/>
                <w:szCs w:val="28"/>
              </w:rPr>
              <w:t>行政单位</w:t>
            </w:r>
          </w:p>
        </w:tc>
        <w:tc>
          <w:tcPr>
            <w:tcW w:w="2665" w:type="dxa"/>
          </w:tcPr>
          <w:p>
            <w:pPr>
              <w:spacing w:after="0" w:line="560" w:lineRule="exact"/>
              <w:jc w:val="center"/>
              <w:rPr>
                <w:rFonts w:ascii="仿宋_GB2312" w:eastAsia="仿宋_GB2312"/>
                <w:kern w:val="0"/>
                <w:sz w:val="28"/>
                <w:szCs w:val="28"/>
              </w:rPr>
            </w:pPr>
            <w:r>
              <w:rPr>
                <w:rFonts w:ascii="仿宋_GB2312" w:eastAsia="仿宋_GB2312" w:cs="仿宋_GB2312" w:hint="eastAsia"/>
                <w:kern w:val="0"/>
                <w:sz w:val="28"/>
                <w:szCs w:val="28"/>
              </w:rPr>
              <w:t>财政拨款</w:t>
            </w:r>
          </w:p>
        </w:tc>
      </w:tr>
    </w:tbl>
    <w:p>
      <w:pPr>
        <w:widowControl/>
        <w:spacing w:line="560" w:lineRule="exact"/>
        <w:jc w:val="center"/>
        <w:rPr>
          <w:rFonts w:ascii="黑体" w:eastAsia="黑体"/>
          <w:kern w:val="0"/>
          <w:sz w:val="52"/>
          <w:szCs w:val="52"/>
        </w:rPr>
      </w:pPr>
    </w:p>
    <w:p>
      <w:pPr>
        <w:widowControl/>
        <w:spacing w:line="560" w:lineRule="exact"/>
        <w:jc w:val="center"/>
        <w:rPr>
          <w:rFonts w:ascii="黑体" w:eastAsia="黑体"/>
          <w:kern w:val="0"/>
          <w:sz w:val="52"/>
          <w:szCs w:val="52"/>
        </w:rPr>
      </w:pPr>
    </w:p>
    <w:p>
      <w:pPr>
        <w:widowControl/>
        <w:spacing w:line="560" w:lineRule="exact"/>
        <w:jc w:val="center"/>
        <w:rPr>
          <w:rFonts w:ascii="黑体" w:eastAsia="黑体"/>
          <w:kern w:val="0"/>
          <w:sz w:val="52"/>
          <w:szCs w:val="52"/>
        </w:rPr>
      </w:pPr>
    </w:p>
    <w:p>
      <w:pPr>
        <w:widowControl/>
        <w:spacing w:line="560" w:lineRule="exact"/>
        <w:jc w:val="center"/>
        <w:rPr>
          <w:rFonts w:ascii="黑体" w:eastAsia="黑体"/>
          <w:kern w:val="0"/>
          <w:sz w:val="52"/>
          <w:szCs w:val="52"/>
        </w:rPr>
      </w:pPr>
    </w:p>
    <w:p>
      <w:pPr>
        <w:widowControl/>
        <w:spacing w:line="560" w:lineRule="exact"/>
        <w:jc w:val="center"/>
        <w:rPr>
          <w:rFonts w:ascii="黑体" w:eastAsia="黑体"/>
          <w:kern w:val="0"/>
          <w:sz w:val="52"/>
          <w:szCs w:val="52"/>
        </w:rPr>
      </w:pPr>
    </w:p>
    <w:p>
      <w:pPr>
        <w:widowControl/>
        <w:spacing w:line="560" w:lineRule="exact"/>
        <w:jc w:val="center"/>
        <w:rPr>
          <w:rFonts w:ascii="黑体" w:eastAsia="黑体"/>
          <w:kern w:val="0"/>
          <w:sz w:val="52"/>
          <w:szCs w:val="52"/>
        </w:rPr>
      </w:pPr>
    </w:p>
    <w:p>
      <w:pPr>
        <w:widowControl/>
        <w:spacing w:line="560" w:lineRule="exact"/>
        <w:jc w:val="center"/>
        <w:rPr>
          <w:rFonts w:ascii="黑体" w:eastAsia="黑体"/>
          <w:kern w:val="0"/>
          <w:sz w:val="52"/>
          <w:szCs w:val="52"/>
        </w:rPr>
      </w:pPr>
      <w:r>
        <w:drawing>
          <wp:anchor distT="0" distB="0" distL="114298" distR="114298" simplePos="0" relativeHeight="6" behindDoc="1" locked="1" layoutInCell="1" hidden="0" allowOverlap="1">
            <wp:simplePos x="0" y="0"/>
            <wp:positionH relativeFrom="column">
              <wp:posOffset>-1023619</wp:posOffset>
            </wp:positionH>
            <wp:positionV relativeFrom="paragraph">
              <wp:posOffset>-1327150</wp:posOffset>
            </wp:positionV>
            <wp:extent cx="7571105" cy="10680065"/>
            <wp:effectExtent l="0" t="0" r="0" b="0"/>
            <wp:wrapNone/>
            <wp:docPr id="37" name="图片 16" descr="2"/>
            <wp:cNvGraphicFramePr>
              <a:graphicFrameLocks noChangeAspect="1"/>
            </wp:cNvGraphicFramePr>
            <a:graphic>
              <a:graphicData uri="http://schemas.openxmlformats.org/drawingml/2006/picture">
                <pic:pic>
                  <pic:nvPicPr>
                    <pic:cNvPr id="38" name="图片 16 38"/>
                    <pic:cNvPicPr/>
                  </pic:nvPicPr>
                  <pic:blipFill>
                    <a:blip r:embed="rId4"/>
                    <a:stretch>
                      <a:fillRect/>
                    </a:stretch>
                  </pic:blipFill>
                  <pic:spPr>
                    <a:xfrm rot="0">
                      <a:off x="0" y="0"/>
                      <a:ext cx="7571105" cy="10680065"/>
                    </a:xfrm>
                    <a:prstGeom prst="rect"/>
                    <a:noFill/>
                    <a:ln w="9525" cmpd="sng" cap="flat">
                      <a:noFill/>
                      <a:prstDash val="solid"/>
                      <a:miter/>
                    </a:ln>
                  </pic:spPr>
                </pic:pic>
              </a:graphicData>
            </a:graphic>
          </wp:anchor>
        </w:drawing>
      </w:r>
    </w:p>
    <w:p>
      <w:pPr>
        <w:rPr>
          <w:rFonts w:ascii="黑体" w:eastAsia="黑体"/>
          <w:kern w:val="0"/>
          <w:sz w:val="52"/>
          <w:szCs w:val="52"/>
        </w:rPr>
      </w:pPr>
    </w:p>
    <w:p>
      <w:pPr>
        <w:rPr>
          <w:rFonts w:ascii="宋体"/>
          <w:color w:val="000000"/>
          <w:kern w:val="0"/>
        </w:rPr>
        <w:sectPr>
          <w:pgSz w:w="11906" w:h="16838"/>
          <w:pgMar w:top="2098" w:right="1474" w:bottom="1984" w:left="1588" w:header="851" w:footer="992" w:gutter="0"/>
          <w:docGrid w:type="lines" w:linePitch="312" w:charSpace="0"/>
        </w:sectPr>
      </w:pPr>
      <w:r>
        <mc:AlternateContent>
          <mc:Choice Requires="wps">
            <w:drawing>
              <wp:anchor distT="0" distB="0" distL="114298" distR="114298" simplePos="0" relativeHeight="69" behindDoc="0" locked="1" layoutInCell="1" hidden="0" allowOverlap="1">
                <wp:simplePos x="0" y="0"/>
                <wp:positionH relativeFrom="column">
                  <wp:posOffset>-942339</wp:posOffset>
                </wp:positionH>
                <wp:positionV relativeFrom="paragraph">
                  <wp:posOffset>1527810</wp:posOffset>
                </wp:positionV>
                <wp:extent cx="7571740" cy="2020569"/>
                <wp:effectExtent l="0" t="0" r="0" b="0"/>
                <wp:wrapNone/>
                <wp:docPr id="39" name="_x0000_s1040"/>
                <wp:cNvGraphicFramePr>
                  <a:graphicFrameLocks noChangeAspect="0"/>
                </wp:cNvGraphicFramePr>
                <a:graphic>
                  <a:graphicData uri="http://schemas.microsoft.com/office/word/2010/wordprocessingShape">
                    <wps:wsp>
                      <wps:cNvSpPr/>
                      <wps:spPr>
                        <a:xfrm rot="0">
                          <a:off x="0" y="0"/>
                          <a:ext cx="7571740" cy="2020569"/>
                        </a:xfrm>
                        <a:prstGeom prst="rect"/>
                        <a:noFill/>
                        <a:ln w="9525" cmpd="sng" cap="flat">
                          <a:noFill/>
                          <a:prstDash val="solid"/>
                          <a:miter/>
                        </a:ln>
                      </wps:spPr>
                      <wps:txbx id="40">
                        <w:txbxContent>
                          <w:p>
                            <w:pPr>
                              <w:widowControl/>
                              <w:spacing w:line="1200" w:lineRule="exact"/>
                              <w:jc w:val="center"/>
                              <w:rPr>
                                <w:rFonts w:ascii="黑体" w:eastAsia="黑体"/>
                                <w:color w:val="FDEFBE"/>
                                <w:sz w:val="96"/>
                                <w:szCs w:val="96"/>
                              </w:rPr>
                            </w:pPr>
                            <w:r>
                              <w:rPr>
                                <w:rFonts w:ascii="黑体" w:eastAsia="黑体" w:cs="黑体" w:hint="eastAsia"/>
                                <w:color w:val="FDEFBE"/>
                                <w:sz w:val="96"/>
                                <w:szCs w:val="96"/>
                              </w:rPr>
                              <w:t>第二部分</w:t>
                            </w:r>
                          </w:p>
                          <w:p>
                            <w:pPr>
                              <w:widowControl/>
                              <w:spacing w:line="1200" w:lineRule="exact"/>
                              <w:jc w:val="center"/>
                              <w:rPr>
                                <w:color w:val="FDEFBE"/>
                                <w:sz w:val="96"/>
                                <w:szCs w:val="96"/>
                              </w:rPr>
                            </w:pPr>
                            <w:r>
                              <w:rPr>
                                <w:rFonts w:ascii="黑体" w:eastAsia="黑体" w:cs="黑体"/>
                                <w:color w:val="FDEFBE"/>
                                <w:sz w:val="96"/>
                                <w:szCs w:val="96"/>
                              </w:rPr>
                              <w:t>2018</w:t>
                            </w:r>
                            <w:r>
                              <w:rPr>
                                <w:rFonts w:ascii="黑体" w:eastAsia="黑体" w:cs="黑体" w:hint="eastAsia"/>
                                <w:color w:val="FDEFBE"/>
                                <w:sz w:val="96"/>
                                <w:szCs w:val="96"/>
                              </w:rPr>
                              <w:t>年度部门决算报表</w:t>
                            </w:r>
                          </w:p>
                        </w:txbxContent>
                      </wps:txbx>
                      <wps:bodyPr vert="horz" wrap="square" lIns="91440" tIns="45720" rIns="91440" bIns="45720" anchor="t" anchorCtr="0" upright="1">
                        <a:noAutofit/>
                      </wps:bodyPr>
                    </wps:wsp>
                  </a:graphicData>
                </a:graphic>
              </wp:anchor>
            </w:drawing>
          </mc:Choice>
          <mc:Fallback>
            <w:pict>
              <v:shape type="#_x0000_t202" id="_x0000_s1040 41" o:spid="_x0000_s41" filled="f" stroked="f" style="position:absolute;margin-left:-74.2pt;margin-top:120.3pt;width:596.2pt;height:159.09999pt;z-index:69;mso-position-horizontal:absolute;mso-position-vertical:absolute;mso-wrap-distance-left:8.999863pt;mso-wrap-distance-right:8.999863pt;mso-wrap-style:square;">
                <v:stroke color="#000000"/>
                <v:textbox id="853" inset="2.54mm,1.27mm,2.54mm,1.27mm" o:insetmode="custom" style="layout-flow:horizontal;v-text-anchor:top;">
                  <w:txbxContent>
                    <w:p>
                      <w:pPr>
                        <w:widowControl/>
                        <w:spacing w:line="1200" w:lineRule="exact"/>
                        <w:jc w:val="center"/>
                        <w:rPr>
                          <w:rFonts w:ascii="黑体" w:eastAsia="黑体"/>
                          <w:color w:val="FDEFBE"/>
                          <w:sz w:val="96"/>
                          <w:szCs w:val="96"/>
                        </w:rPr>
                      </w:pPr>
                      <w:r>
                        <w:rPr>
                          <w:rFonts w:ascii="黑体" w:eastAsia="黑体" w:cs="黑体" w:hint="eastAsia"/>
                          <w:color w:val="FDEFBE"/>
                          <w:sz w:val="96"/>
                          <w:szCs w:val="96"/>
                        </w:rPr>
                        <w:t>第二部分</w:t>
                      </w:r>
                    </w:p>
                    <w:p>
                      <w:pPr>
                        <w:widowControl/>
                        <w:spacing w:line="1200" w:lineRule="exact"/>
                        <w:jc w:val="center"/>
                        <w:rPr>
                          <w:color w:val="FDEFBE"/>
                          <w:sz w:val="96"/>
                          <w:szCs w:val="96"/>
                        </w:rPr>
                      </w:pPr>
                      <w:r>
                        <w:rPr>
                          <w:rFonts w:ascii="黑体" w:eastAsia="黑体" w:cs="黑体"/>
                          <w:color w:val="FDEFBE"/>
                          <w:sz w:val="96"/>
                          <w:szCs w:val="96"/>
                        </w:rPr>
                        <w:t>2018</w:t>
                      </w:r>
                      <w:r>
                        <w:rPr>
                          <w:rFonts w:ascii="黑体" w:eastAsia="黑体" w:cs="黑体" w:hint="eastAsia"/>
                          <w:color w:val="FDEFBE"/>
                          <w:sz w:val="96"/>
                          <w:szCs w:val="96"/>
                        </w:rPr>
                        <w:t>年度部门决算报表</w:t>
                      </w:r>
                    </w:p>
                  </w:txbxContent>
                </v:textbox>
                <w10:anchorLock/>
              </v:shape>
            </w:pict>
          </mc:Fallback>
        </mc:AlternateContent>
      </w:r>
    </w:p>
    <w:p>
      <w:pPr>
        <w:rPr>
          <w:rFonts w:ascii="宋体"/>
          <w:color w:val="000000"/>
          <w:kern w:val="0"/>
        </w:rPr>
        <w:sectPr>
          <w:pgSz w:w="11906" w:h="16838"/>
          <w:pgMar w:top="2098" w:right="1474" w:bottom="1984" w:left="1588" w:header="851" w:footer="992" w:gutter="0"/>
          <w:docGrid w:type="lines" w:linePitch="312" w:charSpace="0"/>
        </w:sectPr>
      </w:pPr>
      <w:r>
        <w:drawing>
          <wp:anchor distT="0" distB="0" distL="114298" distR="114298" simplePos="0" relativeHeight="8" behindDoc="1" locked="1" layoutInCell="1" hidden="0" allowOverlap="1">
            <wp:simplePos x="0" y="0"/>
            <wp:positionH relativeFrom="column">
              <wp:posOffset>-1009013</wp:posOffset>
            </wp:positionH>
            <wp:positionV relativeFrom="paragraph">
              <wp:posOffset>-1337945</wp:posOffset>
            </wp:positionV>
            <wp:extent cx="7550150" cy="10680065"/>
            <wp:effectExtent l="0" t="0" r="0" b="0"/>
            <wp:wrapNone/>
            <wp:docPr id="42" name="图片 4" descr="2"/>
            <wp:cNvGraphicFramePr>
              <a:graphicFrameLocks noChangeAspect="1"/>
            </wp:cNvGraphicFramePr>
            <a:graphic>
              <a:graphicData uri="http://schemas.openxmlformats.org/drawingml/2006/picture">
                <pic:pic>
                  <pic:nvPicPr>
                    <pic:cNvPr id="43" name="图片 4 43"/>
                    <pic:cNvPicPr/>
                  </pic:nvPicPr>
                  <pic:blipFill>
                    <a:blip r:embed="rId5"/>
                    <a:stretch>
                      <a:fillRect/>
                    </a:stretch>
                  </pic:blipFill>
                  <pic:spPr>
                    <a:xfrm rot="0">
                      <a:off x="0" y="0"/>
                      <a:ext cx="7550150" cy="10680065"/>
                    </a:xfrm>
                    <a:prstGeom prst="rect"/>
                    <a:noFill/>
                    <a:ln w="9525" cmpd="sng" cap="flat">
                      <a:noFill/>
                      <a:prstDash val="solid"/>
                      <a:miter/>
                    </a:ln>
                  </pic:spPr>
                </pic:pic>
              </a:graphicData>
            </a:graphic>
          </wp:anchor>
        </w:drawing>
      </w:r>
      <w:r>
        <mc:AlternateContent>
          <mc:Choice Requires="wps">
            <w:drawing>
              <wp:anchor distT="0" distB="0" distL="114298" distR="114298" simplePos="0" relativeHeight="71" behindDoc="0" locked="1" layoutInCell="1" hidden="0" allowOverlap="1">
                <wp:simplePos x="0" y="0"/>
                <wp:positionH relativeFrom="column">
                  <wp:posOffset>-999490</wp:posOffset>
                </wp:positionH>
                <wp:positionV relativeFrom="paragraph">
                  <wp:posOffset>2956560</wp:posOffset>
                </wp:positionV>
                <wp:extent cx="7571740" cy="2020569"/>
                <wp:effectExtent l="0" t="0" r="0" b="0"/>
                <wp:wrapNone/>
                <wp:docPr id="44" name="_x0000_s1042"/>
                <wp:cNvGraphicFramePr>
                  <a:graphicFrameLocks noChangeAspect="0"/>
                </wp:cNvGraphicFramePr>
                <a:graphic>
                  <a:graphicData uri="http://schemas.microsoft.com/office/word/2010/wordprocessingShape">
                    <wps:wsp>
                      <wps:cNvSpPr/>
                      <wps:spPr>
                        <a:xfrm rot="0">
                          <a:off x="0" y="0"/>
                          <a:ext cx="7571740" cy="2020569"/>
                        </a:xfrm>
                        <a:prstGeom prst="rect"/>
                        <a:noFill/>
                        <a:ln w="9525" cmpd="sng" cap="flat">
                          <a:noFill/>
                          <a:prstDash val="solid"/>
                          <a:miter/>
                        </a:ln>
                      </wps:spPr>
                      <wps:txbx id="45">
                        <w:txbxContent>
                          <w:p>
                            <w:pPr>
                              <w:widowControl/>
                              <w:spacing w:line="1200" w:lineRule="exact"/>
                              <w:jc w:val="center"/>
                              <w:rPr>
                                <w:rFonts w:ascii="黑体" w:eastAsia="黑体"/>
                                <w:color w:val="FDEFBE"/>
                                <w:sz w:val="96"/>
                                <w:szCs w:val="96"/>
                              </w:rPr>
                            </w:pPr>
                            <w:r>
                              <w:rPr>
                                <w:rFonts w:ascii="黑体" w:eastAsia="黑体" w:cs="黑体" w:hint="eastAsia"/>
                                <w:color w:val="FDEFBE"/>
                                <w:sz w:val="96"/>
                                <w:szCs w:val="96"/>
                              </w:rPr>
                              <w:t>第三部分</w:t>
                            </w:r>
                          </w:p>
                          <w:p>
                            <w:pPr>
                              <w:widowControl/>
                              <w:spacing w:line="1200" w:lineRule="exact"/>
                              <w:jc w:val="center"/>
                              <w:rPr>
                                <w:color w:val="FDEFBE"/>
                                <w:sz w:val="96"/>
                                <w:szCs w:val="96"/>
                              </w:rPr>
                            </w:pPr>
                            <w:r>
                              <w:rPr>
                                <w:rFonts w:ascii="黑体" w:eastAsia="黑体" w:cs="黑体" w:hint="eastAsia"/>
                                <w:color w:val="FDEFBE"/>
                                <w:sz w:val="96"/>
                                <w:szCs w:val="96"/>
                              </w:rPr>
                              <w:t>部门决算情况说明</w:t>
                            </w:r>
                          </w:p>
                        </w:txbxContent>
                      </wps:txbx>
                      <wps:bodyPr vert="horz" wrap="square" lIns="91440" tIns="45720" rIns="91440" bIns="45720" anchor="t" anchorCtr="0" upright="1">
                        <a:noAutofit/>
                      </wps:bodyPr>
                    </wps:wsp>
                  </a:graphicData>
                </a:graphic>
              </wp:anchor>
            </w:drawing>
          </mc:Choice>
          <mc:Fallback>
            <w:pict>
              <v:shape type="#_x0000_t202" id="_x0000_s1042 46" o:spid="_x0000_s46" filled="f" stroked="f" style="position:absolute;margin-left:-78.7pt;margin-top:232.8pt;width:596.2pt;height:159.09998pt;z-index:71;mso-position-horizontal:absolute;mso-position-vertical:absolute;mso-wrap-distance-left:8.999863pt;mso-wrap-distance-right:8.999863pt;mso-wrap-style:square;">
                <v:stroke color="#000000"/>
                <v:textbox id="855" inset="2.54mm,1.27mm,2.54mm,1.27mm" o:insetmode="custom" style="layout-flow:horizontal;v-text-anchor:top;">
                  <w:txbxContent>
                    <w:p>
                      <w:pPr>
                        <w:widowControl/>
                        <w:spacing w:line="1200" w:lineRule="exact"/>
                        <w:jc w:val="center"/>
                        <w:rPr>
                          <w:rFonts w:ascii="黑体" w:eastAsia="黑体"/>
                          <w:color w:val="FDEFBE"/>
                          <w:sz w:val="96"/>
                          <w:szCs w:val="96"/>
                        </w:rPr>
                      </w:pPr>
                      <w:r>
                        <w:rPr>
                          <w:rFonts w:ascii="黑体" w:eastAsia="黑体" w:cs="黑体" w:hint="eastAsia"/>
                          <w:color w:val="FDEFBE"/>
                          <w:sz w:val="96"/>
                          <w:szCs w:val="96"/>
                        </w:rPr>
                        <w:t>第三部分</w:t>
                      </w:r>
                    </w:p>
                    <w:p>
                      <w:pPr>
                        <w:widowControl/>
                        <w:spacing w:line="1200" w:lineRule="exact"/>
                        <w:jc w:val="center"/>
                        <w:rPr>
                          <w:color w:val="FDEFBE"/>
                          <w:sz w:val="96"/>
                          <w:szCs w:val="96"/>
                        </w:rPr>
                      </w:pPr>
                      <w:r>
                        <w:rPr>
                          <w:rFonts w:ascii="黑体" w:eastAsia="黑体" w:cs="黑体" w:hint="eastAsia"/>
                          <w:color w:val="FDEFBE"/>
                          <w:sz w:val="96"/>
                          <w:szCs w:val="96"/>
                        </w:rPr>
                        <w:t>部门决算情况说明</w:t>
                      </w:r>
                    </w:p>
                  </w:txbxContent>
                </v:textbox>
                <w10:anchorLock/>
              </v:shape>
            </w:pict>
          </mc:Fallback>
        </mc:AlternateContent>
      </w:r>
    </w:p>
    <w:p>
      <w:pPr>
        <w:pStyle w:val="2"/>
        <w:spacing w:before="0" w:after="0" w:line="580" w:lineRule="exact"/>
        <w:ind w:firstLineChars="200" w:firstLine="640"/>
        <w:rPr>
          <w:rFonts w:ascii="黑体" w:eastAsia="黑体" w:cs="Times New Roman"/>
          <w:b w:val="0"/>
          <w:bCs w:val="0"/>
        </w:rPr>
      </w:pPr>
      <w:r>
        <w:rPr>
          <w:rFonts w:ascii="黑体" w:eastAsia="黑体" w:cs="黑体" w:hint="eastAsia"/>
          <w:b w:val="0"/>
          <w:bCs w:val="0"/>
        </w:rPr>
        <w:t>一、收入</w:t>
      </w:r>
      <w:r>
        <w:rPr>
          <w:rFonts w:ascii="黑体" w:eastAsia="黑体" w:cs="黑体" w:hint="eastAsia"/>
          <w:b w:val="0"/>
          <w:bCs w:val="0"/>
          <w:kern w:val="0"/>
        </w:rPr>
        <w:t>支</w:t>
      </w:r>
      <w:r>
        <mc:AlternateContent>
          <mc:Choice Requires="wps">
            <w:drawing>
              <wp:anchor distT="0" distB="0" distL="114298" distR="114298" simplePos="0" relativeHeight="99"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47" name="组合"/>
                <wp:cNvGraphicFramePr>
                  <a:graphicFrameLocks noChangeAspect="0"/>
                </wp:cNvGraphicFramePr>
                <a:graphic>
                  <a:graphicData uri="http://schemas.microsoft.com/office/word/2010/wordprocessingGroup">
                    <wpg:wgp>
                      <wpg:cNvPr id="48" name="组合 48"/>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49" name="_s53 49"/>
                        <wps:cNvSpPr/>
                        <wps:spPr>
                          <a:xfrm rot="0">
                            <a:off x="0" y="0"/>
                            <a:ext cx="3833495" cy="469163"/>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50" name="_s54 50"/>
                        <wps:cNvSpPr/>
                        <wps:spPr>
                          <a:xfrm rot="0">
                            <a:off x="10795" y="109344"/>
                            <a:ext cx="3733800" cy="448820"/>
                          </a:xfrm>
                          <a:prstGeom prst="rect"/>
                          <a:solidFill>
                            <a:srgbClr val="AD002D"/>
                          </a:solidFill>
                          <a:ln w="25400" cmpd="sng" cap="flat">
                            <a:solidFill>
                              <a:srgbClr val="B0761F"/>
                            </a:solidFill>
                            <a:prstDash val="solid"/>
                            <a:miter/>
                          </a:ln>
                        </wps:spPr>
                        <wps:txbx id="51">
                          <w:txbxContent>
                            <w:p>
                              <w:pPr>
                                <w:widowControl/>
                                <w:jc w:val="left"/>
                                <w:rPr>
                                  <w:rFonts w:ascii="楷体" w:eastAsia="楷体"/>
                                  <w:b/>
                                  <w:bCs/>
                                  <w:color w:val="FDEFBE"/>
                                  <w:sz w:val="32"/>
                                  <w:szCs w:val="32"/>
                                </w:rPr>
                              </w:pPr>
                              <w:r>
                                <w:rPr>
                                  <w:rFonts w:ascii="楷体" w:eastAsia="楷体" w:cs="楷体"/>
                                  <w:b/>
                                  <w:bCs/>
                                  <w:color w:val="FDEFBE"/>
                                  <w:kern w:val="0"/>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52" o:spid="_x0000_s52" coordorigin="-10,586" coordsize="6037,878" style="position:absolute;margin-left:-0.54999465pt;margin-top:29.30009pt;width:301.85pt;height:43.949955pt;z-index:99;mso-position-horizontal:absolute;mso-position-horizontal-relative:page;mso-position-vertical:absolute;mso-position-vertical-relative:page;mso-wrap-distance-left:8.999863pt;mso-wrap-distance-right:8.999863pt;">
                <v:rect type="#_x0000_t1" id="_s53" o:spid="_x0000_s53" style="position:absolute;left:-10;top:586;width:6037;height:738;" fillcolor="#D9D9D9" stroked="f">
                  <v:stroke color="#000000"/>
                </v:rect>
                <v:rect type="#_x0000_t1" id="_s54" o:spid="_x0000_s54" style="position:absolute;left:6;top:758;width:5880;height:706;mso-wrap-style:square;" fillcolor="#AD002D" stroked="t" strokeweight="2.0pt">
                  <v:textbox id="867"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v:textbox>
                  <v:stroke color="#B0761F"/>
                </v:rect>
                <w10:anchorLock/>
              </v:group>
            </w:pict>
          </mc:Fallback>
        </mc:AlternateContent>
      </w:r>
      <w:r>
        <w:rPr>
          <w:rFonts w:ascii="黑体" w:eastAsia="黑体" w:cs="黑体" w:hint="eastAsia"/>
          <w:b w:val="0"/>
          <w:bCs w:val="0"/>
          <w:kern w:val="0"/>
        </w:rPr>
        <w:t>出</w:t>
      </w:r>
      <w:r>
        <w:rPr>
          <w:rFonts w:ascii="黑体" w:eastAsia="黑体" w:cs="黑体" w:hint="eastAsia"/>
          <w:b w:val="0"/>
          <w:bCs w:val="0"/>
        </w:rPr>
        <w:t>决算总体情况说明</w:t>
      </w:r>
    </w:p>
    <w:p>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年度年初结转和结余</w:t>
      </w:r>
      <w:r>
        <w:rPr>
          <w:rFonts w:ascii="仿宋_GB2312" w:eastAsia="仿宋_GB2312" w:cs="仿宋_GB2312"/>
          <w:sz w:val="32"/>
          <w:szCs w:val="32"/>
        </w:rPr>
        <w:t>74.75</w:t>
      </w:r>
      <w:r>
        <w:rPr>
          <w:rFonts w:ascii="仿宋_GB2312" w:eastAsia="仿宋_GB2312" w:cs="仿宋_GB2312" w:hint="eastAsia"/>
          <w:sz w:val="32"/>
          <w:szCs w:val="32"/>
        </w:rPr>
        <w:t>万元，本年收入</w:t>
      </w:r>
      <w:r>
        <w:rPr>
          <w:rFonts w:ascii="仿宋_GB2312" w:eastAsia="仿宋_GB2312" w:cs="仿宋_GB2312"/>
          <w:sz w:val="32"/>
          <w:szCs w:val="32"/>
        </w:rPr>
        <w:t>20446.48</w:t>
      </w:r>
      <w:r>
        <w:rPr>
          <w:rFonts w:ascii="仿宋_GB2312" w:eastAsia="仿宋_GB2312" w:cs="仿宋_GB2312" w:hint="eastAsia"/>
          <w:sz w:val="32"/>
          <w:szCs w:val="32"/>
        </w:rPr>
        <w:t>万元；本年支出</w:t>
      </w:r>
      <w:r>
        <w:rPr>
          <w:rFonts w:ascii="仿宋_GB2312" w:eastAsia="仿宋_GB2312" w:cs="仿宋_GB2312"/>
          <w:sz w:val="32"/>
          <w:szCs w:val="32"/>
        </w:rPr>
        <w:t>8994.56</w:t>
      </w:r>
      <w:r>
        <w:rPr>
          <w:rFonts w:ascii="仿宋_GB2312" w:eastAsia="仿宋_GB2312" w:cs="仿宋_GB2312" w:hint="eastAsia"/>
          <w:sz w:val="32"/>
          <w:szCs w:val="32"/>
        </w:rPr>
        <w:t>万元、年末结转和结余</w:t>
      </w:r>
      <w:r>
        <w:rPr>
          <w:rFonts w:ascii="仿宋_GB2312" w:eastAsia="仿宋_GB2312" w:cs="仿宋_GB2312"/>
          <w:sz w:val="32"/>
          <w:szCs w:val="32"/>
        </w:rPr>
        <w:t>11526.66</w:t>
      </w:r>
      <w:r>
        <w:rPr>
          <w:rFonts w:ascii="仿宋_GB2312" w:eastAsia="仿宋_GB2312" w:cs="仿宋_GB2312" w:hint="eastAsia"/>
          <w:sz w:val="32"/>
          <w:szCs w:val="32"/>
        </w:rPr>
        <w:t>万元。与</w:t>
      </w:r>
      <w:r>
        <w:rPr>
          <w:rFonts w:ascii="仿宋_GB2312" w:eastAsia="仿宋_GB2312" w:cs="仿宋_GB2312"/>
          <w:sz w:val="32"/>
          <w:szCs w:val="32"/>
        </w:rPr>
        <w:t>2017</w:t>
      </w:r>
      <w:r>
        <w:rPr>
          <w:rFonts w:ascii="仿宋_GB2312" w:eastAsia="仿宋_GB2312" w:cs="仿宋_GB2312" w:hint="eastAsia"/>
          <w:sz w:val="32"/>
          <w:szCs w:val="32"/>
        </w:rPr>
        <w:t>年度决算相比，本年收入增加</w:t>
      </w:r>
      <w:r>
        <w:rPr>
          <w:rFonts w:ascii="仿宋_GB2312" w:eastAsia="仿宋_GB2312" w:cs="仿宋_GB2312"/>
          <w:sz w:val="32"/>
          <w:szCs w:val="32"/>
        </w:rPr>
        <w:t>18294.33</w:t>
      </w:r>
      <w:r>
        <w:rPr>
          <w:rFonts w:ascii="仿宋_GB2312" w:eastAsia="仿宋_GB2312" w:cs="仿宋_GB2312" w:hint="eastAsia"/>
          <w:sz w:val="32"/>
          <w:szCs w:val="32"/>
        </w:rPr>
        <w:t>万元，增长</w:t>
      </w:r>
      <w:r>
        <w:rPr>
          <w:rFonts w:ascii="仿宋_GB2312" w:eastAsia="仿宋_GB2312" w:cs="仿宋_GB2312"/>
          <w:sz w:val="32"/>
          <w:szCs w:val="32"/>
        </w:rPr>
        <w:t>850.05%</w:t>
      </w:r>
      <w:r>
        <w:rPr>
          <w:rFonts w:ascii="仿宋_GB2312" w:eastAsia="仿宋_GB2312" w:cs="仿宋_GB2312" w:hint="eastAsia"/>
          <w:sz w:val="32"/>
          <w:szCs w:val="32"/>
        </w:rPr>
        <w:t>，主要原因是高邑县成立气代煤电代煤领导小组办公室，增加节能环保资金收入，城乡社区收入增加；本年支出增加</w:t>
      </w:r>
      <w:r>
        <w:rPr>
          <w:rFonts w:ascii="仿宋_GB2312" w:eastAsia="仿宋_GB2312" w:cs="仿宋_GB2312"/>
          <w:sz w:val="32"/>
          <w:szCs w:val="32"/>
        </w:rPr>
        <w:t>6617.29</w:t>
      </w:r>
      <w:r>
        <w:rPr>
          <w:rFonts w:ascii="仿宋_GB2312" w:eastAsia="仿宋_GB2312" w:cs="仿宋_GB2312" w:hint="eastAsia"/>
          <w:sz w:val="32"/>
          <w:szCs w:val="32"/>
        </w:rPr>
        <w:t>万元，增长</w:t>
      </w:r>
      <w:r>
        <w:rPr>
          <w:rFonts w:ascii="仿宋_GB2312" w:eastAsia="仿宋_GB2312" w:cs="仿宋_GB2312"/>
          <w:sz w:val="32"/>
          <w:szCs w:val="32"/>
        </w:rPr>
        <w:t>278.36%</w:t>
      </w:r>
      <w:r>
        <w:rPr>
          <w:rFonts w:ascii="仿宋_GB2312" w:eastAsia="仿宋_GB2312" w:cs="仿宋_GB2312" w:hint="eastAsia"/>
          <w:sz w:val="32"/>
          <w:szCs w:val="32"/>
        </w:rPr>
        <w:t>，主要原因是主要原因是高邑县成立气代煤电代煤领导小组办公室，增加节能环保资金支出，城乡社区支出增加。</w:t>
      </w:r>
    </w:p>
    <w:p>
      <w:pPr>
        <w:pStyle w:val="2"/>
        <w:spacing w:before="0" w:after="0" w:line="580" w:lineRule="exact"/>
        <w:ind w:firstLineChars="200" w:firstLine="640"/>
        <w:rPr>
          <w:rFonts w:ascii="黑体" w:eastAsia="黑体" w:cs="Times New Roman"/>
          <w:b w:val="0"/>
          <w:bCs w:val="0"/>
        </w:rPr>
      </w:pPr>
      <w:r>
        <w:rPr>
          <w:rFonts w:ascii="黑体" w:eastAsia="黑体" w:cs="黑体" w:hint="eastAsia"/>
          <w:b w:val="0"/>
          <w:bCs w:val="0"/>
        </w:rPr>
        <w:t>二、收入决算情况说明</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年度本年收入合计</w:t>
      </w:r>
      <w:r>
        <w:rPr>
          <w:rFonts w:ascii="仿宋_GB2312" w:eastAsia="仿宋_GB2312" w:cs="仿宋_GB2312"/>
          <w:sz w:val="32"/>
          <w:szCs w:val="32"/>
        </w:rPr>
        <w:t>20446.48</w:t>
      </w:r>
      <w:r>
        <w:rPr>
          <w:rFonts w:ascii="仿宋_GB2312" w:eastAsia="仿宋_GB2312" w:cs="仿宋_GB2312" w:hint="eastAsia"/>
          <w:sz w:val="32"/>
          <w:szCs w:val="32"/>
        </w:rPr>
        <w:t>万元，其中：财政拨款收入</w:t>
      </w:r>
      <w:r>
        <w:rPr>
          <w:rFonts w:ascii="仿宋_GB2312" w:eastAsia="仿宋_GB2312" w:cs="仿宋_GB2312"/>
          <w:sz w:val="32"/>
          <w:szCs w:val="32"/>
        </w:rPr>
        <w:t>20441.48</w:t>
      </w:r>
      <w:r>
        <w:rPr>
          <w:rFonts w:ascii="仿宋_GB2312" w:eastAsia="仿宋_GB2312" w:cs="仿宋_GB2312" w:hint="eastAsia"/>
          <w:sz w:val="32"/>
          <w:szCs w:val="32"/>
        </w:rPr>
        <w:t>万元，占</w:t>
      </w:r>
      <w:r>
        <w:rPr>
          <w:rFonts w:ascii="仿宋_GB2312" w:eastAsia="仿宋_GB2312" w:cs="仿宋_GB2312"/>
          <w:sz w:val="32"/>
          <w:szCs w:val="32"/>
        </w:rPr>
        <w:t>99.98%</w:t>
      </w:r>
      <w:r>
        <w:rPr>
          <w:rFonts w:ascii="仿宋_GB2312" w:eastAsia="仿宋_GB2312" w:cs="仿宋_GB2312" w:hint="eastAsia"/>
          <w:sz w:val="32"/>
          <w:szCs w:val="32"/>
        </w:rPr>
        <w:t>；事业收入</w:t>
      </w:r>
      <w:r>
        <w:rPr>
          <w:rFonts w:ascii="仿宋_GB2312" w:eastAsia="仿宋_GB2312" w:cs="仿宋_GB2312"/>
          <w:sz w:val="32"/>
          <w:szCs w:val="32"/>
        </w:rPr>
        <w:t>0</w:t>
      </w:r>
      <w:r>
        <w:rPr>
          <w:rFonts w:ascii="仿宋_GB2312" w:eastAsia="仿宋_GB2312" w:cs="仿宋_GB2312" w:hint="eastAsia"/>
          <w:sz w:val="32"/>
          <w:szCs w:val="32"/>
        </w:rPr>
        <w:t>万元，占</w:t>
      </w:r>
      <w:r>
        <w:rPr>
          <w:rFonts w:ascii="仿宋_GB2312" w:eastAsia="仿宋_GB2312" w:cs="仿宋_GB2312"/>
          <w:sz w:val="32"/>
          <w:szCs w:val="32"/>
        </w:rPr>
        <w:t>0%</w:t>
      </w:r>
      <w:r>
        <w:rPr>
          <w:rFonts w:ascii="仿宋_GB2312" w:eastAsia="仿宋_GB2312" w:cs="仿宋_GB2312" w:hint="eastAsia"/>
          <w:sz w:val="32"/>
          <w:szCs w:val="32"/>
        </w:rPr>
        <w:t>；经营收入</w:t>
      </w:r>
      <w:r>
        <w:rPr>
          <w:rFonts w:ascii="仿宋_GB2312" w:eastAsia="仿宋_GB2312" w:cs="仿宋_GB2312"/>
          <w:sz w:val="32"/>
          <w:szCs w:val="32"/>
        </w:rPr>
        <w:t>0</w:t>
      </w:r>
      <w:r>
        <w:rPr>
          <w:rFonts w:ascii="仿宋_GB2312" w:eastAsia="仿宋_GB2312" w:cs="仿宋_GB2312" w:hint="eastAsia"/>
          <w:sz w:val="32"/>
          <w:szCs w:val="32"/>
        </w:rPr>
        <w:t>万元，占</w:t>
      </w:r>
      <w:r>
        <w:rPr>
          <w:rFonts w:ascii="仿宋_GB2312" w:eastAsia="仿宋_GB2312" w:cs="仿宋_GB2312"/>
          <w:sz w:val="32"/>
          <w:szCs w:val="32"/>
        </w:rPr>
        <w:t>0%</w:t>
      </w:r>
      <w:r>
        <w:rPr>
          <w:rFonts w:ascii="仿宋_GB2312" w:eastAsia="仿宋_GB2312" w:cs="仿宋_GB2312" w:hint="eastAsia"/>
          <w:sz w:val="32"/>
          <w:szCs w:val="32"/>
        </w:rPr>
        <w:t>；其他收入</w:t>
      </w:r>
      <w:r>
        <w:rPr>
          <w:rFonts w:ascii="仿宋_GB2312" w:eastAsia="仿宋_GB2312" w:cs="仿宋_GB2312"/>
          <w:sz w:val="32"/>
          <w:szCs w:val="32"/>
        </w:rPr>
        <w:t>5</w:t>
      </w:r>
      <w:r>
        <w:rPr>
          <w:rFonts w:ascii="仿宋_GB2312" w:eastAsia="仿宋_GB2312" w:cs="仿宋_GB2312" w:hint="eastAsia"/>
          <w:sz w:val="32"/>
          <w:szCs w:val="32"/>
        </w:rPr>
        <w:t>万元，占</w:t>
      </w:r>
      <w:r>
        <w:rPr>
          <w:rFonts w:ascii="仿宋_GB2312" w:eastAsia="仿宋_GB2312" w:cs="仿宋_GB2312"/>
          <w:sz w:val="32"/>
          <w:szCs w:val="32"/>
        </w:rPr>
        <w:t>0.02%</w:t>
      </w:r>
      <w:r>
        <w:rPr>
          <w:rFonts w:ascii="仿宋_GB2312" w:eastAsia="仿宋_GB2312" w:cs="仿宋_GB2312" w:hint="eastAsia"/>
          <w:sz w:val="32"/>
          <w:szCs w:val="32"/>
        </w:rPr>
        <w:t>。如图所示：</w:t>
      </w:r>
    </w:p>
    <w:p>
      <w:r>
        <w:object>
          <v:shapetype id="_x0000_t75" coordsize="21600,21600"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 type="#_x0000_t75" filled="f" stroked="f" style="width:417.0pt;height:243.0pt;" o:ole="">
            <v:stroke color="#000000"/>
            <v:imagedata r:id="rId6" o:title="56"/>
            <o:lock aspectratio="t"/>
          </v:shape>
          <o:OLEObject Type="Embed" ProgID="Package" ShapeID="_x0000_i1" DrawAspect="Content" ObjectID="_1393063351" r:id="rId7"/>
        </w:object>
      </w:r>
    </w:p>
    <w:p>
      <w:pPr>
        <w:jc w:val="center"/>
      </w:pPr>
      <w:r>
        <w:rPr>
          <w:rFonts w:ascii="仿宋_GB2312" w:eastAsia="仿宋_GB2312" w:cs="仿宋_GB2312" w:hint="eastAsia"/>
          <w:sz w:val="28"/>
          <w:szCs w:val="28"/>
        </w:rPr>
        <w:t>图</w:t>
      </w:r>
      <w:r>
        <w:rPr>
          <w:rFonts w:ascii="仿宋_GB2312" w:eastAsia="仿宋_GB2312" w:cs="仿宋_GB2312"/>
          <w:sz w:val="28"/>
          <w:szCs w:val="28"/>
        </w:rPr>
        <w:t>1</w:t>
      </w:r>
      <w:r>
        <w:rPr>
          <w:rFonts w:ascii="仿宋_GB2312" w:eastAsia="仿宋_GB2312" w:cs="仿宋_GB2312" w:hint="eastAsia"/>
          <w:sz w:val="28"/>
          <w:szCs w:val="28"/>
        </w:rPr>
        <w:t>：收入构成情况</w:t>
      </w:r>
    </w:p>
    <w:p>
      <w:pPr>
        <w:pStyle w:val="2"/>
        <w:spacing w:before="0" w:after="0" w:line="580" w:lineRule="exact"/>
        <w:rPr>
          <w:rFonts w:ascii="黑体" w:eastAsia="黑体" w:cs="Times New Roman"/>
          <w:b w:val="0"/>
          <w:bCs w:val="0"/>
        </w:rPr>
      </w:pPr>
    </w:p>
    <w:p>
      <w:pPr>
        <w:pStyle w:val="2"/>
        <w:spacing w:before="0" w:after="0" w:line="580" w:lineRule="exact"/>
        <w:ind w:firstLineChars="200" w:firstLine="640"/>
        <w:rPr>
          <w:rFonts w:ascii="黑体" w:eastAsia="黑体" w:cs="Times New Roman"/>
          <w:b w:val="0"/>
          <w:bCs w:val="0"/>
        </w:rPr>
      </w:pPr>
      <w:r>
        <w:rPr>
          <w:rFonts w:ascii="黑体" w:eastAsia="黑体" w:cs="黑体" w:hint="eastAsia"/>
          <w:b w:val="0"/>
          <w:bCs w:val="0"/>
        </w:rPr>
        <w:t>三、支出决算情况说明</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年度本年支出合计</w:t>
      </w:r>
      <w:r>
        <w:rPr>
          <w:rFonts w:ascii="仿宋_GB2312" w:eastAsia="仿宋_GB2312" w:cs="仿宋_GB2312"/>
          <w:sz w:val="32"/>
          <w:szCs w:val="32"/>
        </w:rPr>
        <w:t>8994.56</w:t>
      </w:r>
      <w:r>
        <w:rPr>
          <w:rFonts w:ascii="仿宋_GB2312" w:eastAsia="仿宋_GB2312" w:cs="仿宋_GB2312" w:hint="eastAsia"/>
          <w:sz w:val="32"/>
          <w:szCs w:val="32"/>
        </w:rPr>
        <w:t>万元，其中：基本支出</w:t>
      </w:r>
      <w:r>
        <w:rPr>
          <w:rFonts w:ascii="仿宋_GB2312" w:eastAsia="仿宋_GB2312" w:cs="仿宋_GB2312"/>
          <w:sz w:val="32"/>
          <w:szCs w:val="32"/>
        </w:rPr>
        <w:t>435.58</w:t>
      </w:r>
      <w:r>
        <w:rPr>
          <w:rFonts w:ascii="仿宋_GB2312" w:eastAsia="仿宋_GB2312" w:cs="仿宋_GB2312" w:hint="eastAsia"/>
          <w:sz w:val="32"/>
          <w:szCs w:val="32"/>
        </w:rPr>
        <w:t>万元，占</w:t>
      </w:r>
      <w:r>
        <w:rPr>
          <w:rFonts w:ascii="仿宋_GB2312" w:eastAsia="仿宋_GB2312" w:cs="仿宋_GB2312"/>
          <w:sz w:val="32"/>
          <w:szCs w:val="32"/>
        </w:rPr>
        <w:t>4.84%</w:t>
      </w:r>
      <w:r>
        <w:rPr>
          <w:rFonts w:ascii="仿宋_GB2312" w:eastAsia="仿宋_GB2312" w:cs="仿宋_GB2312" w:hint="eastAsia"/>
          <w:sz w:val="32"/>
          <w:szCs w:val="32"/>
        </w:rPr>
        <w:t>；项目支出</w:t>
      </w:r>
      <w:r>
        <w:rPr>
          <w:rFonts w:ascii="仿宋_GB2312" w:eastAsia="仿宋_GB2312" w:cs="仿宋_GB2312"/>
          <w:sz w:val="32"/>
          <w:szCs w:val="32"/>
        </w:rPr>
        <w:t>8558.98</w:t>
      </w:r>
      <w:r>
        <w:rPr>
          <w:rFonts w:ascii="仿宋_GB2312" w:eastAsia="仿宋_GB2312" w:cs="仿宋_GB2312" w:hint="eastAsia"/>
          <w:sz w:val="32"/>
          <w:szCs w:val="32"/>
        </w:rPr>
        <w:t>万元，占</w:t>
      </w:r>
      <w:r>
        <w:rPr>
          <w:rFonts w:ascii="仿宋_GB2312" w:eastAsia="仿宋_GB2312" w:cs="仿宋_GB2312"/>
          <w:sz w:val="32"/>
          <w:szCs w:val="32"/>
        </w:rPr>
        <w:t>95.16%</w:t>
      </w:r>
      <w:r>
        <w:rPr>
          <w:rFonts w:ascii="仿宋_GB2312" w:eastAsia="仿宋_GB2312" w:cs="仿宋_GB2312" w:hint="eastAsia"/>
          <w:sz w:val="32"/>
          <w:szCs w:val="32"/>
        </w:rPr>
        <w:t>；经营支出</w:t>
      </w:r>
      <w:r>
        <w:rPr>
          <w:rFonts w:ascii="仿宋_GB2312" w:eastAsia="仿宋_GB2312" w:cs="仿宋_GB2312"/>
          <w:sz w:val="32"/>
          <w:szCs w:val="32"/>
        </w:rPr>
        <w:t>0</w:t>
      </w:r>
      <w:r>
        <w:rPr>
          <w:rFonts w:ascii="仿宋_GB2312" w:eastAsia="仿宋_GB2312" w:cs="仿宋_GB2312" w:hint="eastAsia"/>
          <w:sz w:val="32"/>
          <w:szCs w:val="32"/>
        </w:rPr>
        <w:t>万元，占</w:t>
      </w:r>
      <w:r>
        <w:rPr>
          <w:rFonts w:ascii="仿宋_GB2312" w:eastAsia="仿宋_GB2312" w:cs="仿宋_GB2312"/>
          <w:sz w:val="32"/>
          <w:szCs w:val="32"/>
        </w:rPr>
        <w:t>0%</w:t>
      </w:r>
      <w:r>
        <w:rPr>
          <w:rFonts w:ascii="仿宋_GB2312" w:eastAsia="仿宋_GB2312" w:cs="仿宋_GB2312" w:hint="eastAsia"/>
          <w:sz w:val="32"/>
          <w:szCs w:val="32"/>
        </w:rPr>
        <w:t>。如图所示：</w:t>
      </w:r>
    </w:p>
    <w:p>
      <w:r>
        <w:object>
          <v:shape id="_x0000_i2" type="#_x0000_t75" filled="f" stroked="f" style="width:432.0pt;height:243.75pt;" o:ole="">
            <v:stroke color="#000000"/>
            <v:imagedata r:id="rId8" o:title="58"/>
            <o:lock aspectratio="t"/>
          </v:shape>
          <o:OLEObject Type="Embed" ProgID="Package" ShapeID="_x0000_i2" DrawAspect="Content" ObjectID="_1393063352" r:id="rId9"/>
        </w:object>
      </w:r>
    </w:p>
    <w:p>
      <w:pPr>
        <w:adjustRightInd w:val="0"/>
        <w:snapToGrid w:val="0"/>
        <w:spacing w:line="560" w:lineRule="exact"/>
        <w:jc w:val="center"/>
        <w:rPr>
          <w:rFonts w:ascii="仿宋_GB2312" w:eastAsia="仿宋_GB2312"/>
          <w:sz w:val="28"/>
          <w:szCs w:val="28"/>
        </w:rPr>
      </w:pPr>
      <w:r>
        <w:rPr>
          <w:rFonts w:ascii="仿宋_GB2312" w:eastAsia="仿宋_GB2312" w:cs="仿宋_GB2312" w:hint="eastAsia"/>
          <w:sz w:val="28"/>
          <w:szCs w:val="28"/>
        </w:rPr>
        <w:t>图</w:t>
      </w:r>
      <w:r>
        <w:rPr>
          <w:rFonts w:ascii="仿宋_GB2312" w:eastAsia="仿宋_GB2312" w:cs="仿宋_GB2312"/>
          <w:sz w:val="28"/>
          <w:szCs w:val="28"/>
        </w:rPr>
        <w:t>2</w:t>
      </w:r>
      <w:r>
        <w:rPr>
          <w:rFonts w:ascii="仿宋_GB2312" w:eastAsia="仿宋_GB2312" w:cs="仿宋_GB2312" w:hint="eastAsia"/>
          <w:sz w:val="28"/>
          <w:szCs w:val="28"/>
        </w:rPr>
        <w:t>：支出构成情况（按支出性质）</w:t>
      </w:r>
      <w:r>
        <mc:AlternateContent>
          <mc:Choice Requires="wps">
            <w:drawing>
              <wp:anchor distT="0" distB="0" distL="114298" distR="114298" simplePos="0" relativeHeight="101" behindDoc="0" locked="1" layoutInCell="1" hidden="0" allowOverlap="1">
                <wp:simplePos x="0" y="0"/>
                <wp:positionH relativeFrom="page">
                  <wp:posOffset>-6984</wp:posOffset>
                </wp:positionH>
                <wp:positionV relativeFrom="page">
                  <wp:posOffset>372111</wp:posOffset>
                </wp:positionV>
                <wp:extent cx="3833495" cy="6"/>
                <wp:effectExtent l="0" t="0" r="0" b="0"/>
                <wp:wrapNone/>
                <wp:docPr id="59" name="组合"/>
                <wp:cNvGraphicFramePr>
                  <a:graphicFrameLocks noChangeAspect="0"/>
                </wp:cNvGraphicFramePr>
                <a:graphic>
                  <a:graphicData uri="http://schemas.microsoft.com/office/word/2010/wordprocessingGroup">
                    <wpg:wgp>
                      <wpg:cNvPr id="60" name="组合 60"/>
                      <wpg:cNvGrpSpPr/>
                      <wpg:grpSpPr>
                        <a:xfrm rot="0">
                          <a:off x="0" y="0"/>
                          <a:ext cx="3833495" cy="6"/>
                          <a:chOff x="0" y="0"/>
                          <a:chExt cx="3833495" cy="6"/>
                        </a:xfrm>
                        <a:prstGeom prst="rect"/>
                        <a:solidFill>
                          <a:srgbClr val="FFFFFF"/>
                        </a:solidFill>
                        <a:ln w="9525" cmpd="sng" cap="flat">
                          <a:solidFill>
                            <a:srgbClr val="000000"/>
                          </a:solidFill>
                          <a:prstDash val="solid"/>
                          <a:miter/>
                        </a:ln>
                      </wpg:grpSpPr>
                      <wps:wsp>
                        <wps:cNvPr id="61" name="_s65 61"/>
                        <wps:cNvSpPr/>
                        <wps:spPr>
                          <a:xfrm rot="0">
                            <a:off x="0" y="0"/>
                            <a:ext cx="3833495" cy="6"/>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62" name="_s66 62"/>
                        <wps:cNvSpPr/>
                        <wps:spPr>
                          <a:xfrm rot="0">
                            <a:off x="10795" y="0"/>
                            <a:ext cx="3733800" cy="6"/>
                          </a:xfrm>
                          <a:prstGeom prst="rect"/>
                          <a:solidFill>
                            <a:srgbClr val="AD002D"/>
                          </a:solidFill>
                          <a:ln w="25400" cmpd="sng" cap="flat">
                            <a:solidFill>
                              <a:srgbClr val="B0761F"/>
                            </a:solidFill>
                            <a:prstDash val="solid"/>
                            <a:miter/>
                          </a:ln>
                        </wps:spPr>
                        <wps:txbx id="63">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64" o:spid="_x0000_s64" coordorigin="-10,586" coordsize="6037,0" style="position:absolute;margin-left:-0.54999465pt;margin-top:29.30009pt;width:301.85pt;height:5.006714E-4pt;z-index:101;mso-position-horizontal:absolute;mso-position-horizontal-relative:page;mso-position-vertical:absolute;mso-position-vertical-relative:page;mso-wrap-distance-left:8.999863pt;mso-wrap-distance-right:8.999863pt;">
                <v:rect type="#_x0000_t1" id="_s65" o:spid="_x0000_s65" style="position:absolute;left:-10;top:586;width:6037;height:0;" fillcolor="#D9D9D9" stroked="f">
                  <v:stroke color="#000000"/>
                </v:rect>
                <v:rect type="#_x0000_t1" id="_s66" o:spid="_x0000_s66" style="position:absolute;left:6;top:586;width:5880;height:0;mso-wrap-style:square;" fillcolor="#AD002D" stroked="t" strokeweight="2.0pt">
                  <v:textbox id="868"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v:textbox>
                  <v:stroke color="#B0761F"/>
                </v:rect>
                <w10:anchorLock/>
              </v:group>
            </w:pict>
          </mc:Fallback>
        </mc:AlternateContent>
      </w:r>
      <w:r>
        <mc:AlternateContent>
          <mc:Choice Requires="wps">
            <w:drawing>
              <wp:anchor distT="0" distB="0" distL="114298" distR="114298" simplePos="0" relativeHeight="83"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67" name="组合"/>
                <wp:cNvGraphicFramePr>
                  <a:graphicFrameLocks noChangeAspect="0"/>
                </wp:cNvGraphicFramePr>
                <a:graphic>
                  <a:graphicData uri="http://schemas.microsoft.com/office/word/2010/wordprocessingGroup">
                    <wpg:wgp>
                      <wpg:cNvPr id="68" name="组合 68"/>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69" name="_s73 69"/>
                        <wps:cNvSpPr/>
                        <wps:spPr>
                          <a:xfrm rot="0">
                            <a:off x="0" y="0"/>
                            <a:ext cx="3833495" cy="469163"/>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70" name="_s74 70"/>
                        <wps:cNvSpPr/>
                        <wps:spPr>
                          <a:xfrm rot="0">
                            <a:off x="10795" y="109344"/>
                            <a:ext cx="3733800" cy="448820"/>
                          </a:xfrm>
                          <a:prstGeom prst="rect"/>
                          <a:solidFill>
                            <a:srgbClr val="AD002D"/>
                          </a:solidFill>
                          <a:ln w="25400" cmpd="sng" cap="flat">
                            <a:solidFill>
                              <a:srgbClr val="B0761F"/>
                            </a:solidFill>
                            <a:prstDash val="solid"/>
                            <a:miter/>
                          </a:ln>
                        </wps:spPr>
                        <wps:txbx id="71">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72" o:spid="_x0000_s72" coordorigin="-10,586" coordsize="6037,878" style="position:absolute;margin-left:-0.54999465pt;margin-top:29.30009pt;width:301.85pt;height:43.949955pt;z-index:83;mso-position-horizontal:absolute;mso-position-horizontal-relative:page;mso-position-vertical:absolute;mso-position-vertical-relative:page;mso-wrap-distance-left:8.999863pt;mso-wrap-distance-right:8.999863pt;">
                <v:rect type="#_x0000_t1" id="_s73" o:spid="_x0000_s73" style="position:absolute;left:-10;top:586;width:6037;height:738;" fillcolor="#D9D9D9" stroked="f">
                  <v:stroke color="#000000"/>
                </v:rect>
                <v:rect type="#_x0000_t1" id="_s74" o:spid="_x0000_s74" style="position:absolute;left:6;top:758;width:5880;height:706;mso-wrap-style:square;" fillcolor="#AD002D" stroked="t" strokeweight="2.0pt">
                  <v:textbox id="869"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v:textbox>
                  <v:stroke color="#B0761F"/>
                </v:rect>
                <w10:anchorLock/>
              </v:group>
            </w:pict>
          </mc:Fallback>
        </mc:AlternateContent>
      </w:r>
    </w:p>
    <w:p>
      <w:pPr>
        <w:pStyle w:val="2"/>
        <w:spacing w:before="0" w:after="0" w:line="580" w:lineRule="exact"/>
        <w:rPr>
          <w:rFonts w:ascii="黑体" w:eastAsia="黑体" w:cs="Times New Roman"/>
          <w:b w:val="0"/>
          <w:bCs w:val="0"/>
        </w:rPr>
      </w:pPr>
    </w:p>
    <w:p>
      <w:pPr>
        <w:pStyle w:val="2"/>
        <w:spacing w:before="0" w:after="0" w:line="580" w:lineRule="exact"/>
        <w:ind w:firstLineChars="200" w:firstLine="640"/>
        <w:rPr>
          <w:rFonts w:ascii="黑体" w:eastAsia="黑体" w:cs="Times New Roman"/>
          <w:b w:val="0"/>
          <w:bCs w:val="0"/>
        </w:rPr>
      </w:pPr>
      <w:r>
        <w:rPr>
          <w:rFonts w:ascii="黑体" w:eastAsia="黑体" w:cs="黑体" w:hint="eastAsia"/>
          <w:b w:val="0"/>
          <w:bCs w:val="0"/>
        </w:rPr>
        <w:t>四、</w:t>
      </w:r>
      <w:r>
        <w:rPr>
          <w:rFonts w:ascii="黑体" w:eastAsia="黑体" w:cs="黑体" w:hint="eastAsia"/>
          <w:b w:val="0"/>
          <w:bCs w:val="0"/>
          <w:kern w:val="0"/>
        </w:rPr>
        <w:t>财政</w:t>
      </w:r>
      <w:r>
        <w:rPr>
          <w:rFonts w:ascii="黑体" w:eastAsia="黑体" w:cs="黑体" w:hint="eastAsia"/>
          <w:b w:val="0"/>
          <w:bCs w:val="0"/>
        </w:rPr>
        <w:t>拨款收入支出决算情况说明</w:t>
      </w:r>
    </w:p>
    <w:p>
      <w:pPr>
        <w:spacing w:after="0" w:line="580" w:lineRule="exact"/>
        <w:ind w:firstLineChars="200" w:firstLine="640"/>
        <w:rPr>
          <w:rFonts w:ascii="楷体_GB2312" w:eastAsia="楷体_GB2312"/>
          <w:b/>
          <w:bCs/>
          <w:sz w:val="32"/>
          <w:szCs w:val="32"/>
        </w:rPr>
      </w:pPr>
      <w:r>
        <w:rPr>
          <w:rFonts w:ascii="楷体_GB2312" w:eastAsia="楷体_GB2312" w:cs="楷体_GB2312" w:hint="eastAsia"/>
          <w:b/>
          <w:bCs/>
          <w:sz w:val="32"/>
          <w:szCs w:val="32"/>
        </w:rPr>
        <w:t>（一）财政拨款收支与</w:t>
      </w:r>
      <w:r>
        <w:rPr>
          <w:rFonts w:ascii="楷体_GB2312" w:eastAsia="楷体_GB2312" w:cs="楷体_GB2312"/>
          <w:b/>
          <w:bCs/>
          <w:sz w:val="32"/>
          <w:szCs w:val="32"/>
        </w:rPr>
        <w:t xml:space="preserve">2017 </w:t>
      </w:r>
      <w:r>
        <w:rPr>
          <w:rFonts w:ascii="楷体_GB2312" w:eastAsia="楷体_GB2312" w:cs="楷体_GB2312" w:hint="eastAsia"/>
          <w:b/>
          <w:bCs/>
          <w:sz w:val="32"/>
          <w:szCs w:val="32"/>
        </w:rPr>
        <w:t>年度决算对比情况</w:t>
      </w:r>
    </w:p>
    <w:p>
      <w:pPr>
        <w:adjustRightInd w:val="0"/>
        <w:snapToGrid w:val="0"/>
        <w:spacing w:after="0" w:line="580" w:lineRule="exact"/>
        <w:ind w:firstLineChars="200" w:firstLine="420"/>
        <w:rPr>
          <w:rFonts w:ascii="仿宋_GB2312" w:eastAsia="仿宋_GB2312"/>
          <w:sz w:val="32"/>
          <w:szCs w:val="32"/>
        </w:rPr>
      </w:pPr>
      <w:r>
        <mc:AlternateContent>
          <mc:Choice Requires="wps">
            <w:drawing>
              <wp:anchor distT="0" distB="0" distL="114298" distR="114298" simplePos="0" relativeHeight="85"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75" name="组合"/>
                <wp:cNvGraphicFramePr>
                  <a:graphicFrameLocks noChangeAspect="0"/>
                </wp:cNvGraphicFramePr>
                <a:graphic>
                  <a:graphicData uri="http://schemas.microsoft.com/office/word/2010/wordprocessingGroup">
                    <wpg:wgp>
                      <wpg:cNvPr id="76" name="组合 76"/>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77" name="_s81 77"/>
                        <wps:cNvSpPr/>
                        <wps:spPr>
                          <a:xfrm rot="0">
                            <a:off x="0" y="0"/>
                            <a:ext cx="3833495" cy="469163"/>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78" name="_s82 78"/>
                        <wps:cNvSpPr/>
                        <wps:spPr>
                          <a:xfrm rot="0">
                            <a:off x="10795" y="109344"/>
                            <a:ext cx="3733800" cy="448820"/>
                          </a:xfrm>
                          <a:prstGeom prst="rect"/>
                          <a:solidFill>
                            <a:srgbClr val="AD002D"/>
                          </a:solidFill>
                          <a:ln w="25400" cmpd="sng" cap="flat">
                            <a:solidFill>
                              <a:srgbClr val="B0761F"/>
                            </a:solidFill>
                            <a:prstDash val="solid"/>
                            <a:miter/>
                          </a:ln>
                        </wps:spPr>
                        <wps:txbx id="79">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widowControl/>
                                <w:jc w:val="left"/>
                                <w:rPr>
                                  <w:rFonts w:ascii="楷体" w:eastAsia="楷体"/>
                                  <w:b/>
                                  <w:bCs/>
                                  <w:color w:val="FDEFBE"/>
                                  <w:sz w:val="36"/>
                                  <w:szCs w:val="36"/>
                                </w:rPr>
                              </w:pPr>
                              <w:r>
                                <w:rPr>
                                  <w:rFonts w:ascii="楷体" w:eastAsia="楷体" w:cs="楷体"/>
                                  <w:b/>
                                  <w:bCs/>
                                  <w:color w:val="FDEFBE"/>
                                  <w:kern w:val="0"/>
                                  <w:sz w:val="36"/>
                                  <w:szCs w:val="36"/>
                                </w:rPr>
                                <w:t>2018</w:t>
                              </w:r>
                              <w:r>
                                <w:rPr>
                                  <w:rFonts w:ascii="楷体" w:eastAsia="楷体" w:cs="楷体" w:hint="eastAsia"/>
                                  <w:b/>
                                  <w:bCs/>
                                  <w:color w:val="FDEFBE"/>
                                  <w:kern w:val="0"/>
                                  <w:sz w:val="36"/>
                                  <w:szCs w:val="36"/>
                                </w:rPr>
                                <w:t>年度部门决算</w:t>
                              </w:r>
                              <w:r>
                                <w:rPr>
                                  <w:rFonts w:ascii="MS Gothic" w:eastAsia="MS Gothic" w:cs="MS Gothic" w:hAnsi="MS Gothic" w:hint="eastAsia"/>
                                  <w:b/>
                                  <w:bCs/>
                                  <w:color w:val="FDEFBE"/>
                                  <w:kern w:val="0"/>
                                  <w:sz w:val="36"/>
                                  <w:szCs w:val="36"/>
                                </w:rPr>
                                <w:t>☞</w:t>
                              </w:r>
                              <w:r>
                                <w:rPr>
                                  <w:rFonts w:ascii="楷体" w:eastAsia="楷体" w:cs="楷体" w:hint="eastAsia"/>
                                  <w:b/>
                                  <w:bCs/>
                                  <w:color w:val="FDEFBE"/>
                                  <w:kern w:val="0"/>
                                  <w:sz w:val="36"/>
                                  <w:szCs w:val="36"/>
                                </w:rPr>
                                <w:t>目</w:t>
                              </w:r>
                              <w:r>
                                <w:rPr>
                                  <w:rFonts w:ascii="楷体" w:eastAsia="楷体" w:cs="楷体"/>
                                  <w:b/>
                                  <w:bCs/>
                                  <w:color w:val="FDEFBE"/>
                                  <w:kern w:val="0"/>
                                  <w:sz w:val="36"/>
                                  <w:szCs w:val="36"/>
                                </w:rPr>
                                <w:t xml:space="preserve"> </w:t>
                              </w:r>
                              <w:r>
                                <w:rPr>
                                  <w:rFonts w:ascii="楷体" w:eastAsia="楷体" w:cs="楷体" w:hint="eastAsia"/>
                                  <w:b/>
                                  <w:bCs/>
                                  <w:color w:val="FDEFBE"/>
                                  <w:kern w:val="0"/>
                                  <w:sz w:val="36"/>
                                  <w:szCs w:val="36"/>
                                </w:rPr>
                                <w:t>录</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80" o:spid="_x0000_s80" coordorigin="-10,586" coordsize="6037,878" style="position:absolute;margin-left:-0.54999465pt;margin-top:29.30009pt;width:301.85pt;height:43.949955pt;z-index:85;mso-position-horizontal:absolute;mso-position-horizontal-relative:page;mso-position-vertical:absolute;mso-position-vertical-relative:page;mso-wrap-distance-left:8.999863pt;mso-wrap-distance-right:8.999863pt;">
                <v:rect type="#_x0000_t1" id="_s81" o:spid="_x0000_s81" style="position:absolute;left:-10;top:586;width:6037;height:738;" fillcolor="#D9D9D9" stroked="f">
                  <v:stroke color="#000000"/>
                </v:rect>
                <v:rect type="#_x0000_t1" id="_s82" o:spid="_x0000_s82" style="position:absolute;left:6;top:758;width:5880;height:706;mso-wrap-style:square;" fillcolor="#AD002D" stroked="t" strokeweight="2.0pt">
                  <v:textbox id="870"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widowControl/>
                          <w:jc w:val="left"/>
                          <w:rPr>
                            <w:rFonts w:ascii="楷体" w:eastAsia="楷体"/>
                            <w:b/>
                            <w:bCs/>
                            <w:color w:val="FDEFBE"/>
                            <w:sz w:val="36"/>
                            <w:szCs w:val="36"/>
                          </w:rPr>
                        </w:pPr>
                        <w:r>
                          <w:rPr>
                            <w:rFonts w:ascii="楷体" w:eastAsia="楷体" w:cs="楷体"/>
                            <w:b/>
                            <w:bCs/>
                            <w:color w:val="FDEFBE"/>
                            <w:kern w:val="0"/>
                            <w:sz w:val="36"/>
                            <w:szCs w:val="36"/>
                          </w:rPr>
                          <w:t>2018</w:t>
                        </w:r>
                        <w:r>
                          <w:rPr>
                            <w:rFonts w:ascii="楷体" w:eastAsia="楷体" w:cs="楷体" w:hint="eastAsia"/>
                            <w:b/>
                            <w:bCs/>
                            <w:color w:val="FDEFBE"/>
                            <w:kern w:val="0"/>
                            <w:sz w:val="36"/>
                            <w:szCs w:val="36"/>
                          </w:rPr>
                          <w:t>年度部门决算</w:t>
                        </w:r>
                        <w:r>
                          <w:rPr>
                            <w:rFonts w:ascii="MS Gothic" w:eastAsia="MS Gothic" w:cs="MS Gothic" w:hAnsi="MS Gothic" w:hint="eastAsia"/>
                            <w:b/>
                            <w:bCs/>
                            <w:color w:val="FDEFBE"/>
                            <w:kern w:val="0"/>
                            <w:sz w:val="36"/>
                            <w:szCs w:val="36"/>
                          </w:rPr>
                          <w:t>☞</w:t>
                        </w:r>
                        <w:r>
                          <w:rPr>
                            <w:rFonts w:ascii="楷体" w:eastAsia="楷体" w:cs="楷体" w:hint="eastAsia"/>
                            <w:b/>
                            <w:bCs/>
                            <w:color w:val="FDEFBE"/>
                            <w:kern w:val="0"/>
                            <w:sz w:val="36"/>
                            <w:szCs w:val="36"/>
                          </w:rPr>
                          <w:t>目</w:t>
                        </w:r>
                        <w:r>
                          <w:rPr>
                            <w:rFonts w:ascii="楷体" w:eastAsia="楷体" w:cs="楷体"/>
                            <w:b/>
                            <w:bCs/>
                            <w:color w:val="FDEFBE"/>
                            <w:kern w:val="0"/>
                            <w:sz w:val="36"/>
                            <w:szCs w:val="36"/>
                          </w:rPr>
                          <w:t xml:space="preserve"> </w:t>
                        </w:r>
                        <w:r>
                          <w:rPr>
                            <w:rFonts w:ascii="楷体" w:eastAsia="楷体" w:cs="楷体" w:hint="eastAsia"/>
                            <w:b/>
                            <w:bCs/>
                            <w:color w:val="FDEFBE"/>
                            <w:kern w:val="0"/>
                            <w:sz w:val="36"/>
                            <w:szCs w:val="36"/>
                          </w:rPr>
                          <w:t>录</w:t>
                        </w:r>
                      </w:p>
                      <w:p>
                        <w:pPr>
                          <w:jc w:val="center"/>
                        </w:pPr>
                      </w:p>
                    </w:txbxContent>
                  </v:textbox>
                  <v:stroke color="#B0761F"/>
                </v:rect>
                <w10:anchorLock/>
              </v:group>
            </w:pict>
          </mc:Fallback>
        </mc:AlternateContent>
      </w: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年度财政拨款本年收入</w:t>
      </w:r>
      <w:r>
        <w:rPr>
          <w:rFonts w:ascii="仿宋_GB2312" w:eastAsia="仿宋_GB2312" w:cs="仿宋_GB2312"/>
          <w:sz w:val="32"/>
          <w:szCs w:val="32"/>
        </w:rPr>
        <w:t>20441.48</w:t>
      </w:r>
      <w:r>
        <w:rPr>
          <w:rFonts w:ascii="仿宋_GB2312" w:eastAsia="仿宋_GB2312" w:cs="仿宋_GB2312" w:hint="eastAsia"/>
          <w:sz w:val="32"/>
          <w:szCs w:val="32"/>
        </w:rPr>
        <w:t>万元</w:t>
      </w:r>
      <w:r>
        <w:rPr>
          <w:rFonts w:ascii="仿宋_GB2312" w:eastAsia="仿宋_GB2312" w:cs="仿宋_GB2312"/>
          <w:sz w:val="32"/>
          <w:szCs w:val="32"/>
        </w:rPr>
        <w:t>,</w:t>
      </w:r>
      <w:r>
        <w:rPr>
          <w:rFonts w:ascii="仿宋_GB2312" w:eastAsia="仿宋_GB2312" w:cs="仿宋_GB2312" w:hint="eastAsia"/>
          <w:sz w:val="32"/>
          <w:szCs w:val="32"/>
        </w:rPr>
        <w:t>比</w:t>
      </w:r>
      <w:r>
        <w:rPr>
          <w:rFonts w:ascii="仿宋_GB2312" w:eastAsia="仿宋_GB2312" w:cs="仿宋_GB2312"/>
          <w:sz w:val="32"/>
          <w:szCs w:val="32"/>
        </w:rPr>
        <w:t>2017</w:t>
      </w:r>
      <w:r>
        <w:rPr>
          <w:rFonts w:ascii="仿宋_GB2312" w:eastAsia="仿宋_GB2312" w:cs="仿宋_GB2312" w:hint="eastAsia"/>
          <w:sz w:val="32"/>
          <w:szCs w:val="32"/>
        </w:rPr>
        <w:t>年度增加</w:t>
      </w:r>
      <w:r>
        <w:rPr>
          <w:rFonts w:ascii="仿宋_GB2312" w:eastAsia="仿宋_GB2312" w:cs="仿宋_GB2312"/>
          <w:sz w:val="32"/>
          <w:szCs w:val="32"/>
        </w:rPr>
        <w:t>18295.94</w:t>
      </w:r>
      <w:r>
        <w:rPr>
          <w:rFonts w:ascii="仿宋_GB2312" w:eastAsia="仿宋_GB2312" w:cs="仿宋_GB2312" w:hint="eastAsia"/>
          <w:sz w:val="32"/>
          <w:szCs w:val="32"/>
        </w:rPr>
        <w:t>万元，增长</w:t>
      </w:r>
      <w:r>
        <w:rPr>
          <w:rFonts w:ascii="仿宋_GB2312" w:eastAsia="仿宋_GB2312" w:cs="仿宋_GB2312"/>
          <w:sz w:val="32"/>
          <w:szCs w:val="32"/>
        </w:rPr>
        <w:t>852.74%</w:t>
      </w:r>
      <w:r>
        <w:rPr>
          <w:rFonts w:ascii="仿宋_GB2312" w:eastAsia="仿宋_GB2312" w:cs="仿宋_GB2312" w:hint="eastAsia"/>
          <w:sz w:val="32"/>
          <w:szCs w:val="32"/>
        </w:rPr>
        <w:t>，主要是高邑县成立气代煤电代煤领导小组办公室，增加节能环保资金收入，城乡社区收入增加；本年支出</w:t>
      </w:r>
      <w:r>
        <w:rPr>
          <w:rFonts w:ascii="仿宋_GB2312" w:eastAsia="仿宋_GB2312" w:cs="仿宋_GB2312"/>
          <w:sz w:val="32"/>
          <w:szCs w:val="32"/>
        </w:rPr>
        <w:t>8989.56</w:t>
      </w:r>
      <w:r>
        <w:rPr>
          <w:rFonts w:ascii="仿宋_GB2312" w:eastAsia="仿宋_GB2312" w:cs="仿宋_GB2312" w:hint="eastAsia"/>
          <w:sz w:val="32"/>
          <w:szCs w:val="32"/>
        </w:rPr>
        <w:t>万元，增加</w:t>
      </w:r>
      <w:r>
        <w:rPr>
          <w:rFonts w:ascii="仿宋_GB2312" w:eastAsia="仿宋_GB2312" w:cs="仿宋_GB2312"/>
          <w:sz w:val="32"/>
          <w:szCs w:val="32"/>
        </w:rPr>
        <w:t>6619.20</w:t>
      </w:r>
      <w:r>
        <w:rPr>
          <w:rFonts w:ascii="仿宋_GB2312" w:eastAsia="仿宋_GB2312" w:cs="仿宋_GB2312" w:hint="eastAsia"/>
          <w:sz w:val="32"/>
          <w:szCs w:val="32"/>
        </w:rPr>
        <w:t>万元，增长</w:t>
      </w:r>
      <w:r>
        <w:rPr>
          <w:rFonts w:ascii="仿宋_GB2312" w:eastAsia="仿宋_GB2312" w:cs="仿宋_GB2312"/>
          <w:sz w:val="32"/>
          <w:szCs w:val="32"/>
        </w:rPr>
        <w:t>279.25%</w:t>
      </w:r>
      <w:r>
        <w:rPr>
          <w:rFonts w:ascii="仿宋_GB2312" w:eastAsia="仿宋_GB2312" w:cs="仿宋_GB2312" w:hint="eastAsia"/>
          <w:sz w:val="32"/>
          <w:szCs w:val="32"/>
        </w:rPr>
        <w:t>，主要是高邑县成立气代煤电代煤领导小组办公室，增加节能环保资金支出，城乡社区支出增加。</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hint="eastAsia"/>
          <w:sz w:val="32"/>
          <w:szCs w:val="32"/>
        </w:rPr>
        <w:t>其中：一般公共预算财政拨款本年收入</w:t>
      </w:r>
      <w:r>
        <w:rPr>
          <w:rFonts w:ascii="仿宋_GB2312" w:eastAsia="仿宋_GB2312" w:cs="仿宋_GB2312"/>
          <w:sz w:val="32"/>
          <w:szCs w:val="32"/>
        </w:rPr>
        <w:t>19138.53</w:t>
      </w:r>
      <w:r>
        <w:rPr>
          <w:rFonts w:ascii="仿宋_GB2312" w:eastAsia="仿宋_GB2312" w:cs="仿宋_GB2312" w:hint="eastAsia"/>
          <w:sz w:val="32"/>
          <w:szCs w:val="32"/>
        </w:rPr>
        <w:t>万元，比上年增加</w:t>
      </w:r>
      <w:r>
        <w:rPr>
          <w:rFonts w:ascii="仿宋_GB2312" w:eastAsia="仿宋_GB2312" w:cs="仿宋_GB2312"/>
          <w:sz w:val="32"/>
          <w:szCs w:val="32"/>
        </w:rPr>
        <w:t>17130.49</w:t>
      </w:r>
      <w:r>
        <w:rPr>
          <w:rFonts w:ascii="仿宋_GB2312" w:eastAsia="仿宋_GB2312" w:cs="仿宋_GB2312" w:hint="eastAsia"/>
          <w:sz w:val="32"/>
          <w:szCs w:val="32"/>
        </w:rPr>
        <w:t>万元，增长</w:t>
      </w:r>
      <w:r>
        <w:rPr>
          <w:rFonts w:ascii="仿宋_GB2312" w:eastAsia="仿宋_GB2312" w:cs="仿宋_GB2312"/>
          <w:sz w:val="32"/>
          <w:szCs w:val="32"/>
        </w:rPr>
        <w:t>853.10%</w:t>
      </w:r>
      <w:r>
        <w:rPr>
          <w:rFonts w:ascii="仿宋_GB2312" w:eastAsia="仿宋_GB2312" w:cs="仿宋_GB2312" w:hint="eastAsia"/>
          <w:sz w:val="32"/>
          <w:szCs w:val="32"/>
        </w:rPr>
        <w:t>；主要是高邑县成立气代煤电代煤领导小组办公室，增加节能环保资金收入，城乡社区收入增加；本年支出</w:t>
      </w:r>
      <w:r>
        <w:rPr>
          <w:rFonts w:ascii="仿宋_GB2312" w:eastAsia="仿宋_GB2312" w:cs="仿宋_GB2312"/>
          <w:sz w:val="32"/>
          <w:szCs w:val="32"/>
        </w:rPr>
        <w:t>7937.12</w:t>
      </w:r>
      <w:r>
        <w:rPr>
          <w:rFonts w:ascii="仿宋_GB2312" w:eastAsia="仿宋_GB2312" w:cs="仿宋_GB2312" w:hint="eastAsia"/>
          <w:sz w:val="32"/>
          <w:szCs w:val="32"/>
        </w:rPr>
        <w:t>万元，比上年增加</w:t>
      </w:r>
      <w:r>
        <w:rPr>
          <w:rFonts w:ascii="仿宋_GB2312" w:eastAsia="仿宋_GB2312" w:cs="仿宋_GB2312"/>
          <w:sz w:val="32"/>
          <w:szCs w:val="32"/>
        </w:rPr>
        <w:t>5807.47</w:t>
      </w:r>
      <w:r>
        <w:rPr>
          <w:rFonts w:ascii="仿宋_GB2312" w:eastAsia="仿宋_GB2312" w:cs="仿宋_GB2312" w:hint="eastAsia"/>
          <w:sz w:val="32"/>
          <w:szCs w:val="32"/>
        </w:rPr>
        <w:t>万元，增长</w:t>
      </w:r>
      <w:r>
        <w:rPr>
          <w:rFonts w:ascii="仿宋_GB2312" w:eastAsia="仿宋_GB2312" w:cs="仿宋_GB2312"/>
          <w:sz w:val="32"/>
          <w:szCs w:val="32"/>
        </w:rPr>
        <w:t>272.70%</w:t>
      </w:r>
      <w:r>
        <w:rPr>
          <w:rFonts w:ascii="仿宋_GB2312" w:eastAsia="仿宋_GB2312" w:cs="仿宋_GB2312" w:hint="eastAsia"/>
          <w:sz w:val="32"/>
          <w:szCs w:val="32"/>
        </w:rPr>
        <w:t>，主要是高邑县成立气代煤电代煤领导小组办公室，增加节能环保资金支出，城乡社区支出增加。政府性基金预算财政拨款本年收入</w:t>
      </w:r>
      <w:r>
        <w:rPr>
          <w:rFonts w:ascii="仿宋_GB2312" w:eastAsia="仿宋_GB2312" w:cs="仿宋_GB2312"/>
          <w:sz w:val="32"/>
          <w:szCs w:val="32"/>
        </w:rPr>
        <w:t>1302.94</w:t>
      </w:r>
      <w:r>
        <w:rPr>
          <w:rFonts w:ascii="仿宋_GB2312" w:eastAsia="仿宋_GB2312" w:cs="仿宋_GB2312" w:hint="eastAsia"/>
          <w:sz w:val="32"/>
          <w:szCs w:val="32"/>
        </w:rPr>
        <w:t>万元，比上年增加</w:t>
      </w:r>
      <w:r>
        <w:rPr>
          <w:rFonts w:ascii="仿宋_GB2312" w:eastAsia="仿宋_GB2312" w:cs="仿宋_GB2312"/>
          <w:sz w:val="32"/>
          <w:szCs w:val="32"/>
        </w:rPr>
        <w:t>1165.44</w:t>
      </w:r>
      <w:r>
        <w:rPr>
          <w:rFonts w:ascii="仿宋_GB2312" w:eastAsia="仿宋_GB2312" w:cs="仿宋_GB2312" w:hint="eastAsia"/>
          <w:sz w:val="32"/>
          <w:szCs w:val="32"/>
        </w:rPr>
        <w:t>万元，增长</w:t>
      </w:r>
      <w:r>
        <w:rPr>
          <w:rFonts w:ascii="仿宋_GB2312" w:eastAsia="仿宋_GB2312" w:cs="仿宋_GB2312"/>
          <w:sz w:val="32"/>
          <w:szCs w:val="32"/>
        </w:rPr>
        <w:t>847.59%</w:t>
      </w:r>
      <w:r>
        <w:rPr>
          <w:rFonts w:ascii="仿宋_GB2312" w:eastAsia="仿宋_GB2312" w:cs="仿宋_GB2312" w:hint="eastAsia"/>
          <w:sz w:val="32"/>
          <w:szCs w:val="32"/>
        </w:rPr>
        <w:t>，主要原因是城乡社区收入增加；本年支出</w:t>
      </w:r>
      <w:r>
        <w:rPr>
          <w:rFonts w:ascii="仿宋_GB2312" w:eastAsia="仿宋_GB2312" w:cs="仿宋_GB2312"/>
          <w:sz w:val="32"/>
          <w:szCs w:val="32"/>
        </w:rPr>
        <w:t>1052.44</w:t>
      </w:r>
      <w:r>
        <w:rPr>
          <w:rFonts w:ascii="仿宋_GB2312" w:eastAsia="仿宋_GB2312" w:cs="仿宋_GB2312" w:hint="eastAsia"/>
          <w:sz w:val="32"/>
          <w:szCs w:val="32"/>
        </w:rPr>
        <w:t>万元，比上年增加</w:t>
      </w:r>
      <w:r>
        <w:rPr>
          <w:rFonts w:ascii="仿宋_GB2312" w:eastAsia="仿宋_GB2312" w:cs="仿宋_GB2312"/>
          <w:sz w:val="32"/>
          <w:szCs w:val="32"/>
        </w:rPr>
        <w:t>811.73</w:t>
      </w:r>
      <w:r>
        <w:rPr>
          <w:rFonts w:ascii="仿宋_GB2312" w:eastAsia="仿宋_GB2312" w:cs="仿宋_GB2312" w:hint="eastAsia"/>
          <w:sz w:val="32"/>
          <w:szCs w:val="32"/>
        </w:rPr>
        <w:t>万元，增长</w:t>
      </w:r>
      <w:r>
        <w:rPr>
          <w:rFonts w:ascii="仿宋_GB2312" w:eastAsia="仿宋_GB2312" w:cs="仿宋_GB2312"/>
          <w:sz w:val="32"/>
          <w:szCs w:val="32"/>
        </w:rPr>
        <w:t>337.22%</w:t>
      </w:r>
      <w:r>
        <w:rPr>
          <w:rFonts w:ascii="仿宋_GB2312" w:eastAsia="仿宋_GB2312" w:cs="仿宋_GB2312" w:hint="eastAsia"/>
          <w:sz w:val="32"/>
          <w:szCs w:val="32"/>
        </w:rPr>
        <w:t>，主要是城乡社区支出增加。</w:t>
      </w:r>
    </w:p>
    <w:p>
      <w:r>
        <w:object>
          <v:shape id="_x0000_i3" type="#_x0000_t75" filled="f" stroked="f" style="width:417.0pt;height:243.0pt;" o:ole="">
            <v:stroke color="#000000"/>
            <v:imagedata r:id="rId10" o:title="84"/>
            <o:lock aspectratio="t"/>
          </v:shape>
          <o:OLEObject Type="Embed" ProgID="Package" ShapeID="_x0000_i3" DrawAspect="Content" ObjectID="_1393063353" r:id="rId11"/>
        </w:object>
      </w:r>
    </w:p>
    <w:p>
      <w:pPr>
        <w:adjustRightInd w:val="0"/>
        <w:snapToGrid w:val="0"/>
        <w:spacing w:line="560" w:lineRule="exact"/>
        <w:jc w:val="center"/>
        <w:rPr>
          <w:rFonts w:ascii="仿宋_GB2312" w:eastAsia="仿宋_GB2312"/>
          <w:sz w:val="28"/>
          <w:szCs w:val="28"/>
        </w:rPr>
      </w:pPr>
      <w:r>
        <w:rPr>
          <w:rFonts w:ascii="仿宋_GB2312" w:eastAsia="仿宋_GB2312" w:cs="仿宋_GB2312" w:hint="eastAsia"/>
          <w:sz w:val="28"/>
          <w:szCs w:val="28"/>
        </w:rPr>
        <w:t>图</w:t>
      </w:r>
      <w:r>
        <w:rPr>
          <w:rFonts w:ascii="仿宋_GB2312" w:eastAsia="仿宋_GB2312" w:cs="仿宋_GB2312"/>
          <w:sz w:val="28"/>
          <w:szCs w:val="28"/>
        </w:rPr>
        <w:t>3</w:t>
      </w:r>
      <w:r>
        <w:rPr>
          <w:rFonts w:ascii="仿宋_GB2312" w:eastAsia="仿宋_GB2312" w:cs="仿宋_GB2312" w:hint="eastAsia"/>
          <w:sz w:val="28"/>
          <w:szCs w:val="28"/>
        </w:rPr>
        <w:t>：</w:t>
      </w:r>
      <w:r>
        <w:rPr>
          <w:rFonts w:ascii="仿宋_GB2312" w:eastAsia="仿宋_GB2312" w:cs="仿宋_GB2312"/>
          <w:sz w:val="28"/>
          <w:szCs w:val="28"/>
        </w:rPr>
        <w:t>2017-2018</w:t>
      </w:r>
      <w:r>
        <w:rPr>
          <w:rFonts w:ascii="仿宋_GB2312" w:eastAsia="仿宋_GB2312" w:cs="仿宋_GB2312" w:hint="eastAsia"/>
          <w:sz w:val="28"/>
          <w:szCs w:val="28"/>
        </w:rPr>
        <w:t>年财政拨款收支情况</w:t>
      </w:r>
    </w:p>
    <w:p>
      <w:pPr>
        <w:spacing w:after="0" w:line="580" w:lineRule="exact"/>
        <w:rPr>
          <w:rFonts w:ascii="仿宋_GB2312" w:eastAsia="仿宋_GB2312"/>
          <w:b/>
          <w:bCs/>
          <w:sz w:val="32"/>
          <w:szCs w:val="32"/>
        </w:rPr>
      </w:pPr>
      <w:r>
        <w:rPr>
          <w:rFonts w:ascii="楷体_GB2312" w:eastAsia="楷体_GB2312" w:cs="楷体_GB2312" w:hint="eastAsia"/>
          <w:b/>
          <w:bCs/>
          <w:sz w:val="32"/>
          <w:szCs w:val="32"/>
        </w:rPr>
        <w:t>（二）财政拨款收支与年初预算数对比情况</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年度财政拨款本年收入</w:t>
      </w:r>
      <w:r>
        <w:rPr>
          <w:rFonts w:ascii="仿宋_GB2312" w:eastAsia="仿宋_GB2312" w:cs="仿宋_GB2312"/>
          <w:sz w:val="32"/>
          <w:szCs w:val="32"/>
        </w:rPr>
        <w:t>20441.48</w:t>
      </w:r>
      <w:r>
        <w:rPr>
          <w:rFonts w:ascii="仿宋_GB2312" w:eastAsia="仿宋_GB2312" w:cs="仿宋_GB2312" w:hint="eastAsia"/>
          <w:sz w:val="32"/>
          <w:szCs w:val="32"/>
        </w:rPr>
        <w:t>万元，完成年初预算的</w:t>
      </w:r>
      <w:r>
        <w:rPr>
          <w:rFonts w:ascii="仿宋_GB2312" w:eastAsia="仿宋_GB2312" w:cs="仿宋_GB2312"/>
          <w:sz w:val="32"/>
          <w:szCs w:val="32"/>
        </w:rPr>
        <w:t>361.91%,</w:t>
      </w:r>
      <w:r>
        <w:rPr>
          <w:rFonts w:ascii="仿宋_GB2312" w:eastAsia="仿宋_GB2312" w:cs="仿宋_GB2312" w:hint="eastAsia"/>
          <w:sz w:val="32"/>
          <w:szCs w:val="32"/>
        </w:rPr>
        <w:t>比年初预算增加</w:t>
      </w:r>
      <w:r>
        <w:rPr>
          <w:rFonts w:ascii="仿宋_GB2312" w:eastAsia="仿宋_GB2312" w:cs="仿宋_GB2312"/>
          <w:sz w:val="32"/>
          <w:szCs w:val="32"/>
        </w:rPr>
        <w:t>14793.29</w:t>
      </w:r>
      <w:r>
        <w:rPr>
          <w:rFonts w:ascii="仿宋_GB2312" w:eastAsia="仿宋_GB2312" w:cs="仿宋_GB2312" w:hint="eastAsia"/>
          <w:sz w:val="32"/>
          <w:szCs w:val="32"/>
        </w:rPr>
        <w:t>万元，决算数大于预算数主要原因是高邑县成立气代煤电代煤领导小组办公室，增加节能环保资金收入；本年支出</w:t>
      </w:r>
      <w:r>
        <w:rPr>
          <w:rFonts w:ascii="仿宋_GB2312" w:eastAsia="仿宋_GB2312" w:cs="仿宋_GB2312"/>
          <w:sz w:val="32"/>
          <w:szCs w:val="32"/>
        </w:rPr>
        <w:t>8989.56</w:t>
      </w:r>
      <w:r>
        <w:rPr>
          <w:rFonts w:ascii="仿宋_GB2312" w:eastAsia="仿宋_GB2312" w:cs="仿宋_GB2312" w:hint="eastAsia"/>
          <w:sz w:val="32"/>
          <w:szCs w:val="32"/>
        </w:rPr>
        <w:t>万元，完成年初预算的</w:t>
      </w:r>
      <w:r>
        <w:rPr>
          <w:rFonts w:ascii="仿宋_GB2312" w:eastAsia="仿宋_GB2312" w:cs="仿宋_GB2312"/>
          <w:sz w:val="32"/>
          <w:szCs w:val="32"/>
        </w:rPr>
        <w:t>159.16%,</w:t>
      </w:r>
      <w:r>
        <w:rPr>
          <w:rFonts w:ascii="仿宋_GB2312" w:eastAsia="仿宋_GB2312" w:cs="仿宋_GB2312" w:hint="eastAsia"/>
          <w:sz w:val="32"/>
          <w:szCs w:val="32"/>
        </w:rPr>
        <w:t>比年初预算增加</w:t>
      </w:r>
      <w:r>
        <w:rPr>
          <w:rFonts w:ascii="仿宋_GB2312" w:eastAsia="仿宋_GB2312" w:cs="仿宋_GB2312"/>
          <w:sz w:val="32"/>
          <w:szCs w:val="32"/>
        </w:rPr>
        <w:t>3341.37</w:t>
      </w:r>
      <w:r>
        <w:rPr>
          <w:rFonts w:ascii="仿宋_GB2312" w:eastAsia="仿宋_GB2312" w:cs="仿宋_GB2312" w:hint="eastAsia"/>
          <w:sz w:val="32"/>
          <w:szCs w:val="32"/>
        </w:rPr>
        <w:t>万元，决算数大于预算数主要原因是主要是高邑县成立气代煤电代煤领导小组办公室，增加节能环保资金支出。</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hint="eastAsia"/>
          <w:sz w:val="32"/>
          <w:szCs w:val="32"/>
        </w:rPr>
        <w:t>其中，一般公共预算财政拨款本年收入完成年初预算</w:t>
      </w:r>
      <w:r>
        <w:rPr>
          <w:rFonts w:ascii="仿宋_GB2312" w:eastAsia="仿宋_GB2312" w:cs="仿宋_GB2312"/>
          <w:sz w:val="32"/>
          <w:szCs w:val="32"/>
        </w:rPr>
        <w:t>2788.57%</w:t>
      </w:r>
      <w:r>
        <w:rPr>
          <w:rFonts w:ascii="仿宋_GB2312" w:eastAsia="仿宋_GB2312" w:cs="仿宋_GB2312" w:hint="eastAsia"/>
          <w:sz w:val="32"/>
          <w:szCs w:val="32"/>
        </w:rPr>
        <w:t>，比年初预算增加</w:t>
      </w:r>
      <w:r>
        <w:rPr>
          <w:rFonts w:ascii="仿宋_GB2312" w:eastAsia="仿宋_GB2312" w:cs="仿宋_GB2312"/>
          <w:sz w:val="32"/>
          <w:szCs w:val="32"/>
        </w:rPr>
        <w:t>18452.21</w:t>
      </w:r>
      <w:r>
        <w:rPr>
          <w:rFonts w:ascii="仿宋_GB2312" w:eastAsia="仿宋_GB2312" w:cs="仿宋_GB2312" w:hint="eastAsia"/>
          <w:sz w:val="32"/>
          <w:szCs w:val="32"/>
        </w:rPr>
        <w:t>万元，主要是高邑县成立气代煤电代煤领导小组办公室，增加节能环保资金收入；支出完成年初预算</w:t>
      </w:r>
      <w:r>
        <w:rPr>
          <w:rFonts w:ascii="仿宋_GB2312" w:eastAsia="仿宋_GB2312" w:cs="仿宋_GB2312"/>
          <w:sz w:val="32"/>
          <w:szCs w:val="32"/>
        </w:rPr>
        <w:t>1156.48%</w:t>
      </w:r>
      <w:r>
        <w:rPr>
          <w:rFonts w:ascii="仿宋_GB2312" w:eastAsia="仿宋_GB2312" w:cs="仿宋_GB2312" w:hint="eastAsia"/>
          <w:sz w:val="32"/>
          <w:szCs w:val="32"/>
        </w:rPr>
        <w:t>，比年初预算增加</w:t>
      </w:r>
      <w:r>
        <w:rPr>
          <w:rFonts w:ascii="仿宋_GB2312" w:eastAsia="仿宋_GB2312" w:cs="仿宋_GB2312"/>
          <w:sz w:val="32"/>
          <w:szCs w:val="32"/>
        </w:rPr>
        <w:t>7250.80</w:t>
      </w:r>
      <w:r>
        <w:rPr>
          <w:rFonts w:ascii="仿宋_GB2312" w:eastAsia="仿宋_GB2312" w:cs="仿宋_GB2312" w:hint="eastAsia"/>
          <w:sz w:val="32"/>
          <w:szCs w:val="32"/>
        </w:rPr>
        <w:t>万元，主要是高邑县成立气代煤电代煤领导小组办公室，增加节能环保资金支出。政府性基金预算财政拨款本年收入完成年初预算</w:t>
      </w:r>
      <w:r>
        <w:rPr>
          <w:rFonts w:ascii="仿宋_GB2312" w:eastAsia="仿宋_GB2312" w:cs="仿宋_GB2312"/>
          <w:sz w:val="32"/>
          <w:szCs w:val="32"/>
        </w:rPr>
        <w:t>26.26%</w:t>
      </w:r>
      <w:r>
        <w:rPr>
          <w:rFonts w:ascii="仿宋_GB2312" w:eastAsia="仿宋_GB2312" w:cs="仿宋_GB2312" w:hint="eastAsia"/>
          <w:sz w:val="32"/>
          <w:szCs w:val="32"/>
        </w:rPr>
        <w:t>，比年初预算减少</w:t>
      </w:r>
      <w:r>
        <w:rPr>
          <w:rFonts w:ascii="仿宋_GB2312" w:eastAsia="仿宋_GB2312" w:cs="仿宋_GB2312"/>
          <w:sz w:val="32"/>
          <w:szCs w:val="32"/>
        </w:rPr>
        <w:t>3658.93</w:t>
      </w:r>
      <w:r>
        <w:rPr>
          <w:rFonts w:ascii="仿宋_GB2312" w:eastAsia="仿宋_GB2312" w:cs="仿宋_GB2312" w:hint="eastAsia"/>
          <w:sz w:val="32"/>
          <w:szCs w:val="32"/>
        </w:rPr>
        <w:t>万元，主要是政府性基金预算财政拨款收入减少，一般公共预算财政拨款收入增加；支出完成年初预算</w:t>
      </w:r>
      <w:r>
        <w:rPr>
          <w:rFonts w:ascii="仿宋_GB2312" w:eastAsia="仿宋_GB2312" w:cs="仿宋_GB2312"/>
          <w:sz w:val="32"/>
          <w:szCs w:val="32"/>
        </w:rPr>
        <w:t>21.21%</w:t>
      </w:r>
      <w:r>
        <w:rPr>
          <w:rFonts w:ascii="仿宋_GB2312" w:eastAsia="仿宋_GB2312" w:cs="仿宋_GB2312" w:hint="eastAsia"/>
          <w:sz w:val="32"/>
          <w:szCs w:val="32"/>
        </w:rPr>
        <w:t>，比年初预算减少</w:t>
      </w:r>
      <w:r>
        <w:rPr>
          <w:rFonts w:ascii="仿宋_GB2312" w:eastAsia="仿宋_GB2312" w:cs="仿宋_GB2312"/>
          <w:sz w:val="32"/>
          <w:szCs w:val="32"/>
        </w:rPr>
        <w:t>3909.43</w:t>
      </w:r>
      <w:r>
        <w:rPr>
          <w:rFonts w:ascii="仿宋_GB2312" w:eastAsia="仿宋_GB2312" w:cs="仿宋_GB2312" w:hint="eastAsia"/>
          <w:sz w:val="32"/>
          <w:szCs w:val="32"/>
        </w:rPr>
        <w:t>万元，主要是政府性基金预算财政拨款支出减少，一般公共预算财政拨款支出增加。</w:t>
      </w:r>
    </w:p>
    <w:p>
      <w:r>
        <w:object>
          <v:shape id="_x0000_i4" type="#_x0000_t75" filled="f" stroked="f" style="width:417.0pt;height:243.0pt;" o:ole="">
            <v:stroke color="#000000"/>
            <v:imagedata r:id="rId12" o:title="86"/>
            <o:lock aspectratio="t"/>
          </v:shape>
          <o:OLEObject Type="Embed" ProgID="Package" ShapeID="_x0000_i4" DrawAspect="Content" ObjectID="_1393063354" r:id="rId13"/>
        </w:object>
      </w:r>
    </w:p>
    <w:p>
      <w:pPr>
        <w:adjustRightInd w:val="0"/>
        <w:snapToGrid w:val="0"/>
        <w:spacing w:line="560" w:lineRule="exact"/>
        <w:jc w:val="center"/>
        <w:rPr>
          <w:rFonts w:ascii="仿宋_GB2312" w:eastAsia="仿宋_GB2312"/>
          <w:sz w:val="28"/>
          <w:szCs w:val="28"/>
        </w:rPr>
      </w:pPr>
      <w:r>
        <w:rPr>
          <w:rFonts w:ascii="仿宋_GB2312" w:eastAsia="仿宋_GB2312" w:cs="仿宋_GB2312" w:hint="eastAsia"/>
          <w:sz w:val="28"/>
          <w:szCs w:val="28"/>
        </w:rPr>
        <w:t>图</w:t>
      </w:r>
      <w:r>
        <w:rPr>
          <w:rFonts w:ascii="仿宋_GB2312" w:eastAsia="仿宋_GB2312" w:cs="仿宋_GB2312"/>
          <w:sz w:val="28"/>
          <w:szCs w:val="28"/>
        </w:rPr>
        <w:t>4</w:t>
      </w:r>
      <w:r>
        <w:rPr>
          <w:rFonts w:ascii="仿宋_GB2312" w:eastAsia="仿宋_GB2312" w:cs="仿宋_GB2312" w:hint="eastAsia"/>
          <w:sz w:val="28"/>
          <w:szCs w:val="28"/>
        </w:rPr>
        <w:t>：财政拨款收支预决算对比情况</w:t>
      </w:r>
    </w:p>
    <w:p>
      <w:pPr>
        <w:adjustRightInd w:val="0"/>
        <w:snapToGrid w:val="0"/>
        <w:spacing w:after="0" w:line="580" w:lineRule="exact"/>
        <w:rPr>
          <w:rFonts w:ascii="仿宋_GB2312" w:eastAsia="仿宋_GB2312"/>
          <w:sz w:val="32"/>
          <w:szCs w:val="32"/>
          <w:highlight w:val="yellow"/>
        </w:rPr>
      </w:pPr>
    </w:p>
    <w:p>
      <w:pPr>
        <w:numPr>
          <w:ilvl w:val="0"/>
          <w:numId w:val="1"/>
        </w:numPr>
        <w:adjustRightInd w:val="0"/>
        <w:snapToGrid w:val="0"/>
        <w:spacing w:after="0" w:line="580" w:lineRule="exact"/>
        <w:ind w:leftChars="200" w:left="420"/>
        <w:rPr>
          <w:rFonts w:ascii="楷体_GB2312" w:eastAsia="楷体_GB2312"/>
          <w:b/>
          <w:bCs/>
          <w:sz w:val="32"/>
          <w:szCs w:val="32"/>
        </w:rPr>
      </w:pPr>
      <w:r>
        <w:rPr>
          <w:rFonts w:ascii="楷体_GB2312" w:eastAsia="楷体_GB2312" w:cs="楷体_GB2312" w:hint="eastAsia"/>
          <w:b/>
          <w:bCs/>
          <w:sz w:val="32"/>
          <w:szCs w:val="32"/>
        </w:rPr>
        <w:t>财政拨款支出决算结构情况。</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sz w:val="32"/>
          <w:szCs w:val="32"/>
        </w:rPr>
        <w:t xml:space="preserve">2018 </w:t>
      </w:r>
      <w:r>
        <w:rPr>
          <w:rFonts w:ascii="仿宋_GB2312" w:eastAsia="仿宋_GB2312" w:cs="仿宋_GB2312" w:hint="eastAsia"/>
          <w:sz w:val="32"/>
          <w:szCs w:val="32"/>
        </w:rPr>
        <w:t>年度财政拨款支出</w:t>
      </w:r>
      <w:r>
        <w:rPr>
          <w:rFonts w:ascii="仿宋_GB2312" w:eastAsia="仿宋_GB2312" w:cs="仿宋_GB2312"/>
          <w:sz w:val="32"/>
          <w:szCs w:val="32"/>
        </w:rPr>
        <w:t>8989.56</w:t>
      </w:r>
      <w:r>
        <w:rPr>
          <w:rFonts w:ascii="仿宋_GB2312" w:eastAsia="仿宋_GB2312" w:cs="仿宋_GB2312" w:hint="eastAsia"/>
          <w:sz w:val="32"/>
          <w:szCs w:val="32"/>
        </w:rPr>
        <w:t>万元，主要用于以下方面节能环保（类）支出</w:t>
      </w:r>
      <w:r>
        <w:rPr>
          <w:rFonts w:ascii="仿宋_GB2312" w:eastAsia="仿宋_GB2312" w:cs="仿宋_GB2312"/>
          <w:sz w:val="32"/>
          <w:szCs w:val="32"/>
        </w:rPr>
        <w:t>5983.35</w:t>
      </w:r>
      <w:r>
        <w:rPr>
          <w:rFonts w:ascii="仿宋_GB2312" w:eastAsia="仿宋_GB2312" w:cs="仿宋_GB2312" w:hint="eastAsia"/>
          <w:sz w:val="32"/>
          <w:szCs w:val="32"/>
        </w:rPr>
        <w:t>万元，占</w:t>
      </w:r>
      <w:r>
        <w:rPr>
          <w:rFonts w:ascii="仿宋_GB2312" w:eastAsia="仿宋_GB2312" w:cs="仿宋_GB2312"/>
          <w:sz w:val="32"/>
          <w:szCs w:val="32"/>
        </w:rPr>
        <w:t>66.56%</w:t>
      </w:r>
      <w:r>
        <w:rPr>
          <w:rFonts w:ascii="仿宋_GB2312" w:eastAsia="仿宋_GB2312" w:cs="仿宋_GB2312" w:hint="eastAsia"/>
          <w:sz w:val="32"/>
          <w:szCs w:val="32"/>
        </w:rPr>
        <w:t>；城乡社区（类）支出</w:t>
      </w:r>
      <w:r>
        <w:rPr>
          <w:rFonts w:ascii="仿宋_GB2312" w:eastAsia="仿宋_GB2312" w:cs="仿宋_GB2312"/>
          <w:sz w:val="32"/>
          <w:szCs w:val="32"/>
        </w:rPr>
        <w:t>2725.77</w:t>
      </w:r>
      <w:r>
        <w:rPr>
          <w:rFonts w:ascii="仿宋_GB2312" w:eastAsia="仿宋_GB2312" w:cs="仿宋_GB2312" w:hint="eastAsia"/>
          <w:sz w:val="32"/>
          <w:szCs w:val="32"/>
        </w:rPr>
        <w:t>万元，占</w:t>
      </w:r>
      <w:r>
        <w:rPr>
          <w:rFonts w:ascii="仿宋_GB2312" w:eastAsia="仿宋_GB2312" w:cs="仿宋_GB2312"/>
          <w:sz w:val="32"/>
          <w:szCs w:val="32"/>
        </w:rPr>
        <w:t>30.32%</w:t>
      </w:r>
      <w:r>
        <w:rPr>
          <w:rFonts w:ascii="仿宋_GB2312" w:eastAsia="仿宋_GB2312" w:cs="仿宋_GB2312" w:hint="eastAsia"/>
          <w:sz w:val="32"/>
          <w:szCs w:val="32"/>
        </w:rPr>
        <w:t>；住房保障（类）支出</w:t>
      </w:r>
      <w:r>
        <w:rPr>
          <w:rFonts w:ascii="仿宋_GB2312" w:eastAsia="仿宋_GB2312" w:cs="仿宋_GB2312"/>
          <w:sz w:val="32"/>
          <w:szCs w:val="32"/>
        </w:rPr>
        <w:t>280.44</w:t>
      </w:r>
      <w:r>
        <w:rPr>
          <w:rFonts w:ascii="仿宋_GB2312" w:eastAsia="仿宋_GB2312" w:cs="仿宋_GB2312" w:hint="eastAsia"/>
          <w:sz w:val="32"/>
          <w:szCs w:val="32"/>
        </w:rPr>
        <w:t>万元，占</w:t>
      </w:r>
      <w:r>
        <w:rPr>
          <w:rFonts w:ascii="仿宋_GB2312" w:eastAsia="仿宋_GB2312" w:cs="仿宋_GB2312"/>
          <w:sz w:val="32"/>
          <w:szCs w:val="32"/>
        </w:rPr>
        <w:t xml:space="preserve"> 3.12%</w:t>
      </w:r>
      <w:r>
        <w:rPr>
          <w:rFonts w:ascii="仿宋_GB2312" w:eastAsia="仿宋_GB2312" w:cs="仿宋_GB2312" w:hint="eastAsia"/>
          <w:sz w:val="32"/>
          <w:szCs w:val="32"/>
        </w:rPr>
        <w:t>。</w:t>
      </w:r>
    </w:p>
    <w:p>
      <w:r>
        <w:drawing>
          <wp:inline distT="0" distB="0" distL="114298" distR="114298">
            <wp:extent cx="4448175" cy="2657474"/>
            <wp:effectExtent l="0" t="0" r="27" b="40"/>
            <wp:docPr id="87" name="图片"/>
            <wp:cNvGraphicFramePr>
              <a:graphicFrameLocks noChangeAspect="0"/>
            </wp:cNvGraphicFramePr>
            <a:graphic>
              <a:graphicData uri="http://schemas.openxmlformats.org/drawingml/2006/picture">
                <pic:pic>
                  <pic:nvPicPr>
                    <pic:cNvPr id="89" name="图片 89"/>
                    <pic:cNvPicPr/>
                  </pic:nvPicPr>
                  <pic:blipFill>
                    <a:blip r:embed="rId14"/>
                    <a:stretch>
                      <a:fillRect/>
                    </a:stretch>
                  </pic:blipFill>
                  <pic:spPr>
                    <a:xfrm rot="0">
                      <a:off x="0" y="0"/>
                      <a:ext cx="4448175" cy="2657474"/>
                    </a:xfrm>
                    <a:prstGeom prst="rect"/>
                    <a:noFill/>
                    <a:ln w="9525" cmpd="sng" cap="flat">
                      <a:noFill/>
                      <a:prstDash val="solid"/>
                      <a:miter/>
                    </a:ln>
                  </pic:spPr>
                </pic:pic>
              </a:graphicData>
            </a:graphic>
          </wp:inline>
        </w:drawing>
      </w:r>
    </w:p>
    <w:p>
      <w:pPr>
        <w:adjustRightInd w:val="0"/>
        <w:snapToGrid w:val="0"/>
        <w:spacing w:line="560" w:lineRule="exact"/>
        <w:jc w:val="center"/>
        <w:rPr>
          <w:rFonts w:ascii="仿宋_GB2312" w:eastAsia="仿宋_GB2312"/>
          <w:sz w:val="28"/>
          <w:szCs w:val="28"/>
        </w:rPr>
      </w:pPr>
      <w:r>
        <w:rPr>
          <w:rFonts w:ascii="仿宋_GB2312" w:eastAsia="仿宋_GB2312" w:cs="仿宋_GB2312" w:hint="eastAsia"/>
          <w:sz w:val="28"/>
          <w:szCs w:val="28"/>
        </w:rPr>
        <w:t>图</w:t>
      </w:r>
      <w:r>
        <w:rPr>
          <w:rFonts w:ascii="仿宋_GB2312" w:eastAsia="仿宋_GB2312" w:cs="仿宋_GB2312"/>
          <w:sz w:val="28"/>
          <w:szCs w:val="28"/>
        </w:rPr>
        <w:t>5</w:t>
      </w:r>
      <w:r>
        <w:rPr>
          <w:rFonts w:ascii="仿宋_GB2312" w:eastAsia="仿宋_GB2312" w:cs="仿宋_GB2312" w:hint="eastAsia"/>
          <w:sz w:val="28"/>
          <w:szCs w:val="28"/>
        </w:rPr>
        <w:t>：财政拨款支出决算结构（按功能分类）</w:t>
      </w:r>
    </w:p>
    <w:p>
      <w:pPr>
        <w:adjustRightInd w:val="0"/>
        <w:snapToGrid w:val="0"/>
        <w:spacing w:after="0" w:line="580" w:lineRule="exact"/>
        <w:rPr>
          <w:rFonts w:ascii="楷体_GB2312" w:eastAsia="楷体_GB2312"/>
          <w:b/>
          <w:bCs/>
          <w:sz w:val="32"/>
          <w:szCs w:val="32"/>
        </w:rPr>
      </w:pPr>
      <w:r>
        <mc:AlternateContent>
          <mc:Choice Requires="wps">
            <w:drawing>
              <wp:anchor distT="0" distB="0" distL="114298" distR="114298" simplePos="0" relativeHeight="87"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90" name="组合"/>
                <wp:cNvGraphicFramePr>
                  <a:graphicFrameLocks noChangeAspect="0"/>
                </wp:cNvGraphicFramePr>
                <a:graphic>
                  <a:graphicData uri="http://schemas.microsoft.com/office/word/2010/wordprocessingGroup">
                    <wpg:wgp>
                      <wpg:cNvPr id="91" name="组合 91"/>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92" name="_s96 92"/>
                        <wps:cNvSpPr/>
                        <wps:spPr>
                          <a:xfrm rot="0">
                            <a:off x="0" y="0"/>
                            <a:ext cx="3833495" cy="469163"/>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93" name="_s97 93"/>
                        <wps:cNvSpPr/>
                        <wps:spPr>
                          <a:xfrm rot="0">
                            <a:off x="10795" y="109344"/>
                            <a:ext cx="3733800" cy="448820"/>
                          </a:xfrm>
                          <a:prstGeom prst="rect"/>
                          <a:solidFill>
                            <a:srgbClr val="AD002D"/>
                          </a:solidFill>
                          <a:ln w="25400" cmpd="sng" cap="flat">
                            <a:solidFill>
                              <a:srgbClr val="B0761F"/>
                            </a:solidFill>
                            <a:prstDash val="solid"/>
                            <a:miter/>
                          </a:ln>
                        </wps:spPr>
                        <wps:txbx id="94">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95" o:spid="_x0000_s95" coordorigin="-10,586" coordsize="6037,878" style="position:absolute;margin-left:-0.54999465pt;margin-top:29.30009pt;width:301.85pt;height:43.949955pt;z-index:87;mso-position-horizontal:absolute;mso-position-horizontal-relative:page;mso-position-vertical:absolute;mso-position-vertical-relative:page;mso-wrap-distance-left:8.999863pt;mso-wrap-distance-right:8.999863pt;">
                <v:rect type="#_x0000_t1" id="_s96" o:spid="_x0000_s96" style="position:absolute;left:-10;top:586;width:6037;height:738;" fillcolor="#D9D9D9" stroked="f">
                  <v:stroke color="#000000"/>
                </v:rect>
                <v:rect type="#_x0000_t1" id="_s97" o:spid="_x0000_s97" style="position:absolute;left:6;top:758;width:5880;height:706;mso-wrap-style:square;" fillcolor="#AD002D" stroked="t" strokeweight="2.0pt">
                  <v:textbox id="871"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v:textbox>
                  <v:stroke color="#B0761F"/>
                </v:rect>
                <w10:anchorLock/>
              </v:group>
            </w:pict>
          </mc:Fallback>
        </mc:AlternateContent>
      </w:r>
      <w:r>
        <w:rPr>
          <w:rFonts w:ascii="楷体_GB2312" w:eastAsia="楷体_GB2312" w:cs="楷体_GB2312" w:hint="eastAsia"/>
          <w:b/>
          <w:bCs/>
          <w:sz w:val="32"/>
          <w:szCs w:val="32"/>
        </w:rPr>
        <w:t>（四）一般公共预算财政拨款基本支出决算情况说明</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sz w:val="32"/>
          <w:szCs w:val="32"/>
        </w:rPr>
        <w:t xml:space="preserve">2018 </w:t>
      </w:r>
      <w:r>
        <w:rPr>
          <w:rFonts w:ascii="仿宋_GB2312" w:eastAsia="仿宋_GB2312" w:cs="仿宋_GB2312" w:hint="eastAsia"/>
          <w:sz w:val="32"/>
          <w:szCs w:val="32"/>
        </w:rPr>
        <w:t>年度一般公共预算财政拨款基本支出</w:t>
      </w:r>
      <w:r>
        <w:rPr>
          <w:rFonts w:ascii="仿宋_GB2312" w:eastAsia="仿宋_GB2312" w:cs="仿宋_GB2312"/>
          <w:sz w:val="32"/>
          <w:szCs w:val="32"/>
        </w:rPr>
        <w:t>282.83</w:t>
      </w:r>
      <w:r>
        <w:rPr>
          <w:rFonts w:ascii="仿宋_GB2312" w:eastAsia="仿宋_GB2312" w:cs="仿宋_GB2312" w:hint="eastAsia"/>
          <w:sz w:val="32"/>
          <w:szCs w:val="32"/>
        </w:rPr>
        <w:t>万元，其中：人员经费</w:t>
      </w:r>
      <w:r>
        <w:rPr>
          <w:rFonts w:ascii="仿宋_GB2312" w:eastAsia="仿宋_GB2312" w:cs="仿宋_GB2312"/>
          <w:sz w:val="32"/>
          <w:szCs w:val="32"/>
        </w:rPr>
        <w:t>234.59</w:t>
      </w:r>
      <w:r>
        <w:rPr>
          <w:rFonts w:ascii="仿宋_GB2312" w:eastAsia="仿宋_GB2312" w:cs="仿宋_GB2312" w:hint="eastAsia"/>
          <w:sz w:val="32"/>
          <w:szCs w:val="32"/>
        </w:rPr>
        <w:t>万元，主要包括基本工资、津贴补贴、奖金、绩效工资、机关事业单位基本养老保险缴费、职业年金缴费、住房公积金、其他社会保障缴费、其他工资福利支出、生活补助；公用经费</w:t>
      </w:r>
      <w:r>
        <w:rPr>
          <w:rFonts w:ascii="仿宋_GB2312" w:eastAsia="仿宋_GB2312" w:cs="仿宋_GB2312"/>
          <w:sz w:val="32"/>
          <w:szCs w:val="32"/>
        </w:rPr>
        <w:t>48.24</w:t>
      </w:r>
      <w:r>
        <w:rPr>
          <w:rFonts w:ascii="仿宋_GB2312" w:eastAsia="仿宋_GB2312" w:cs="仿宋_GB2312" w:hint="eastAsia"/>
          <w:sz w:val="32"/>
          <w:szCs w:val="32"/>
        </w:rPr>
        <w:t>万元，主要包括办公费、印刷费、水费、邮电费、取暖费、差旅费、维修（护）费、劳务费、公务用车运行维护费、其他交通费用、其他商品和服务支出、办公设备购置。</w:t>
      </w:r>
    </w:p>
    <w:p>
      <w:pPr>
        <w:pStyle w:val="2"/>
        <w:spacing w:before="0" w:after="0" w:line="580" w:lineRule="exact"/>
        <w:rPr>
          <w:rFonts w:ascii="黑体" w:eastAsia="黑体" w:cs="Times New Roman"/>
          <w:b w:val="0"/>
          <w:bCs w:val="0"/>
        </w:rPr>
      </w:pPr>
      <w:r>
        <w:rPr>
          <w:rFonts w:ascii="黑体" w:eastAsia="黑体" w:cs="黑体" w:hint="eastAsia"/>
          <w:b w:val="0"/>
          <w:bCs w:val="0"/>
        </w:rPr>
        <w:t>五、一般公共预算财政拨款“三公”</w:t>
      </w:r>
      <w:r>
        <w:rPr>
          <w:rFonts w:ascii="黑体" w:eastAsia="黑体" w:cs="黑体"/>
          <w:b w:val="0"/>
          <w:bCs w:val="0"/>
        </w:rPr>
        <w:t xml:space="preserve"> </w:t>
      </w:r>
      <w:r>
        <w:rPr>
          <w:rFonts w:ascii="黑体" w:eastAsia="黑体" w:cs="黑体" w:hint="eastAsia"/>
          <w:b w:val="0"/>
          <w:bCs w:val="0"/>
        </w:rPr>
        <w:t>经费支出决算情况说明</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w:t>
      </w:r>
      <w:r>
        <w:rPr>
          <w:rFonts w:ascii="仿宋_GB2312" w:eastAsia="仿宋_GB2312" w:cs="仿宋_GB2312"/>
          <w:sz w:val="32"/>
          <w:szCs w:val="32"/>
        </w:rPr>
        <w:t xml:space="preserve"> </w:t>
      </w:r>
      <w:r>
        <w:rPr>
          <w:rFonts w:ascii="仿宋_GB2312" w:eastAsia="仿宋_GB2312" w:cs="仿宋_GB2312" w:hint="eastAsia"/>
          <w:sz w:val="32"/>
          <w:szCs w:val="32"/>
        </w:rPr>
        <w:t>“三公”经费支出共计</w:t>
      </w:r>
      <w:r>
        <w:rPr>
          <w:rFonts w:ascii="仿宋_GB2312" w:eastAsia="仿宋_GB2312" w:cs="仿宋_GB2312"/>
          <w:sz w:val="32"/>
          <w:szCs w:val="32"/>
        </w:rPr>
        <w:t>1.68</w:t>
      </w:r>
      <w:r>
        <w:rPr>
          <w:rFonts w:ascii="仿宋_GB2312" w:eastAsia="仿宋_GB2312" w:cs="仿宋_GB2312" w:hint="eastAsia"/>
          <w:sz w:val="32"/>
          <w:szCs w:val="32"/>
        </w:rPr>
        <w:t>万元，较年初预算减少</w:t>
      </w:r>
      <w:r>
        <w:rPr>
          <w:rFonts w:ascii="仿宋_GB2312" w:eastAsia="仿宋_GB2312" w:cs="仿宋_GB2312"/>
          <w:sz w:val="32"/>
          <w:szCs w:val="32"/>
        </w:rPr>
        <w:t>0.49</w:t>
      </w:r>
      <w:r>
        <w:rPr>
          <w:rFonts w:ascii="仿宋_GB2312" w:eastAsia="仿宋_GB2312" w:cs="仿宋_GB2312" w:hint="eastAsia"/>
          <w:sz w:val="32"/>
          <w:szCs w:val="32"/>
        </w:rPr>
        <w:t>万元，降低</w:t>
      </w:r>
      <w:r>
        <w:rPr>
          <w:rFonts w:ascii="仿宋_GB2312" w:eastAsia="仿宋_GB2312" w:cs="仿宋_GB2312"/>
          <w:sz w:val="32"/>
          <w:szCs w:val="32"/>
        </w:rPr>
        <w:t>22.58%</w:t>
      </w:r>
      <w:r>
        <w:rPr>
          <w:rFonts w:ascii="仿宋_GB2312" w:eastAsia="仿宋_GB2312" w:cs="仿宋_GB2312" w:hint="eastAsia"/>
          <w:sz w:val="32"/>
          <w:szCs w:val="32"/>
        </w:rPr>
        <w:t>，主要是认真贯彻落实中央八项规定精神和厉行节约要求，从严控制“三公”经费开支，全年实际支出比预算有所节约。具体情况如下：</w:t>
      </w:r>
    </w:p>
    <w:p>
      <w:pPr>
        <w:adjustRightInd w:val="0"/>
        <w:snapToGrid w:val="0"/>
        <w:spacing w:after="0" w:line="580" w:lineRule="exact"/>
        <w:ind w:firstLineChars="200" w:firstLine="640"/>
        <w:rPr>
          <w:rFonts w:ascii="仿宋_GB2312" w:eastAsia="仿宋_GB2312"/>
          <w:sz w:val="32"/>
          <w:szCs w:val="32"/>
        </w:rPr>
      </w:pPr>
      <w:r>
        <w:rPr>
          <w:rFonts w:ascii="楷体_GB2312" w:eastAsia="楷体_GB2312" w:cs="楷体_GB2312" w:hint="eastAsia"/>
          <w:b/>
          <w:bCs/>
          <w:sz w:val="32"/>
          <w:szCs w:val="32"/>
        </w:rPr>
        <w:t>（</w:t>
      </w:r>
      <w:r>
        <mc:AlternateContent>
          <mc:Choice Requires="wps">
            <w:drawing>
              <wp:anchor distT="0" distB="0" distL="114298" distR="114298" simplePos="0" relativeHeight="89"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98" name="组合"/>
                <wp:cNvGraphicFramePr>
                  <a:graphicFrameLocks noChangeAspect="0"/>
                </wp:cNvGraphicFramePr>
                <a:graphic>
                  <a:graphicData uri="http://schemas.microsoft.com/office/word/2010/wordprocessingGroup">
                    <wpg:wgp>
                      <wpg:cNvPr id="99" name="组合 99"/>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100" name="_s104 100"/>
                        <wps:cNvSpPr/>
                        <wps:spPr>
                          <a:xfrm rot="0">
                            <a:off x="0" y="0"/>
                            <a:ext cx="3833495" cy="469163"/>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101" name="_s105 101"/>
                        <wps:cNvSpPr/>
                        <wps:spPr>
                          <a:xfrm rot="0">
                            <a:off x="10795" y="109344"/>
                            <a:ext cx="3733800" cy="448820"/>
                          </a:xfrm>
                          <a:prstGeom prst="rect"/>
                          <a:solidFill>
                            <a:srgbClr val="AD002D"/>
                          </a:solidFill>
                          <a:ln w="25400" cmpd="sng" cap="flat">
                            <a:solidFill>
                              <a:srgbClr val="B0761F"/>
                            </a:solidFill>
                            <a:prstDash val="solid"/>
                            <a:miter/>
                          </a:ln>
                        </wps:spPr>
                        <wps:txbx id="102">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03" o:spid="_x0000_s103" coordorigin="-10,586" coordsize="6037,878" style="position:absolute;margin-left:-0.54999465pt;margin-top:29.30009pt;width:301.85pt;height:43.949955pt;z-index:89;mso-position-horizontal:absolute;mso-position-horizontal-relative:page;mso-position-vertical:absolute;mso-position-vertical-relative:page;mso-wrap-distance-left:8.999863pt;mso-wrap-distance-right:8.999863pt;">
                <v:rect type="#_x0000_t1" id="_s104" o:spid="_x0000_s104" style="position:absolute;left:-10;top:586;width:6037;height:738;" fillcolor="#D9D9D9" stroked="f">
                  <v:stroke color="#000000"/>
                </v:rect>
                <v:rect type="#_x0000_t1" id="_s105" o:spid="_x0000_s105" style="position:absolute;left:6;top:758;width:5880;height:706;mso-wrap-style:square;" fillcolor="#AD002D" stroked="t" strokeweight="2.0pt">
                  <v:textbox id="872"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v:textbox>
                  <v:stroke color="#B0761F"/>
                </v:rect>
                <w10:anchorLock/>
              </v:group>
            </w:pict>
          </mc:Fallback>
        </mc:AlternateContent>
      </w:r>
      <w:r>
        <w:rPr>
          <w:rFonts w:ascii="楷体_GB2312" w:eastAsia="楷体_GB2312" w:cs="楷体_GB2312" w:hint="eastAsia"/>
          <w:b/>
          <w:bCs/>
          <w:sz w:val="32"/>
          <w:szCs w:val="32"/>
        </w:rPr>
        <w:t>一）因公出国（境）费支出</w:t>
      </w:r>
      <w:r>
        <w:rPr>
          <w:rFonts w:ascii="楷体_GB2312" w:eastAsia="楷体_GB2312" w:cs="楷体_GB2312"/>
          <w:b/>
          <w:bCs/>
          <w:sz w:val="32"/>
          <w:szCs w:val="32"/>
        </w:rPr>
        <w:t>0</w:t>
      </w:r>
      <w:r>
        <w:rPr>
          <w:rFonts w:ascii="楷体_GB2312" w:eastAsia="楷体_GB2312" w:cs="楷体_GB2312" w:hint="eastAsia"/>
          <w:b/>
          <w:bCs/>
          <w:sz w:val="32"/>
          <w:szCs w:val="32"/>
        </w:rPr>
        <w:t>万元。</w:t>
      </w: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年度无本单位组织的出国（境）团组。因公出国（境）费支出</w:t>
      </w:r>
      <w:r>
        <w:rPr>
          <w:rFonts w:ascii="仿宋_GB2312" w:eastAsia="仿宋_GB2312" w:cs="仿宋_GB2312" w:hint="eastAsia"/>
          <w:color w:val="000000"/>
          <w:sz w:val="32"/>
          <w:szCs w:val="32"/>
        </w:rPr>
        <w:t>与年初预算持平。</w:t>
      </w:r>
      <w:r>
        <w:rPr>
          <w:rFonts w:ascii="仿宋_GB2312" w:eastAsia="仿宋_GB2312" w:cs="仿宋_GB2312" w:hint="eastAsia"/>
          <w:sz w:val="32"/>
          <w:szCs w:val="32"/>
        </w:rPr>
        <w:t>主要是认真贯彻落实中央八项规定精神和厉行节约要求，从严控制“三公”经费开支。</w:t>
      </w:r>
    </w:p>
    <w:p>
      <w:pPr>
        <w:adjustRightInd w:val="0"/>
        <w:snapToGrid w:val="0"/>
        <w:spacing w:after="0" w:line="580" w:lineRule="exact"/>
        <w:ind w:firstLineChars="200" w:firstLine="640"/>
        <w:rPr>
          <w:rFonts w:ascii="仿宋_GB2312" w:eastAsia="仿宋_GB2312"/>
          <w:b/>
          <w:bCs/>
          <w:sz w:val="32"/>
          <w:szCs w:val="32"/>
        </w:rPr>
      </w:pPr>
      <w:r>
        <w:rPr>
          <w:rFonts w:ascii="楷体_GB2312" w:eastAsia="楷体_GB2312" w:cs="楷体_GB2312" w:hint="eastAsia"/>
          <w:b/>
          <w:bCs/>
          <w:sz w:val="32"/>
          <w:szCs w:val="32"/>
        </w:rPr>
        <w:t>（二）公务用车购置及运行维护费支出</w:t>
      </w:r>
      <w:r>
        <w:rPr>
          <w:rFonts w:ascii="楷体_GB2312" w:eastAsia="楷体_GB2312" w:cs="楷体_GB2312"/>
          <w:b/>
          <w:bCs/>
          <w:sz w:val="32"/>
          <w:szCs w:val="32"/>
        </w:rPr>
        <w:t>1.68</w:t>
      </w:r>
      <w:r>
        <w:rPr>
          <w:rFonts w:ascii="楷体_GB2312" w:eastAsia="楷体_GB2312" w:cs="楷体_GB2312" w:hint="eastAsia"/>
          <w:b/>
          <w:bCs/>
          <w:sz w:val="32"/>
          <w:szCs w:val="32"/>
        </w:rPr>
        <w:t>万元。</w:t>
      </w: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年度公务用车购置及运行维护费较年初预算减少</w:t>
      </w:r>
      <w:r>
        <w:rPr>
          <w:rFonts w:ascii="仿宋_GB2312" w:eastAsia="仿宋_GB2312" w:cs="仿宋_GB2312"/>
          <w:sz w:val="32"/>
          <w:szCs w:val="32"/>
        </w:rPr>
        <w:t>0.27</w:t>
      </w:r>
      <w:r>
        <w:rPr>
          <w:rFonts w:ascii="仿宋_GB2312" w:eastAsia="仿宋_GB2312" w:cs="仿宋_GB2312" w:hint="eastAsia"/>
          <w:sz w:val="32"/>
          <w:szCs w:val="32"/>
        </w:rPr>
        <w:t>万元，降低</w:t>
      </w:r>
      <w:r>
        <w:rPr>
          <w:rFonts w:ascii="仿宋_GB2312" w:eastAsia="仿宋_GB2312" w:cs="仿宋_GB2312"/>
          <w:sz w:val="32"/>
          <w:szCs w:val="32"/>
        </w:rPr>
        <w:t>13.85%,</w:t>
      </w:r>
      <w:r>
        <w:rPr>
          <w:rFonts w:ascii="仿宋_GB2312" w:eastAsia="仿宋_GB2312" w:cs="仿宋_GB2312" w:hint="eastAsia"/>
          <w:sz w:val="32"/>
          <w:szCs w:val="32"/>
        </w:rPr>
        <w:t>主要是认真贯彻落实中央八项规定精神和厉行节约要求，从严控制“三公”经费开支，全年实际支出比预算有所节约。</w:t>
      </w:r>
      <w:r>
        <w:rPr>
          <w:rFonts w:ascii="仿宋_GB2312" w:eastAsia="仿宋_GB2312" w:cs="仿宋_GB2312" w:hint="eastAsia"/>
          <w:b/>
          <w:bCs/>
          <w:sz w:val="32"/>
          <w:szCs w:val="32"/>
        </w:rPr>
        <w:t>其中：</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hint="eastAsia"/>
          <w:b/>
          <w:bCs/>
          <w:sz w:val="32"/>
          <w:szCs w:val="32"/>
        </w:rPr>
        <w:t>公务用车购置费：</w:t>
      </w: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w:t>
      </w:r>
      <w:r>
        <w:rPr>
          <w:rFonts w:ascii="仿宋_GB2312" w:eastAsia="仿宋_GB2312" w:cs="仿宋_GB2312" w:hint="eastAsia"/>
          <w:color w:val="000000"/>
          <w:sz w:val="32"/>
          <w:szCs w:val="32"/>
        </w:rPr>
        <w:t>未发生“公务用车购置”经费支出</w:t>
      </w:r>
      <w:r>
        <w:rPr>
          <w:rFonts w:ascii="仿宋_GB2312" w:eastAsia="仿宋_GB2312" w:cs="仿宋_GB2312" w:hint="eastAsia"/>
          <w:sz w:val="32"/>
          <w:szCs w:val="32"/>
        </w:rPr>
        <w:t>。公务用车购置费支出</w:t>
      </w:r>
      <w:r>
        <w:rPr>
          <w:rFonts w:ascii="仿宋_GB2312" w:eastAsia="仿宋_GB2312" w:cs="仿宋_GB2312" w:hint="eastAsia"/>
          <w:color w:val="000000"/>
          <w:sz w:val="32"/>
          <w:szCs w:val="32"/>
        </w:rPr>
        <w:t>与年初预算持平。</w:t>
      </w:r>
      <w:r>
        <w:rPr>
          <w:rFonts w:ascii="仿宋_GB2312" w:eastAsia="仿宋_GB2312" w:cs="仿宋_GB2312" w:hint="eastAsia"/>
          <w:sz w:val="32"/>
          <w:szCs w:val="32"/>
        </w:rPr>
        <w:t>主要是认真贯彻落实中央八项规定精神和厉行节约要求，从严控制“三公”经费开支。</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hint="eastAsia"/>
          <w:b/>
          <w:bCs/>
          <w:sz w:val="32"/>
          <w:szCs w:val="32"/>
        </w:rPr>
        <w:t>公务用车运行维护费：</w:t>
      </w: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年度单位公务用车保有量</w:t>
      </w:r>
      <w:r>
        <w:rPr>
          <w:rFonts w:ascii="仿宋_GB2312" w:eastAsia="仿宋_GB2312" w:cs="仿宋_GB2312"/>
          <w:sz w:val="32"/>
          <w:szCs w:val="32"/>
        </w:rPr>
        <w:t>14</w:t>
      </w:r>
      <w:r>
        <w:rPr>
          <w:rFonts w:ascii="仿宋_GB2312" w:eastAsia="仿宋_GB2312" w:cs="仿宋_GB2312" w:hint="eastAsia"/>
          <w:sz w:val="32"/>
          <w:szCs w:val="32"/>
        </w:rPr>
        <w:t>辆。公车运行维护费支出较年初预算减少</w:t>
      </w:r>
      <w:r>
        <w:rPr>
          <w:rFonts w:ascii="仿宋_GB2312" w:eastAsia="仿宋_GB2312" w:cs="仿宋_GB2312"/>
          <w:sz w:val="32"/>
          <w:szCs w:val="32"/>
        </w:rPr>
        <w:t>0.27</w:t>
      </w:r>
      <w:r>
        <w:rPr>
          <w:rFonts w:ascii="仿宋_GB2312" w:eastAsia="仿宋_GB2312" w:cs="仿宋_GB2312" w:hint="eastAsia"/>
          <w:sz w:val="32"/>
          <w:szCs w:val="32"/>
        </w:rPr>
        <w:t>万元，降低</w:t>
      </w:r>
      <w:r>
        <w:rPr>
          <w:rFonts w:ascii="仿宋_GB2312" w:eastAsia="仿宋_GB2312" w:cs="仿宋_GB2312"/>
          <w:sz w:val="32"/>
          <w:szCs w:val="32"/>
        </w:rPr>
        <w:t>13.85%,</w:t>
      </w:r>
      <w:r>
        <w:rPr>
          <w:rFonts w:ascii="仿宋_GB2312" w:eastAsia="仿宋_GB2312" w:cs="仿宋_GB2312" w:hint="eastAsia"/>
          <w:sz w:val="32"/>
          <w:szCs w:val="32"/>
        </w:rPr>
        <w:t>主要是认真贯彻落实中央八项规定精神和厉行节约</w:t>
      </w:r>
    </w:p>
    <w:p>
      <w:pPr>
        <w:adjustRightInd w:val="0"/>
        <w:snapToGrid w:val="0"/>
        <w:spacing w:after="0" w:line="580" w:lineRule="exact"/>
        <w:rPr>
          <w:rFonts w:ascii="仿宋_GB2312" w:eastAsia="仿宋_GB2312"/>
          <w:sz w:val="32"/>
          <w:szCs w:val="32"/>
        </w:rPr>
      </w:pPr>
      <w:r>
        <w:rPr>
          <w:rFonts w:ascii="仿宋_GB2312" w:eastAsia="仿宋_GB2312" w:cs="仿宋_GB2312" w:hint="eastAsia"/>
          <w:sz w:val="32"/>
          <w:szCs w:val="32"/>
        </w:rPr>
        <w:t>要求，从严控制“三公”经费开支，全年实际支出比预算有所节约。</w:t>
      </w:r>
    </w:p>
    <w:p>
      <w:pPr>
        <w:adjustRightInd w:val="0"/>
        <w:snapToGrid w:val="0"/>
        <w:spacing w:after="0" w:line="580" w:lineRule="exact"/>
        <w:ind w:firstLineChars="200" w:firstLine="640"/>
        <w:rPr>
          <w:rFonts w:ascii="仿宋_GB2312" w:eastAsia="仿宋_GB2312"/>
          <w:sz w:val="32"/>
          <w:szCs w:val="32"/>
        </w:rPr>
      </w:pPr>
      <w:r>
        <w:rPr>
          <w:rFonts w:ascii="楷体_GB2312" w:eastAsia="楷体_GB2312" w:cs="楷体_GB2312" w:hint="eastAsia"/>
          <w:b/>
          <w:bCs/>
          <w:sz w:val="32"/>
          <w:szCs w:val="32"/>
        </w:rPr>
        <w:t>（三）公务接待费支出</w:t>
      </w:r>
      <w:r>
        <w:rPr>
          <w:rFonts w:ascii="楷体_GB2312" w:eastAsia="楷体_GB2312" w:cs="楷体_GB2312"/>
          <w:b/>
          <w:bCs/>
          <w:sz w:val="32"/>
          <w:szCs w:val="32"/>
        </w:rPr>
        <w:t>0</w:t>
      </w:r>
      <w:r>
        <w:rPr>
          <w:rFonts w:ascii="楷体_GB2312" w:eastAsia="楷体_GB2312" w:cs="楷体_GB2312" w:hint="eastAsia"/>
          <w:b/>
          <w:bCs/>
          <w:sz w:val="32"/>
          <w:szCs w:val="32"/>
        </w:rPr>
        <w:t>万元。</w:t>
      </w:r>
      <w:r>
        <mc:AlternateContent>
          <mc:Choice Requires="wps">
            <w:drawing>
              <wp:anchor distT="0" distB="0" distL="114298" distR="114298" simplePos="0" relativeHeight="91"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106" name="组合"/>
                <wp:cNvGraphicFramePr>
                  <a:graphicFrameLocks noChangeAspect="0"/>
                </wp:cNvGraphicFramePr>
                <a:graphic>
                  <a:graphicData uri="http://schemas.microsoft.com/office/word/2010/wordprocessingGroup">
                    <wpg:wgp>
                      <wpg:cNvPr id="107" name="组合 107"/>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108" name="_s112 108"/>
                        <wps:cNvSpPr/>
                        <wps:spPr>
                          <a:xfrm rot="0">
                            <a:off x="0" y="0"/>
                            <a:ext cx="3833495" cy="469163"/>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109" name="_s113 109"/>
                        <wps:cNvSpPr/>
                        <wps:spPr>
                          <a:xfrm rot="0">
                            <a:off x="10795" y="109344"/>
                            <a:ext cx="3733800" cy="448820"/>
                          </a:xfrm>
                          <a:prstGeom prst="rect"/>
                          <a:solidFill>
                            <a:srgbClr val="AD002D"/>
                          </a:solidFill>
                          <a:ln w="25400" cmpd="sng" cap="flat">
                            <a:solidFill>
                              <a:srgbClr val="B0761F"/>
                            </a:solidFill>
                            <a:prstDash val="solid"/>
                            <a:miter/>
                          </a:ln>
                        </wps:spPr>
                        <wps:txbx id="110">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11" o:spid="_x0000_s111" coordorigin="-10,586" coordsize="6037,878" style="position:absolute;margin-left:-0.54999465pt;margin-top:29.30009pt;width:301.85pt;height:43.949955pt;z-index:91;mso-position-horizontal:absolute;mso-position-horizontal-relative:page;mso-position-vertical:absolute;mso-position-vertical-relative:page;mso-wrap-distance-left:8.999863pt;mso-wrap-distance-right:8.999863pt;">
                <v:rect type="#_x0000_t1" id="_s112" o:spid="_x0000_s112" style="position:absolute;left:-10;top:586;width:6037;height:738;" fillcolor="#D9D9D9" stroked="f">
                  <v:stroke color="#000000"/>
                </v:rect>
                <v:rect type="#_x0000_t1" id="_s113" o:spid="_x0000_s113" style="position:absolute;left:6;top:758;width:5880;height:706;mso-wrap-style:square;" fillcolor="#AD002D" stroked="t" strokeweight="2.0pt">
                  <v:textbox id="873"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v:textbox>
                  <v:stroke color="#B0761F"/>
                </v:rect>
                <w10:anchorLock/>
              </v:group>
            </w:pict>
          </mc:Fallback>
        </mc:AlternateContent>
      </w:r>
      <w:r>
        <mc:AlternateContent>
          <mc:Choice Requires="wps">
            <w:drawing>
              <wp:anchor distT="0" distB="0" distL="114298" distR="114298" simplePos="0" relativeHeight="105" behindDoc="0" locked="1" layoutInCell="1" hidden="0" allowOverlap="1">
                <wp:simplePos x="0" y="0"/>
                <wp:positionH relativeFrom="page">
                  <wp:posOffset>297815</wp:posOffset>
                </wp:positionH>
                <wp:positionV relativeFrom="page">
                  <wp:posOffset>676911</wp:posOffset>
                </wp:positionV>
                <wp:extent cx="3833495" cy="6"/>
                <wp:effectExtent l="0" t="0" r="0" b="0"/>
                <wp:wrapNone/>
                <wp:docPr id="114" name="组合"/>
                <wp:cNvGraphicFramePr>
                  <a:graphicFrameLocks noChangeAspect="0"/>
                </wp:cNvGraphicFramePr>
                <a:graphic>
                  <a:graphicData uri="http://schemas.microsoft.com/office/word/2010/wordprocessingGroup">
                    <wpg:wgp>
                      <wpg:cNvPr id="115" name="组合 115"/>
                      <wpg:cNvGrpSpPr/>
                      <wpg:grpSpPr>
                        <a:xfrm rot="0">
                          <a:off x="0" y="0"/>
                          <a:ext cx="3833495" cy="6"/>
                          <a:chOff x="0" y="0"/>
                          <a:chExt cx="3833495" cy="6"/>
                        </a:xfrm>
                        <a:prstGeom prst="rect"/>
                        <a:solidFill>
                          <a:srgbClr val="FFFFFF"/>
                        </a:solidFill>
                        <a:ln w="9525" cmpd="sng" cap="flat">
                          <a:solidFill>
                            <a:srgbClr val="000000"/>
                          </a:solidFill>
                          <a:prstDash val="solid"/>
                          <a:miter/>
                        </a:ln>
                      </wpg:grpSpPr>
                      <wps:wsp>
                        <wps:cNvPr id="116" name="_s120 116"/>
                        <wps:cNvSpPr/>
                        <wps:spPr>
                          <a:xfrm rot="0">
                            <a:off x="0" y="0"/>
                            <a:ext cx="3833495" cy="6"/>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117" name="_s121 117"/>
                        <wps:cNvSpPr/>
                        <wps:spPr>
                          <a:xfrm rot="0">
                            <a:off x="11430" y="0"/>
                            <a:ext cx="3733800" cy="6"/>
                          </a:xfrm>
                          <a:prstGeom prst="rect"/>
                          <a:solidFill>
                            <a:srgbClr val="AD002D"/>
                          </a:solidFill>
                          <a:ln w="25400" cmpd="sng" cap="flat">
                            <a:solidFill>
                              <a:srgbClr val="385D8A"/>
                            </a:solidFill>
                            <a:prstDash val="solid"/>
                            <a:miter/>
                          </a:ln>
                        </wps:spPr>
                        <wps:txbx id="118">
                          <w:txbxContent>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19" o:spid="_x0000_s119" coordorigin="469,1066" coordsize="6037,0" style="position:absolute;margin-left:23.450006pt;margin-top:53.30009pt;width:301.85pt;height:4.978104E-4pt;z-index:105;mso-position-horizontal:absolute;mso-position-horizontal-relative:page;mso-position-vertical:absolute;mso-position-vertical-relative:page;mso-wrap-distance-left:8.999863pt;mso-wrap-distance-right:8.999863pt;">
                <v:rect type="#_x0000_t1" id="_s120" o:spid="_x0000_s120" style="position:absolute;left:469;top:1066;width:6037;height:0;" fillcolor="#D9D9D9" stroked="f">
                  <v:stroke color="#000000"/>
                </v:rect>
                <v:rect type="#_x0000_t1" id="_s121" o:spid="_x0000_s121" style="position:absolute;left:487;top:1066;width:5880;height:0;mso-wrap-style:square;" fillcolor="#AD002D" stroked="t" strokeweight="2.0pt">
                  <v:textbox id="874" inset="2.54mm,1.27mm,2.54mm,1.27mm" o:insetmode="custom" style="layout-flow:horizontal;v-text-anchor:middle;">
                    <w:txbxContent>
                      <w:p>
                        <w:pPr>
                          <w:jc w:val="center"/>
                        </w:pPr>
                      </w:p>
                    </w:txbxContent>
                  </v:textbox>
                  <v:stroke color="#385D8A"/>
                </v:rect>
                <w10:anchorLock/>
              </v:group>
            </w:pict>
          </mc:Fallback>
        </mc:AlternateContent>
      </w: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年度公务接待共</w:t>
      </w:r>
      <w:r>
        <w:rPr>
          <w:rFonts w:ascii="仿宋_GB2312" w:eastAsia="仿宋_GB2312" w:cs="仿宋_GB2312"/>
          <w:sz w:val="32"/>
          <w:szCs w:val="32"/>
        </w:rPr>
        <w:t>0</w:t>
      </w:r>
      <w:r>
        <w:rPr>
          <w:rFonts w:ascii="仿宋_GB2312" w:eastAsia="仿宋_GB2312" w:cs="仿宋_GB2312" w:hint="eastAsia"/>
          <w:sz w:val="32"/>
          <w:szCs w:val="32"/>
        </w:rPr>
        <w:t>批次、</w:t>
      </w:r>
      <w:r>
        <w:rPr>
          <w:rFonts w:ascii="仿宋_GB2312" w:eastAsia="仿宋_GB2312" w:cs="仿宋_GB2312"/>
          <w:sz w:val="32"/>
          <w:szCs w:val="32"/>
        </w:rPr>
        <w:t>0</w:t>
      </w:r>
      <w:r>
        <w:rPr>
          <w:rFonts w:ascii="仿宋_GB2312" w:eastAsia="仿宋_GB2312" w:cs="仿宋_GB2312" w:hint="eastAsia"/>
          <w:sz w:val="32"/>
          <w:szCs w:val="32"/>
        </w:rPr>
        <w:t>人次</w:t>
      </w:r>
      <w:r>
        <mc:AlternateContent>
          <mc:Choice Requires="wps">
            <w:drawing>
              <wp:anchor distT="0" distB="0" distL="114298" distR="114298" simplePos="0" relativeHeight="103" behindDoc="0" locked="1" layoutInCell="1" hidden="0" allowOverlap="1">
                <wp:simplePos x="0" y="0"/>
                <wp:positionH relativeFrom="page">
                  <wp:posOffset>-6984</wp:posOffset>
                </wp:positionH>
                <wp:positionV relativeFrom="page">
                  <wp:posOffset>372111</wp:posOffset>
                </wp:positionV>
                <wp:extent cx="3833495" cy="6"/>
                <wp:effectExtent l="0" t="0" r="0" b="0"/>
                <wp:wrapNone/>
                <wp:docPr id="122" name="组合"/>
                <wp:cNvGraphicFramePr>
                  <a:graphicFrameLocks noChangeAspect="0"/>
                </wp:cNvGraphicFramePr>
                <a:graphic>
                  <a:graphicData uri="http://schemas.microsoft.com/office/word/2010/wordprocessingGroup">
                    <wpg:wgp>
                      <wpg:cNvPr id="123" name="组合 123"/>
                      <wpg:cNvGrpSpPr/>
                      <wpg:grpSpPr>
                        <a:xfrm rot="0">
                          <a:off x="0" y="0"/>
                          <a:ext cx="3833495" cy="6"/>
                          <a:chOff x="0" y="0"/>
                          <a:chExt cx="3833495" cy="6"/>
                        </a:xfrm>
                        <a:prstGeom prst="rect"/>
                        <a:solidFill>
                          <a:srgbClr val="FFFFFF"/>
                        </a:solidFill>
                        <a:ln w="9525" cmpd="sng" cap="flat">
                          <a:solidFill>
                            <a:srgbClr val="000000"/>
                          </a:solidFill>
                          <a:prstDash val="solid"/>
                          <a:miter/>
                        </a:ln>
                      </wpg:grpSpPr>
                      <wps:wsp>
                        <wps:cNvPr id="124" name="_s128 124"/>
                        <wps:cNvSpPr/>
                        <wps:spPr>
                          <a:xfrm rot="0">
                            <a:off x="0" y="0"/>
                            <a:ext cx="3833495" cy="6"/>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125" name="_s129 125"/>
                        <wps:cNvSpPr/>
                        <wps:spPr>
                          <a:xfrm rot="0">
                            <a:off x="10795" y="0"/>
                            <a:ext cx="3733800" cy="6"/>
                          </a:xfrm>
                          <a:prstGeom prst="rect"/>
                          <a:solidFill>
                            <a:srgbClr val="AD002D"/>
                          </a:solidFill>
                          <a:ln w="25400" cmpd="sng" cap="flat">
                            <a:solidFill>
                              <a:srgbClr val="B0761F"/>
                            </a:solidFill>
                            <a:prstDash val="solid"/>
                            <a:miter/>
                          </a:ln>
                        </wps:spPr>
                        <wps:txbx id="126">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27" o:spid="_x0000_s127" coordorigin="-10,586" coordsize="6037,0" style="position:absolute;margin-left:-0.54999465pt;margin-top:29.30009pt;width:301.85pt;height:5.006714E-4pt;z-index:103;mso-position-horizontal:absolute;mso-position-horizontal-relative:page;mso-position-vertical:absolute;mso-position-vertical-relative:page;mso-wrap-distance-left:8.999863pt;mso-wrap-distance-right:8.999863pt;">
                <v:rect type="#_x0000_t1" id="_s128" o:spid="_x0000_s128" style="position:absolute;left:-10;top:586;width:6037;height:0;" fillcolor="#D9D9D9" stroked="f">
                  <v:stroke color="#000000"/>
                </v:rect>
                <v:rect type="#_x0000_t1" id="_s129" o:spid="_x0000_s129" style="position:absolute;left:6;top:586;width:5880;height:0;mso-wrap-style:square;" fillcolor="#AD002D" stroked="t" strokeweight="2.0pt">
                  <v:textbox id="875"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v:textbox>
                  <v:stroke color="#B0761F"/>
                </v:rect>
                <w10:anchorLock/>
              </v:group>
            </w:pict>
          </mc:Fallback>
        </mc:AlternateContent>
      </w:r>
      <w:r>
        <w:rPr>
          <w:rFonts w:ascii="仿宋_GB2312" w:eastAsia="仿宋_GB2312" w:cs="仿宋_GB2312" w:hint="eastAsia"/>
          <w:sz w:val="32"/>
          <w:szCs w:val="32"/>
        </w:rPr>
        <w:t>。公务接待费支出</w:t>
      </w:r>
      <w:r>
        <w:rPr>
          <w:rFonts w:ascii="仿宋_GB2312" w:eastAsia="仿宋_GB2312" w:cs="仿宋_GB2312" w:hint="eastAsia"/>
          <w:color w:val="000000"/>
          <w:sz w:val="32"/>
          <w:szCs w:val="32"/>
        </w:rPr>
        <w:t>较年初预算减少</w:t>
      </w:r>
      <w:r>
        <w:rPr>
          <w:rFonts w:ascii="仿宋_GB2312" w:eastAsia="仿宋_GB2312" w:cs="仿宋_GB2312"/>
          <w:color w:val="000000"/>
          <w:sz w:val="32"/>
          <w:szCs w:val="32"/>
        </w:rPr>
        <w:t>0.22</w:t>
      </w:r>
      <w:r>
        <w:rPr>
          <w:rFonts w:ascii="仿宋_GB2312" w:eastAsia="仿宋_GB2312" w:cs="仿宋_GB2312" w:hint="eastAsia"/>
          <w:color w:val="000000"/>
          <w:sz w:val="32"/>
          <w:szCs w:val="32"/>
        </w:rPr>
        <w:t>万元，降低</w:t>
      </w:r>
      <w:r>
        <w:rPr>
          <w:rFonts w:ascii="仿宋_GB2312" w:eastAsia="仿宋_GB2312" w:cs="仿宋_GB2312"/>
          <w:color w:val="000000"/>
          <w:sz w:val="32"/>
          <w:szCs w:val="32"/>
        </w:rPr>
        <w:t>100%</w:t>
      </w:r>
      <w:r>
        <w:rPr>
          <w:rFonts w:ascii="仿宋_GB2312" w:eastAsia="仿宋_GB2312" w:cs="仿宋_GB2312" w:hint="eastAsia"/>
          <w:color w:val="000000"/>
          <w:sz w:val="32"/>
          <w:szCs w:val="32"/>
        </w:rPr>
        <w:t>，</w:t>
      </w:r>
      <w:r>
        <w:rPr>
          <w:rFonts w:ascii="仿宋_GB2312" w:eastAsia="仿宋_GB2312" w:cs="仿宋_GB2312" w:hint="eastAsia"/>
          <w:sz w:val="32"/>
          <w:szCs w:val="32"/>
        </w:rPr>
        <w:t>主要是认真贯彻落实中央八项规定精神和厉行节约要求，从严控制“三公”经费开支，全年实际支出比预算有所节约。</w:t>
      </w:r>
    </w:p>
    <w:p>
      <w:pPr>
        <w:pStyle w:val="2"/>
        <w:spacing w:before="0" w:after="0" w:line="500" w:lineRule="exact"/>
        <w:ind w:firstLineChars="200" w:firstLine="640"/>
        <w:rPr>
          <w:rFonts w:ascii="黑体" w:eastAsia="黑体" w:cs="Times New Roman"/>
        </w:rPr>
      </w:pPr>
      <w:r>
        <w:rPr>
          <w:rFonts w:ascii="黑体" w:eastAsia="黑体" w:cs="黑体" w:hint="eastAsia"/>
        </w:rPr>
        <w:t>六、绩效预算情况说明</w:t>
      </w:r>
    </w:p>
    <w:p>
      <w:pPr>
        <w:adjustRightInd w:val="0"/>
        <w:snapToGrid w:val="0"/>
        <w:spacing w:after="0" w:line="500" w:lineRule="exact"/>
        <w:ind w:firstLineChars="200" w:firstLine="640"/>
        <w:rPr>
          <w:rFonts w:ascii="仿宋_GB2312" w:eastAsia="仿宋_GB2312"/>
          <w:sz w:val="32"/>
          <w:szCs w:val="32"/>
        </w:rPr>
      </w:pPr>
      <w:r>
        <w:rPr>
          <w:rFonts w:ascii="仿宋_GB2312" w:eastAsia="仿宋_GB2312" w:cs="仿宋_GB2312" w:hint="eastAsia"/>
          <w:sz w:val="32"/>
          <w:szCs w:val="32"/>
        </w:rPr>
        <w:t>（一）绩效管理工作开展情况</w:t>
      </w:r>
    </w:p>
    <w:p>
      <w:pPr>
        <w:adjustRightInd w:val="0"/>
        <w:snapToGrid w:val="0"/>
        <w:spacing w:after="0" w:line="500" w:lineRule="exact"/>
        <w:ind w:firstLineChars="200" w:firstLine="640"/>
        <w:rPr>
          <w:rFonts w:ascii="仿宋_GB2312" w:eastAsia="仿宋_GB2312"/>
          <w:sz w:val="32"/>
          <w:szCs w:val="32"/>
        </w:rPr>
      </w:pPr>
      <w:r>
        <w:rPr>
          <w:rFonts w:ascii="仿宋_GB2312" w:eastAsia="仿宋_GB2312" w:cs="仿宋_GB2312" w:hint="eastAsia"/>
          <w:sz w:val="32"/>
          <w:szCs w:val="32"/>
        </w:rPr>
        <w:t>根据《关于开展</w:t>
      </w:r>
      <w:r>
        <w:rPr>
          <w:rFonts w:ascii="仿宋_GB2312" w:eastAsia="仿宋_GB2312" w:cs="仿宋_GB2312"/>
          <w:sz w:val="32"/>
          <w:szCs w:val="32"/>
        </w:rPr>
        <w:t>2018</w:t>
      </w:r>
      <w:r>
        <w:rPr>
          <w:rFonts w:ascii="仿宋_GB2312" w:eastAsia="仿宋_GB2312" w:cs="仿宋_GB2312" w:hint="eastAsia"/>
          <w:sz w:val="32"/>
          <w:szCs w:val="32"/>
        </w:rPr>
        <w:t>年度财政专项资金部门绩效自评价工作的通知》（石财绩</w:t>
      </w:r>
      <w:r>
        <w:rPr>
          <w:rFonts w:ascii="宋体" w:cs="宋体"/>
          <w:sz w:val="32"/>
          <w:szCs w:val="32"/>
        </w:rPr>
        <w:t>[2019]</w:t>
      </w:r>
      <w:r>
        <w:rPr>
          <w:rFonts w:ascii="仿宋_GB2312" w:eastAsia="仿宋_GB2312" w:cs="仿宋_GB2312"/>
          <w:sz w:val="32"/>
          <w:szCs w:val="32"/>
        </w:rPr>
        <w:t>1</w:t>
      </w:r>
      <w:r>
        <w:rPr>
          <w:rFonts w:ascii="仿宋_GB2312" w:eastAsia="仿宋_GB2312" w:cs="仿宋_GB2312" w:hint="eastAsia"/>
          <w:sz w:val="32"/>
          <w:szCs w:val="32"/>
        </w:rPr>
        <w:t>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00" w:lineRule="exact"/>
        <w:ind w:firstLineChars="200" w:firstLine="640"/>
        <w:rPr>
          <w:rFonts w:ascii="仿宋_GB2312" w:eastAsia="仿宋_GB2312"/>
          <w:sz w:val="32"/>
          <w:szCs w:val="32"/>
        </w:rPr>
      </w:pPr>
      <w:r>
        <w:rPr>
          <w:rFonts w:ascii="仿宋_GB2312" w:eastAsia="仿宋_GB2312" w:cs="仿宋_GB2312" w:hint="eastAsia"/>
          <w:sz w:val="32"/>
          <w:szCs w:val="32"/>
        </w:rPr>
        <w:t>（二）预算项目绩效评价开展情况</w:t>
      </w:r>
    </w:p>
    <w:p>
      <w:pPr>
        <w:adjustRightInd w:val="0"/>
        <w:snapToGrid w:val="0"/>
        <w:spacing w:after="0" w:line="500" w:lineRule="exact"/>
        <w:ind w:firstLineChars="200" w:firstLine="640"/>
        <w:rPr>
          <w:rFonts w:ascii="仿宋_GB2312" w:eastAsia="仿宋_GB2312"/>
          <w:sz w:val="32"/>
          <w:szCs w:val="32"/>
        </w:rPr>
      </w:pPr>
      <w:r>
        <w:rPr>
          <w:rFonts w:ascii="仿宋_GB2312" w:eastAsia="仿宋_GB2312" w:cs="仿宋_GB2312" w:hint="eastAsia"/>
          <w:sz w:val="32"/>
          <w:szCs w:val="32"/>
        </w:rPr>
        <w:t>根据预算绩效管理要求，本单位组织对</w:t>
      </w:r>
      <w:r>
        <w:rPr>
          <w:rFonts w:ascii="仿宋_GB2312" w:eastAsia="仿宋_GB2312" w:cs="仿宋_GB2312"/>
          <w:sz w:val="32"/>
          <w:szCs w:val="32"/>
        </w:rPr>
        <w:t>2018</w:t>
      </w:r>
      <w:r>
        <w:rPr>
          <w:rFonts w:ascii="仿宋_GB2312" w:eastAsia="仿宋_GB2312" w:cs="仿宋_GB2312" w:hint="eastAsia"/>
          <w:sz w:val="32"/>
          <w:szCs w:val="32"/>
        </w:rPr>
        <w:t>年度一般公共预算项目支出全面开展绩效自评，涉及南星路西段人行道提升改造工程、凤中路东段便道升级改造工程等</w:t>
      </w:r>
      <w:r>
        <w:rPr>
          <w:rFonts w:ascii="仿宋_GB2312" w:eastAsia="仿宋_GB2312" w:cs="仿宋_GB2312"/>
          <w:sz w:val="32"/>
          <w:szCs w:val="32"/>
        </w:rPr>
        <w:t>17</w:t>
      </w:r>
      <w:r>
        <w:rPr>
          <w:rFonts w:ascii="仿宋_GB2312" w:eastAsia="仿宋_GB2312" w:cs="仿宋_GB2312" w:hint="eastAsia"/>
          <w:sz w:val="32"/>
          <w:szCs w:val="32"/>
        </w:rPr>
        <w:t>个项目，涉及资金</w:t>
      </w:r>
      <w:r>
        <w:rPr>
          <w:rFonts w:ascii="仿宋_GB2312" w:eastAsia="仿宋_GB2312" w:cs="仿宋_GB2312"/>
          <w:sz w:val="32"/>
          <w:szCs w:val="32"/>
        </w:rPr>
        <w:t>7654.29</w:t>
      </w:r>
      <w:r>
        <w:rPr>
          <w:rFonts w:ascii="仿宋_GB2312" w:eastAsia="仿宋_GB2312" w:cs="仿宋_GB2312" w:hint="eastAsia"/>
          <w:sz w:val="32"/>
          <w:szCs w:val="32"/>
        </w:rPr>
        <w:t>万元。从评价情况看，评价结果为优秀的项目有</w:t>
      </w:r>
      <w:r>
        <w:rPr>
          <w:rFonts w:ascii="仿宋_GB2312" w:eastAsia="仿宋_GB2312" w:cs="仿宋_GB2312"/>
          <w:sz w:val="32"/>
          <w:szCs w:val="32"/>
        </w:rPr>
        <w:t>17</w:t>
      </w:r>
      <w:r>
        <w:rPr>
          <w:rFonts w:ascii="仿宋_GB2312" w:eastAsia="仿宋_GB2312" w:cs="仿宋_GB2312" w:hint="eastAsia"/>
          <w:sz w:val="32"/>
          <w:szCs w:val="32"/>
        </w:rPr>
        <w:t>个。</w:t>
      </w:r>
    </w:p>
    <w:p>
      <w:pPr>
        <w:adjustRightInd w:val="0"/>
        <w:snapToGrid w:val="0"/>
        <w:spacing w:after="0" w:line="500" w:lineRule="exact"/>
        <w:ind w:firstLineChars="200" w:firstLine="640"/>
        <w:rPr>
          <w:rFonts w:ascii="仿宋_GB2312" w:eastAsia="仿宋_GB2312"/>
          <w:sz w:val="32"/>
          <w:szCs w:val="32"/>
        </w:rPr>
      </w:pPr>
      <w:r>
        <w:rPr>
          <w:rFonts w:ascii="仿宋_GB2312" w:eastAsia="仿宋_GB2312" w:cs="仿宋_GB2312" w:hint="eastAsia"/>
          <w:sz w:val="32"/>
          <w:szCs w:val="32"/>
        </w:rPr>
        <w:t>（三）预算项目绩效自评选例</w:t>
      </w:r>
    </w:p>
    <w:p>
      <w:pPr>
        <w:adjustRightInd w:val="0"/>
        <w:snapToGrid w:val="0"/>
        <w:spacing w:after="0" w:line="500" w:lineRule="exact"/>
        <w:ind w:firstLineChars="200" w:firstLine="640"/>
        <w:rPr>
          <w:rFonts w:ascii="仿宋_GB2312" w:eastAsia="仿宋_GB2312"/>
          <w:sz w:val="32"/>
          <w:szCs w:val="32"/>
        </w:rPr>
      </w:pPr>
      <w:r>
        <w:rPr>
          <w:rFonts w:ascii="仿宋_GB2312" w:eastAsia="仿宋_GB2312" w:cs="仿宋_GB2312" w:hint="eastAsia"/>
          <w:sz w:val="32"/>
          <w:szCs w:val="32"/>
        </w:rPr>
        <w:t>本单位南星路西段人行道提升改造工程项目绩效自评：根据年初设定的绩效目标，南星路西段人行道提升改造工程项目绩效自评结果为优秀。项目全年预算数为</w:t>
      </w:r>
      <w:r>
        <w:rPr>
          <w:rFonts w:ascii="仿宋_GB2312" w:eastAsia="仿宋_GB2312" w:cs="仿宋_GB2312"/>
          <w:sz w:val="32"/>
          <w:szCs w:val="32"/>
        </w:rPr>
        <w:t>50</w:t>
      </w:r>
      <w:r>
        <w:rPr>
          <w:rFonts w:ascii="仿宋_GB2312" w:eastAsia="仿宋_GB2312" w:cs="仿宋_GB2312" w:hint="eastAsia"/>
          <w:sz w:val="32"/>
          <w:szCs w:val="32"/>
        </w:rPr>
        <w:t>万元，执行数为</w:t>
      </w:r>
      <w:r>
        <w:rPr>
          <w:rFonts w:ascii="仿宋_GB2312" w:eastAsia="仿宋_GB2312" w:cs="仿宋_GB2312"/>
          <w:sz w:val="32"/>
          <w:szCs w:val="32"/>
        </w:rPr>
        <w:t>50</w:t>
      </w:r>
      <w:r>
        <w:rPr>
          <w:rFonts w:ascii="仿宋_GB2312" w:eastAsia="仿宋_GB2312" w:cs="仿宋_GB2312" w:hint="eastAsia"/>
          <w:sz w:val="32"/>
          <w:szCs w:val="32"/>
        </w:rPr>
        <w:t>万元，完成预算的</w:t>
      </w:r>
      <w:r>
        <w:rPr>
          <w:rFonts w:ascii="仿宋_GB2312" w:eastAsia="仿宋_GB2312" w:cs="仿宋_GB2312"/>
          <w:sz w:val="32"/>
          <w:szCs w:val="32"/>
        </w:rPr>
        <w:t>100%</w:t>
      </w:r>
      <w:r>
        <w:rPr>
          <w:rFonts w:ascii="仿宋_GB2312" w:eastAsia="仿宋_GB2312" w:cs="仿宋_GB2312" w:hint="eastAsia"/>
          <w:sz w:val="32"/>
          <w:szCs w:val="32"/>
        </w:rPr>
        <w:t>。主要产出和效果是通过完成南星路西段人行道提升改造工程，提高县城基础设施利用率，提升县城整体形象，加快城镇化建设，提高居民生活质量，方便居民出行。</w:t>
      </w:r>
    </w:p>
    <w:p>
      <w:pPr>
        <w:pStyle w:val="2"/>
        <w:spacing w:before="0" w:after="0" w:line="580" w:lineRule="exact"/>
        <w:ind w:firstLineChars="200" w:firstLine="640"/>
        <w:rPr>
          <w:rFonts w:ascii="黑体" w:eastAsia="黑体" w:cs="Times New Roman"/>
          <w:b w:val="0"/>
          <w:bCs w:val="0"/>
        </w:rPr>
      </w:pPr>
      <w:r>
        <w:rPr>
          <w:rFonts w:ascii="黑体" w:eastAsia="黑体" w:cs="黑体" w:hint="eastAsia"/>
          <w:b w:val="0"/>
          <w:bCs w:val="0"/>
        </w:rPr>
        <w:t>七、其他重要事项的说明</w:t>
      </w:r>
    </w:p>
    <w:p>
      <w:pPr>
        <w:pStyle w:val="3"/>
        <w:spacing w:before="0" w:after="0" w:line="580" w:lineRule="exact"/>
        <w:ind w:firstLineChars="200" w:firstLine="640"/>
        <w:rPr>
          <w:rFonts w:ascii="楷体_GB2312" w:eastAsia="楷体_GB2312"/>
        </w:rPr>
      </w:pPr>
      <w:r>
        <w:rPr>
          <w:rFonts w:ascii="楷体_GB2312" w:eastAsia="楷体_GB2312" w:cs="楷体_GB2312" w:hint="eastAsia"/>
        </w:rPr>
        <w:t>（一）机关运行经费情况</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年度机关运行经费支出</w:t>
      </w:r>
      <w:r>
        <w:rPr>
          <w:rFonts w:ascii="仿宋_GB2312" w:eastAsia="仿宋_GB2312" w:cs="仿宋_GB2312"/>
          <w:sz w:val="32"/>
          <w:szCs w:val="32"/>
        </w:rPr>
        <w:t>48.24</w:t>
      </w:r>
      <w:r>
        <w:rPr>
          <w:rFonts w:ascii="仿宋_GB2312" w:eastAsia="仿宋_GB2312" w:cs="仿宋_GB2312" w:hint="eastAsia"/>
          <w:sz w:val="32"/>
          <w:szCs w:val="32"/>
        </w:rPr>
        <w:t>万元，比年初预算数增加</w:t>
      </w:r>
      <w:r>
        <w:rPr>
          <w:rFonts w:ascii="仿宋_GB2312" w:eastAsia="仿宋_GB2312" w:cs="仿宋_GB2312"/>
          <w:sz w:val="32"/>
          <w:szCs w:val="32"/>
        </w:rPr>
        <w:t>13</w:t>
      </w:r>
      <w:r>
        <w:rPr>
          <w:rFonts w:ascii="仿宋_GB2312" w:eastAsia="仿宋_GB2312" w:cs="仿宋_GB2312" w:hint="eastAsia"/>
          <w:sz w:val="32"/>
          <w:szCs w:val="32"/>
        </w:rPr>
        <w:t>万元，增长</w:t>
      </w:r>
      <w:r>
        <w:rPr>
          <w:rFonts w:ascii="仿宋_GB2312" w:eastAsia="仿宋_GB2312" w:cs="仿宋_GB2312"/>
          <w:sz w:val="32"/>
          <w:szCs w:val="32"/>
        </w:rPr>
        <w:t>36.89%</w:t>
      </w:r>
      <w:r>
        <w:rPr>
          <w:rFonts w:ascii="仿宋_GB2312" w:eastAsia="仿宋_GB2312" w:cs="仿宋_GB2312" w:hint="eastAsia"/>
          <w:sz w:val="32"/>
          <w:szCs w:val="32"/>
        </w:rPr>
        <w:t>。主要原因是高邑县成立气代煤电代煤领导小组办公室，增加办公费用。</w:t>
      </w:r>
    </w:p>
    <w:p>
      <w:pPr>
        <w:pStyle w:val="3"/>
        <w:spacing w:before="0" w:after="0" w:line="580" w:lineRule="exact"/>
        <w:ind w:firstLineChars="200" w:firstLine="640"/>
        <w:rPr>
          <w:rFonts w:ascii="楷体_GB2312" w:eastAsia="楷体_GB2312"/>
        </w:rPr>
      </w:pPr>
      <w:r>
        <w:rPr>
          <w:rFonts w:ascii="楷体_GB2312" w:eastAsia="楷体_GB2312" w:cs="楷体_GB2312" w:hint="eastAsia"/>
        </w:rPr>
        <w:t>（二）政府采购情况</w:t>
      </w:r>
    </w:p>
    <w:p>
      <w:pPr>
        <w:widowControl/>
        <w:spacing w:after="0" w:line="580" w:lineRule="exact"/>
        <w:ind w:firstLineChars="200" w:firstLine="640"/>
        <w:jc w:val="left"/>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年度无政府采购支出。</w:t>
      </w:r>
    </w:p>
    <w:p>
      <w:pPr>
        <w:pStyle w:val="3"/>
        <w:spacing w:before="0" w:after="0" w:line="580" w:lineRule="exact"/>
        <w:ind w:firstLineChars="200" w:firstLine="640"/>
        <w:rPr>
          <w:rFonts w:ascii="楷体_GB2312" w:eastAsia="楷体_GB2312"/>
        </w:rPr>
      </w:pPr>
      <w:r>
        <w:rPr>
          <w:rFonts w:ascii="楷体_GB2312" w:eastAsia="楷体_GB2312" w:cs="楷体_GB2312" w:hint="eastAsia"/>
        </w:rPr>
        <w:t>（三）国有资产占用情况</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hint="eastAsia"/>
          <w:sz w:val="32"/>
          <w:szCs w:val="32"/>
        </w:rPr>
        <w:t>截至</w:t>
      </w:r>
      <w:r>
        <w:rPr>
          <w:rFonts w:ascii="仿宋_GB2312" w:eastAsia="仿宋_GB2312" w:cs="仿宋_GB2312"/>
          <w:sz w:val="32"/>
          <w:szCs w:val="32"/>
        </w:rPr>
        <w:t>2018</w:t>
      </w:r>
      <w:r>
        <w:rPr>
          <w:rFonts w:ascii="仿宋_GB2312" w:eastAsia="仿宋_GB2312" w:cs="仿宋_GB2312" w:hint="eastAsia"/>
          <w:sz w:val="32"/>
          <w:szCs w:val="32"/>
        </w:rPr>
        <w:t>年</w:t>
      </w:r>
      <w:r>
        <w:rPr>
          <w:rFonts w:ascii="仿宋_GB2312" w:eastAsia="仿宋_GB2312" w:cs="仿宋_GB2312"/>
          <w:sz w:val="32"/>
          <w:szCs w:val="32"/>
        </w:rPr>
        <w:t>12</w:t>
      </w:r>
      <w:r>
        <w:rPr>
          <w:rFonts w:ascii="仿宋_GB2312" w:eastAsia="仿宋_GB2312" w:cs="仿宋_GB2312" w:hint="eastAsia"/>
          <w:sz w:val="32"/>
          <w:szCs w:val="32"/>
        </w:rPr>
        <w:t>月</w:t>
      </w:r>
      <w:r>
        <w:rPr>
          <w:rFonts w:ascii="仿宋_GB2312" w:eastAsia="仿宋_GB2312" w:cs="仿宋_GB2312"/>
          <w:sz w:val="32"/>
          <w:szCs w:val="32"/>
        </w:rPr>
        <w:t>31</w:t>
      </w:r>
      <w:r>
        <w:rPr>
          <w:rFonts w:ascii="仿宋_GB2312" w:eastAsia="仿宋_GB2312" w:cs="仿宋_GB2312" w:hint="eastAsia"/>
          <w:sz w:val="32"/>
          <w:szCs w:val="32"/>
        </w:rPr>
        <w:t>日，本部门共有车辆</w:t>
      </w:r>
      <w:r>
        <w:rPr>
          <w:rFonts w:ascii="仿宋_GB2312" w:eastAsia="仿宋_GB2312" w:cs="仿宋_GB2312"/>
          <w:sz w:val="32"/>
          <w:szCs w:val="32"/>
        </w:rPr>
        <w:t>14</w:t>
      </w:r>
      <w:r>
        <w:rPr>
          <w:rFonts w:ascii="仿宋_GB2312" w:eastAsia="仿宋_GB2312" w:cs="仿宋_GB2312" w:hint="eastAsia"/>
          <w:sz w:val="32"/>
          <w:szCs w:val="32"/>
        </w:rPr>
        <w:t>辆，与上年持平，主要是认真贯彻落实中央八项规定精神和厉行节约要求，从严控制经费开支。其中，副部（省）级及以上领导用车</w:t>
      </w:r>
      <w:r>
        <w:rPr>
          <w:rFonts w:ascii="仿宋_GB2312" w:eastAsia="仿宋_GB2312" w:cs="仿宋_GB2312"/>
          <w:sz w:val="32"/>
          <w:szCs w:val="32"/>
        </w:rPr>
        <w:t>0</w:t>
      </w:r>
      <w:r>
        <w:rPr>
          <w:rFonts w:ascii="仿宋_GB2312" w:eastAsia="仿宋_GB2312" w:cs="仿宋_GB2312" w:hint="eastAsia"/>
          <w:sz w:val="32"/>
          <w:szCs w:val="32"/>
        </w:rPr>
        <w:t>辆，主要领导干部用车</w:t>
      </w:r>
      <w:r>
        <w:rPr>
          <w:rFonts w:ascii="仿宋_GB2312" w:eastAsia="仿宋_GB2312" w:cs="仿宋_GB2312"/>
          <w:sz w:val="32"/>
          <w:szCs w:val="32"/>
        </w:rPr>
        <w:t>0</w:t>
      </w:r>
      <w:r>
        <w:rPr>
          <w:rFonts w:ascii="仿宋_GB2312" w:eastAsia="仿宋_GB2312" w:cs="仿宋_GB2312" w:hint="eastAsia"/>
          <w:sz w:val="32"/>
          <w:szCs w:val="32"/>
        </w:rPr>
        <w:t>辆，机要通信用车</w:t>
      </w:r>
      <w:r>
        <w:rPr>
          <w:rFonts w:ascii="仿宋_GB2312" w:eastAsia="仿宋_GB2312" w:cs="仿宋_GB2312"/>
          <w:sz w:val="32"/>
          <w:szCs w:val="32"/>
        </w:rPr>
        <w:t>0</w:t>
      </w:r>
      <w:r>
        <w:rPr>
          <w:rFonts w:ascii="仿宋_GB2312" w:eastAsia="仿宋_GB2312" w:cs="仿宋_GB2312" w:hint="eastAsia"/>
          <w:sz w:val="32"/>
          <w:szCs w:val="32"/>
        </w:rPr>
        <w:t>辆，应急保障用车</w:t>
      </w:r>
      <w:r>
        <w:rPr>
          <w:rFonts w:ascii="仿宋_GB2312" w:eastAsia="仿宋_GB2312" w:cs="仿宋_GB2312"/>
          <w:sz w:val="32"/>
          <w:szCs w:val="32"/>
        </w:rPr>
        <w:t>0</w:t>
      </w:r>
      <w:r>
        <w:rPr>
          <w:rFonts w:ascii="仿宋_GB2312" w:eastAsia="仿宋_GB2312" w:cs="仿宋_GB2312" w:hint="eastAsia"/>
          <w:sz w:val="32"/>
          <w:szCs w:val="32"/>
        </w:rPr>
        <w:t>辆，执法执勤用车</w:t>
      </w:r>
      <w:r>
        <w:rPr>
          <w:rFonts w:ascii="仿宋_GB2312" w:eastAsia="仿宋_GB2312" w:cs="仿宋_GB2312"/>
          <w:sz w:val="32"/>
          <w:szCs w:val="32"/>
        </w:rPr>
        <w:t>0</w:t>
      </w:r>
      <w:r>
        <w:rPr>
          <w:rFonts w:ascii="仿宋_GB2312" w:eastAsia="仿宋_GB2312" w:cs="仿宋_GB2312" w:hint="eastAsia"/>
          <w:sz w:val="32"/>
          <w:szCs w:val="32"/>
        </w:rPr>
        <w:t>辆，特种专业技术用车</w:t>
      </w:r>
      <w:r>
        <w:rPr>
          <w:rFonts w:ascii="仿宋_GB2312" w:eastAsia="仿宋_GB2312" w:cs="仿宋_GB2312"/>
          <w:sz w:val="32"/>
          <w:szCs w:val="32"/>
        </w:rPr>
        <w:t>1</w:t>
      </w:r>
      <w:r>
        <w:rPr>
          <w:rFonts w:ascii="仿宋_GB2312" w:eastAsia="仿宋_GB2312" w:cs="仿宋_GB2312" w:hint="eastAsia"/>
          <w:sz w:val="32"/>
          <w:szCs w:val="32"/>
        </w:rPr>
        <w:t>辆，离退休干部用车</w:t>
      </w:r>
      <w:r>
        <w:rPr>
          <w:rFonts w:ascii="仿宋_GB2312" w:eastAsia="仿宋_GB2312" w:cs="仿宋_GB2312"/>
          <w:sz w:val="32"/>
          <w:szCs w:val="32"/>
        </w:rPr>
        <w:t>0</w:t>
      </w:r>
      <w:r>
        <w:rPr>
          <w:rFonts w:ascii="仿宋_GB2312" w:eastAsia="仿宋_GB2312" w:cs="仿宋_GB2312" w:hint="eastAsia"/>
          <w:sz w:val="32"/>
          <w:szCs w:val="32"/>
        </w:rPr>
        <w:t>辆，其他用车</w:t>
      </w:r>
      <w:r>
        <w:rPr>
          <w:rFonts w:ascii="仿宋_GB2312" w:eastAsia="仿宋_GB2312" w:cs="仿宋_GB2312"/>
          <w:sz w:val="32"/>
          <w:szCs w:val="32"/>
        </w:rPr>
        <w:t>13</w:t>
      </w:r>
      <w:r>
        <w:rPr>
          <w:rFonts w:ascii="仿宋_GB2312" w:eastAsia="仿宋_GB2312" w:cs="仿宋_GB2312" w:hint="eastAsia"/>
          <w:sz w:val="32"/>
          <w:szCs w:val="32"/>
        </w:rPr>
        <w:t>辆，其他用车主要是一般公务用车；单位价值</w:t>
      </w:r>
      <w:r>
        <w:rPr>
          <w:rFonts w:ascii="仿宋_GB2312" w:eastAsia="仿宋_GB2312" w:cs="仿宋_GB2312"/>
          <w:sz w:val="32"/>
          <w:szCs w:val="32"/>
        </w:rPr>
        <w:t>50</w:t>
      </w:r>
      <w:r>
        <w:rPr>
          <w:rFonts w:ascii="仿宋_GB2312" w:eastAsia="仿宋_GB2312" w:cs="仿宋_GB2312" w:hint="eastAsia"/>
          <w:sz w:val="32"/>
          <w:szCs w:val="32"/>
        </w:rPr>
        <w:t>万元以上通用设备</w:t>
      </w:r>
      <w:r>
        <w:rPr>
          <w:rFonts w:ascii="仿宋_GB2312" w:eastAsia="仿宋_GB2312" w:cs="仿宋_GB2312"/>
          <w:sz w:val="32"/>
          <w:szCs w:val="32"/>
        </w:rPr>
        <w:t>0</w:t>
      </w:r>
      <w:r>
        <w:rPr>
          <w:rFonts w:ascii="仿宋_GB2312" w:eastAsia="仿宋_GB2312" w:cs="仿宋_GB2312" w:hint="eastAsia"/>
          <w:sz w:val="32"/>
          <w:szCs w:val="32"/>
        </w:rPr>
        <w:t>台（套），与上年持平，主要是认真贯彻落实中央八项规定精神和厉行节约要求，从严控制经费开支</w:t>
      </w:r>
      <w:r>
        <w:rPr>
          <w:rFonts w:ascii="仿宋_GB2312" w:eastAsia="仿宋_GB2312" w:cs="仿宋_GB2312"/>
          <w:sz w:val="32"/>
          <w:szCs w:val="32"/>
        </w:rPr>
        <w:t xml:space="preserve"> </w:t>
      </w:r>
      <w:r>
        <w:rPr>
          <w:rFonts w:ascii="仿宋_GB2312" w:eastAsia="仿宋_GB2312" w:cs="仿宋_GB2312" w:hint="eastAsia"/>
          <w:sz w:val="32"/>
          <w:szCs w:val="32"/>
        </w:rPr>
        <w:t>，单位价值</w:t>
      </w:r>
      <w:r>
        <w:rPr>
          <w:rFonts w:ascii="仿宋_GB2312" w:eastAsia="仿宋_GB2312" w:cs="仿宋_GB2312"/>
          <w:sz w:val="32"/>
          <w:szCs w:val="32"/>
        </w:rPr>
        <w:t>100</w:t>
      </w:r>
      <w:r>
        <w:rPr>
          <w:rFonts w:ascii="仿宋_GB2312" w:eastAsia="仿宋_GB2312" w:cs="仿宋_GB2312" w:hint="eastAsia"/>
          <w:sz w:val="32"/>
          <w:szCs w:val="32"/>
        </w:rPr>
        <w:t>万元以上专用设备</w:t>
      </w:r>
      <w:r>
        <w:rPr>
          <w:rFonts w:ascii="仿宋_GB2312" w:eastAsia="仿宋_GB2312" w:cs="仿宋_GB2312"/>
          <w:sz w:val="32"/>
          <w:szCs w:val="32"/>
        </w:rPr>
        <w:t>0</w:t>
      </w:r>
      <w:r>
        <w:rPr>
          <w:rFonts w:ascii="仿宋_GB2312" w:eastAsia="仿宋_GB2312" w:cs="仿宋_GB2312" w:hint="eastAsia"/>
          <w:sz w:val="32"/>
          <w:szCs w:val="32"/>
        </w:rPr>
        <w:t>台（套）与上年持平</w:t>
      </w:r>
      <w:r>
        <w:rPr>
          <w:rFonts w:ascii="仿宋_GB2312" w:eastAsia="仿宋_GB2312" w:cs="仿宋_GB2312"/>
          <w:sz w:val="32"/>
          <w:szCs w:val="32"/>
        </w:rPr>
        <w:t>,</w:t>
      </w:r>
      <w:r>
        <w:rPr>
          <w:rFonts w:ascii="仿宋_GB2312" w:eastAsia="仿宋_GB2312" w:cs="仿宋_GB2312" w:hint="eastAsia"/>
          <w:sz w:val="32"/>
          <w:szCs w:val="32"/>
        </w:rPr>
        <w:t>主要是认真贯彻落实中央八项规定精神和厉行节约要求，从严控制经费开支。</w:t>
      </w:r>
    </w:p>
    <w:p>
      <w:pPr>
        <w:pStyle w:val="3"/>
        <w:spacing w:before="0" w:after="0" w:line="580" w:lineRule="exact"/>
        <w:ind w:firstLineChars="200" w:firstLine="640"/>
        <w:rPr>
          <w:rFonts w:ascii="楷体_GB2312" w:eastAsia="楷体_GB2312"/>
        </w:rPr>
      </w:pPr>
      <w:r>
        <w:rPr>
          <w:rFonts w:ascii="楷体_GB2312" w:eastAsia="楷体_GB2312" w:cs="楷体_GB2312" w:hint="eastAsia"/>
        </w:rPr>
        <w:t>（四）其他需要说明的情况</w:t>
      </w:r>
    </w:p>
    <w:p>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sz w:val="32"/>
          <w:szCs w:val="32"/>
        </w:rPr>
        <w:t>1</w:t>
      </w: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年度国有资本经营预算财政拨款收入支出决算表无收支及结转结余情况，故国有资本经营预算财政拨款收入支出决算表以空表列示；</w:t>
      </w:r>
    </w:p>
    <w:p>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2018</w:t>
      </w:r>
      <w:r>
        <w:rPr>
          <w:rFonts w:ascii="仿宋_GB2312" w:eastAsia="仿宋_GB2312" w:cs="仿宋_GB2312" w:hint="eastAsia"/>
          <w:sz w:val="32"/>
          <w:szCs w:val="32"/>
        </w:rPr>
        <w:t>年度政府采购情况表无收支及结转结余情况，故政府采购情况表以空表列示；</w:t>
      </w:r>
    </w:p>
    <w:p>
      <w:pPr>
        <w:adjustRightInd w:val="0"/>
        <w:snapToGrid w:val="0"/>
        <w:spacing w:after="0" w:line="580" w:lineRule="exact"/>
        <w:ind w:firstLineChars="200" w:firstLine="640"/>
        <w:rPr>
          <w:rFonts w:ascii="仿宋_GB2312" w:eastAsia="仿宋_GB2312"/>
          <w:sz w:val="32"/>
          <w:szCs w:val="32"/>
        </w:rPr>
      </w:pPr>
      <w:r>
        <w:rPr>
          <w:rFonts w:ascii="仿宋_GB2312" w:eastAsia="仿宋_GB2312" w:cs="仿宋_GB2312"/>
          <w:sz w:val="32"/>
          <w:szCs w:val="32"/>
        </w:rPr>
        <w:t>2</w:t>
      </w:r>
      <w:r>
        <w:rPr>
          <w:rFonts w:ascii="仿宋_GB2312" w:eastAsia="仿宋_GB2312" w:cs="仿宋_GB2312" w:hint="eastAsia"/>
          <w:sz w:val="32"/>
          <w:szCs w:val="32"/>
        </w:rPr>
        <w:t>、由于决算公开表格中金额数值应当保留两位小数，公开数据为四舍五入计算结</w:t>
      </w:r>
      <w:r>
        <mc:AlternateContent>
          <mc:Choice Requires="wps">
            <w:drawing>
              <wp:anchor distT="0" distB="0" distL="114298" distR="114298" simplePos="0" relativeHeight="93" behindDoc="0" locked="1" layoutInCell="1" hidden="0" allowOverlap="1">
                <wp:simplePos x="0" y="0"/>
                <wp:positionH relativeFrom="page">
                  <wp:posOffset>-6984</wp:posOffset>
                </wp:positionH>
                <wp:positionV relativeFrom="page">
                  <wp:posOffset>372111</wp:posOffset>
                </wp:positionV>
                <wp:extent cx="3833495" cy="558164"/>
                <wp:effectExtent l="0" t="0" r="0" b="0"/>
                <wp:wrapNone/>
                <wp:docPr id="130" name="组合"/>
                <wp:cNvGraphicFramePr>
                  <a:graphicFrameLocks noChangeAspect="0"/>
                </wp:cNvGraphicFramePr>
                <a:graphic>
                  <a:graphicData uri="http://schemas.microsoft.com/office/word/2010/wordprocessingGroup">
                    <wpg:wgp>
                      <wpg:cNvPr id="131" name="组合 131"/>
                      <wpg:cNvGrpSpPr/>
                      <wpg:grpSpPr>
                        <a:xfrm rot="0">
                          <a:off x="0" y="0"/>
                          <a:ext cx="3833495" cy="558164"/>
                          <a:chOff x="0" y="0"/>
                          <a:chExt cx="3833495" cy="558164"/>
                        </a:xfrm>
                        <a:prstGeom prst="rect"/>
                        <a:solidFill>
                          <a:srgbClr val="FFFFFF"/>
                        </a:solidFill>
                        <a:ln w="9525" cmpd="sng" cap="flat">
                          <a:solidFill>
                            <a:srgbClr val="000000"/>
                          </a:solidFill>
                          <a:prstDash val="solid"/>
                          <a:miter/>
                        </a:ln>
                      </wpg:grpSpPr>
                      <wps:wsp>
                        <wps:cNvPr id="132" name="_s136 132"/>
                        <wps:cNvSpPr/>
                        <wps:spPr>
                          <a:xfrm rot="0">
                            <a:off x="0" y="0"/>
                            <a:ext cx="3833495" cy="469163"/>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133" name="_s137 133"/>
                        <wps:cNvSpPr/>
                        <wps:spPr>
                          <a:xfrm rot="0">
                            <a:off x="10795" y="109344"/>
                            <a:ext cx="3733800" cy="448820"/>
                          </a:xfrm>
                          <a:prstGeom prst="rect"/>
                          <a:solidFill>
                            <a:srgbClr val="AD002D"/>
                          </a:solidFill>
                          <a:ln w="25400" cmpd="sng" cap="flat">
                            <a:solidFill>
                              <a:srgbClr val="B0761F"/>
                            </a:solidFill>
                            <a:prstDash val="solid"/>
                            <a:miter/>
                          </a:ln>
                        </wps:spPr>
                        <wps:txbx id="134">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35" o:spid="_x0000_s135" coordorigin="-10,586" coordsize="6037,878" style="position:absolute;margin-left:-0.54999465pt;margin-top:29.30009pt;width:301.85pt;height:43.949955pt;z-index:93;mso-position-horizontal:absolute;mso-position-horizontal-relative:page;mso-position-vertical:absolute;mso-position-vertical-relative:page;mso-wrap-distance-left:8.999863pt;mso-wrap-distance-right:8.999863pt;">
                <v:rect type="#_x0000_t1" id="_s136" o:spid="_x0000_s136" style="position:absolute;left:-10;top:586;width:6037;height:738;" fillcolor="#D9D9D9" stroked="f">
                  <v:stroke color="#000000"/>
                </v:rect>
                <v:rect type="#_x0000_t1" id="_s137" o:spid="_x0000_s137" style="position:absolute;left:6;top:758;width:5880;height:706;mso-wrap-style:square;" fillcolor="#AD002D" stroked="t" strokeweight="2.0pt">
                  <v:textbox id="876"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部门决算情况说明</w:t>
                        </w:r>
                      </w:p>
                      <w:p>
                        <w:pPr>
                          <w:jc w:val="center"/>
                        </w:pPr>
                      </w:p>
                    </w:txbxContent>
                  </v:textbox>
                  <v:stroke color="#B0761F"/>
                </v:rect>
                <w10:anchorLock/>
              </v:group>
            </w:pict>
          </mc:Fallback>
        </mc:AlternateContent>
      </w:r>
      <w:r>
        <w:rPr>
          <w:rFonts w:ascii="仿宋_GB2312" w:eastAsia="仿宋_GB2312" w:cs="仿宋_GB2312" w:hint="eastAsia"/>
          <w:sz w:val="32"/>
          <w:szCs w:val="32"/>
        </w:rPr>
        <w:t>果，个别数据合计项与分项之和存在小数点后差额，特此说明。</w:t>
      </w:r>
    </w:p>
    <w:p>
      <w:pPr>
        <w:widowControl/>
        <w:spacing w:after="0" w:line="580" w:lineRule="exact"/>
        <w:ind w:firstLineChars="200" w:firstLine="880"/>
        <w:jc w:val="left"/>
        <w:rPr>
          <w:rFonts w:ascii="宋体"/>
          <w:b/>
          <w:bCs/>
          <w:kern w:val="0"/>
          <w:sz w:val="44"/>
          <w:szCs w:val="44"/>
        </w:rPr>
        <w:sectPr>
          <w:pgSz w:w="11906" w:h="16838"/>
          <w:pgMar w:top="2098" w:right="1474" w:bottom="1984" w:left="1588" w:header="851" w:footer="992" w:gutter="0"/>
          <w:docGrid w:type="lines" w:linePitch="312" w:charSpace="0"/>
        </w:sectPr>
      </w:pPr>
    </w:p>
    <w:p>
      <w:pPr>
        <w:rPr>
          <w:rFonts w:ascii="宋体"/>
          <w:color w:val="000000"/>
          <w:kern w:val="0"/>
        </w:rPr>
        <w:sectPr>
          <w:pgSz w:w="11906" w:h="16838"/>
          <w:pgMar w:top="2098" w:right="1474" w:bottom="1984" w:left="1588" w:header="851" w:footer="992" w:gutter="0"/>
          <w:docGrid w:type="lines" w:linePitch="312" w:charSpace="0"/>
        </w:sectPr>
      </w:pPr>
      <w:r>
        <w:drawing>
          <wp:anchor distT="0" distB="0" distL="114298" distR="114298" simplePos="0" relativeHeight="10" behindDoc="1" locked="1" layoutInCell="1" hidden="0" allowOverlap="1">
            <wp:simplePos x="0" y="0"/>
            <wp:positionH relativeFrom="column">
              <wp:posOffset>-1009013</wp:posOffset>
            </wp:positionH>
            <wp:positionV relativeFrom="paragraph">
              <wp:posOffset>-1337945</wp:posOffset>
            </wp:positionV>
            <wp:extent cx="7550150" cy="10680065"/>
            <wp:effectExtent l="0" t="0" r="0" b="0"/>
            <wp:wrapNone/>
            <wp:docPr id="138" name="图片 21" descr="2"/>
            <wp:cNvGraphicFramePr>
              <a:graphicFrameLocks noChangeAspect="1"/>
            </wp:cNvGraphicFramePr>
            <a:graphic>
              <a:graphicData uri="http://schemas.openxmlformats.org/drawingml/2006/picture">
                <pic:pic>
                  <pic:nvPicPr>
                    <pic:cNvPr id="139" name="图片 21 139"/>
                    <pic:cNvPicPr/>
                  </pic:nvPicPr>
                  <pic:blipFill>
                    <a:blip r:embed="rId15"/>
                    <a:stretch>
                      <a:fillRect/>
                    </a:stretch>
                  </pic:blipFill>
                  <pic:spPr>
                    <a:xfrm rot="0">
                      <a:off x="0" y="0"/>
                      <a:ext cx="7550150" cy="10680065"/>
                    </a:xfrm>
                    <a:prstGeom prst="rect"/>
                    <a:noFill/>
                    <a:ln w="9525" cmpd="sng" cap="flat">
                      <a:noFill/>
                      <a:prstDash val="solid"/>
                      <a:miter/>
                    </a:ln>
                  </pic:spPr>
                </pic:pic>
              </a:graphicData>
            </a:graphic>
          </wp:anchor>
        </w:drawing>
      </w:r>
      <w:r>
        <mc:AlternateContent>
          <mc:Choice Requires="wps">
            <w:drawing>
              <wp:anchor distT="0" distB="0" distL="114298" distR="114298" simplePos="0" relativeHeight="73" behindDoc="0" locked="1" layoutInCell="1" hidden="0" allowOverlap="1">
                <wp:simplePos x="0" y="0"/>
                <wp:positionH relativeFrom="column">
                  <wp:posOffset>-999490</wp:posOffset>
                </wp:positionH>
                <wp:positionV relativeFrom="paragraph">
                  <wp:posOffset>2956560</wp:posOffset>
                </wp:positionV>
                <wp:extent cx="7571740" cy="2020569"/>
                <wp:effectExtent l="0" t="0" r="0" b="0"/>
                <wp:wrapNone/>
                <wp:docPr id="140" name="_x0000_s1074"/>
                <wp:cNvGraphicFramePr>
                  <a:graphicFrameLocks noChangeAspect="0"/>
                </wp:cNvGraphicFramePr>
                <a:graphic>
                  <a:graphicData uri="http://schemas.microsoft.com/office/word/2010/wordprocessingShape">
                    <wps:wsp>
                      <wps:cNvSpPr/>
                      <wps:spPr>
                        <a:xfrm rot="0">
                          <a:off x="0" y="0"/>
                          <a:ext cx="7571740" cy="2020569"/>
                        </a:xfrm>
                        <a:prstGeom prst="rect"/>
                        <a:noFill/>
                        <a:ln w="9525" cmpd="sng" cap="flat">
                          <a:noFill/>
                          <a:prstDash val="solid"/>
                          <a:miter/>
                        </a:ln>
                      </wps:spPr>
                      <wps:txbx id="141">
                        <w:txbxContent>
                          <w:p>
                            <w:pPr>
                              <w:widowControl/>
                              <w:spacing w:line="1200" w:lineRule="exact"/>
                              <w:jc w:val="center"/>
                              <w:rPr>
                                <w:rFonts w:ascii="黑体" w:eastAsia="黑体"/>
                                <w:color w:val="FDEFBE"/>
                                <w:sz w:val="96"/>
                                <w:szCs w:val="96"/>
                              </w:rPr>
                            </w:pPr>
                            <w:r>
                              <w:rPr>
                                <w:rFonts w:ascii="黑体" w:eastAsia="黑体" w:cs="黑体" w:hint="eastAsia"/>
                                <w:color w:val="FDEFBE"/>
                                <w:sz w:val="96"/>
                                <w:szCs w:val="96"/>
                              </w:rPr>
                              <w:t>第四部分</w:t>
                            </w:r>
                          </w:p>
                          <w:p>
                            <w:pPr>
                              <w:widowControl/>
                              <w:spacing w:line="1200" w:lineRule="exact"/>
                              <w:jc w:val="center"/>
                              <w:rPr>
                                <w:color w:val="FDEFBE"/>
                                <w:sz w:val="96"/>
                                <w:szCs w:val="96"/>
                              </w:rPr>
                            </w:pPr>
                            <w:r>
                              <w:rPr>
                                <w:rFonts w:ascii="黑体" w:eastAsia="黑体" w:cs="黑体" w:hint="eastAsia"/>
                                <w:color w:val="FDEFBE"/>
                                <w:sz w:val="96"/>
                                <w:szCs w:val="96"/>
                              </w:rPr>
                              <w:t>名词解释</w:t>
                            </w:r>
                          </w:p>
                        </w:txbxContent>
                      </wps:txbx>
                      <wps:bodyPr vert="horz" wrap="square" lIns="91440" tIns="45720" rIns="91440" bIns="45720" anchor="t" anchorCtr="0" upright="1">
                        <a:noAutofit/>
                      </wps:bodyPr>
                    </wps:wsp>
                  </a:graphicData>
                </a:graphic>
              </wp:anchor>
            </w:drawing>
          </mc:Choice>
          <mc:Fallback>
            <w:pict>
              <v:shape type="#_x0000_t202" id="_x0000_s1074 142" o:spid="_x0000_s142" filled="f" stroked="f" style="position:absolute;margin-left:-78.7pt;margin-top:232.8pt;width:596.2pt;height:159.09998pt;z-index:73;mso-position-horizontal:absolute;mso-position-vertical:absolute;mso-wrap-distance-left:8.999863pt;mso-wrap-distance-right:8.999863pt;mso-wrap-style:square;">
                <v:stroke color="#000000"/>
                <v:textbox id="862" inset="2.54mm,1.27mm,2.54mm,1.27mm" o:insetmode="custom" style="layout-flow:horizontal;v-text-anchor:top;">
                  <w:txbxContent>
                    <w:p>
                      <w:pPr>
                        <w:widowControl/>
                        <w:spacing w:line="1200" w:lineRule="exact"/>
                        <w:jc w:val="center"/>
                        <w:rPr>
                          <w:rFonts w:ascii="黑体" w:eastAsia="黑体"/>
                          <w:color w:val="FDEFBE"/>
                          <w:sz w:val="96"/>
                          <w:szCs w:val="96"/>
                        </w:rPr>
                      </w:pPr>
                      <w:r>
                        <w:rPr>
                          <w:rFonts w:ascii="黑体" w:eastAsia="黑体" w:cs="黑体" w:hint="eastAsia"/>
                          <w:color w:val="FDEFBE"/>
                          <w:sz w:val="96"/>
                          <w:szCs w:val="96"/>
                        </w:rPr>
                        <w:t>第四部分</w:t>
                      </w:r>
                    </w:p>
                    <w:p>
                      <w:pPr>
                        <w:widowControl/>
                        <w:spacing w:line="1200" w:lineRule="exact"/>
                        <w:jc w:val="center"/>
                        <w:rPr>
                          <w:color w:val="FDEFBE"/>
                          <w:sz w:val="96"/>
                          <w:szCs w:val="96"/>
                        </w:rPr>
                      </w:pPr>
                      <w:r>
                        <w:rPr>
                          <w:rFonts w:ascii="黑体" w:eastAsia="黑体" w:cs="黑体" w:hint="eastAsia"/>
                          <w:color w:val="FDEFBE"/>
                          <w:sz w:val="96"/>
                          <w:szCs w:val="96"/>
                        </w:rPr>
                        <w:t>名词解释</w:t>
                      </w:r>
                    </w:p>
                  </w:txbxContent>
                </v:textbox>
                <w10:anchorLock/>
              </v:shape>
            </w:pict>
          </mc:Fallback>
        </mc:AlternateConten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（一）财政拨款收入：</w:t>
      </w:r>
      <w:r>
        <w:rPr>
          <w:rFonts w:ascii="仿宋_GB2312" w:eastAsia="仿宋_GB2312" w:cs="仿宋_GB2312" w:hint="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（二）事业收入：</w:t>
      </w:r>
      <w:r>
        <w:rPr>
          <w:rFonts w:ascii="仿宋_GB2312" w:eastAsia="仿宋_GB2312" w:cs="仿宋_GB2312" w:hint="eastAsia"/>
          <w:color w:val="000000"/>
          <w:kern w:val="0"/>
          <w:sz w:val="32"/>
          <w:szCs w:val="32"/>
        </w:rPr>
        <w:t>指事业单位开展专业业务活动及辅助活动所取得的收入。</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（三）其他收入：</w:t>
      </w:r>
      <w:r>
        <w:rPr>
          <w:rFonts w:ascii="仿宋_GB2312" w:eastAsia="仿宋_GB2312" w:cs="仿宋_GB2312" w:hint="eastAsia"/>
          <w:color w:val="000000"/>
          <w:kern w:val="0"/>
          <w:sz w:val="32"/>
          <w:szCs w:val="32"/>
        </w:rPr>
        <w:t>指除上述“财政拨款收入”“事业收入”“经营收入”等以外的收入。</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（四）用事业基金弥补收支差额：</w:t>
      </w:r>
      <w:r>
        <w:rPr>
          <w:rFonts w:ascii="仿宋_GB2312" w:eastAsia="仿宋_GB2312" w:cs="仿宋_GB2312"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（五）年初结转和结余：</w:t>
      </w:r>
      <w:r>
        <w:rPr>
          <w:rFonts w:ascii="仿宋_GB2312" w:eastAsia="仿宋_GB2312" w:cs="仿宋_GB2312" w:hint="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（六）结余分配：</w:t>
      </w:r>
      <w:r>
        <w:rPr>
          <w:rFonts w:ascii="仿宋_GB2312" w:eastAsia="仿宋_GB2312" w:cs="仿宋_GB2312" w:hint="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（七）年末结转和结</w:t>
      </w:r>
      <w:r>
        <mc:AlternateContent>
          <mc:Choice Requires="wps">
            <w:drawing>
              <wp:anchor distT="0" distB="0" distL="114298" distR="114298" simplePos="0" relativeHeight="77" behindDoc="0" locked="1" layoutInCell="1" hidden="0" allowOverlap="1">
                <wp:simplePos x="0" y="0"/>
                <wp:positionH relativeFrom="column">
                  <wp:posOffset>-1029335</wp:posOffset>
                </wp:positionH>
                <wp:positionV relativeFrom="page">
                  <wp:posOffset>503554</wp:posOffset>
                </wp:positionV>
                <wp:extent cx="3363595" cy="558800"/>
                <wp:effectExtent l="0" t="0" r="0" b="0"/>
                <wp:wrapNone/>
                <wp:docPr id="143" name="组合"/>
                <wp:cNvGraphicFramePr>
                  <a:graphicFrameLocks noChangeAspect="0"/>
                </wp:cNvGraphicFramePr>
                <a:graphic>
                  <a:graphicData uri="http://schemas.microsoft.com/office/word/2010/wordprocessingGroup">
                    <wpg:wgp>
                      <wpg:cNvPr id="144" name="组合 144"/>
                      <wpg:cNvGrpSpPr/>
                      <wpg:grpSpPr>
                        <a:xfrm rot="0">
                          <a:off x="0" y="0"/>
                          <a:ext cx="3363595" cy="558800"/>
                          <a:chOff x="0" y="0"/>
                          <a:chExt cx="3363595" cy="558800"/>
                        </a:xfrm>
                        <a:prstGeom prst="rect"/>
                        <a:solidFill>
                          <a:srgbClr val="FFFFFF"/>
                        </a:solidFill>
                        <a:ln w="9525" cmpd="sng" cap="flat">
                          <a:solidFill>
                            <a:srgbClr val="000000"/>
                          </a:solidFill>
                          <a:prstDash val="solid"/>
                          <a:miter/>
                        </a:ln>
                      </wpg:grpSpPr>
                      <wps:wsp>
                        <wps:cNvPr id="145" name="_s149 145"/>
                        <wps:cNvSpPr/>
                        <wps:spPr>
                          <a:xfrm rot="0">
                            <a:off x="0" y="0"/>
                            <a:ext cx="3363595" cy="469163"/>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146" name="_s150 146"/>
                        <wps:cNvSpPr/>
                        <wps:spPr>
                          <a:xfrm rot="0">
                            <a:off x="10795" y="109979"/>
                            <a:ext cx="3275965" cy="448820"/>
                          </a:xfrm>
                          <a:prstGeom prst="rect"/>
                          <a:solidFill>
                            <a:srgbClr val="AD002D"/>
                          </a:solidFill>
                          <a:ln w="25400" cmpd="sng" cap="flat">
                            <a:solidFill>
                              <a:srgbClr val="B0761F"/>
                            </a:solidFill>
                            <a:prstDash val="solid"/>
                            <a:miter/>
                          </a:ln>
                        </wps:spPr>
                        <wps:txbx id="147">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名词解释</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48" o:spid="_x0000_s148" coordorigin="-33,792" coordsize="5297,880" style="position:absolute;margin-left:-81.05001pt;margin-top:39.64997pt;width:264.85004pt;height:44.000008pt;z-index:77;mso-position-horizontal:absolute;mso-position-vertical:absolute;mso-position-vertical-relative:page;mso-wrap-distance-left:8.999863pt;mso-wrap-distance-right:8.999863pt;">
                <v:rect type="#_x0000_t1" id="_s149" o:spid="_x0000_s149" style="position:absolute;left:-33;top:792;width:5297;height:738;" fillcolor="#D9D9D9" stroked="f">
                  <v:stroke color="#000000"/>
                </v:rect>
                <v:rect type="#_x0000_t1" id="_s150" o:spid="_x0000_s150" style="position:absolute;left:-16;top:966;width:5159;height:706;mso-wrap-style:square;" fillcolor="#AD002D" stroked="t" strokeweight="2.0pt">
                  <v:textbox id="877"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名词解释</w:t>
                        </w:r>
                      </w:p>
                      <w:p>
                        <w:pPr>
                          <w:jc w:val="center"/>
                        </w:pPr>
                      </w:p>
                    </w:txbxContent>
                  </v:textbox>
                  <v:stroke color="#B0761F"/>
                </v:rect>
                <w10:anchorLock/>
              </v:group>
            </w:pict>
          </mc:Fallback>
        </mc:AlternateContent>
      </w:r>
      <w:r>
        <w:rPr>
          <w:rFonts w:ascii="仿宋_GB2312" w:eastAsia="仿宋_GB2312" w:cs="仿宋_GB2312" w:hint="eastAsia"/>
          <w:b/>
          <w:bCs/>
          <w:color w:val="000000"/>
          <w:kern w:val="0"/>
          <w:sz w:val="32"/>
          <w:szCs w:val="32"/>
        </w:rPr>
        <w:t>余：</w:t>
      </w:r>
      <w:r>
        <w:rPr>
          <w:rFonts w:ascii="仿宋_GB2312" w:eastAsia="仿宋_GB2312" w:cs="仿宋_GB2312" w:hint="eastAsia"/>
          <w:color w:val="000000"/>
          <w:kern w:val="0"/>
          <w:sz w:val="32"/>
          <w:szCs w:val="32"/>
        </w:rPr>
        <w:t>指单位按有关规定结转到下年或以后年度继续使用的资金，或项目已完成等产生的结余资金。</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（八）基本支出：</w:t>
      </w:r>
      <w:r>
        <w:rPr>
          <w:rFonts w:ascii="仿宋_GB2312" w:eastAsia="仿宋_GB2312" w:cs="仿宋_GB2312" w:hint="eastAsia"/>
          <w:color w:val="000000"/>
          <w:kern w:val="0"/>
          <w:sz w:val="32"/>
          <w:szCs w:val="32"/>
        </w:rPr>
        <w:t>填列单位为保障机构正常运转、完成日常工作任务而发生的各项支出。</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（九）项目支出：</w:t>
      </w:r>
      <w:r>
        <w:rPr>
          <w:rFonts w:ascii="仿宋_GB2312" w:eastAsia="仿宋_GB2312" w:cs="仿宋_GB2312" w:hint="eastAsia"/>
          <w:color w:val="000000"/>
          <w:kern w:val="0"/>
          <w:sz w:val="32"/>
          <w:szCs w:val="32"/>
        </w:rPr>
        <w:t>填列单位为完成特定的行政工作任务或事业发展目标，在基本支出之外发生的各项支出</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（十）资本性支出（基本建设）：</w:t>
      </w:r>
      <w:r>
        <w:rPr>
          <w:rFonts w:ascii="仿宋_GB2312" w:eastAsia="仿宋_GB2312" w:cs="仿宋_GB2312" w:hint="eastAsia"/>
          <w:color w:val="000000"/>
          <w:kern w:val="0"/>
          <w:sz w:val="32"/>
          <w:szCs w:val="32"/>
        </w:rPr>
        <w:t>填列切块由发展改革部门安排的基本建设支出，对企业补助支出不在此科目反映。</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（十一）资本性支出：</w:t>
      </w:r>
      <w:r>
        <w:rPr>
          <w:rFonts w:ascii="仿宋_GB2312" w:eastAsia="仿宋_GB2312" w:cs="仿宋_GB2312" w:hint="eastAsia"/>
          <w:color w:val="000000"/>
          <w:kern w:val="0"/>
          <w:sz w:val="32"/>
          <w:szCs w:val="32"/>
        </w:rPr>
        <w:t>填列各单位安排的资本性支出。切块由发展改革部门安排的基本建设支出不在此科目反映。</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（十二）“三公”经费：</w:t>
      </w:r>
      <w:r>
        <w:rPr>
          <w:rFonts w:ascii="仿宋_GB2312" w:eastAsia="仿宋_GB2312" w:cs="仿宋_GB2312"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mc:AlternateContent>
          <mc:Choice Requires="wps">
            <w:drawing>
              <wp:anchor distT="0" distB="0" distL="114298" distR="114298" simplePos="0" relativeHeight="95" behindDoc="0" locked="1" layoutInCell="1" hidden="0" allowOverlap="1">
                <wp:simplePos x="0" y="0"/>
                <wp:positionH relativeFrom="column">
                  <wp:posOffset>-1029335</wp:posOffset>
                </wp:positionH>
                <wp:positionV relativeFrom="page">
                  <wp:posOffset>503554</wp:posOffset>
                </wp:positionV>
                <wp:extent cx="3363595" cy="558800"/>
                <wp:effectExtent l="0" t="0" r="0" b="0"/>
                <wp:wrapNone/>
                <wp:docPr id="151" name="组合"/>
                <wp:cNvGraphicFramePr>
                  <a:graphicFrameLocks noChangeAspect="0"/>
                </wp:cNvGraphicFramePr>
                <a:graphic>
                  <a:graphicData uri="http://schemas.microsoft.com/office/word/2010/wordprocessingGroup">
                    <wpg:wgp>
                      <wpg:cNvPr id="152" name="组合 152"/>
                      <wpg:cNvGrpSpPr/>
                      <wpg:grpSpPr>
                        <a:xfrm rot="0">
                          <a:off x="0" y="0"/>
                          <a:ext cx="3363595" cy="558800"/>
                          <a:chOff x="0" y="0"/>
                          <a:chExt cx="3363595" cy="558800"/>
                        </a:xfrm>
                        <a:prstGeom prst="rect"/>
                        <a:solidFill>
                          <a:srgbClr val="FFFFFF"/>
                        </a:solidFill>
                        <a:ln w="9525" cmpd="sng" cap="flat">
                          <a:solidFill>
                            <a:srgbClr val="000000"/>
                          </a:solidFill>
                          <a:prstDash val="solid"/>
                          <a:miter/>
                        </a:ln>
                      </wpg:grpSpPr>
                      <wps:wsp>
                        <wps:cNvPr id="153" name="_s157 153"/>
                        <wps:cNvSpPr/>
                        <wps:spPr>
                          <a:xfrm rot="0">
                            <a:off x="0" y="0"/>
                            <a:ext cx="3363595" cy="469163"/>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154" name="_s158 154"/>
                        <wps:cNvSpPr/>
                        <wps:spPr>
                          <a:xfrm rot="0">
                            <a:off x="10795" y="109979"/>
                            <a:ext cx="3275965" cy="448820"/>
                          </a:xfrm>
                          <a:prstGeom prst="rect"/>
                          <a:solidFill>
                            <a:srgbClr val="AD002D"/>
                          </a:solidFill>
                          <a:ln w="25400" cmpd="sng" cap="flat">
                            <a:solidFill>
                              <a:srgbClr val="B0761F"/>
                            </a:solidFill>
                            <a:prstDash val="solid"/>
                            <a:miter/>
                          </a:ln>
                        </wps:spPr>
                        <wps:txbx id="155">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名词解释</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56" o:spid="_x0000_s156" coordorigin="-33,792" coordsize="5297,880" style="position:absolute;margin-left:-81.05001pt;margin-top:39.64997pt;width:264.85004pt;height:44.000008pt;z-index:95;mso-position-horizontal:absolute;mso-position-vertical:absolute;mso-position-vertical-relative:page;mso-wrap-distance-left:8.999863pt;mso-wrap-distance-right:8.999863pt;">
                <v:rect type="#_x0000_t1" id="_s157" o:spid="_x0000_s157" style="position:absolute;left:-33;top:792;width:5297;height:738;" fillcolor="#D9D9D9" stroked="f">
                  <v:stroke color="#000000"/>
                </v:rect>
                <v:rect type="#_x0000_t1" id="_s158" o:spid="_x0000_s158" style="position:absolute;left:-16;top:966;width:5159;height:706;mso-wrap-style:square;" fillcolor="#AD002D" stroked="t" strokeweight="2.0pt">
                  <v:textbox id="878"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名词解释</w:t>
                        </w:r>
                      </w:p>
                      <w:p>
                        <w:pPr>
                          <w:jc w:val="center"/>
                        </w:pPr>
                      </w:p>
                    </w:txbxContent>
                  </v:textbox>
                  <v:stroke color="#B0761F"/>
                </v:rect>
                <w10:anchorLock/>
              </v:group>
            </w:pict>
          </mc:Fallback>
        </mc:AlternateContent>
      </w:r>
      <w:r>
        <w:rPr>
          <w:rFonts w:ascii="仿宋_GB2312" w:eastAsia="仿宋_GB2312" w:cs="仿宋_GB2312" w:hint="eastAsia"/>
          <w:color w:val="000000"/>
          <w:kern w:val="0"/>
          <w:sz w:val="32"/>
          <w:szCs w:val="32"/>
        </w:rPr>
        <w:t>待费反映单位按规定开支的各类公务接待（含外宾接待）支出。</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（十三）其</w:t>
      </w:r>
      <w:r>
        <mc:AlternateContent>
          <mc:Choice Requires="wps">
            <w:drawing>
              <wp:anchor distT="0" distB="0" distL="114298" distR="114298" simplePos="0" relativeHeight="97" behindDoc="0" locked="1" layoutInCell="1" hidden="0" allowOverlap="1">
                <wp:simplePos x="0" y="0"/>
                <wp:positionH relativeFrom="column">
                  <wp:posOffset>-1029335</wp:posOffset>
                </wp:positionH>
                <wp:positionV relativeFrom="page">
                  <wp:posOffset>503554</wp:posOffset>
                </wp:positionV>
                <wp:extent cx="3363595" cy="558800"/>
                <wp:effectExtent l="0" t="0" r="0" b="0"/>
                <wp:wrapNone/>
                <wp:docPr id="159" name="组合"/>
                <wp:cNvGraphicFramePr>
                  <a:graphicFrameLocks noChangeAspect="0"/>
                </wp:cNvGraphicFramePr>
                <a:graphic>
                  <a:graphicData uri="http://schemas.microsoft.com/office/word/2010/wordprocessingGroup">
                    <wpg:wgp>
                      <wpg:cNvPr id="160" name="组合 160"/>
                      <wpg:cNvGrpSpPr/>
                      <wpg:grpSpPr>
                        <a:xfrm rot="0">
                          <a:off x="0" y="0"/>
                          <a:ext cx="3363595" cy="558800"/>
                          <a:chOff x="0" y="0"/>
                          <a:chExt cx="3363595" cy="558800"/>
                        </a:xfrm>
                        <a:prstGeom prst="rect"/>
                        <a:solidFill>
                          <a:srgbClr val="FFFFFF"/>
                        </a:solidFill>
                        <a:ln w="9525" cmpd="sng" cap="flat">
                          <a:solidFill>
                            <a:srgbClr val="000000"/>
                          </a:solidFill>
                          <a:prstDash val="solid"/>
                          <a:miter/>
                        </a:ln>
                      </wpg:grpSpPr>
                      <wps:wsp>
                        <wps:cNvPr id="161" name="_s165 161"/>
                        <wps:cNvSpPr/>
                        <wps:spPr>
                          <a:xfrm rot="0">
                            <a:off x="0" y="0"/>
                            <a:ext cx="3363595" cy="469163"/>
                          </a:xfrm>
                          <a:prstGeom prst="rect"/>
                          <a:solidFill>
                            <a:srgbClr val="D9D9D9"/>
                          </a:solidFill>
                          <a:ln w="9525" cmpd="sng" cap="flat">
                            <a:noFill/>
                            <a:prstDash val="solid"/>
                            <a:miter/>
                          </a:ln>
                        </wps:spPr>
                        <wps:bodyPr vert="horz" wrap="square" lIns="91440" tIns="45720" rIns="91440" bIns="45720" anchor="t" anchorCtr="0" upright="1">
                          <a:noAutofit/>
                        </wps:bodyPr>
                      </wps:wsp>
                      <wps:wsp>
                        <wps:cNvPr id="162" name="_s166 162"/>
                        <wps:cNvSpPr/>
                        <wps:spPr>
                          <a:xfrm rot="0">
                            <a:off x="10795" y="109979"/>
                            <a:ext cx="3275965" cy="448820"/>
                          </a:xfrm>
                          <a:prstGeom prst="rect"/>
                          <a:solidFill>
                            <a:srgbClr val="AD002D"/>
                          </a:solidFill>
                          <a:ln w="25400" cmpd="sng" cap="flat">
                            <a:solidFill>
                              <a:srgbClr val="B0761F"/>
                            </a:solidFill>
                            <a:prstDash val="solid"/>
                            <a:miter/>
                          </a:ln>
                        </wps:spPr>
                        <wps:txbx id="163">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名词解释</w:t>
                              </w:r>
                            </w:p>
                            <w:p>
                              <w:pPr>
                                <w:jc w:val="center"/>
                              </w:pPr>
                            </w:p>
                          </w:txbxContent>
                        </wps:txbx>
                        <wps:bodyPr vert="horz" wrap="square" lIns="91440" tIns="45720" rIns="91440" bIns="45720" anchor="ctr" anchorCtr="0" upright="0">
                          <a:noAutofit/>
                        </wps:bodyPr>
                      </wps:wsp>
                      <wps:bodyPr vert="horz" wrap="square" lIns="91440" tIns="45720" rIns="91440" bIns="45720" anchor="t" anchorCtr="0" upright="1">
                        <a:noAutofit/>
                      </wps:bodyPr>
                    </wpg:wgp>
                  </a:graphicData>
                </a:graphic>
              </wp:anchor>
            </w:drawing>
          </mc:Choice>
          <mc:Fallback>
            <w:pict>
              <v:group type="#_x0000_t1" id="组合 164" o:spid="_x0000_s164" coordorigin="-33,792" coordsize="5297,880" style="position:absolute;margin-left:-81.05001pt;margin-top:39.64997pt;width:264.85004pt;height:44.000008pt;z-index:97;mso-position-horizontal:absolute;mso-position-vertical:absolute;mso-position-vertical-relative:page;mso-wrap-distance-left:8.999863pt;mso-wrap-distance-right:8.999863pt;">
                <v:rect type="#_x0000_t1" id="_s165" o:spid="_x0000_s165" style="position:absolute;left:-33;top:792;width:5297;height:738;" fillcolor="#D9D9D9" stroked="f">
                  <v:stroke color="#000000"/>
                </v:rect>
                <v:rect type="#_x0000_t1" id="_s166" o:spid="_x0000_s166" style="position:absolute;left:-16;top:966;width:5159;height:706;mso-wrap-style:square;" fillcolor="#AD002D" stroked="t" strokeweight="2.0pt">
                  <v:textbox id="879" inset="2.54mm,1.27mm,2.54mm,1.27mm" o:insetmode="custom" style="layout-flow:horizontal;v-text-anchor:middle;">
                    <w:txbxContent>
                      <w:p>
                        <w:pPr>
                          <w:widowControl/>
                          <w:jc w:val="left"/>
                          <w:rPr>
                            <w:rFonts w:ascii="楷体" w:eastAsia="楷体"/>
                            <w:b/>
                            <w:bCs/>
                            <w:color w:val="FDEFBE"/>
                            <w:sz w:val="32"/>
                            <w:szCs w:val="32"/>
                          </w:rPr>
                        </w:pPr>
                        <w:r>
                          <w:rPr>
                            <w:rFonts w:ascii="楷体" w:eastAsia="楷体" w:cs="楷体"/>
                            <w:b/>
                            <w:bCs/>
                            <w:color w:val="FDEFBE"/>
                            <w:kern w:val="0"/>
                            <w:sz w:val="32"/>
                            <w:szCs w:val="32"/>
                          </w:rPr>
                          <w:t>2018</w:t>
                        </w:r>
                        <w:r>
                          <w:rPr>
                            <w:rFonts w:ascii="楷体" w:eastAsia="楷体" w:cs="楷体" w:hint="eastAsia"/>
                            <w:b/>
                            <w:bCs/>
                            <w:color w:val="FDEFBE"/>
                            <w:kern w:val="0"/>
                            <w:sz w:val="32"/>
                            <w:szCs w:val="32"/>
                          </w:rPr>
                          <w:t>年度部门决算</w:t>
                        </w:r>
                        <w:r>
                          <w:rPr>
                            <w:rFonts w:ascii="MS Gothic" w:eastAsia="MS Gothic" w:cs="MS Gothic" w:hAnsi="MS Gothic" w:hint="eastAsia"/>
                            <w:b/>
                            <w:bCs/>
                            <w:color w:val="FDEFBE"/>
                            <w:kern w:val="0"/>
                            <w:sz w:val="32"/>
                            <w:szCs w:val="32"/>
                          </w:rPr>
                          <w:t>☞</w:t>
                        </w:r>
                        <w:r>
                          <w:rPr>
                            <w:rFonts w:ascii="楷体" w:eastAsia="楷体" w:cs="楷体" w:hint="eastAsia"/>
                            <w:b/>
                            <w:bCs/>
                            <w:color w:val="FDEFBE"/>
                            <w:kern w:val="0"/>
                            <w:sz w:val="32"/>
                            <w:szCs w:val="32"/>
                          </w:rPr>
                          <w:t>名词解释</w:t>
                        </w:r>
                      </w:p>
                      <w:p>
                        <w:pPr>
                          <w:jc w:val="center"/>
                        </w:pPr>
                      </w:p>
                    </w:txbxContent>
                  </v:textbox>
                  <v:stroke color="#B0761F"/>
                </v:rect>
                <w10:anchorLock/>
              </v:group>
            </w:pict>
          </mc:Fallback>
        </mc:AlternateContent>
      </w:r>
      <w:r>
        <w:rPr>
          <w:rFonts w:ascii="仿宋_GB2312" w:eastAsia="仿宋_GB2312" w:cs="仿宋_GB2312" w:hint="eastAsia"/>
          <w:b/>
          <w:bCs/>
          <w:color w:val="000000"/>
          <w:kern w:val="0"/>
          <w:sz w:val="32"/>
          <w:szCs w:val="32"/>
        </w:rPr>
        <w:t>他交通费用：</w:t>
      </w:r>
      <w:r>
        <w:rPr>
          <w:rFonts w:ascii="仿宋_GB2312" w:eastAsia="仿宋_GB2312" w:cs="仿宋_GB2312" w:hint="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（十四）公务用车购置：</w:t>
      </w:r>
      <w:r>
        <w:rPr>
          <w:rFonts w:ascii="仿宋_GB2312" w:eastAsia="仿宋_GB2312" w:cs="仿宋_GB2312" w:hint="eastAsia"/>
          <w:color w:val="000000"/>
          <w:kern w:val="0"/>
          <w:sz w:val="32"/>
          <w:szCs w:val="32"/>
        </w:rPr>
        <w:t>填列单位公务用车购置支出（含车辆购置税、牌照费）。</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（十五）其他交通工具购置：</w:t>
      </w:r>
      <w:r>
        <w:rPr>
          <w:rFonts w:ascii="仿宋_GB2312" w:eastAsia="仿宋_GB2312" w:cs="仿宋_GB2312" w:hint="eastAsia"/>
          <w:color w:val="000000"/>
          <w:kern w:val="0"/>
          <w:sz w:val="32"/>
          <w:szCs w:val="32"/>
        </w:rPr>
        <w:t>填列单位除公务用车外的其他各类交通工具（如船舶、飞机）购置支出（含车辆购置税、牌照费）。</w:t>
      </w:r>
    </w:p>
    <w:p>
      <w:pPr>
        <w:widowControl/>
        <w:spacing w:after="0" w:line="560" w:lineRule="exact"/>
        <w:ind w:firstLineChars="200" w:firstLine="640"/>
        <w:rPr>
          <w:rFonts w:ascii="仿宋_GB2312" w:eastAsia="仿宋_GB2312"/>
          <w:color w:val="000000"/>
          <w:kern w:val="0"/>
          <w:sz w:val="32"/>
          <w:szCs w:val="32"/>
        </w:rPr>
      </w:pPr>
      <w:r>
        <w:rPr>
          <w:rFonts w:ascii="仿宋_GB2312" w:eastAsia="仿宋_GB2312" w:cs="仿宋_GB2312" w:hint="eastAsia"/>
          <w:b/>
          <w:bCs/>
          <w:color w:val="000000"/>
          <w:kern w:val="0"/>
          <w:sz w:val="32"/>
          <w:szCs w:val="32"/>
        </w:rPr>
        <w:t>（十六）机关运行经费：</w:t>
      </w:r>
      <w:r>
        <w:rPr>
          <w:rFonts w:ascii="仿宋_GB2312" w:eastAsia="仿宋_GB2312" w:cs="仿宋_GB2312"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Chars="200" w:firstLine="640"/>
        <w:rPr>
          <w:rFonts w:ascii="仿宋_GB2312" w:eastAsia="仿宋_GB2312"/>
          <w:kern w:val="0"/>
          <w:sz w:val="32"/>
          <w:szCs w:val="32"/>
        </w:rPr>
        <w:sectPr>
          <w:pgSz w:w="11906" w:h="16838"/>
          <w:pgMar w:top="2098" w:right="1474" w:bottom="1985" w:left="1588" w:header="851" w:footer="992" w:gutter="0"/>
          <w:docGrid w:type="lines" w:linePitch="312" w:charSpace="0"/>
        </w:sectPr>
      </w:pPr>
      <w:r>
        <w:rPr>
          <w:rFonts w:ascii="仿宋_GB2312" w:eastAsia="仿宋_GB2312" w:cs="仿宋_GB2312" w:hint="eastAsia"/>
          <w:b/>
          <w:bCs/>
          <w:color w:val="000000"/>
          <w:kern w:val="0"/>
          <w:sz w:val="32"/>
          <w:szCs w:val="32"/>
        </w:rPr>
        <w:t>（十七）经费形式</w:t>
      </w:r>
      <w:r>
        <w:rPr>
          <w:rFonts w:ascii="仿宋_GB2312" w:eastAsia="仿宋_GB2312" w:cs="仿宋_GB2312"/>
          <w:b/>
          <w:bCs/>
          <w:color w:val="000000"/>
          <w:kern w:val="0"/>
          <w:sz w:val="32"/>
          <w:szCs w:val="32"/>
        </w:rPr>
        <w:t>:</w:t>
      </w:r>
      <w:r>
        <w:rPr>
          <w:rFonts w:ascii="仿宋_GB2312" w:eastAsia="仿宋_GB2312" w:cs="仿宋_GB2312" w:hint="eastAsia"/>
          <w:color w:val="000000"/>
          <w:kern w:val="0"/>
          <w:sz w:val="32"/>
          <w:szCs w:val="32"/>
        </w:rPr>
        <w:t>按照经费来源，</w:t>
      </w:r>
      <w:r>
        <w:rPr>
          <w:rFonts w:ascii="仿宋_GB2312" w:eastAsia="仿宋_GB2312" w:cs="仿宋_GB2312" w:hint="eastAsia"/>
          <w:kern w:val="0"/>
          <w:sz w:val="32"/>
          <w:szCs w:val="32"/>
        </w:rPr>
        <w:t>可分为财政拨款、财政性资金基本保证、财政性资金定额或定项补助、财政性资金零补助四类。</w:t>
      </w:r>
    </w:p>
    <w:p>
      <w:pPr>
        <w:widowControl/>
        <w:spacing w:after="0" w:line="560" w:lineRule="exact"/>
        <w:ind w:firstLineChars="200" w:firstLine="420"/>
        <w:rPr>
          <w:rFonts w:ascii="仿宋_GB2312" w:eastAsia="仿宋_GB2312"/>
          <w:kern w:val="0"/>
          <w:sz w:val="32"/>
          <w:szCs w:val="32"/>
        </w:rPr>
      </w:pPr>
      <w:r>
        <w:drawing>
          <wp:anchor distT="0" distB="0" distL="114298" distR="114298" simplePos="0" relativeHeight="12" behindDoc="1" locked="1" layoutInCell="1" hidden="0" allowOverlap="1">
            <wp:simplePos x="0" y="0"/>
            <wp:positionH relativeFrom="column">
              <wp:posOffset>-990600</wp:posOffset>
            </wp:positionH>
            <wp:positionV relativeFrom="paragraph">
              <wp:posOffset>-1355090</wp:posOffset>
            </wp:positionV>
            <wp:extent cx="7590155" cy="10735946"/>
            <wp:effectExtent l="0" t="0" r="0" b="0"/>
            <wp:wrapNone/>
            <wp:docPr id="167" name="图片 101" descr="3"/>
            <wp:cNvGraphicFramePr>
              <a:graphicFrameLocks noChangeAspect="1"/>
            </wp:cNvGraphicFramePr>
            <a:graphic>
              <a:graphicData uri="http://schemas.openxmlformats.org/drawingml/2006/picture">
                <pic:pic>
                  <pic:nvPicPr>
                    <pic:cNvPr id="169" name="图片 101 169"/>
                    <pic:cNvPicPr/>
                  </pic:nvPicPr>
                  <pic:blipFill>
                    <a:blip r:embed="rId16"/>
                    <a:stretch>
                      <a:fillRect/>
                    </a:stretch>
                  </pic:blipFill>
                  <pic:spPr>
                    <a:xfrm rot="0">
                      <a:off x="0" y="0"/>
                      <a:ext cx="7590155" cy="10735946"/>
                    </a:xfrm>
                    <a:prstGeom prst="rect"/>
                    <a:noFill/>
                    <a:ln w="9525" cmpd="sng" cap="flat">
                      <a:noFill/>
                      <a:prstDash val="solid"/>
                      <a:miter/>
                    </a:ln>
                  </pic:spPr>
                </pic:pic>
              </a:graphicData>
            </a:graphic>
          </wp:anchor>
        </w:drawing>
      </w:r>
    </w:p>
    <w:sectPr>
      <w:pgSz w:w="11906" w:h="16838"/>
      <w:pgMar w:top="2098" w:right="1474" w:bottom="1985" w:left="1588"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黑体">
    <w:altName w:val="阳光吾坚体"/>
    <w:panose1 w:val="02010609060101010101"/>
    <w:charset w:val="86"/>
    <w:family w:val="modern"/>
    <w:pitch w:val="variable"/>
    <w:sig w:usb0="800002BF" w:usb1="38CF7CFA" w:usb2="00000016" w:usb3="00000000" w:csb0="00040001" w:csb1="00000000"/>
  </w:font>
  <w:font w:name="楷体">
    <w:altName w:val="阳光吾坚体"/>
    <w:panose1 w:val="02010609060101010101"/>
    <w:charset w:val="86"/>
    <w:family w:val="modern"/>
    <w:pitch w:val="variable"/>
    <w:sig w:usb0="800002BF" w:usb1="38CF7CFA" w:usb2="00000016" w:usb3="00000000" w:csb0="00040001" w:csb1="00000000"/>
  </w:font>
  <w:font w:name="楷体_GB2312">
    <w:altName w:val="方正楷体_GBK"/>
    <w:panose1 w:val="00000000000000000000"/>
    <w:charset w:val="86"/>
    <w:family w:val="modern"/>
    <w:pitch w:val="variable"/>
    <w:sig w:usb0="00000000" w:usb1="080E0000" w:usb2="00000010" w:usb3="00000000" w:csb0="00040000" w:csb1="00000000"/>
  </w:font>
  <w:font w:name="宋体">
    <w:altName w:val="阳光吾坚体"/>
    <w:panose1 w:val="02010600030101010101"/>
    <w:charset w:val="86"/>
    <w:family w:val="auto"/>
    <w:pitch w:val="variable"/>
    <w:sig w:usb0="00000003" w:usb1="288F0000" w:usb2="00000016" w:usb3="00000000" w:csb0="00040001" w:csb1="00000000"/>
  </w:font>
  <w:font w:name="仿宋_GB2312">
    <w:altName w:val="方正仿宋_GBK"/>
    <w:panose1 w:val="00000000000000000000"/>
    <w:charset w:val="86"/>
    <w:family w:val="modern"/>
    <w:pitch w:val="variable"/>
    <w:sig w:usb0="00000000" w:usb1="080E0000" w:usb2="00000010" w:usb3="00000000" w:csb0="00040000" w:csb1="00000000"/>
  </w:font>
  <w:font w:name="MS Gothic">
    <w:altName w:val="阳光吾坚体"/>
    <w:panose1 w:val="020B0609070205080204"/>
    <w:charset w:val="80"/>
    <w:family w:val="modern"/>
    <w:pitch w:val="variable"/>
    <w:sig w:usb0="E00002FF" w:usb1="6AC7FDFB" w:usb2="00000012" w:usb3="00000000" w:csb0="0002009F" w:csb1="00000000"/>
  </w:font>
  <w:font w:name="Times New Roman">
    <w:altName w:val="DejaVu Sans"/>
    <w:panose1 w:val="02020603050405020304"/>
    <w:charset w:val="00"/>
    <w:family w:val="roman"/>
    <w:pitch w:val="variable"/>
    <w:sig w:usb0="E0002AFF" w:usb1="C0007843" w:usb2="00000009" w:usb3="00000000" w:csb0="000001FF" w:csb1="00000000"/>
  </w:font>
  <w:font w:name="Calibri">
    <w:altName w:val="DejaVu Sans"/>
    <w:panose1 w:val="020F0502020204030204"/>
    <w:charset w:val="00"/>
    <w:family w:val="swiss"/>
    <w:pitch w:val="variable"/>
    <w:sig w:usb0="E00002FF" w:usb1="4000ACFF" w:usb2="00000001" w:usb3="00000000" w:csb0="0000019F" w:csb1="00000000"/>
  </w:font>
  <w:font w:name="Cambria">
    <w:altName w:val="DejaVu Sans"/>
    <w:panose1 w:val="02040503050406030204"/>
    <w:charset w:val="00"/>
    <w:family w:val="roman"/>
    <w:pitch w:val="variable"/>
    <w:sig w:usb0="E00002FF" w:usb1="400004FF" w:usb2="00000000" w:usb3="00000000" w:csb0="0000019F" w:csb1="00000000"/>
  </w:font>
</w:fonts>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45DB9A87"/>
    <w:multiLevelType w:val="singleLevel"/>
    <w:tmpl w:val="45DB9A87"/>
    <w:lvl w:ilvl="0">
      <w:start w:val="3"/>
      <w:numFmt w:val="chineseCounting"/>
      <w:lvlRestart w:val="0"/>
      <w:suff w:val="nothing"/>
      <w:lvlText w:val="（%1）"/>
      <w:lvlJc w:val="left"/>
      <w:pPr>
        <w:ind w:left="0" w:hanging="0"/>
      </w:pPr>
      <w:rPr>
        <w:rFonts w:hint="eastAsia"/>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156"/>
  <w:displayHorizontalDrawingGridEvery w:val="0"/>
  <w:displayVerticalDrawingGridEvery w:val="1"/>
  <w:noPunctuationKerning/>
  <w:characterSpacingControl w:val="compressPunctuation"/>
  <w:noLineBreaksAfter w:lang="zh-CN" w:val="$([{£¥·‘“〈《「『【〔〖〝﹙﹛﹝＄（．［｛￡￥"/>
  <w:noLineBreaksBefore w:lang="zh-CN" w:val="!%),.:;&gt;?]}¢¨°·ˇˉ―‖’”…‰′″›℃∶、。〃〉》」』】〕〗〞︶︺︾﹀﹄﹚﹜﹞！＂％＇），．：；？］｀｜｝～￠"/>
  <w:compat>
    <w:spaceForUL/>
    <w:balanceSingleByteDoubleByteWidth/>
    <w:ulTrailSpace/>
    <w:doNotExpandShiftReturn/>
    <w:adjustLineHeightInTable/>
    <w:doNotUseIndentAsNumberingTabStop/>
    <w:useAltKinsokuLineBreakRules/>
    <w:splitPgBreakAndParaMark/>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spacing w:after="160" w:line="480" w:lineRule="auto"/>
      <w:jc w:val="both"/>
    </w:pPr>
    <w:rPr>
      <w:rFonts w:ascii="Times New Roman" w:eastAsia="宋体" w:cs="Times New Roman" w:hAnsi="Times New Roman"/>
      <w:kern w:val="2"/>
      <w:sz w:val="21"/>
      <w:szCs w:val="21"/>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szCs w:val="44"/>
    </w:rPr>
  </w:style>
  <w:style w:type="paragraph" w:styleId="2">
    <w:name w:val="heading 2"/>
    <w:basedOn w:val="0"/>
    <w:next w:val="0"/>
    <w:pPr>
      <w:keepNext/>
      <w:keepLines/>
      <w:widowControl w:val="0"/>
      <w:spacing w:before="260" w:after="260" w:line="415" w:lineRule="auto"/>
      <w:outlineLvl w:val="1"/>
    </w:pPr>
    <w:rPr>
      <w:rFonts w:ascii="Calibri" w:cs="Calibri" w:hAnsi="Calibri"/>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paragraph" w:styleId="4">
    <w:name w:val="heading 4"/>
    <w:basedOn w:val="0"/>
    <w:next w:val="0"/>
    <w:pPr>
      <w:keepNext/>
      <w:keepLines/>
      <w:widowControl w:val="0"/>
      <w:spacing w:before="280" w:after="290" w:line="377" w:lineRule="auto"/>
      <w:outlineLvl w:val="3"/>
    </w:pPr>
    <w:rPr>
      <w:rFonts w:ascii="Calibri" w:cs="Calibri" w:hAnsi="Calibri"/>
      <w:b/>
      <w:bCs/>
      <w:sz w:val="28"/>
      <w:szCs w:val="28"/>
    </w:rPr>
  </w:style>
  <w:style w:type="character" w:default="1" w:styleId="10">
    <w:name w:val="Default Paragraph Font"/>
  </w:style>
  <w:style w:type="paragraph" w:styleId="15">
    <w:name w:val="Date"/>
    <w:basedOn w:val="0"/>
    <w:next w:val="0"/>
    <w:pPr>
      <w:ind w:leftChars="2500" w:left="2500"/>
    </w:pPr>
  </w:style>
  <w:style w:type="paragraph" w:styleId="16">
    <w:name w:val="Balloon Text"/>
    <w:basedOn w:val="0"/>
    <w:rPr>
      <w:sz w:val="18"/>
      <w:szCs w:val="18"/>
    </w:rPr>
  </w:style>
  <w:style w:type="paragraph" w:styleId="17">
    <w:name w:val="footer"/>
    <w:basedOn w:val="0"/>
    <w:pPr>
      <w:tabs>
        <w:tab w:val="center" w:pos="4153"/>
        <w:tab w:val="right" w:pos="8306"/>
      </w:tabs>
      <w:snapToGrid w:val="0"/>
      <w:jc w:val="left"/>
    </w:pPr>
    <w:rPr>
      <w:rFonts w:ascii="Cambria" w:eastAsia="黑体" w:cs="Cambria" w:hAnsi="Cambria"/>
      <w:sz w:val="18"/>
      <w:szCs w:val="18"/>
    </w:rPr>
  </w:style>
  <w:style w:type="paragraph" w:styleId="18">
    <w:name w:val="header"/>
    <w:basedOn w:val="0"/>
    <w:pPr>
      <w:pBdr>
        <w:bottom w:val="single" w:sz="6" w:space="1" w:color="auto"/>
      </w:pBdr>
      <w:tabs>
        <w:tab w:val="center" w:pos="4153"/>
        <w:tab w:val="right" w:pos="8306"/>
      </w:tabs>
      <w:snapToGrid w:val="0"/>
      <w:jc w:val="center"/>
    </w:pPr>
    <w:rPr>
      <w:rFonts w:ascii="Cambria" w:eastAsia="黑体" w:cs="Cambria" w:hAnsi="Cambria"/>
      <w:sz w:val="18"/>
      <w:szCs w:val="18"/>
    </w:rPr>
  </w:style>
  <w:style w:type="paragraph" w:styleId="19">
    <w:name w:val="Subtitle"/>
    <w:basedOn w:val="0"/>
    <w:next w:val="0"/>
    <w:pPr>
      <w:widowControl/>
      <w:spacing w:after="200" w:line="276" w:lineRule="auto"/>
      <w:jc w:val="left"/>
    </w:pPr>
    <w:rPr>
      <w:rFonts w:ascii="Calibri" w:cs="Calibri" w:hAnsi="Calibri"/>
      <w:i/>
      <w:iCs/>
      <w:color w:val="F0A22E"/>
      <w:spacing w:val="15"/>
      <w:kern w:val="0"/>
      <w:sz w:val="24"/>
      <w:szCs w:val="24"/>
    </w:rPr>
  </w:style>
  <w:style w:type="paragraph" w:styleId="20">
    <w:name w:val="Title"/>
    <w:basedOn w:val="0"/>
    <w:next w:val="0"/>
    <w:pPr>
      <w:widowControl/>
      <w:pBdr>
        <w:bottom w:val="single" w:sz="8" w:space="4" w:color="F0A22E"/>
      </w:pBdr>
      <w:spacing w:after="300"/>
      <w:jc w:val="left"/>
    </w:pPr>
    <w:rPr>
      <w:rFonts w:ascii="Calibri" w:cs="Calibri" w:hAnsi="Calibri"/>
      <w:color w:val="3A2C24"/>
      <w:spacing w:val="5"/>
      <w:kern w:val="28"/>
      <w:sz w:val="52"/>
      <w:szCs w:val="52"/>
    </w:rPr>
  </w:style>
  <w:style w:type="paragraph" w:styleId="21">
    <w:name w:val="No Spacing"/>
    <w:pPr>
      <w:spacing w:after="160" w:line="480" w:lineRule="auto"/>
    </w:pPr>
    <w:rPr>
      <w:rFonts w:ascii="Cambria" w:eastAsia="黑体" w:cs="Cambria" w:hAnsi="Cambria"/>
      <w:kern w:val="0"/>
      <w:sz w:val="22"/>
      <w:szCs w:val="22"/>
      <w:lang w:val="en-US" w:eastAsia="zh-CN" w:bidi="ar-SA"/>
    </w:rPr>
  </w:style>
  <w:style w:type="character" w:customStyle="1" w:styleId="22">
    <w:name w:val="Style1"/>
    <w:basedOn w:val="10"/>
    <w:rPr>
      <w:rFonts w:ascii="Cambria" w:eastAsia="黑体" w:cs="Cambria" w:hAnsi="Cambria"/>
      <w:sz w:val="22"/>
      <w:szCs w:val="22"/>
      <w:lang w:eastAsia="zh-CN"/>
    </w:rPr>
  </w:style>
  <w:style w:type="character" w:customStyle="1" w:styleId="23">
    <w:name w:val="Style2"/>
    <w:basedOn w:val="10"/>
    <w:rPr>
      <w:rFonts w:ascii="Cambria" w:eastAsia="黑体" w:cs="Cambria" w:hAnsi="Cambria"/>
      <w:sz w:val="22"/>
      <w:szCs w:val="22"/>
      <w:lang w:eastAsia="zh-CN"/>
    </w:rPr>
  </w:style>
  <w:style w:type="character" w:customStyle="1" w:styleId="24">
    <w:name w:val="Style3"/>
    <w:basedOn w:val="10"/>
    <w:rPr>
      <w:rFonts w:ascii="Cambria" w:eastAsia="黑体" w:cs="Cambria" w:hAnsi="Cambria"/>
      <w:sz w:val="22"/>
      <w:szCs w:val="22"/>
      <w:lang w:eastAsia="zh-CN"/>
    </w:rPr>
  </w:style>
  <w:style w:type="character" w:customStyle="1" w:styleId="25">
    <w:name w:val="Style4"/>
    <w:basedOn w:val="10"/>
    <w:rPr>
      <w:rFonts w:ascii="Cambria" w:eastAsia="黑体" w:cs="Cambria" w:hAnsi="Cambria"/>
      <w:sz w:val="22"/>
      <w:szCs w:val="22"/>
      <w:lang w:eastAsia="zh-CN"/>
    </w:rPr>
  </w:style>
  <w:style w:type="character" w:customStyle="1" w:styleId="26">
    <w:name w:val="Style5"/>
    <w:basedOn w:val="10"/>
    <w:rPr>
      <w:rFonts w:ascii="Cambria" w:eastAsia="黑体" w:cs="Cambria" w:hAnsi="Cambria"/>
      <w:sz w:val="22"/>
      <w:szCs w:val="22"/>
      <w:lang w:eastAsia="zh-CN"/>
    </w:rPr>
  </w:style>
  <w:style w:type="paragraph" w:styleId="27">
    <w:name w:val="List Paragraph"/>
    <w:basedOn w:val="0"/>
    <w:pPr>
      <w:ind w:firstLineChars="200" w:firstLine="200"/>
    </w:p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image" Target="media/2.jpeg"/><Relationship Id="rId3" Type="http://schemas.openxmlformats.org/officeDocument/2006/relationships/image" Target="media/24.jpeg"/><Relationship Id="rId4" Type="http://schemas.openxmlformats.org/officeDocument/2006/relationships/image" Target="media/24.jpeg"/><Relationship Id="rId5" Type="http://schemas.openxmlformats.org/officeDocument/2006/relationships/image" Target="media/24.jpeg"/><Relationship Id="rId6" Type="http://schemas.openxmlformats.org/officeDocument/2006/relationships/image" Target="media/56.png"/><Relationship Id="rId7" Type="http://schemas.openxmlformats.org/officeDocument/2006/relationships/oleObject" Target="embeddings/oleObject1.bin"/><Relationship Id="rId8" Type="http://schemas.openxmlformats.org/officeDocument/2006/relationships/image" Target="media/58.emf"/><Relationship Id="rId9" Type="http://schemas.openxmlformats.org/officeDocument/2006/relationships/oleObject" Target="embeddings/oleObject2.bin"/><Relationship Id="rId10" Type="http://schemas.openxmlformats.org/officeDocument/2006/relationships/image" Target="media/84.png"/><Relationship Id="rId11" Type="http://schemas.openxmlformats.org/officeDocument/2006/relationships/oleObject" Target="embeddings/oleObject3.bin"/><Relationship Id="rId12" Type="http://schemas.openxmlformats.org/officeDocument/2006/relationships/image" Target="media/86.png"/><Relationship Id="rId13" Type="http://schemas.openxmlformats.org/officeDocument/2006/relationships/oleObject" Target="embeddings/oleObject4.bin"/><Relationship Id="rId14" Type="http://schemas.openxmlformats.org/officeDocument/2006/relationships/image" Target="media/88.png"/><Relationship Id="rId15" Type="http://schemas.openxmlformats.org/officeDocument/2006/relationships/image" Target="media/24.jpeg"/><Relationship Id="rId16" Type="http://schemas.openxmlformats.org/officeDocument/2006/relationships/image" Target="media/168.jpeg"/><Relationship Id="rId17" Type="http://schemas.openxmlformats.org/officeDocument/2006/relationships/styles" Target="styles.xml"/><Relationship Id="rId18" Type="http://schemas.openxmlformats.org/officeDocument/2006/relationships/numbering" Target="numbering.xml"/><Relationship Id="rId19" Type="http://schemas.openxmlformats.org/officeDocument/2006/relationships/fontTable" Target="fontTable.xml"/><Relationship Id="rId20"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customProps>
</customData>
</file>

<file path=customXml/itemProps1.xml><?xml version="1.0" encoding="utf-8"?>
<ds:datastoreItem xmlns:ds="http://schemas.openxmlformats.org/officeDocument/2006/customXml" ds:itemID="{521EB721-0E87-44A9-938B-F71E49278244}">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96</TotalTime>
  <Application>Yozo_Office27021597764231179</Application>
  <Pages>26</Pages>
  <Words>6063</Words>
  <Characters>6590</Characters>
  <Lines>350</Lines>
  <Paragraphs>124</Paragraphs>
  <CharactersWithSpaces>6609</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2017年度部门决算</dc:title>
  <dc:subject>石家庄市xxx部门</dc:subject>
  <dc:creator>User</dc:creator>
  <cp:lastModifiedBy>thtf</cp:lastModifiedBy>
  <cp:revision>9</cp:revision>
  <cp:lastPrinted>2019-08-02T01:01:00Z</cp:lastPrinted>
  <dcterms:created xsi:type="dcterms:W3CDTF">2019-08-28T08:40:00Z</dcterms:created>
  <dcterms:modified xsi:type="dcterms:W3CDTF">2025-07-04T01:22:43Z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2052-11.1.0.9145</vt:lpwstr>
  </property>
</Properties>
</file>