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一、高邑县宣传部本级收支预算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一、高邑县宣传部本级收支预算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211001高邑县宣传部本级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357.32</w:t>
            </w:r>
          </w:p>
        </w:tc>
        <w:tc>
          <w:tcPr>
            <w:tcW w:w="4535" w:type="dxa"/>
            <w:vAlign w:val="center"/>
          </w:tcPr>
          <w:p>
            <w:pPr>
              <w:pStyle w:val="12"/>
            </w:pPr>
            <w:r>
              <w:t>一、一般公共服务支出</w:t>
            </w:r>
          </w:p>
        </w:tc>
        <w:tc>
          <w:tcPr>
            <w:tcW w:w="2126" w:type="dxa"/>
            <w:vAlign w:val="center"/>
          </w:tcPr>
          <w:p>
            <w:pPr>
              <w:pStyle w:val="11"/>
            </w:pPr>
            <w:r>
              <w:t>262.58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45.55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18.34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16.99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13.86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357.32</w:t>
            </w:r>
          </w:p>
        </w:tc>
        <w:tc>
          <w:tcPr>
            <w:tcW w:w="4535" w:type="dxa"/>
            <w:vAlign w:val="center"/>
          </w:tcPr>
          <w:p>
            <w:pPr>
              <w:pStyle w:val="14"/>
            </w:pPr>
            <w:r>
              <w:t>本年支出合计</w:t>
            </w:r>
          </w:p>
        </w:tc>
        <w:tc>
          <w:tcPr>
            <w:tcW w:w="2126" w:type="dxa"/>
            <w:vAlign w:val="center"/>
          </w:tcPr>
          <w:p>
            <w:pPr>
              <w:pStyle w:val="15"/>
            </w:pPr>
            <w:r>
              <w:t>357.32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357.32</w:t>
            </w:r>
          </w:p>
        </w:tc>
        <w:tc>
          <w:tcPr>
            <w:tcW w:w="4535" w:type="dxa"/>
            <w:vAlign w:val="center"/>
          </w:tcPr>
          <w:p>
            <w:pPr>
              <w:pStyle w:val="14"/>
            </w:pPr>
            <w:r>
              <w:t>支出总计</w:t>
            </w:r>
          </w:p>
        </w:tc>
        <w:tc>
          <w:tcPr>
            <w:tcW w:w="2126" w:type="dxa"/>
            <w:vAlign w:val="center"/>
          </w:tcPr>
          <w:p>
            <w:pPr>
              <w:pStyle w:val="15"/>
            </w:pPr>
            <w:r>
              <w:t>357.32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211001高邑县宣传部本级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357.32</w:t>
            </w:r>
          </w:p>
        </w:tc>
        <w:tc>
          <w:tcPr>
            <w:tcW w:w="1134" w:type="dxa"/>
            <w:vAlign w:val="center"/>
          </w:tcPr>
          <w:p>
            <w:pPr>
              <w:pStyle w:val="15"/>
            </w:pPr>
            <w:r>
              <w:t>357.32</w:t>
            </w:r>
          </w:p>
        </w:tc>
        <w:tc>
          <w:tcPr>
            <w:tcW w:w="1134" w:type="dxa"/>
            <w:vAlign w:val="center"/>
          </w:tcPr>
          <w:p>
            <w:pPr>
              <w:pStyle w:val="15"/>
            </w:pPr>
            <w:r>
              <w:t>357.32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262.58</w:t>
            </w:r>
          </w:p>
        </w:tc>
        <w:tc>
          <w:tcPr>
            <w:tcW w:w="1134" w:type="dxa"/>
            <w:vAlign w:val="center"/>
          </w:tcPr>
          <w:p>
            <w:pPr>
              <w:pStyle w:val="11"/>
            </w:pPr>
            <w:r>
              <w:t>262.58</w:t>
            </w:r>
          </w:p>
        </w:tc>
        <w:tc>
          <w:tcPr>
            <w:tcW w:w="1134" w:type="dxa"/>
            <w:vAlign w:val="center"/>
          </w:tcPr>
          <w:p>
            <w:pPr>
              <w:pStyle w:val="11"/>
            </w:pPr>
            <w:r>
              <w:t>262.58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20133</w:t>
            </w:r>
          </w:p>
        </w:tc>
        <w:tc>
          <w:tcPr>
            <w:tcW w:w="1559" w:type="dxa"/>
            <w:vAlign w:val="center"/>
          </w:tcPr>
          <w:p>
            <w:pPr>
              <w:pStyle w:val="12"/>
            </w:pPr>
            <w:r>
              <w:t>宣传事务</w:t>
            </w:r>
          </w:p>
        </w:tc>
        <w:tc>
          <w:tcPr>
            <w:tcW w:w="1134" w:type="dxa"/>
            <w:vAlign w:val="center"/>
          </w:tcPr>
          <w:p>
            <w:pPr>
              <w:pStyle w:val="11"/>
            </w:pPr>
            <w:r>
              <w:t>262.58</w:t>
            </w:r>
          </w:p>
        </w:tc>
        <w:tc>
          <w:tcPr>
            <w:tcW w:w="1134" w:type="dxa"/>
            <w:vAlign w:val="center"/>
          </w:tcPr>
          <w:p>
            <w:pPr>
              <w:pStyle w:val="11"/>
            </w:pPr>
            <w:r>
              <w:t>262.58</w:t>
            </w:r>
          </w:p>
        </w:tc>
        <w:tc>
          <w:tcPr>
            <w:tcW w:w="1134" w:type="dxa"/>
            <w:vAlign w:val="center"/>
          </w:tcPr>
          <w:p>
            <w:pPr>
              <w:pStyle w:val="11"/>
            </w:pPr>
            <w:r>
              <w:t>262.58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2013301</w:t>
            </w:r>
          </w:p>
        </w:tc>
        <w:tc>
          <w:tcPr>
            <w:tcW w:w="1559" w:type="dxa"/>
            <w:vAlign w:val="center"/>
          </w:tcPr>
          <w:p>
            <w:pPr>
              <w:pStyle w:val="12"/>
            </w:pPr>
            <w:r>
              <w:t>行政运行</w:t>
            </w:r>
          </w:p>
        </w:tc>
        <w:tc>
          <w:tcPr>
            <w:tcW w:w="1134" w:type="dxa"/>
            <w:vAlign w:val="center"/>
          </w:tcPr>
          <w:p>
            <w:pPr>
              <w:pStyle w:val="11"/>
            </w:pPr>
            <w:r>
              <w:t>211.40</w:t>
            </w:r>
          </w:p>
        </w:tc>
        <w:tc>
          <w:tcPr>
            <w:tcW w:w="1134" w:type="dxa"/>
            <w:vAlign w:val="center"/>
          </w:tcPr>
          <w:p>
            <w:pPr>
              <w:pStyle w:val="11"/>
            </w:pPr>
            <w:r>
              <w:t>211.40</w:t>
            </w:r>
          </w:p>
        </w:tc>
        <w:tc>
          <w:tcPr>
            <w:tcW w:w="1134" w:type="dxa"/>
            <w:vAlign w:val="center"/>
          </w:tcPr>
          <w:p>
            <w:pPr>
              <w:pStyle w:val="11"/>
            </w:pPr>
            <w:r>
              <w:t>211.40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2013302</w:t>
            </w:r>
          </w:p>
        </w:tc>
        <w:tc>
          <w:tcPr>
            <w:tcW w:w="1559" w:type="dxa"/>
            <w:vAlign w:val="center"/>
          </w:tcPr>
          <w:p>
            <w:pPr>
              <w:pStyle w:val="12"/>
            </w:pPr>
            <w:r>
              <w:t>一般行政管理事务</w:t>
            </w:r>
          </w:p>
        </w:tc>
        <w:tc>
          <w:tcPr>
            <w:tcW w:w="1134" w:type="dxa"/>
            <w:vAlign w:val="center"/>
          </w:tcPr>
          <w:p>
            <w:pPr>
              <w:pStyle w:val="11"/>
            </w:pPr>
            <w:r>
              <w:t>51.19</w:t>
            </w:r>
          </w:p>
        </w:tc>
        <w:tc>
          <w:tcPr>
            <w:tcW w:w="1134" w:type="dxa"/>
            <w:vAlign w:val="center"/>
          </w:tcPr>
          <w:p>
            <w:pPr>
              <w:pStyle w:val="11"/>
            </w:pPr>
            <w:r>
              <w:t>51.19</w:t>
            </w:r>
          </w:p>
        </w:tc>
        <w:tc>
          <w:tcPr>
            <w:tcW w:w="1134" w:type="dxa"/>
            <w:vAlign w:val="center"/>
          </w:tcPr>
          <w:p>
            <w:pPr>
              <w:pStyle w:val="11"/>
            </w:pPr>
            <w:r>
              <w:t>51.19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45.55</w:t>
            </w:r>
          </w:p>
        </w:tc>
        <w:tc>
          <w:tcPr>
            <w:tcW w:w="1134" w:type="dxa"/>
            <w:vAlign w:val="center"/>
          </w:tcPr>
          <w:p>
            <w:pPr>
              <w:pStyle w:val="11"/>
            </w:pPr>
            <w:r>
              <w:t>45.55</w:t>
            </w:r>
          </w:p>
        </w:tc>
        <w:tc>
          <w:tcPr>
            <w:tcW w:w="1134" w:type="dxa"/>
            <w:vAlign w:val="center"/>
          </w:tcPr>
          <w:p>
            <w:pPr>
              <w:pStyle w:val="11"/>
            </w:pPr>
            <w:r>
              <w:t>45.55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20799</w:t>
            </w:r>
          </w:p>
        </w:tc>
        <w:tc>
          <w:tcPr>
            <w:tcW w:w="1559" w:type="dxa"/>
            <w:vAlign w:val="center"/>
          </w:tcPr>
          <w:p>
            <w:pPr>
              <w:pStyle w:val="12"/>
            </w:pPr>
            <w:r>
              <w:t>其他文化旅游体育与传媒支出</w:t>
            </w:r>
          </w:p>
        </w:tc>
        <w:tc>
          <w:tcPr>
            <w:tcW w:w="1134" w:type="dxa"/>
            <w:vAlign w:val="center"/>
          </w:tcPr>
          <w:p>
            <w:pPr>
              <w:pStyle w:val="11"/>
            </w:pPr>
            <w:r>
              <w:t>45.55</w:t>
            </w:r>
          </w:p>
        </w:tc>
        <w:tc>
          <w:tcPr>
            <w:tcW w:w="1134" w:type="dxa"/>
            <w:vAlign w:val="center"/>
          </w:tcPr>
          <w:p>
            <w:pPr>
              <w:pStyle w:val="11"/>
            </w:pPr>
            <w:r>
              <w:t>45.55</w:t>
            </w:r>
          </w:p>
        </w:tc>
        <w:tc>
          <w:tcPr>
            <w:tcW w:w="1134" w:type="dxa"/>
            <w:vAlign w:val="center"/>
          </w:tcPr>
          <w:p>
            <w:pPr>
              <w:pStyle w:val="11"/>
            </w:pPr>
            <w:r>
              <w:t>45.55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2079999</w:t>
            </w:r>
          </w:p>
        </w:tc>
        <w:tc>
          <w:tcPr>
            <w:tcW w:w="1559" w:type="dxa"/>
            <w:vAlign w:val="center"/>
          </w:tcPr>
          <w:p>
            <w:pPr>
              <w:pStyle w:val="12"/>
            </w:pPr>
            <w:r>
              <w:t>其他文化旅游体育与传媒支出</w:t>
            </w:r>
          </w:p>
        </w:tc>
        <w:tc>
          <w:tcPr>
            <w:tcW w:w="1134" w:type="dxa"/>
            <w:vAlign w:val="center"/>
          </w:tcPr>
          <w:p>
            <w:pPr>
              <w:pStyle w:val="11"/>
            </w:pPr>
            <w:r>
              <w:t>45.55</w:t>
            </w:r>
          </w:p>
        </w:tc>
        <w:tc>
          <w:tcPr>
            <w:tcW w:w="1134" w:type="dxa"/>
            <w:vAlign w:val="center"/>
          </w:tcPr>
          <w:p>
            <w:pPr>
              <w:pStyle w:val="11"/>
            </w:pPr>
            <w:r>
              <w:t>45.55</w:t>
            </w:r>
          </w:p>
        </w:tc>
        <w:tc>
          <w:tcPr>
            <w:tcW w:w="1134" w:type="dxa"/>
            <w:vAlign w:val="center"/>
          </w:tcPr>
          <w:p>
            <w:pPr>
              <w:pStyle w:val="11"/>
            </w:pPr>
            <w:r>
              <w:t>45.55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18.34</w:t>
            </w:r>
          </w:p>
        </w:tc>
        <w:tc>
          <w:tcPr>
            <w:tcW w:w="1134" w:type="dxa"/>
            <w:vAlign w:val="center"/>
          </w:tcPr>
          <w:p>
            <w:pPr>
              <w:pStyle w:val="11"/>
            </w:pPr>
            <w:r>
              <w:t>18.34</w:t>
            </w:r>
          </w:p>
        </w:tc>
        <w:tc>
          <w:tcPr>
            <w:tcW w:w="1134" w:type="dxa"/>
            <w:vAlign w:val="center"/>
          </w:tcPr>
          <w:p>
            <w:pPr>
              <w:pStyle w:val="11"/>
            </w:pPr>
            <w:r>
              <w:t>18.34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17.69</w:t>
            </w:r>
          </w:p>
        </w:tc>
        <w:tc>
          <w:tcPr>
            <w:tcW w:w="1134" w:type="dxa"/>
            <w:vAlign w:val="center"/>
          </w:tcPr>
          <w:p>
            <w:pPr>
              <w:pStyle w:val="11"/>
            </w:pPr>
            <w:r>
              <w:t>17.69</w:t>
            </w:r>
          </w:p>
        </w:tc>
        <w:tc>
          <w:tcPr>
            <w:tcW w:w="1134" w:type="dxa"/>
            <w:vAlign w:val="center"/>
          </w:tcPr>
          <w:p>
            <w:pPr>
              <w:pStyle w:val="11"/>
            </w:pPr>
            <w:r>
              <w:t>17.69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0.68</w:t>
            </w:r>
          </w:p>
        </w:tc>
        <w:tc>
          <w:tcPr>
            <w:tcW w:w="1134" w:type="dxa"/>
            <w:vAlign w:val="center"/>
          </w:tcPr>
          <w:p>
            <w:pPr>
              <w:pStyle w:val="11"/>
            </w:pPr>
            <w:r>
              <w:t>0.68</w:t>
            </w:r>
          </w:p>
        </w:tc>
        <w:tc>
          <w:tcPr>
            <w:tcW w:w="1134" w:type="dxa"/>
            <w:vAlign w:val="center"/>
          </w:tcPr>
          <w:p>
            <w:pPr>
              <w:pStyle w:val="11"/>
            </w:pPr>
            <w:r>
              <w:t>0.68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17.01</w:t>
            </w:r>
          </w:p>
        </w:tc>
        <w:tc>
          <w:tcPr>
            <w:tcW w:w="1134" w:type="dxa"/>
            <w:vAlign w:val="center"/>
          </w:tcPr>
          <w:p>
            <w:pPr>
              <w:pStyle w:val="11"/>
            </w:pPr>
            <w:r>
              <w:t>17.01</w:t>
            </w:r>
          </w:p>
        </w:tc>
        <w:tc>
          <w:tcPr>
            <w:tcW w:w="1134" w:type="dxa"/>
            <w:vAlign w:val="center"/>
          </w:tcPr>
          <w:p>
            <w:pPr>
              <w:pStyle w:val="11"/>
            </w:pPr>
            <w:r>
              <w:t>17.01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0.65</w:t>
            </w:r>
          </w:p>
        </w:tc>
        <w:tc>
          <w:tcPr>
            <w:tcW w:w="1134" w:type="dxa"/>
            <w:vAlign w:val="center"/>
          </w:tcPr>
          <w:p>
            <w:pPr>
              <w:pStyle w:val="11"/>
            </w:pPr>
            <w:r>
              <w:t>0.65</w:t>
            </w:r>
          </w:p>
        </w:tc>
        <w:tc>
          <w:tcPr>
            <w:tcW w:w="1134" w:type="dxa"/>
            <w:vAlign w:val="center"/>
          </w:tcPr>
          <w:p>
            <w:pPr>
              <w:pStyle w:val="11"/>
            </w:pPr>
            <w:r>
              <w:t>0.65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0.08</w:t>
            </w:r>
          </w:p>
        </w:tc>
        <w:tc>
          <w:tcPr>
            <w:tcW w:w="1134" w:type="dxa"/>
            <w:vAlign w:val="center"/>
          </w:tcPr>
          <w:p>
            <w:pPr>
              <w:pStyle w:val="11"/>
            </w:pPr>
            <w:r>
              <w:t>0.08</w:t>
            </w:r>
          </w:p>
        </w:tc>
        <w:tc>
          <w:tcPr>
            <w:tcW w:w="1134" w:type="dxa"/>
            <w:vAlign w:val="center"/>
          </w:tcPr>
          <w:p>
            <w:pPr>
              <w:pStyle w:val="11"/>
            </w:pPr>
            <w:r>
              <w:t>0.08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0.58</w:t>
            </w:r>
          </w:p>
        </w:tc>
        <w:tc>
          <w:tcPr>
            <w:tcW w:w="1134" w:type="dxa"/>
            <w:vAlign w:val="center"/>
          </w:tcPr>
          <w:p>
            <w:pPr>
              <w:pStyle w:val="11"/>
            </w:pPr>
            <w:r>
              <w:t>0.58</w:t>
            </w:r>
          </w:p>
        </w:tc>
        <w:tc>
          <w:tcPr>
            <w:tcW w:w="1134" w:type="dxa"/>
            <w:vAlign w:val="center"/>
          </w:tcPr>
          <w:p>
            <w:pPr>
              <w:pStyle w:val="11"/>
            </w:pPr>
            <w:r>
              <w:t>0.58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16.99</w:t>
            </w:r>
          </w:p>
        </w:tc>
        <w:tc>
          <w:tcPr>
            <w:tcW w:w="1134" w:type="dxa"/>
            <w:vAlign w:val="center"/>
          </w:tcPr>
          <w:p>
            <w:pPr>
              <w:pStyle w:val="11"/>
            </w:pPr>
            <w:r>
              <w:t>16.99</w:t>
            </w:r>
          </w:p>
        </w:tc>
        <w:tc>
          <w:tcPr>
            <w:tcW w:w="1134" w:type="dxa"/>
            <w:vAlign w:val="center"/>
          </w:tcPr>
          <w:p>
            <w:pPr>
              <w:pStyle w:val="11"/>
            </w:pPr>
            <w:r>
              <w:t>16.99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16.99</w:t>
            </w:r>
          </w:p>
        </w:tc>
        <w:tc>
          <w:tcPr>
            <w:tcW w:w="1134" w:type="dxa"/>
            <w:vAlign w:val="center"/>
          </w:tcPr>
          <w:p>
            <w:pPr>
              <w:pStyle w:val="11"/>
            </w:pPr>
            <w:r>
              <w:t>16.99</w:t>
            </w:r>
          </w:p>
        </w:tc>
        <w:tc>
          <w:tcPr>
            <w:tcW w:w="1134" w:type="dxa"/>
            <w:vAlign w:val="center"/>
          </w:tcPr>
          <w:p>
            <w:pPr>
              <w:pStyle w:val="11"/>
            </w:pPr>
            <w:r>
              <w:t>16.99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8.75</w:t>
            </w:r>
          </w:p>
        </w:tc>
        <w:tc>
          <w:tcPr>
            <w:tcW w:w="1134" w:type="dxa"/>
            <w:vAlign w:val="center"/>
          </w:tcPr>
          <w:p>
            <w:pPr>
              <w:pStyle w:val="11"/>
            </w:pPr>
            <w:r>
              <w:t>8.75</w:t>
            </w:r>
          </w:p>
        </w:tc>
        <w:tc>
          <w:tcPr>
            <w:tcW w:w="1134" w:type="dxa"/>
            <w:vAlign w:val="center"/>
          </w:tcPr>
          <w:p>
            <w:pPr>
              <w:pStyle w:val="11"/>
            </w:pPr>
            <w:r>
              <w:t>8.75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8.24</w:t>
            </w:r>
          </w:p>
        </w:tc>
        <w:tc>
          <w:tcPr>
            <w:tcW w:w="1134" w:type="dxa"/>
            <w:vAlign w:val="center"/>
          </w:tcPr>
          <w:p>
            <w:pPr>
              <w:pStyle w:val="11"/>
            </w:pPr>
            <w:r>
              <w:t>8.24</w:t>
            </w:r>
          </w:p>
        </w:tc>
        <w:tc>
          <w:tcPr>
            <w:tcW w:w="1134" w:type="dxa"/>
            <w:vAlign w:val="center"/>
          </w:tcPr>
          <w:p>
            <w:pPr>
              <w:pStyle w:val="11"/>
            </w:pPr>
            <w:r>
              <w:t>8.24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13.86</w:t>
            </w:r>
          </w:p>
        </w:tc>
        <w:tc>
          <w:tcPr>
            <w:tcW w:w="1134" w:type="dxa"/>
            <w:vAlign w:val="center"/>
          </w:tcPr>
          <w:p>
            <w:pPr>
              <w:pStyle w:val="11"/>
            </w:pPr>
            <w:r>
              <w:t>13.86</w:t>
            </w:r>
          </w:p>
        </w:tc>
        <w:tc>
          <w:tcPr>
            <w:tcW w:w="1134" w:type="dxa"/>
            <w:vAlign w:val="center"/>
          </w:tcPr>
          <w:p>
            <w:pPr>
              <w:pStyle w:val="11"/>
            </w:pPr>
            <w:r>
              <w:t>13.86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13.86</w:t>
            </w:r>
          </w:p>
        </w:tc>
        <w:tc>
          <w:tcPr>
            <w:tcW w:w="1134" w:type="dxa"/>
            <w:vAlign w:val="center"/>
          </w:tcPr>
          <w:p>
            <w:pPr>
              <w:pStyle w:val="11"/>
            </w:pPr>
            <w:r>
              <w:t>13.86</w:t>
            </w:r>
          </w:p>
        </w:tc>
        <w:tc>
          <w:tcPr>
            <w:tcW w:w="1134" w:type="dxa"/>
            <w:vAlign w:val="center"/>
          </w:tcPr>
          <w:p>
            <w:pPr>
              <w:pStyle w:val="11"/>
            </w:pPr>
            <w:r>
              <w:t>13.86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13.86</w:t>
            </w:r>
          </w:p>
        </w:tc>
        <w:tc>
          <w:tcPr>
            <w:tcW w:w="1134" w:type="dxa"/>
            <w:vAlign w:val="center"/>
          </w:tcPr>
          <w:p>
            <w:pPr>
              <w:pStyle w:val="11"/>
            </w:pPr>
            <w:r>
              <w:t>13.86</w:t>
            </w:r>
          </w:p>
        </w:tc>
        <w:tc>
          <w:tcPr>
            <w:tcW w:w="1134" w:type="dxa"/>
            <w:vAlign w:val="center"/>
          </w:tcPr>
          <w:p>
            <w:pPr>
              <w:pStyle w:val="11"/>
            </w:pPr>
            <w:r>
              <w:t>13.86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211001高邑县宣传部本级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357.32</w:t>
            </w:r>
          </w:p>
        </w:tc>
        <w:tc>
          <w:tcPr>
            <w:tcW w:w="1361" w:type="dxa"/>
            <w:vAlign w:val="center"/>
          </w:tcPr>
          <w:p>
            <w:pPr>
              <w:pStyle w:val="15"/>
            </w:pPr>
            <w:r>
              <w:t>260.59</w:t>
            </w:r>
          </w:p>
        </w:tc>
        <w:tc>
          <w:tcPr>
            <w:tcW w:w="1361" w:type="dxa"/>
            <w:vAlign w:val="center"/>
          </w:tcPr>
          <w:p>
            <w:pPr>
              <w:pStyle w:val="15"/>
            </w:pPr>
            <w:r>
              <w:t>96.73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262.58</w:t>
            </w:r>
          </w:p>
        </w:tc>
        <w:tc>
          <w:tcPr>
            <w:tcW w:w="1361" w:type="dxa"/>
            <w:vAlign w:val="center"/>
          </w:tcPr>
          <w:p>
            <w:pPr>
              <w:pStyle w:val="11"/>
            </w:pPr>
            <w:r>
              <w:t>211.40</w:t>
            </w:r>
          </w:p>
        </w:tc>
        <w:tc>
          <w:tcPr>
            <w:tcW w:w="1361" w:type="dxa"/>
            <w:vAlign w:val="center"/>
          </w:tcPr>
          <w:p>
            <w:pPr>
              <w:pStyle w:val="11"/>
            </w:pPr>
            <w:r>
              <w:t>51.19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20133</w:t>
            </w:r>
          </w:p>
        </w:tc>
        <w:tc>
          <w:tcPr>
            <w:tcW w:w="4535" w:type="dxa"/>
            <w:vAlign w:val="center"/>
          </w:tcPr>
          <w:p>
            <w:pPr>
              <w:pStyle w:val="12"/>
            </w:pPr>
            <w:r>
              <w:t>宣传事务</w:t>
            </w:r>
          </w:p>
        </w:tc>
        <w:tc>
          <w:tcPr>
            <w:tcW w:w="1361" w:type="dxa"/>
            <w:vAlign w:val="center"/>
          </w:tcPr>
          <w:p>
            <w:pPr>
              <w:pStyle w:val="11"/>
            </w:pPr>
            <w:r>
              <w:t>262.58</w:t>
            </w:r>
          </w:p>
        </w:tc>
        <w:tc>
          <w:tcPr>
            <w:tcW w:w="1361" w:type="dxa"/>
            <w:vAlign w:val="center"/>
          </w:tcPr>
          <w:p>
            <w:pPr>
              <w:pStyle w:val="11"/>
            </w:pPr>
            <w:r>
              <w:t>211.40</w:t>
            </w:r>
          </w:p>
        </w:tc>
        <w:tc>
          <w:tcPr>
            <w:tcW w:w="1361" w:type="dxa"/>
            <w:vAlign w:val="center"/>
          </w:tcPr>
          <w:p>
            <w:pPr>
              <w:pStyle w:val="11"/>
            </w:pPr>
            <w:r>
              <w:t>51.19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2013301</w:t>
            </w:r>
          </w:p>
        </w:tc>
        <w:tc>
          <w:tcPr>
            <w:tcW w:w="4535" w:type="dxa"/>
            <w:vAlign w:val="center"/>
          </w:tcPr>
          <w:p>
            <w:pPr>
              <w:pStyle w:val="12"/>
            </w:pPr>
            <w:r>
              <w:t>行政运行</w:t>
            </w:r>
          </w:p>
        </w:tc>
        <w:tc>
          <w:tcPr>
            <w:tcW w:w="1361" w:type="dxa"/>
            <w:vAlign w:val="center"/>
          </w:tcPr>
          <w:p>
            <w:pPr>
              <w:pStyle w:val="11"/>
            </w:pPr>
            <w:r>
              <w:t>211.40</w:t>
            </w:r>
          </w:p>
        </w:tc>
        <w:tc>
          <w:tcPr>
            <w:tcW w:w="1361" w:type="dxa"/>
            <w:vAlign w:val="center"/>
          </w:tcPr>
          <w:p>
            <w:pPr>
              <w:pStyle w:val="11"/>
            </w:pPr>
            <w:r>
              <w:t>211.40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2013302</w:t>
            </w:r>
          </w:p>
        </w:tc>
        <w:tc>
          <w:tcPr>
            <w:tcW w:w="4535" w:type="dxa"/>
            <w:vAlign w:val="center"/>
          </w:tcPr>
          <w:p>
            <w:pPr>
              <w:pStyle w:val="12"/>
            </w:pPr>
            <w:r>
              <w:t>一般行政管理事务</w:t>
            </w:r>
          </w:p>
        </w:tc>
        <w:tc>
          <w:tcPr>
            <w:tcW w:w="1361" w:type="dxa"/>
            <w:vAlign w:val="center"/>
          </w:tcPr>
          <w:p>
            <w:pPr>
              <w:pStyle w:val="11"/>
            </w:pPr>
            <w:r>
              <w:t>51.19</w:t>
            </w:r>
          </w:p>
        </w:tc>
        <w:tc>
          <w:tcPr>
            <w:tcW w:w="1361" w:type="dxa"/>
            <w:vAlign w:val="center"/>
          </w:tcPr>
          <w:p>
            <w:pPr>
              <w:pStyle w:val="11"/>
            </w:pPr>
          </w:p>
        </w:tc>
        <w:tc>
          <w:tcPr>
            <w:tcW w:w="1361" w:type="dxa"/>
            <w:vAlign w:val="center"/>
          </w:tcPr>
          <w:p>
            <w:pPr>
              <w:pStyle w:val="11"/>
            </w:pPr>
            <w:r>
              <w:t>51.19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45.55</w:t>
            </w:r>
          </w:p>
        </w:tc>
        <w:tc>
          <w:tcPr>
            <w:tcW w:w="1361" w:type="dxa"/>
            <w:vAlign w:val="center"/>
          </w:tcPr>
          <w:p>
            <w:pPr>
              <w:pStyle w:val="11"/>
            </w:pPr>
          </w:p>
        </w:tc>
        <w:tc>
          <w:tcPr>
            <w:tcW w:w="1361" w:type="dxa"/>
            <w:vAlign w:val="center"/>
          </w:tcPr>
          <w:p>
            <w:pPr>
              <w:pStyle w:val="11"/>
            </w:pPr>
            <w:r>
              <w:t>45.55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20799</w:t>
            </w:r>
          </w:p>
        </w:tc>
        <w:tc>
          <w:tcPr>
            <w:tcW w:w="4535" w:type="dxa"/>
            <w:vAlign w:val="center"/>
          </w:tcPr>
          <w:p>
            <w:pPr>
              <w:pStyle w:val="12"/>
            </w:pPr>
            <w:r>
              <w:t>其他文化旅游体育与传媒支出</w:t>
            </w:r>
          </w:p>
        </w:tc>
        <w:tc>
          <w:tcPr>
            <w:tcW w:w="1361" w:type="dxa"/>
            <w:vAlign w:val="center"/>
          </w:tcPr>
          <w:p>
            <w:pPr>
              <w:pStyle w:val="11"/>
            </w:pPr>
            <w:r>
              <w:t>45.55</w:t>
            </w:r>
          </w:p>
        </w:tc>
        <w:tc>
          <w:tcPr>
            <w:tcW w:w="1361" w:type="dxa"/>
            <w:vAlign w:val="center"/>
          </w:tcPr>
          <w:p>
            <w:pPr>
              <w:pStyle w:val="11"/>
            </w:pPr>
          </w:p>
        </w:tc>
        <w:tc>
          <w:tcPr>
            <w:tcW w:w="1361" w:type="dxa"/>
            <w:vAlign w:val="center"/>
          </w:tcPr>
          <w:p>
            <w:pPr>
              <w:pStyle w:val="11"/>
            </w:pPr>
            <w:r>
              <w:t>45.55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2079999</w:t>
            </w:r>
          </w:p>
        </w:tc>
        <w:tc>
          <w:tcPr>
            <w:tcW w:w="4535" w:type="dxa"/>
            <w:vAlign w:val="center"/>
          </w:tcPr>
          <w:p>
            <w:pPr>
              <w:pStyle w:val="12"/>
            </w:pPr>
            <w:r>
              <w:t>其他文化旅游体育与传媒支出</w:t>
            </w:r>
          </w:p>
        </w:tc>
        <w:tc>
          <w:tcPr>
            <w:tcW w:w="1361" w:type="dxa"/>
            <w:vAlign w:val="center"/>
          </w:tcPr>
          <w:p>
            <w:pPr>
              <w:pStyle w:val="11"/>
            </w:pPr>
            <w:r>
              <w:t>45.55</w:t>
            </w:r>
          </w:p>
        </w:tc>
        <w:tc>
          <w:tcPr>
            <w:tcW w:w="1361" w:type="dxa"/>
            <w:vAlign w:val="center"/>
          </w:tcPr>
          <w:p>
            <w:pPr>
              <w:pStyle w:val="11"/>
            </w:pPr>
          </w:p>
        </w:tc>
        <w:tc>
          <w:tcPr>
            <w:tcW w:w="1361" w:type="dxa"/>
            <w:vAlign w:val="center"/>
          </w:tcPr>
          <w:p>
            <w:pPr>
              <w:pStyle w:val="11"/>
            </w:pPr>
            <w:r>
              <w:t>45.55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18.34</w:t>
            </w:r>
          </w:p>
        </w:tc>
        <w:tc>
          <w:tcPr>
            <w:tcW w:w="1361" w:type="dxa"/>
            <w:vAlign w:val="center"/>
          </w:tcPr>
          <w:p>
            <w:pPr>
              <w:pStyle w:val="11"/>
            </w:pPr>
            <w:r>
              <w:t>18.34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17.69</w:t>
            </w:r>
          </w:p>
        </w:tc>
        <w:tc>
          <w:tcPr>
            <w:tcW w:w="1361" w:type="dxa"/>
            <w:vAlign w:val="center"/>
          </w:tcPr>
          <w:p>
            <w:pPr>
              <w:pStyle w:val="11"/>
            </w:pPr>
            <w:r>
              <w:t>17.69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0.68</w:t>
            </w:r>
          </w:p>
        </w:tc>
        <w:tc>
          <w:tcPr>
            <w:tcW w:w="1361" w:type="dxa"/>
            <w:vAlign w:val="center"/>
          </w:tcPr>
          <w:p>
            <w:pPr>
              <w:pStyle w:val="11"/>
            </w:pPr>
            <w:r>
              <w:t>0.68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17.01</w:t>
            </w:r>
          </w:p>
        </w:tc>
        <w:tc>
          <w:tcPr>
            <w:tcW w:w="1361" w:type="dxa"/>
            <w:vAlign w:val="center"/>
          </w:tcPr>
          <w:p>
            <w:pPr>
              <w:pStyle w:val="11"/>
            </w:pPr>
            <w:r>
              <w:t>17.01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0.65</w:t>
            </w:r>
          </w:p>
        </w:tc>
        <w:tc>
          <w:tcPr>
            <w:tcW w:w="1361" w:type="dxa"/>
            <w:vAlign w:val="center"/>
          </w:tcPr>
          <w:p>
            <w:pPr>
              <w:pStyle w:val="11"/>
            </w:pPr>
            <w:r>
              <w:t>0.65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0.08</w:t>
            </w:r>
          </w:p>
        </w:tc>
        <w:tc>
          <w:tcPr>
            <w:tcW w:w="1361" w:type="dxa"/>
            <w:vAlign w:val="center"/>
          </w:tcPr>
          <w:p>
            <w:pPr>
              <w:pStyle w:val="11"/>
            </w:pPr>
            <w:r>
              <w:t>0.08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0.58</w:t>
            </w:r>
          </w:p>
        </w:tc>
        <w:tc>
          <w:tcPr>
            <w:tcW w:w="1361" w:type="dxa"/>
            <w:vAlign w:val="center"/>
          </w:tcPr>
          <w:p>
            <w:pPr>
              <w:pStyle w:val="11"/>
            </w:pPr>
            <w:r>
              <w:t>0.58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16.99</w:t>
            </w:r>
          </w:p>
        </w:tc>
        <w:tc>
          <w:tcPr>
            <w:tcW w:w="1361" w:type="dxa"/>
            <w:vAlign w:val="center"/>
          </w:tcPr>
          <w:p>
            <w:pPr>
              <w:pStyle w:val="11"/>
            </w:pPr>
            <w:r>
              <w:t>16.99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16.99</w:t>
            </w:r>
          </w:p>
        </w:tc>
        <w:tc>
          <w:tcPr>
            <w:tcW w:w="1361" w:type="dxa"/>
            <w:vAlign w:val="center"/>
          </w:tcPr>
          <w:p>
            <w:pPr>
              <w:pStyle w:val="11"/>
            </w:pPr>
            <w:r>
              <w:t>16.99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8.75</w:t>
            </w:r>
          </w:p>
        </w:tc>
        <w:tc>
          <w:tcPr>
            <w:tcW w:w="1361" w:type="dxa"/>
            <w:vAlign w:val="center"/>
          </w:tcPr>
          <w:p>
            <w:pPr>
              <w:pStyle w:val="11"/>
            </w:pPr>
            <w:r>
              <w:t>8.75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8.24</w:t>
            </w:r>
          </w:p>
        </w:tc>
        <w:tc>
          <w:tcPr>
            <w:tcW w:w="1361" w:type="dxa"/>
            <w:vAlign w:val="center"/>
          </w:tcPr>
          <w:p>
            <w:pPr>
              <w:pStyle w:val="11"/>
            </w:pPr>
            <w:r>
              <w:t>8.24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13.86</w:t>
            </w:r>
          </w:p>
        </w:tc>
        <w:tc>
          <w:tcPr>
            <w:tcW w:w="1361" w:type="dxa"/>
            <w:vAlign w:val="center"/>
          </w:tcPr>
          <w:p>
            <w:pPr>
              <w:pStyle w:val="11"/>
            </w:pPr>
            <w:r>
              <w:t>13.86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13.86</w:t>
            </w:r>
          </w:p>
        </w:tc>
        <w:tc>
          <w:tcPr>
            <w:tcW w:w="1361" w:type="dxa"/>
            <w:vAlign w:val="center"/>
          </w:tcPr>
          <w:p>
            <w:pPr>
              <w:pStyle w:val="11"/>
            </w:pPr>
            <w:r>
              <w:t>13.86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13.86</w:t>
            </w:r>
          </w:p>
        </w:tc>
        <w:tc>
          <w:tcPr>
            <w:tcW w:w="1361" w:type="dxa"/>
            <w:vAlign w:val="center"/>
          </w:tcPr>
          <w:p>
            <w:pPr>
              <w:pStyle w:val="11"/>
            </w:pPr>
            <w:r>
              <w:t>13.86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211001高邑县宣传部本级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357.32</w:t>
            </w:r>
          </w:p>
        </w:tc>
        <w:tc>
          <w:tcPr>
            <w:tcW w:w="3402" w:type="dxa"/>
            <w:vAlign w:val="center"/>
          </w:tcPr>
          <w:p>
            <w:pPr>
              <w:pStyle w:val="12"/>
            </w:pPr>
            <w:r>
              <w:t>一、一般公共服务支出</w:t>
            </w:r>
          </w:p>
        </w:tc>
        <w:tc>
          <w:tcPr>
            <w:tcW w:w="1474" w:type="dxa"/>
            <w:vAlign w:val="center"/>
          </w:tcPr>
          <w:p>
            <w:pPr>
              <w:pStyle w:val="11"/>
            </w:pPr>
            <w:r>
              <w:t>262.58</w:t>
            </w:r>
          </w:p>
        </w:tc>
        <w:tc>
          <w:tcPr>
            <w:tcW w:w="1474" w:type="dxa"/>
            <w:vAlign w:val="center"/>
          </w:tcPr>
          <w:p>
            <w:pPr>
              <w:pStyle w:val="11"/>
            </w:pPr>
            <w:r>
              <w:t>262.58</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45.55</w:t>
            </w:r>
          </w:p>
        </w:tc>
        <w:tc>
          <w:tcPr>
            <w:tcW w:w="1474" w:type="dxa"/>
            <w:vAlign w:val="center"/>
          </w:tcPr>
          <w:p>
            <w:pPr>
              <w:pStyle w:val="11"/>
            </w:pPr>
            <w:r>
              <w:t>45.55</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18.34</w:t>
            </w:r>
          </w:p>
        </w:tc>
        <w:tc>
          <w:tcPr>
            <w:tcW w:w="1474" w:type="dxa"/>
            <w:vAlign w:val="center"/>
          </w:tcPr>
          <w:p>
            <w:pPr>
              <w:pStyle w:val="11"/>
            </w:pPr>
            <w:r>
              <w:t>18.34</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16.99</w:t>
            </w:r>
          </w:p>
        </w:tc>
        <w:tc>
          <w:tcPr>
            <w:tcW w:w="1474" w:type="dxa"/>
            <w:vAlign w:val="center"/>
          </w:tcPr>
          <w:p>
            <w:pPr>
              <w:pStyle w:val="11"/>
            </w:pPr>
            <w:r>
              <w:t>16.99</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13.86</w:t>
            </w:r>
          </w:p>
        </w:tc>
        <w:tc>
          <w:tcPr>
            <w:tcW w:w="1474" w:type="dxa"/>
            <w:vAlign w:val="center"/>
          </w:tcPr>
          <w:p>
            <w:pPr>
              <w:pStyle w:val="11"/>
            </w:pPr>
            <w:r>
              <w:t>13.86</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357.32</w:t>
            </w:r>
          </w:p>
        </w:tc>
        <w:tc>
          <w:tcPr>
            <w:tcW w:w="3402" w:type="dxa"/>
            <w:vAlign w:val="center"/>
          </w:tcPr>
          <w:p>
            <w:pPr>
              <w:pStyle w:val="14"/>
            </w:pPr>
            <w:r>
              <w:t>本年支出合计</w:t>
            </w:r>
          </w:p>
        </w:tc>
        <w:tc>
          <w:tcPr>
            <w:tcW w:w="1474" w:type="dxa"/>
            <w:vAlign w:val="center"/>
          </w:tcPr>
          <w:p>
            <w:pPr>
              <w:pStyle w:val="15"/>
            </w:pPr>
            <w:r>
              <w:t>357.32</w:t>
            </w:r>
          </w:p>
        </w:tc>
        <w:tc>
          <w:tcPr>
            <w:tcW w:w="1474" w:type="dxa"/>
            <w:vAlign w:val="center"/>
          </w:tcPr>
          <w:p>
            <w:pPr>
              <w:pStyle w:val="15"/>
            </w:pPr>
            <w:r>
              <w:t>357.32</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357.32</w:t>
            </w:r>
          </w:p>
        </w:tc>
        <w:tc>
          <w:tcPr>
            <w:tcW w:w="3402" w:type="dxa"/>
            <w:vAlign w:val="center"/>
          </w:tcPr>
          <w:p>
            <w:pPr>
              <w:pStyle w:val="14"/>
            </w:pPr>
            <w:r>
              <w:t>支出总计</w:t>
            </w:r>
          </w:p>
        </w:tc>
        <w:tc>
          <w:tcPr>
            <w:tcW w:w="1474" w:type="dxa"/>
            <w:vAlign w:val="center"/>
          </w:tcPr>
          <w:p>
            <w:pPr>
              <w:pStyle w:val="15"/>
            </w:pPr>
            <w:r>
              <w:t>357.32</w:t>
            </w:r>
          </w:p>
        </w:tc>
        <w:tc>
          <w:tcPr>
            <w:tcW w:w="1474" w:type="dxa"/>
            <w:vAlign w:val="center"/>
          </w:tcPr>
          <w:p>
            <w:pPr>
              <w:pStyle w:val="15"/>
            </w:pPr>
            <w:r>
              <w:t>357.32</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211001高邑县宣传部本级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357.32</w:t>
            </w:r>
          </w:p>
        </w:tc>
        <w:tc>
          <w:tcPr>
            <w:tcW w:w="2551" w:type="dxa"/>
            <w:vAlign w:val="center"/>
          </w:tcPr>
          <w:p>
            <w:pPr>
              <w:pStyle w:val="15"/>
            </w:pPr>
            <w:r>
              <w:t>260.59</w:t>
            </w:r>
          </w:p>
        </w:tc>
        <w:tc>
          <w:tcPr>
            <w:tcW w:w="2551" w:type="dxa"/>
            <w:vAlign w:val="center"/>
          </w:tcPr>
          <w:p>
            <w:pPr>
              <w:pStyle w:val="15"/>
            </w:pPr>
            <w:r>
              <w:t>96.73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262.58</w:t>
            </w:r>
          </w:p>
        </w:tc>
        <w:tc>
          <w:tcPr>
            <w:tcW w:w="2551" w:type="dxa"/>
            <w:vAlign w:val="center"/>
          </w:tcPr>
          <w:p>
            <w:pPr>
              <w:pStyle w:val="11"/>
            </w:pPr>
            <w:r>
              <w:t>211.40</w:t>
            </w:r>
          </w:p>
        </w:tc>
        <w:tc>
          <w:tcPr>
            <w:tcW w:w="2551" w:type="dxa"/>
            <w:vAlign w:val="center"/>
          </w:tcPr>
          <w:p>
            <w:pPr>
              <w:pStyle w:val="11"/>
            </w:pPr>
            <w:r>
              <w:t>51.19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20133</w:t>
            </w:r>
          </w:p>
        </w:tc>
        <w:tc>
          <w:tcPr>
            <w:tcW w:w="4535" w:type="dxa"/>
            <w:vAlign w:val="center"/>
          </w:tcPr>
          <w:p>
            <w:pPr>
              <w:pStyle w:val="12"/>
            </w:pPr>
            <w:r>
              <w:t>宣传事务</w:t>
            </w:r>
          </w:p>
        </w:tc>
        <w:tc>
          <w:tcPr>
            <w:tcW w:w="2551" w:type="dxa"/>
            <w:vAlign w:val="center"/>
          </w:tcPr>
          <w:p>
            <w:pPr>
              <w:pStyle w:val="11"/>
            </w:pPr>
            <w:r>
              <w:t>262.58</w:t>
            </w:r>
          </w:p>
        </w:tc>
        <w:tc>
          <w:tcPr>
            <w:tcW w:w="2551" w:type="dxa"/>
            <w:vAlign w:val="center"/>
          </w:tcPr>
          <w:p>
            <w:pPr>
              <w:pStyle w:val="11"/>
            </w:pPr>
            <w:r>
              <w:t>211.40</w:t>
            </w:r>
          </w:p>
        </w:tc>
        <w:tc>
          <w:tcPr>
            <w:tcW w:w="2551" w:type="dxa"/>
            <w:vAlign w:val="center"/>
          </w:tcPr>
          <w:p>
            <w:pPr>
              <w:pStyle w:val="11"/>
            </w:pPr>
            <w:r>
              <w:t>51.19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2013301</w:t>
            </w:r>
          </w:p>
        </w:tc>
        <w:tc>
          <w:tcPr>
            <w:tcW w:w="4535" w:type="dxa"/>
            <w:vAlign w:val="center"/>
          </w:tcPr>
          <w:p>
            <w:pPr>
              <w:pStyle w:val="12"/>
            </w:pPr>
            <w:r>
              <w:t>行政运行</w:t>
            </w:r>
          </w:p>
        </w:tc>
        <w:tc>
          <w:tcPr>
            <w:tcW w:w="2551" w:type="dxa"/>
            <w:vAlign w:val="center"/>
          </w:tcPr>
          <w:p>
            <w:pPr>
              <w:pStyle w:val="11"/>
            </w:pPr>
            <w:r>
              <w:t>211.40</w:t>
            </w:r>
          </w:p>
        </w:tc>
        <w:tc>
          <w:tcPr>
            <w:tcW w:w="2551" w:type="dxa"/>
            <w:vAlign w:val="center"/>
          </w:tcPr>
          <w:p>
            <w:pPr>
              <w:pStyle w:val="11"/>
            </w:pPr>
            <w:r>
              <w:t>211.40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2013302</w:t>
            </w:r>
          </w:p>
        </w:tc>
        <w:tc>
          <w:tcPr>
            <w:tcW w:w="4535" w:type="dxa"/>
            <w:vAlign w:val="center"/>
          </w:tcPr>
          <w:p>
            <w:pPr>
              <w:pStyle w:val="12"/>
            </w:pPr>
            <w:r>
              <w:t>一般行政管理事务</w:t>
            </w:r>
          </w:p>
        </w:tc>
        <w:tc>
          <w:tcPr>
            <w:tcW w:w="2551" w:type="dxa"/>
            <w:vAlign w:val="center"/>
          </w:tcPr>
          <w:p>
            <w:pPr>
              <w:pStyle w:val="11"/>
            </w:pPr>
            <w:r>
              <w:t>51.19</w:t>
            </w:r>
          </w:p>
        </w:tc>
        <w:tc>
          <w:tcPr>
            <w:tcW w:w="2551" w:type="dxa"/>
            <w:vAlign w:val="center"/>
          </w:tcPr>
          <w:p>
            <w:pPr>
              <w:pStyle w:val="11"/>
            </w:pPr>
          </w:p>
        </w:tc>
        <w:tc>
          <w:tcPr>
            <w:tcW w:w="2551" w:type="dxa"/>
            <w:vAlign w:val="center"/>
          </w:tcPr>
          <w:p>
            <w:pPr>
              <w:pStyle w:val="11"/>
            </w:pPr>
            <w:r>
              <w:t>51.19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45.55</w:t>
            </w:r>
          </w:p>
        </w:tc>
        <w:tc>
          <w:tcPr>
            <w:tcW w:w="2551" w:type="dxa"/>
            <w:vAlign w:val="center"/>
          </w:tcPr>
          <w:p>
            <w:pPr>
              <w:pStyle w:val="11"/>
            </w:pPr>
          </w:p>
        </w:tc>
        <w:tc>
          <w:tcPr>
            <w:tcW w:w="2551" w:type="dxa"/>
            <w:vAlign w:val="center"/>
          </w:tcPr>
          <w:p>
            <w:pPr>
              <w:pStyle w:val="11"/>
            </w:pPr>
            <w:r>
              <w:t>45.55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20799</w:t>
            </w:r>
          </w:p>
        </w:tc>
        <w:tc>
          <w:tcPr>
            <w:tcW w:w="4535" w:type="dxa"/>
            <w:vAlign w:val="center"/>
          </w:tcPr>
          <w:p>
            <w:pPr>
              <w:pStyle w:val="12"/>
            </w:pPr>
            <w:r>
              <w:t>其他文化旅游体育与传媒支出</w:t>
            </w:r>
          </w:p>
        </w:tc>
        <w:tc>
          <w:tcPr>
            <w:tcW w:w="2551" w:type="dxa"/>
            <w:vAlign w:val="center"/>
          </w:tcPr>
          <w:p>
            <w:pPr>
              <w:pStyle w:val="11"/>
            </w:pPr>
            <w:r>
              <w:t>45.55</w:t>
            </w:r>
          </w:p>
        </w:tc>
        <w:tc>
          <w:tcPr>
            <w:tcW w:w="2551" w:type="dxa"/>
            <w:vAlign w:val="center"/>
          </w:tcPr>
          <w:p>
            <w:pPr>
              <w:pStyle w:val="11"/>
            </w:pPr>
          </w:p>
        </w:tc>
        <w:tc>
          <w:tcPr>
            <w:tcW w:w="2551" w:type="dxa"/>
            <w:vAlign w:val="center"/>
          </w:tcPr>
          <w:p>
            <w:pPr>
              <w:pStyle w:val="11"/>
            </w:pPr>
            <w:r>
              <w:t>45.55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2079999</w:t>
            </w:r>
          </w:p>
        </w:tc>
        <w:tc>
          <w:tcPr>
            <w:tcW w:w="4535" w:type="dxa"/>
            <w:vAlign w:val="center"/>
          </w:tcPr>
          <w:p>
            <w:pPr>
              <w:pStyle w:val="12"/>
            </w:pPr>
            <w:r>
              <w:t>其他文化旅游体育与传媒支出</w:t>
            </w:r>
          </w:p>
        </w:tc>
        <w:tc>
          <w:tcPr>
            <w:tcW w:w="2551" w:type="dxa"/>
            <w:vAlign w:val="center"/>
          </w:tcPr>
          <w:p>
            <w:pPr>
              <w:pStyle w:val="11"/>
            </w:pPr>
            <w:r>
              <w:t>45.55</w:t>
            </w:r>
          </w:p>
        </w:tc>
        <w:tc>
          <w:tcPr>
            <w:tcW w:w="2551" w:type="dxa"/>
            <w:vAlign w:val="center"/>
          </w:tcPr>
          <w:p>
            <w:pPr>
              <w:pStyle w:val="11"/>
            </w:pPr>
          </w:p>
        </w:tc>
        <w:tc>
          <w:tcPr>
            <w:tcW w:w="2551" w:type="dxa"/>
            <w:vAlign w:val="center"/>
          </w:tcPr>
          <w:p>
            <w:pPr>
              <w:pStyle w:val="11"/>
            </w:pPr>
            <w:r>
              <w:t>45.55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18.34</w:t>
            </w:r>
          </w:p>
        </w:tc>
        <w:tc>
          <w:tcPr>
            <w:tcW w:w="2551" w:type="dxa"/>
            <w:vAlign w:val="center"/>
          </w:tcPr>
          <w:p>
            <w:pPr>
              <w:pStyle w:val="11"/>
            </w:pPr>
            <w:r>
              <w:t>18.34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17.69</w:t>
            </w:r>
          </w:p>
        </w:tc>
        <w:tc>
          <w:tcPr>
            <w:tcW w:w="2551" w:type="dxa"/>
            <w:vAlign w:val="center"/>
          </w:tcPr>
          <w:p>
            <w:pPr>
              <w:pStyle w:val="11"/>
            </w:pPr>
            <w:r>
              <w:t>17.69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0.68</w:t>
            </w:r>
          </w:p>
        </w:tc>
        <w:tc>
          <w:tcPr>
            <w:tcW w:w="2551" w:type="dxa"/>
            <w:vAlign w:val="center"/>
          </w:tcPr>
          <w:p>
            <w:pPr>
              <w:pStyle w:val="11"/>
            </w:pPr>
            <w:r>
              <w:t>0.68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17.01</w:t>
            </w:r>
          </w:p>
        </w:tc>
        <w:tc>
          <w:tcPr>
            <w:tcW w:w="2551" w:type="dxa"/>
            <w:vAlign w:val="center"/>
          </w:tcPr>
          <w:p>
            <w:pPr>
              <w:pStyle w:val="11"/>
            </w:pPr>
            <w:r>
              <w:t>17.01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0.65</w:t>
            </w:r>
          </w:p>
        </w:tc>
        <w:tc>
          <w:tcPr>
            <w:tcW w:w="2551" w:type="dxa"/>
            <w:vAlign w:val="center"/>
          </w:tcPr>
          <w:p>
            <w:pPr>
              <w:pStyle w:val="11"/>
            </w:pPr>
            <w:r>
              <w:t>0.65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0.08</w:t>
            </w:r>
          </w:p>
        </w:tc>
        <w:tc>
          <w:tcPr>
            <w:tcW w:w="2551" w:type="dxa"/>
            <w:vAlign w:val="center"/>
          </w:tcPr>
          <w:p>
            <w:pPr>
              <w:pStyle w:val="11"/>
            </w:pPr>
            <w:r>
              <w:t>0.08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0.58</w:t>
            </w:r>
          </w:p>
        </w:tc>
        <w:tc>
          <w:tcPr>
            <w:tcW w:w="2551" w:type="dxa"/>
            <w:vAlign w:val="center"/>
          </w:tcPr>
          <w:p>
            <w:pPr>
              <w:pStyle w:val="11"/>
            </w:pPr>
            <w:r>
              <w:t>0.58</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16.99</w:t>
            </w:r>
          </w:p>
        </w:tc>
        <w:tc>
          <w:tcPr>
            <w:tcW w:w="2551" w:type="dxa"/>
            <w:vAlign w:val="center"/>
          </w:tcPr>
          <w:p>
            <w:pPr>
              <w:pStyle w:val="11"/>
            </w:pPr>
            <w:r>
              <w:t>16.99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16.99</w:t>
            </w:r>
          </w:p>
        </w:tc>
        <w:tc>
          <w:tcPr>
            <w:tcW w:w="2551" w:type="dxa"/>
            <w:vAlign w:val="center"/>
          </w:tcPr>
          <w:p>
            <w:pPr>
              <w:pStyle w:val="11"/>
            </w:pPr>
            <w:r>
              <w:t>16.99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8.75</w:t>
            </w:r>
          </w:p>
        </w:tc>
        <w:tc>
          <w:tcPr>
            <w:tcW w:w="2551" w:type="dxa"/>
            <w:vAlign w:val="center"/>
          </w:tcPr>
          <w:p>
            <w:pPr>
              <w:pStyle w:val="11"/>
            </w:pPr>
            <w:r>
              <w:t>8.75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8.24</w:t>
            </w:r>
          </w:p>
        </w:tc>
        <w:tc>
          <w:tcPr>
            <w:tcW w:w="2551" w:type="dxa"/>
            <w:vAlign w:val="center"/>
          </w:tcPr>
          <w:p>
            <w:pPr>
              <w:pStyle w:val="11"/>
            </w:pPr>
            <w:r>
              <w:t>8.24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13.86</w:t>
            </w:r>
          </w:p>
        </w:tc>
        <w:tc>
          <w:tcPr>
            <w:tcW w:w="2551" w:type="dxa"/>
            <w:vAlign w:val="center"/>
          </w:tcPr>
          <w:p>
            <w:pPr>
              <w:pStyle w:val="11"/>
            </w:pPr>
            <w:r>
              <w:t>13.86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13.86</w:t>
            </w:r>
          </w:p>
        </w:tc>
        <w:tc>
          <w:tcPr>
            <w:tcW w:w="2551" w:type="dxa"/>
            <w:vAlign w:val="center"/>
          </w:tcPr>
          <w:p>
            <w:pPr>
              <w:pStyle w:val="11"/>
            </w:pPr>
            <w:r>
              <w:t>13.86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13.86</w:t>
            </w:r>
          </w:p>
        </w:tc>
        <w:tc>
          <w:tcPr>
            <w:tcW w:w="2551" w:type="dxa"/>
            <w:vAlign w:val="center"/>
          </w:tcPr>
          <w:p>
            <w:pPr>
              <w:pStyle w:val="11"/>
            </w:pPr>
            <w:r>
              <w:t>13.86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211001高邑县宣传部本级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260.59</w:t>
            </w:r>
          </w:p>
        </w:tc>
        <w:tc>
          <w:tcPr>
            <w:tcW w:w="2551" w:type="dxa"/>
            <w:vAlign w:val="center"/>
          </w:tcPr>
          <w:p>
            <w:pPr>
              <w:pStyle w:val="15"/>
            </w:pPr>
            <w:r>
              <w:t>208.61</w:t>
            </w:r>
          </w:p>
        </w:tc>
        <w:tc>
          <w:tcPr>
            <w:tcW w:w="2551" w:type="dxa"/>
            <w:vAlign w:val="center"/>
          </w:tcPr>
          <w:p>
            <w:pPr>
              <w:pStyle w:val="15"/>
            </w:pPr>
            <w:r>
              <w:t>51.98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208.37</w:t>
            </w:r>
          </w:p>
        </w:tc>
        <w:tc>
          <w:tcPr>
            <w:tcW w:w="2551" w:type="dxa"/>
            <w:vAlign w:val="center"/>
          </w:tcPr>
          <w:p>
            <w:pPr>
              <w:pStyle w:val="11"/>
            </w:pPr>
            <w:r>
              <w:t>208.37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77.95</w:t>
            </w:r>
          </w:p>
        </w:tc>
        <w:tc>
          <w:tcPr>
            <w:tcW w:w="2551" w:type="dxa"/>
            <w:vAlign w:val="center"/>
          </w:tcPr>
          <w:p>
            <w:pPr>
              <w:pStyle w:val="11"/>
            </w:pPr>
            <w:r>
              <w:t>77.95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18.43</w:t>
            </w:r>
          </w:p>
        </w:tc>
        <w:tc>
          <w:tcPr>
            <w:tcW w:w="2551" w:type="dxa"/>
            <w:vAlign w:val="center"/>
          </w:tcPr>
          <w:p>
            <w:pPr>
              <w:pStyle w:val="11"/>
            </w:pPr>
            <w:r>
              <w:t>18.43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29.32</w:t>
            </w:r>
          </w:p>
        </w:tc>
        <w:tc>
          <w:tcPr>
            <w:tcW w:w="2551" w:type="dxa"/>
            <w:vAlign w:val="center"/>
          </w:tcPr>
          <w:p>
            <w:pPr>
              <w:pStyle w:val="11"/>
            </w:pPr>
            <w:r>
              <w:t>29.32</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6.39</w:t>
            </w:r>
          </w:p>
        </w:tc>
        <w:tc>
          <w:tcPr>
            <w:tcW w:w="2551" w:type="dxa"/>
            <w:vAlign w:val="center"/>
          </w:tcPr>
          <w:p>
            <w:pPr>
              <w:pStyle w:val="11"/>
            </w:pPr>
            <w:r>
              <w:t>6.39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17.01</w:t>
            </w:r>
          </w:p>
        </w:tc>
        <w:tc>
          <w:tcPr>
            <w:tcW w:w="2551" w:type="dxa"/>
            <w:vAlign w:val="center"/>
          </w:tcPr>
          <w:p>
            <w:pPr>
              <w:pStyle w:val="11"/>
            </w:pPr>
            <w:r>
              <w:t>17.01</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8.75</w:t>
            </w:r>
          </w:p>
        </w:tc>
        <w:tc>
          <w:tcPr>
            <w:tcW w:w="2551" w:type="dxa"/>
            <w:vAlign w:val="center"/>
          </w:tcPr>
          <w:p>
            <w:pPr>
              <w:pStyle w:val="11"/>
            </w:pPr>
            <w:r>
              <w:t>8.75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8.24</w:t>
            </w:r>
          </w:p>
        </w:tc>
        <w:tc>
          <w:tcPr>
            <w:tcW w:w="2551" w:type="dxa"/>
            <w:vAlign w:val="center"/>
          </w:tcPr>
          <w:p>
            <w:pPr>
              <w:pStyle w:val="11"/>
            </w:pPr>
            <w:r>
              <w:t>8.24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0.65</w:t>
            </w:r>
          </w:p>
        </w:tc>
        <w:tc>
          <w:tcPr>
            <w:tcW w:w="2551" w:type="dxa"/>
            <w:vAlign w:val="center"/>
          </w:tcPr>
          <w:p>
            <w:pPr>
              <w:pStyle w:val="11"/>
            </w:pPr>
            <w:r>
              <w:t>0.65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13.86</w:t>
            </w:r>
          </w:p>
        </w:tc>
        <w:tc>
          <w:tcPr>
            <w:tcW w:w="2551" w:type="dxa"/>
            <w:vAlign w:val="center"/>
          </w:tcPr>
          <w:p>
            <w:pPr>
              <w:pStyle w:val="11"/>
            </w:pPr>
            <w:r>
              <w:t>13.86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27.76</w:t>
            </w:r>
          </w:p>
        </w:tc>
        <w:tc>
          <w:tcPr>
            <w:tcW w:w="2551" w:type="dxa"/>
            <w:vAlign w:val="center"/>
          </w:tcPr>
          <w:p>
            <w:pPr>
              <w:pStyle w:val="11"/>
            </w:pPr>
            <w:r>
              <w:t>27.76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51.98</w:t>
            </w:r>
          </w:p>
        </w:tc>
        <w:tc>
          <w:tcPr>
            <w:tcW w:w="2551" w:type="dxa"/>
            <w:vAlign w:val="center"/>
          </w:tcPr>
          <w:p>
            <w:pPr>
              <w:pStyle w:val="11"/>
            </w:pPr>
          </w:p>
        </w:tc>
        <w:tc>
          <w:tcPr>
            <w:tcW w:w="2551" w:type="dxa"/>
            <w:vAlign w:val="center"/>
          </w:tcPr>
          <w:p>
            <w:pPr>
              <w:pStyle w:val="11"/>
            </w:pPr>
            <w:r>
              <w:t>51.98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10.26</w:t>
            </w:r>
          </w:p>
        </w:tc>
        <w:tc>
          <w:tcPr>
            <w:tcW w:w="2551" w:type="dxa"/>
            <w:vAlign w:val="center"/>
          </w:tcPr>
          <w:p>
            <w:pPr>
              <w:pStyle w:val="11"/>
            </w:pPr>
          </w:p>
        </w:tc>
        <w:tc>
          <w:tcPr>
            <w:tcW w:w="2551" w:type="dxa"/>
            <w:vAlign w:val="center"/>
          </w:tcPr>
          <w:p>
            <w:pPr>
              <w:pStyle w:val="11"/>
            </w:pPr>
            <w:r>
              <w:t>10.26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8.70</w:t>
            </w:r>
          </w:p>
        </w:tc>
        <w:tc>
          <w:tcPr>
            <w:tcW w:w="2551" w:type="dxa"/>
            <w:vAlign w:val="center"/>
          </w:tcPr>
          <w:p>
            <w:pPr>
              <w:pStyle w:val="11"/>
            </w:pPr>
          </w:p>
        </w:tc>
        <w:tc>
          <w:tcPr>
            <w:tcW w:w="2551" w:type="dxa"/>
            <w:vAlign w:val="center"/>
          </w:tcPr>
          <w:p>
            <w:pPr>
              <w:pStyle w:val="11"/>
            </w:pPr>
            <w:r>
              <w:t>8.70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0.10</w:t>
            </w:r>
          </w:p>
        </w:tc>
        <w:tc>
          <w:tcPr>
            <w:tcW w:w="2551" w:type="dxa"/>
            <w:vAlign w:val="center"/>
          </w:tcPr>
          <w:p>
            <w:pPr>
              <w:pStyle w:val="11"/>
            </w:pPr>
          </w:p>
        </w:tc>
        <w:tc>
          <w:tcPr>
            <w:tcW w:w="2551" w:type="dxa"/>
            <w:vAlign w:val="center"/>
          </w:tcPr>
          <w:p>
            <w:pPr>
              <w:pStyle w:val="11"/>
            </w:pPr>
            <w:r>
              <w:t>0.10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30227</w:t>
            </w:r>
          </w:p>
        </w:tc>
        <w:tc>
          <w:tcPr>
            <w:tcW w:w="4535" w:type="dxa"/>
            <w:vAlign w:val="center"/>
          </w:tcPr>
          <w:p>
            <w:pPr>
              <w:pStyle w:val="12"/>
            </w:pPr>
            <w:r>
              <w:t>委托业务费</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9.48</w:t>
            </w:r>
          </w:p>
        </w:tc>
        <w:tc>
          <w:tcPr>
            <w:tcW w:w="2551" w:type="dxa"/>
            <w:vAlign w:val="center"/>
          </w:tcPr>
          <w:p>
            <w:pPr>
              <w:pStyle w:val="11"/>
            </w:pPr>
          </w:p>
        </w:tc>
        <w:tc>
          <w:tcPr>
            <w:tcW w:w="2551" w:type="dxa"/>
            <w:vAlign w:val="center"/>
          </w:tcPr>
          <w:p>
            <w:pPr>
              <w:pStyle w:val="11"/>
            </w:pPr>
            <w:r>
              <w:t>9.48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0.44</w:t>
            </w:r>
          </w:p>
        </w:tc>
        <w:tc>
          <w:tcPr>
            <w:tcW w:w="2551" w:type="dxa"/>
            <w:vAlign w:val="center"/>
          </w:tcPr>
          <w:p>
            <w:pPr>
              <w:pStyle w:val="11"/>
            </w:pPr>
          </w:p>
        </w:tc>
        <w:tc>
          <w:tcPr>
            <w:tcW w:w="2551" w:type="dxa"/>
            <w:vAlign w:val="center"/>
          </w:tcPr>
          <w:p>
            <w:pPr>
              <w:pStyle w:val="11"/>
            </w:pPr>
            <w:r>
              <w:t>0.44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0.24</w:t>
            </w:r>
          </w:p>
        </w:tc>
        <w:tc>
          <w:tcPr>
            <w:tcW w:w="2551" w:type="dxa"/>
            <w:vAlign w:val="center"/>
          </w:tcPr>
          <w:p>
            <w:pPr>
              <w:pStyle w:val="11"/>
            </w:pPr>
            <w:r>
              <w:t>0.24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0.24</w:t>
            </w:r>
          </w:p>
        </w:tc>
        <w:tc>
          <w:tcPr>
            <w:tcW w:w="2551" w:type="dxa"/>
            <w:vAlign w:val="center"/>
          </w:tcPr>
          <w:p>
            <w:pPr>
              <w:pStyle w:val="11"/>
            </w:pPr>
            <w:r>
              <w:t>0.24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211001高邑县宣传部本级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211001高邑县宣传部本级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211001高邑县宣传部本级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2.10</w:t>
            </w:r>
          </w:p>
        </w:tc>
        <w:tc>
          <w:tcPr>
            <w:tcW w:w="2381" w:type="dxa"/>
            <w:vAlign w:val="center"/>
          </w:tcPr>
          <w:p>
            <w:pPr>
              <w:pStyle w:val="15"/>
            </w:pPr>
            <w:r>
              <w:t>2.10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2.10</w:t>
            </w:r>
          </w:p>
        </w:tc>
        <w:tc>
          <w:tcPr>
            <w:tcW w:w="2381" w:type="dxa"/>
            <w:vAlign w:val="center"/>
          </w:tcPr>
          <w:p>
            <w:pPr>
              <w:pStyle w:val="11"/>
            </w:pPr>
            <w:r>
              <w:t>2.10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2.00</w:t>
            </w:r>
          </w:p>
        </w:tc>
        <w:tc>
          <w:tcPr>
            <w:tcW w:w="2381" w:type="dxa"/>
            <w:vAlign w:val="center"/>
          </w:tcPr>
          <w:p>
            <w:pPr>
              <w:pStyle w:val="11"/>
            </w:pPr>
            <w:r>
              <w:t>2.00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2.00</w:t>
            </w:r>
          </w:p>
        </w:tc>
        <w:tc>
          <w:tcPr>
            <w:tcW w:w="2381" w:type="dxa"/>
            <w:vAlign w:val="center"/>
          </w:tcPr>
          <w:p>
            <w:pPr>
              <w:pStyle w:val="11"/>
            </w:pPr>
            <w:r>
              <w:t>2.00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r>
              <w:t>0.10</w:t>
            </w:r>
          </w:p>
        </w:tc>
        <w:tc>
          <w:tcPr>
            <w:tcW w:w="2381" w:type="dxa"/>
            <w:vAlign w:val="center"/>
          </w:tcPr>
          <w:p>
            <w:pPr>
              <w:pStyle w:val="11"/>
            </w:pPr>
            <w:r>
              <w:t>0.10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高邑县宣传部本级2025年单位预算信息公开情况说明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按照《中华人民共和国预算法》、《地方预决算公开操作规程》和《关于进一步推进预算公开工作的实施意见》规定，现将高邑县宣传部本级2025年单位预算公开如下：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keepNext w:val="0"/>
        <w:keepLines w:val="0"/>
        <w:widowControl/>
        <w:suppressLineNumbers w:val="0"/>
        <w:spacing w:before="0" w:beforeAutospacing="0" w:after="0" w:afterAutospacing="0" w:line="15" w:lineRule="atLeast"/>
        <w:ind w:left="0" w:right="0" w:firstLine="0"/>
        <w:jc w:val="left"/>
        <w:rPr>
          <w:rFonts w:hint="default" w:ascii="Times New Roman" w:hAnsi="Times New Roman" w:eastAsia="方正仿宋_GBK" w:cs="Times New Roman"/>
          <w:sz w:val="28"/>
          <w:szCs w:val="20"/>
        </w:rPr>
      </w:pPr>
      <w:r>
        <w:rPr>
          <w:rFonts w:hint="eastAsia" w:ascii="Times New Roman" w:hAnsi="Times New Roman" w:eastAsia="方正仿宋_GBK" w:cs="Times New Roman"/>
          <w:sz w:val="28"/>
          <w:szCs w:val="20"/>
          <w:lang w:val="en-US" w:eastAsia="zh-CN"/>
        </w:rPr>
        <w:t>(一)拟定全县宣传思想文化工作重大方针政策和事业发展总体规划，统筹协调推进宣传思想文化领域法治建设，按照县委统一部署，协调宣传思想文化系统各部门之间的工作。</w:t>
      </w:r>
    </w:p>
    <w:p>
      <w:pPr>
        <w:keepNext w:val="0"/>
        <w:keepLines w:val="0"/>
        <w:widowControl/>
        <w:suppressLineNumbers w:val="0"/>
        <w:spacing w:before="0" w:beforeAutospacing="0" w:after="0" w:afterAutospacing="0" w:line="15" w:lineRule="atLeast"/>
        <w:ind w:left="0" w:right="0" w:firstLine="0"/>
        <w:jc w:val="left"/>
        <w:rPr>
          <w:rFonts w:hint="default" w:ascii="Times New Roman" w:hAnsi="Times New Roman" w:eastAsia="方正仿宋_GBK" w:cs="Times New Roman"/>
          <w:sz w:val="28"/>
          <w:szCs w:val="20"/>
        </w:rPr>
      </w:pPr>
      <w:r>
        <w:rPr>
          <w:rFonts w:hint="eastAsia" w:ascii="Times New Roman" w:hAnsi="Times New Roman" w:eastAsia="方正仿宋_GBK" w:cs="Times New Roman"/>
          <w:sz w:val="28"/>
          <w:szCs w:val="20"/>
          <w:lang w:val="en-US" w:eastAsia="zh-CN"/>
        </w:rPr>
        <w:t>(二)统筹协调全县党的意识形态工作，贯彻落实县委关于意识形态工作决策部署，组织协调意识形态工作责任制落实和目常监督检查。</w:t>
      </w:r>
    </w:p>
    <w:p>
      <w:pPr>
        <w:keepNext w:val="0"/>
        <w:keepLines w:val="0"/>
        <w:widowControl/>
        <w:suppressLineNumbers w:val="0"/>
        <w:spacing w:before="0" w:beforeAutospacing="0" w:after="0" w:afterAutospacing="0" w:line="15" w:lineRule="atLeast"/>
        <w:ind w:left="0" w:right="0" w:firstLine="0"/>
        <w:jc w:val="left"/>
        <w:rPr>
          <w:rFonts w:hint="default" w:ascii="Times New Roman" w:hAnsi="Times New Roman" w:eastAsia="方正仿宋_GBK" w:cs="Times New Roman"/>
          <w:sz w:val="28"/>
          <w:szCs w:val="20"/>
        </w:rPr>
      </w:pPr>
      <w:r>
        <w:rPr>
          <w:rFonts w:hint="eastAsia" w:ascii="Times New Roman" w:hAnsi="Times New Roman" w:eastAsia="方正仿宋_GBK" w:cs="Times New Roman"/>
          <w:sz w:val="28"/>
          <w:szCs w:val="20"/>
          <w:lang w:val="en-US" w:eastAsia="zh-CN"/>
        </w:rPr>
        <w:t>（三）统筹指导协调全县理论研究、理论学习、理论宣传工作，组织推动理论武装工作，推动落实马克思主义理论研究和建设工程任务。负责县委理论学习中心组理论学习的有关工作。</w:t>
      </w:r>
    </w:p>
    <w:p>
      <w:pPr>
        <w:keepNext w:val="0"/>
        <w:keepLines w:val="0"/>
        <w:widowControl/>
        <w:suppressLineNumbers w:val="0"/>
        <w:spacing w:before="0" w:beforeAutospacing="0" w:after="0" w:afterAutospacing="0" w:line="15" w:lineRule="atLeast"/>
        <w:ind w:left="0" w:right="0" w:firstLine="0"/>
        <w:jc w:val="left"/>
        <w:rPr>
          <w:rFonts w:hint="default" w:ascii="Times New Roman" w:hAnsi="Times New Roman" w:eastAsia="方正仿宋_GBK" w:cs="Times New Roman"/>
          <w:sz w:val="28"/>
          <w:szCs w:val="20"/>
        </w:rPr>
      </w:pPr>
      <w:r>
        <w:rPr>
          <w:rFonts w:hint="eastAsia" w:ascii="Times New Roman" w:hAnsi="Times New Roman" w:eastAsia="方正仿宋_GBK" w:cs="Times New Roman"/>
          <w:sz w:val="28"/>
          <w:szCs w:val="20"/>
          <w:lang w:val="en-US" w:eastAsia="zh-CN"/>
        </w:rPr>
        <w:t>(四)负责规划组织全县全局性思想政治工作任务，组织对先进典型的学习推广。配合县委组织部做好基层党员教育工作，会同有关部门研究和改进群众思想教育工作。负责指导协调全县爱国主义教育基地的建设、管理、使用。负责全县国防教育工作。</w:t>
      </w:r>
    </w:p>
    <w:p>
      <w:pPr>
        <w:keepNext w:val="0"/>
        <w:keepLines w:val="0"/>
        <w:widowControl/>
        <w:suppressLineNumbers w:val="0"/>
        <w:spacing w:before="0" w:beforeAutospacing="0" w:after="0" w:afterAutospacing="0" w:line="15" w:lineRule="atLeast"/>
        <w:ind w:left="0" w:right="0" w:firstLine="0"/>
        <w:jc w:val="left"/>
        <w:rPr>
          <w:rFonts w:hint="default" w:ascii="Times New Roman" w:hAnsi="Times New Roman" w:eastAsia="方正仿宋_GBK" w:cs="Times New Roman"/>
          <w:sz w:val="28"/>
          <w:szCs w:val="20"/>
        </w:rPr>
      </w:pPr>
      <w:r>
        <w:rPr>
          <w:rFonts w:hint="eastAsia" w:ascii="Times New Roman" w:hAnsi="Times New Roman" w:eastAsia="方正仿宋_GBK" w:cs="Times New Roman"/>
          <w:sz w:val="28"/>
          <w:szCs w:val="20"/>
          <w:lang w:val="en-US" w:eastAsia="zh-CN"/>
        </w:rPr>
        <w:t>(五)统筹分析研判和引导全县社会舆论，指导协调县直各新闻单位的工作，组织全县突发公共事件应急新闻工作。</w:t>
      </w:r>
    </w:p>
    <w:p>
      <w:pPr>
        <w:keepNext w:val="0"/>
        <w:keepLines w:val="0"/>
        <w:widowControl/>
        <w:suppressLineNumbers w:val="0"/>
        <w:spacing w:before="0" w:beforeAutospacing="0" w:after="0" w:afterAutospacing="0" w:line="15" w:lineRule="atLeast"/>
        <w:ind w:left="0" w:right="0" w:firstLine="0"/>
        <w:jc w:val="left"/>
        <w:rPr>
          <w:rFonts w:hint="default" w:ascii="Times New Roman" w:hAnsi="Times New Roman" w:eastAsia="方正仿宋_GBK" w:cs="Times New Roman"/>
          <w:sz w:val="28"/>
          <w:szCs w:val="20"/>
        </w:rPr>
      </w:pPr>
      <w:r>
        <w:rPr>
          <w:rFonts w:hint="eastAsia" w:ascii="Times New Roman" w:hAnsi="Times New Roman" w:eastAsia="方正仿宋_GBK" w:cs="Times New Roman"/>
          <w:sz w:val="28"/>
          <w:szCs w:val="20"/>
          <w:lang w:val="en-US" w:eastAsia="zh-CN"/>
        </w:rPr>
        <w:t>（六）拟定全县新闻出版业的管理政策并督促落实，管理新闻出版行政事务，统筹规划和指导协调新闻出版事业、产业发展，监督管理岀版物内容和质量，监督管理印刷业，管理著作权，管理出版物进出口等。组织指导协调全县“扫黄打非”工作。负责全县新闻记者证的审核管理。</w:t>
      </w:r>
    </w:p>
    <w:p>
      <w:pPr>
        <w:keepNext w:val="0"/>
        <w:keepLines w:val="0"/>
        <w:widowControl/>
        <w:suppressLineNumbers w:val="0"/>
        <w:spacing w:before="0" w:beforeAutospacing="0" w:after="0" w:afterAutospacing="0" w:line="15" w:lineRule="atLeast"/>
        <w:ind w:left="0" w:right="0" w:firstLine="0"/>
        <w:jc w:val="left"/>
        <w:rPr>
          <w:rFonts w:hint="default" w:ascii="Times New Roman" w:hAnsi="Times New Roman" w:eastAsia="方正仿宋_GBK" w:cs="Times New Roman"/>
          <w:sz w:val="28"/>
          <w:szCs w:val="20"/>
        </w:rPr>
      </w:pPr>
      <w:r>
        <w:rPr>
          <w:rFonts w:hint="eastAsia" w:ascii="Times New Roman" w:hAnsi="Times New Roman" w:eastAsia="方正仿宋_GBK" w:cs="Times New Roman"/>
          <w:sz w:val="28"/>
          <w:szCs w:val="20"/>
          <w:lang w:val="en-US" w:eastAsia="zh-CN"/>
        </w:rPr>
        <w:t>(七)从宏观上统筹指导协调全县互联网宜传和信息内容管理工作。统筹数字新媒体的建设和管理。</w:t>
      </w:r>
    </w:p>
    <w:p>
      <w:pPr>
        <w:keepNext w:val="0"/>
        <w:keepLines w:val="0"/>
        <w:widowControl/>
        <w:suppressLineNumbers w:val="0"/>
        <w:spacing w:before="0" w:beforeAutospacing="0" w:after="0" w:afterAutospacing="0" w:line="15" w:lineRule="atLeast"/>
        <w:ind w:left="0" w:right="0" w:firstLine="0"/>
        <w:jc w:val="left"/>
        <w:rPr>
          <w:rFonts w:hint="default" w:ascii="Times New Roman" w:hAnsi="Times New Roman" w:eastAsia="方正仿宋_GBK" w:cs="Times New Roman"/>
          <w:sz w:val="28"/>
          <w:szCs w:val="20"/>
        </w:rPr>
      </w:pPr>
      <w:r>
        <w:rPr>
          <w:rFonts w:hint="eastAsia" w:ascii="Times New Roman" w:hAnsi="Times New Roman" w:eastAsia="方正仿宋_GBK" w:cs="Times New Roman"/>
          <w:sz w:val="28"/>
          <w:szCs w:val="20"/>
          <w:lang w:val="en-US" w:eastAsia="zh-CN"/>
        </w:rPr>
        <w:t>(八)从宏观上统筹指导协调推动全县精神文化产品的创作和生产，协调组织中华优秀传统文化传承发展有关工作，指导协调推动群众文化建设。</w:t>
      </w:r>
    </w:p>
    <w:p>
      <w:pPr>
        <w:keepNext w:val="0"/>
        <w:keepLines w:val="0"/>
        <w:widowControl/>
        <w:suppressLineNumbers w:val="0"/>
        <w:spacing w:before="0" w:beforeAutospacing="0" w:after="0" w:afterAutospacing="0" w:line="15" w:lineRule="atLeast"/>
        <w:ind w:left="0" w:right="0" w:firstLine="0"/>
        <w:jc w:val="left"/>
        <w:rPr>
          <w:rFonts w:hint="default" w:ascii="Times New Roman" w:hAnsi="Times New Roman" w:eastAsia="方正仿宋_GBK" w:cs="Times New Roman"/>
          <w:sz w:val="28"/>
          <w:szCs w:val="20"/>
        </w:rPr>
      </w:pPr>
      <w:r>
        <w:rPr>
          <w:rFonts w:hint="eastAsia" w:ascii="Times New Roman" w:hAnsi="Times New Roman" w:eastAsia="方正仿宋_GBK" w:cs="Times New Roman"/>
          <w:sz w:val="28"/>
          <w:szCs w:val="20"/>
          <w:lang w:val="en-US" w:eastAsia="zh-CN"/>
        </w:rPr>
        <w:t>(九)负责管理全县电影行政事务，指导监管电影制片、发行、放映工作，组织对电影内容进行审查，指导协调全县性重大电影活动。</w:t>
      </w:r>
    </w:p>
    <w:p>
      <w:pPr>
        <w:keepNext w:val="0"/>
        <w:keepLines w:val="0"/>
        <w:widowControl/>
        <w:suppressLineNumbers w:val="0"/>
        <w:spacing w:before="0" w:beforeAutospacing="0" w:after="0" w:afterAutospacing="0" w:line="15" w:lineRule="atLeast"/>
        <w:ind w:left="0" w:right="0" w:firstLine="0"/>
        <w:jc w:val="left"/>
        <w:rPr>
          <w:rFonts w:hint="default" w:ascii="Times New Roman" w:hAnsi="Times New Roman" w:eastAsia="方正仿宋_GBK" w:cs="Times New Roman"/>
          <w:sz w:val="28"/>
          <w:szCs w:val="20"/>
        </w:rPr>
      </w:pPr>
      <w:r>
        <w:rPr>
          <w:rFonts w:hint="eastAsia" w:ascii="Times New Roman" w:hAnsi="Times New Roman" w:eastAsia="方正仿宋_GBK" w:cs="Times New Roman"/>
          <w:sz w:val="28"/>
          <w:szCs w:val="20"/>
          <w:lang w:val="en-US" w:eastAsia="zh-CN"/>
        </w:rPr>
        <w:t>(十)对全县新闻出版、广播影视、文化艺术业改革发展研究提出政策性建议，统筹指导协调文化体制改革和文化事业、文化产业及旅游业发展，负责县级文化企业国有资产监督管理。承担县文化体制改革和发展工作领导小组办公室日常工作。</w:t>
      </w:r>
    </w:p>
    <w:p>
      <w:pPr>
        <w:keepNext w:val="0"/>
        <w:keepLines w:val="0"/>
        <w:widowControl/>
        <w:suppressLineNumbers w:val="0"/>
        <w:spacing w:before="0" w:beforeAutospacing="0" w:after="0" w:afterAutospacing="0" w:line="15" w:lineRule="atLeast"/>
        <w:ind w:left="0" w:right="0" w:firstLine="0"/>
        <w:jc w:val="left"/>
        <w:rPr>
          <w:rFonts w:hint="default" w:ascii="Times New Roman" w:hAnsi="Times New Roman" w:eastAsia="方正仿宋_GBK" w:cs="Times New Roman"/>
          <w:sz w:val="28"/>
          <w:szCs w:val="20"/>
        </w:rPr>
      </w:pPr>
      <w:r>
        <w:rPr>
          <w:rFonts w:hint="eastAsia" w:ascii="Times New Roman" w:hAnsi="Times New Roman" w:eastAsia="方正仿宋_GBK" w:cs="Times New Roman"/>
          <w:sz w:val="28"/>
          <w:szCs w:val="20"/>
          <w:lang w:val="en-US" w:eastAsia="zh-CN"/>
        </w:rPr>
        <w:t>(十-)统筹指导全县舆情信息工作，组织协调开展县内外舆情信息收集分析研判工作，跟踪了解、研究掌握宣传舆情动态。</w:t>
      </w:r>
    </w:p>
    <w:p>
      <w:pPr>
        <w:keepNext w:val="0"/>
        <w:keepLines w:val="0"/>
        <w:widowControl/>
        <w:suppressLineNumbers w:val="0"/>
        <w:spacing w:before="0" w:beforeAutospacing="0" w:after="0" w:afterAutospacing="0" w:line="15" w:lineRule="atLeast"/>
        <w:ind w:left="0" w:right="0" w:firstLine="0"/>
        <w:jc w:val="left"/>
        <w:rPr>
          <w:rFonts w:hint="default" w:ascii="Times New Roman" w:hAnsi="Times New Roman" w:eastAsia="方正仿宋_GBK" w:cs="Times New Roman"/>
          <w:sz w:val="28"/>
          <w:szCs w:val="20"/>
        </w:rPr>
      </w:pPr>
      <w:r>
        <w:rPr>
          <w:rFonts w:hint="eastAsia" w:ascii="Times New Roman" w:hAnsi="Times New Roman" w:eastAsia="方正仿宋_GBK" w:cs="Times New Roman"/>
          <w:sz w:val="28"/>
          <w:szCs w:val="20"/>
          <w:lang w:val="en-US" w:eastAsia="zh-CN"/>
        </w:rPr>
        <w:t>(十二)统筹研究拟定有关全县精神文明建设的方针、政策规划部署全县精神文明建设工作，组织指导全县群众性精神文明创建活动。</w:t>
      </w:r>
    </w:p>
    <w:p>
      <w:pPr>
        <w:keepNext w:val="0"/>
        <w:keepLines w:val="0"/>
        <w:widowControl/>
        <w:suppressLineNumbers w:val="0"/>
        <w:spacing w:before="0" w:beforeAutospacing="0" w:after="0" w:afterAutospacing="0" w:line="15" w:lineRule="atLeast"/>
        <w:ind w:left="0" w:right="0" w:firstLine="0"/>
        <w:jc w:val="left"/>
        <w:rPr>
          <w:rFonts w:hint="default" w:ascii="Times New Roman" w:hAnsi="Times New Roman" w:eastAsia="方正仿宋_GBK" w:cs="Times New Roman"/>
          <w:sz w:val="28"/>
          <w:szCs w:val="20"/>
        </w:rPr>
      </w:pPr>
      <w:r>
        <w:rPr>
          <w:rFonts w:hint="eastAsia" w:ascii="Times New Roman" w:hAnsi="Times New Roman" w:eastAsia="方正仿宋_GBK" w:cs="Times New Roman"/>
          <w:sz w:val="28"/>
          <w:szCs w:val="20"/>
          <w:lang w:val="en-US" w:eastAsia="zh-CN"/>
        </w:rPr>
        <w:t>(十三)统筹协调全县对外宣传工作。指导协调有关部门研究拟定全县对外宣传事业发展规划，组织协调我县对外宣传文化交流工作，会同有关部门做好境外记者采访事务方面工作。</w:t>
      </w:r>
    </w:p>
    <w:p>
      <w:pPr>
        <w:keepNext w:val="0"/>
        <w:keepLines w:val="0"/>
        <w:widowControl/>
        <w:suppressLineNumbers w:val="0"/>
        <w:spacing w:before="0" w:beforeAutospacing="0" w:after="0" w:afterAutospacing="0" w:line="15" w:lineRule="atLeast"/>
        <w:ind w:left="0" w:right="0" w:firstLine="0"/>
        <w:jc w:val="left"/>
        <w:rPr>
          <w:rFonts w:hint="default" w:ascii="Times New Roman" w:hAnsi="Times New Roman" w:eastAsia="方正仿宋_GBK" w:cs="Times New Roman"/>
          <w:sz w:val="28"/>
          <w:szCs w:val="20"/>
        </w:rPr>
      </w:pPr>
      <w:r>
        <w:rPr>
          <w:rFonts w:hint="eastAsia" w:ascii="Times New Roman" w:hAnsi="Times New Roman" w:eastAsia="方正仿宋_GBK" w:cs="Times New Roman"/>
          <w:sz w:val="28"/>
          <w:szCs w:val="20"/>
          <w:lang w:val="en-US" w:eastAsia="zh-CN"/>
        </w:rPr>
        <w:t>(十四)统筹协调组织开展新闻发布工作。承担县委新闻发布有关组织协调工作，负责县政府新闻发布组织实施工作。</w:t>
      </w:r>
    </w:p>
    <w:p>
      <w:pPr>
        <w:keepNext w:val="0"/>
        <w:keepLines w:val="0"/>
        <w:widowControl/>
        <w:suppressLineNumbers w:val="0"/>
        <w:spacing w:before="0" w:beforeAutospacing="0" w:after="0" w:afterAutospacing="0" w:line="15" w:lineRule="atLeast"/>
        <w:ind w:left="0" w:right="0" w:firstLine="0"/>
        <w:jc w:val="left"/>
        <w:rPr>
          <w:rFonts w:hint="default" w:ascii="Times New Roman" w:hAnsi="Times New Roman" w:eastAsia="方正仿宋_GBK" w:cs="Times New Roman"/>
          <w:sz w:val="28"/>
          <w:szCs w:val="20"/>
        </w:rPr>
      </w:pPr>
      <w:r>
        <w:rPr>
          <w:rFonts w:hint="eastAsia" w:ascii="Times New Roman" w:hAnsi="Times New Roman" w:eastAsia="方正仿宋_GBK" w:cs="Times New Roman"/>
          <w:sz w:val="28"/>
          <w:szCs w:val="20"/>
          <w:lang w:val="en-US" w:eastAsia="zh-CN"/>
        </w:rPr>
        <w:t>（十五）受县委委托，会同县委组织部管理新闻、文化、社会科学研究和互联网信息等方面县直宣传思想文化单位的领导干部。对各乡(镇)党委宣传委员的任免提出意见。负责有关重要宣传舆论阵地和重要岗位领导干部管理工作。统筹组织开展宣传思想文化系统干部教育培训和人才工作。</w:t>
      </w:r>
    </w:p>
    <w:p>
      <w:pPr>
        <w:keepNext w:val="0"/>
        <w:keepLines w:val="0"/>
        <w:widowControl/>
        <w:suppressLineNumbers w:val="0"/>
        <w:spacing w:before="0" w:beforeAutospacing="0" w:after="0" w:afterAutospacing="0" w:line="15" w:lineRule="atLeast"/>
        <w:ind w:left="0" w:right="0" w:firstLine="0"/>
        <w:jc w:val="left"/>
        <w:rPr>
          <w:rFonts w:hint="default" w:ascii="Times New Roman" w:hAnsi="Times New Roman" w:eastAsia="方正仿宋_GBK" w:cs="Times New Roman"/>
          <w:sz w:val="28"/>
          <w:szCs w:val="20"/>
        </w:rPr>
      </w:pPr>
      <w:r>
        <w:rPr>
          <w:rFonts w:hint="eastAsia" w:ascii="Times New Roman" w:hAnsi="Times New Roman" w:eastAsia="方正仿宋_GBK" w:cs="Times New Roman"/>
          <w:sz w:val="28"/>
          <w:szCs w:val="20"/>
          <w:lang w:val="en-US" w:eastAsia="zh-CN"/>
        </w:rPr>
        <w:t>(十六)对县委网络安全和信息化委员会办公室(县互联网信息办公室)互联网宣传和信息内容管理方面的工作实施方针政策的指导。归口领导县文化广电体育和旅游局、高邑县广播电视台(高邑县传媒中心)。受县委委托，代管县文联。</w:t>
      </w:r>
    </w:p>
    <w:p>
      <w:pPr>
        <w:keepNext w:val="0"/>
        <w:keepLines w:val="0"/>
        <w:widowControl/>
        <w:suppressLineNumbers w:val="0"/>
        <w:spacing w:before="0" w:beforeAutospacing="0" w:after="0" w:afterAutospacing="0" w:line="15" w:lineRule="atLeast"/>
        <w:ind w:left="0" w:right="0" w:firstLine="0"/>
        <w:jc w:val="left"/>
        <w:rPr>
          <w:rFonts w:hint="eastAsia" w:ascii="Times New Roman" w:hAnsi="Times New Roman" w:eastAsia="方正仿宋_GBK" w:cs="Times New Roman"/>
          <w:sz w:val="28"/>
          <w:szCs w:val="20"/>
        </w:rPr>
      </w:pPr>
      <w:r>
        <w:rPr>
          <w:rFonts w:hint="eastAsia" w:ascii="Times New Roman" w:hAnsi="Times New Roman" w:eastAsia="方正仿宋_GBK" w:cs="Times New Roman"/>
          <w:sz w:val="28"/>
          <w:szCs w:val="20"/>
          <w:lang w:val="en-US" w:eastAsia="zh-CN"/>
        </w:rPr>
        <w:t>(十七)完成县委交办的其他任务。</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高邑县宣传部本级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按照预算管理有关规定，目前我省</w:t>
      </w:r>
      <w:r>
        <w:rPr>
          <w:rFonts w:hint="eastAsia"/>
          <w:lang w:eastAsia="zh-CN"/>
        </w:rPr>
        <w:t>单位</w:t>
      </w:r>
      <w:r>
        <w:t>预算的编制实行综合预算制度，即全部收入和支出都反映在预算中。</w:t>
      </w:r>
    </w:p>
    <w:p>
      <w:pPr>
        <w:pStyle w:val="18"/>
      </w:pPr>
      <w:r>
        <w:t>1.收入说明</w:t>
      </w:r>
    </w:p>
    <w:p>
      <w:pPr>
        <w:pStyle w:val="18"/>
      </w:pPr>
      <w:r>
        <w:t>反映本</w:t>
      </w:r>
      <w:r>
        <w:rPr>
          <w:rFonts w:hint="eastAsia"/>
          <w:lang w:eastAsia="zh-CN"/>
        </w:rPr>
        <w:t>单位</w:t>
      </w:r>
      <w:r>
        <w:t>当年全部收入。2025年预算收入357.32万元。其中，一般公共预算拨款收入357.32万元、基金预算拨款收入0万元、国有资本经营预算拨款收入0元、财政专户核拨收入0万元，其他来源收入0万元。</w:t>
      </w:r>
    </w:p>
    <w:p>
      <w:pPr>
        <w:pStyle w:val="18"/>
      </w:pPr>
      <w:r>
        <w:t>2.支出说明</w:t>
      </w:r>
    </w:p>
    <w:p>
      <w:pPr>
        <w:pStyle w:val="18"/>
      </w:pPr>
      <w:r>
        <w:t>收支预算总表支出栏、基本支出表、项目支出表按经济分类和支出功能分类科目编制，反映年度</w:t>
      </w:r>
      <w:r>
        <w:rPr>
          <w:rFonts w:hint="eastAsia"/>
          <w:lang w:eastAsia="zh-CN"/>
        </w:rPr>
        <w:t>单位</w:t>
      </w:r>
      <w:r>
        <w:t>预算中支出预算的总体情况。2025年支出预算357.32万元。其中，基本支出260.59万元，包括人员经费和日常公用经费；一般公共预算财政拨款项目支出96.73万元，部门预算政府基金财政拨款0万元。其他支出0万元。</w:t>
      </w:r>
    </w:p>
    <w:p>
      <w:pPr>
        <w:pStyle w:val="18"/>
      </w:pPr>
      <w:r>
        <w:t>3.比上年增减情况</w:t>
      </w:r>
    </w:p>
    <w:p>
      <w:pPr>
        <w:pStyle w:val="18"/>
      </w:pPr>
      <w:r>
        <w:t>2025年预算收支安排357.32万元，较2024年预算增加41.65元，增加14%。主要为招录人员，工资增多。其中：基本支出增加34.32元，增加16%，主要为招录人员，工资增加；一般公共预算财政拨款项目支出增加10.32万元，增加12%。主要为活动增加；政府基金财政拨款减少3万元。减少100%。其他支出增加0万元，增长0%。</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机关运行经费共计安排51.98万元，为日常公用经费总体安排情况，包括办公费、印刷费、邮电费、差旅费、维修（护）费、会议费、培训费、公务接待费、劳务费、公务用车运行维护费、其他交通费用、办公设备购置费及其他费用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2025年，我</w:t>
      </w:r>
      <w:r>
        <w:rPr>
          <w:rFonts w:hint="eastAsia"/>
          <w:lang w:eastAsia="zh-CN"/>
        </w:rPr>
        <w:t>单位</w:t>
      </w:r>
      <w:r>
        <w:t>“三公”经费预算安排2.1万元，比上年减少0.02万元。其中，因公出国（境）费0万元，与上年持平；公务用车购置及运维费2万元(其中公务用车购置费0万元，公务用车运行维护费2万元），与上年持平；公务接待费0.1万元，比上年减少0.02万元。主要是厉行节约，减少开支。</w:t>
      </w:r>
    </w:p>
    <w:p>
      <w:pPr>
        <w:pStyle w:val="20"/>
      </w:pP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1、2025年省级公共文化服务体系建设补助资金绩效目标表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13012725P00005010001T</w:t>
            </w:r>
          </w:p>
        </w:tc>
        <w:tc>
          <w:tcPr>
            <w:tcW w:w="2835" w:type="dxa"/>
            <w:vAlign w:val="center"/>
          </w:tcPr>
          <w:p>
            <w:pPr>
              <w:pStyle w:val="10"/>
            </w:pPr>
            <w:r>
              <w:t>项目名称</w:t>
            </w:r>
          </w:p>
        </w:tc>
        <w:tc>
          <w:tcPr>
            <w:tcW w:w="6095" w:type="dxa"/>
            <w:gridSpan w:val="3"/>
            <w:vAlign w:val="center"/>
          </w:tcPr>
          <w:p>
            <w:pPr>
              <w:pStyle w:val="12"/>
            </w:pPr>
            <w:r>
              <w:t>2025年省级公共文化服务体系建设补助资金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7.01</w:t>
            </w:r>
          </w:p>
        </w:tc>
        <w:tc>
          <w:tcPr>
            <w:tcW w:w="2835" w:type="dxa"/>
            <w:vAlign w:val="center"/>
          </w:tcPr>
          <w:p>
            <w:pPr>
              <w:pStyle w:val="10"/>
            </w:pPr>
            <w:r>
              <w:t>其中：财政    资金</w:t>
            </w:r>
          </w:p>
        </w:tc>
        <w:tc>
          <w:tcPr>
            <w:tcW w:w="2551" w:type="dxa"/>
            <w:vAlign w:val="center"/>
          </w:tcPr>
          <w:p>
            <w:pPr>
              <w:pStyle w:val="12"/>
            </w:pPr>
            <w:r>
              <w:t>7.01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老放映员补贴这一惠民政策，全县28个电影放映员，年龄满60周岁，从事电影放映工作满1年补助20元。妥善解决老放映员的保障和生活困难问题。农村公益电影放映实现了107个村每月每村1场电影，每场电影补助200元；保障农民群众观看公益电影。</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w:t>
            </w:r>
          </w:p>
        </w:tc>
        <w:tc>
          <w:tcPr>
            <w:tcW w:w="2835" w:type="dxa"/>
            <w:vAlign w:val="center"/>
          </w:tcPr>
          <w:p>
            <w:pPr>
              <w:pStyle w:val="13"/>
            </w:pPr>
            <w:r>
              <w:t>4.00</w:t>
            </w:r>
          </w:p>
        </w:tc>
        <w:tc>
          <w:tcPr>
            <w:tcW w:w="2551" w:type="dxa"/>
            <w:vAlign w:val="center"/>
          </w:tcPr>
          <w:p>
            <w:pPr>
              <w:pStyle w:val="13"/>
            </w:pPr>
            <w:r>
              <w:t>6.00</w:t>
            </w:r>
          </w:p>
        </w:tc>
        <w:tc>
          <w:tcPr>
            <w:tcW w:w="3544" w:type="dxa"/>
            <w:gridSpan w:val="2"/>
            <w:vAlign w:val="center"/>
          </w:tcPr>
          <w:p>
            <w:pPr>
              <w:pStyle w:val="13"/>
            </w:pPr>
            <w:r>
              <w:t>7.01</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老放映员补贴这一惠民政策，全县28个电影放映员，年龄满60周岁，从事电影放映工作满1年补助20元。妥善解决老放映员的保障和生活困难问题。农村公益电影放映实现了107个村每月每村1场电影，每场电影补助200元；保障农民群众观看公益电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补助个人（家庭）数量（人/户）</w:t>
            </w:r>
          </w:p>
        </w:tc>
        <w:tc>
          <w:tcPr>
            <w:tcW w:w="5386" w:type="dxa"/>
            <w:vAlign w:val="center"/>
          </w:tcPr>
          <w:p>
            <w:pPr>
              <w:pStyle w:val="12"/>
            </w:pPr>
            <w:r>
              <w:t>补助个人（家庭）数量（人/户）</w:t>
            </w:r>
          </w:p>
        </w:tc>
        <w:tc>
          <w:tcPr>
            <w:tcW w:w="2268" w:type="dxa"/>
            <w:vAlign w:val="center"/>
          </w:tcPr>
          <w:p>
            <w:pPr>
              <w:pStyle w:val="12"/>
            </w:pPr>
            <w:r>
              <w:t>21人</w:t>
            </w:r>
          </w:p>
        </w:tc>
        <w:tc>
          <w:tcPr>
            <w:tcW w:w="1276" w:type="dxa"/>
            <w:vAlign w:val="center"/>
          </w:tcPr>
          <w:p>
            <w:pPr>
              <w:pStyle w:val="12"/>
            </w:pPr>
            <w:r>
              <w:t>行内标准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放映场次</w:t>
            </w:r>
          </w:p>
        </w:tc>
        <w:tc>
          <w:tcPr>
            <w:tcW w:w="5386" w:type="dxa"/>
            <w:vAlign w:val="center"/>
          </w:tcPr>
          <w:p>
            <w:pPr>
              <w:pStyle w:val="12"/>
            </w:pPr>
            <w:r>
              <w:t>全年农村公益电影总放映场次</w:t>
            </w:r>
          </w:p>
        </w:tc>
        <w:tc>
          <w:tcPr>
            <w:tcW w:w="2268" w:type="dxa"/>
            <w:vAlign w:val="center"/>
          </w:tcPr>
          <w:p>
            <w:pPr>
              <w:pStyle w:val="12"/>
            </w:pPr>
            <w:r>
              <w:t>≥1284场</w:t>
            </w:r>
          </w:p>
        </w:tc>
        <w:tc>
          <w:tcPr>
            <w:tcW w:w="1276" w:type="dxa"/>
            <w:vAlign w:val="center"/>
          </w:tcPr>
          <w:p>
            <w:pPr>
              <w:pStyle w:val="12"/>
            </w:pPr>
            <w:r>
              <w:t>行内标准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放映质量</w:t>
            </w:r>
          </w:p>
        </w:tc>
        <w:tc>
          <w:tcPr>
            <w:tcW w:w="5386" w:type="dxa"/>
            <w:vAlign w:val="center"/>
          </w:tcPr>
          <w:p>
            <w:pPr>
              <w:pStyle w:val="12"/>
            </w:pPr>
            <w:r>
              <w:t>农村公益电影放映质量达标率</w:t>
            </w:r>
          </w:p>
        </w:tc>
        <w:tc>
          <w:tcPr>
            <w:tcW w:w="2268" w:type="dxa"/>
            <w:vAlign w:val="center"/>
          </w:tcPr>
          <w:p>
            <w:pPr>
              <w:pStyle w:val="12"/>
            </w:pPr>
            <w:r>
              <w:t>≥90%</w:t>
            </w:r>
          </w:p>
        </w:tc>
        <w:tc>
          <w:tcPr>
            <w:tcW w:w="1276" w:type="dxa"/>
            <w:vAlign w:val="center"/>
          </w:tcPr>
          <w:p>
            <w:pPr>
              <w:pStyle w:val="12"/>
            </w:pPr>
            <w:r>
              <w:t>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补助金发放率</w:t>
            </w:r>
          </w:p>
        </w:tc>
        <w:tc>
          <w:tcPr>
            <w:tcW w:w="5386" w:type="dxa"/>
            <w:vAlign w:val="center"/>
          </w:tcPr>
          <w:p>
            <w:pPr>
              <w:pStyle w:val="12"/>
            </w:pPr>
            <w:r>
              <w:t>实际发放的补助金金额占计划发放率</w:t>
            </w:r>
          </w:p>
        </w:tc>
        <w:tc>
          <w:tcPr>
            <w:tcW w:w="2268" w:type="dxa"/>
            <w:vAlign w:val="center"/>
          </w:tcPr>
          <w:p>
            <w:pPr>
              <w:pStyle w:val="12"/>
            </w:pPr>
            <w:r>
              <w:t>100%</w:t>
            </w:r>
          </w:p>
        </w:tc>
        <w:tc>
          <w:tcPr>
            <w:tcW w:w="1276" w:type="dxa"/>
            <w:vAlign w:val="center"/>
          </w:tcPr>
          <w:p>
            <w:pPr>
              <w:pStyle w:val="12"/>
            </w:pPr>
            <w:r>
              <w:t>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及时率</w:t>
            </w:r>
          </w:p>
        </w:tc>
        <w:tc>
          <w:tcPr>
            <w:tcW w:w="2268" w:type="dxa"/>
            <w:vAlign w:val="center"/>
          </w:tcPr>
          <w:p>
            <w:pPr>
              <w:pStyle w:val="12"/>
            </w:pPr>
            <w:r>
              <w:t>≥95%</w:t>
            </w:r>
          </w:p>
        </w:tc>
        <w:tc>
          <w:tcPr>
            <w:tcW w:w="1276" w:type="dxa"/>
            <w:vAlign w:val="center"/>
          </w:tcPr>
          <w:p>
            <w:pPr>
              <w:pStyle w:val="12"/>
            </w:pPr>
            <w:r>
              <w:t>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70060元</w:t>
            </w:r>
          </w:p>
        </w:tc>
        <w:tc>
          <w:tcPr>
            <w:tcW w:w="1276" w:type="dxa"/>
            <w:vAlign w:val="center"/>
          </w:tcPr>
          <w:p>
            <w:pPr>
              <w:pStyle w:val="12"/>
            </w:pPr>
            <w:r>
              <w:t>行内标准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保障了农民群众观看公益电影</w:t>
            </w:r>
          </w:p>
        </w:tc>
        <w:tc>
          <w:tcPr>
            <w:tcW w:w="5386" w:type="dxa"/>
            <w:vAlign w:val="center"/>
          </w:tcPr>
          <w:p>
            <w:pPr>
              <w:pStyle w:val="12"/>
            </w:pPr>
            <w:r>
              <w:t>保障了农民群众观看公益电影</w:t>
            </w:r>
          </w:p>
        </w:tc>
        <w:tc>
          <w:tcPr>
            <w:tcW w:w="2268" w:type="dxa"/>
            <w:vAlign w:val="center"/>
          </w:tcPr>
          <w:p>
            <w:pPr>
              <w:pStyle w:val="12"/>
            </w:pPr>
            <w:r>
              <w:t>有效保障</w:t>
            </w:r>
          </w:p>
        </w:tc>
        <w:tc>
          <w:tcPr>
            <w:tcW w:w="1276" w:type="dxa"/>
            <w:vAlign w:val="center"/>
          </w:tcPr>
          <w:p>
            <w:pPr>
              <w:pStyle w:val="12"/>
            </w:pPr>
            <w:r>
              <w:t>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改善生活困难程度</w:t>
            </w:r>
          </w:p>
        </w:tc>
        <w:tc>
          <w:tcPr>
            <w:tcW w:w="5386" w:type="dxa"/>
            <w:vAlign w:val="center"/>
          </w:tcPr>
          <w:p>
            <w:pPr>
              <w:pStyle w:val="12"/>
            </w:pPr>
            <w:r>
              <w:t>改善生活困难程度</w:t>
            </w:r>
          </w:p>
        </w:tc>
        <w:tc>
          <w:tcPr>
            <w:tcW w:w="2268" w:type="dxa"/>
            <w:vAlign w:val="center"/>
          </w:tcPr>
          <w:p>
            <w:pPr>
              <w:pStyle w:val="12"/>
            </w:pPr>
            <w:r>
              <w:t>有效改善</w:t>
            </w:r>
          </w:p>
        </w:tc>
        <w:tc>
          <w:tcPr>
            <w:tcW w:w="1276" w:type="dxa"/>
            <w:vAlign w:val="center"/>
          </w:tcPr>
          <w:p>
            <w:pPr>
              <w:pStyle w:val="12"/>
            </w:pPr>
            <w:r>
              <w:t>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长期使用性</w:t>
            </w:r>
          </w:p>
        </w:tc>
        <w:tc>
          <w:tcPr>
            <w:tcW w:w="2268" w:type="dxa"/>
            <w:vAlign w:val="center"/>
          </w:tcPr>
          <w:p>
            <w:pPr>
              <w:pStyle w:val="12"/>
            </w:pPr>
            <w:r>
              <w:t>长期</w:t>
            </w:r>
          </w:p>
        </w:tc>
        <w:tc>
          <w:tcPr>
            <w:tcW w:w="1276" w:type="dxa"/>
            <w:vAlign w:val="center"/>
          </w:tcPr>
          <w:p>
            <w:pPr>
              <w:pStyle w:val="12"/>
            </w:pPr>
            <w:r>
              <w:t>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2、2025年中央支持地方公共文化服务体系建设补助资金绩效目标表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13012725P00005410003Q</w:t>
            </w:r>
          </w:p>
        </w:tc>
        <w:tc>
          <w:tcPr>
            <w:tcW w:w="2835" w:type="dxa"/>
            <w:vAlign w:val="center"/>
          </w:tcPr>
          <w:p>
            <w:pPr>
              <w:pStyle w:val="10"/>
            </w:pPr>
            <w:r>
              <w:t>项目名称</w:t>
            </w:r>
          </w:p>
        </w:tc>
        <w:tc>
          <w:tcPr>
            <w:tcW w:w="6095" w:type="dxa"/>
            <w:gridSpan w:val="3"/>
            <w:vAlign w:val="center"/>
          </w:tcPr>
          <w:p>
            <w:pPr>
              <w:pStyle w:val="12"/>
            </w:pPr>
            <w:r>
              <w:t>2025年中央支持地方公共文化服务体系建设补助资金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38.54</w:t>
            </w:r>
          </w:p>
        </w:tc>
        <w:tc>
          <w:tcPr>
            <w:tcW w:w="2835" w:type="dxa"/>
            <w:vAlign w:val="center"/>
          </w:tcPr>
          <w:p>
            <w:pPr>
              <w:pStyle w:val="10"/>
            </w:pPr>
            <w:r>
              <w:t>其中：财政    资金</w:t>
            </w:r>
          </w:p>
        </w:tc>
        <w:tc>
          <w:tcPr>
            <w:tcW w:w="2551" w:type="dxa"/>
            <w:vAlign w:val="center"/>
          </w:tcPr>
          <w:p>
            <w:pPr>
              <w:pStyle w:val="12"/>
            </w:pPr>
            <w:r>
              <w:t>38.54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 xml:space="preserve">用于农家书屋建设、农村电影放映补助、组织开展群众性文化活动和购置文化活动设施等。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10.00</w:t>
            </w:r>
          </w:p>
        </w:tc>
        <w:tc>
          <w:tcPr>
            <w:tcW w:w="2835" w:type="dxa"/>
            <w:vAlign w:val="center"/>
          </w:tcPr>
          <w:p>
            <w:pPr>
              <w:pStyle w:val="13"/>
            </w:pPr>
            <w:r>
              <w:t>20.00</w:t>
            </w:r>
          </w:p>
        </w:tc>
        <w:tc>
          <w:tcPr>
            <w:tcW w:w="2551" w:type="dxa"/>
            <w:vAlign w:val="center"/>
          </w:tcPr>
          <w:p>
            <w:pPr>
              <w:pStyle w:val="13"/>
            </w:pPr>
            <w:r>
              <w:t>30.00</w:t>
            </w:r>
          </w:p>
        </w:tc>
        <w:tc>
          <w:tcPr>
            <w:tcW w:w="3544" w:type="dxa"/>
            <w:gridSpan w:val="2"/>
            <w:vAlign w:val="center"/>
          </w:tcPr>
          <w:p>
            <w:pPr>
              <w:pStyle w:val="13"/>
            </w:pPr>
            <w:r>
              <w:t>38.54</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 xml:space="preserve">1.用于农家书屋建设、农村电影放映补助、组织开展群众性文化活动和购置文化活动设施等。  </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公共文化服务活动数量（项）</w:t>
            </w:r>
          </w:p>
        </w:tc>
        <w:tc>
          <w:tcPr>
            <w:tcW w:w="5386" w:type="dxa"/>
            <w:vAlign w:val="center"/>
          </w:tcPr>
          <w:p>
            <w:pPr>
              <w:pStyle w:val="12"/>
            </w:pPr>
            <w:r>
              <w:t>各类公共文化服务活动组织开展</w:t>
            </w:r>
          </w:p>
        </w:tc>
        <w:tc>
          <w:tcPr>
            <w:tcW w:w="2268" w:type="dxa"/>
            <w:vAlign w:val="center"/>
          </w:tcPr>
          <w:p>
            <w:pPr>
              <w:pStyle w:val="12"/>
            </w:pPr>
            <w:r>
              <w:t>≥12项</w:t>
            </w:r>
          </w:p>
        </w:tc>
        <w:tc>
          <w:tcPr>
            <w:tcW w:w="1276" w:type="dxa"/>
            <w:vAlign w:val="center"/>
          </w:tcPr>
          <w:p>
            <w:pPr>
              <w:pStyle w:val="12"/>
            </w:pPr>
            <w:r>
              <w:t>行内标准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公共数字文化资源建设完成率</w:t>
            </w:r>
          </w:p>
        </w:tc>
        <w:tc>
          <w:tcPr>
            <w:tcW w:w="5386" w:type="dxa"/>
            <w:vAlign w:val="center"/>
          </w:tcPr>
          <w:p>
            <w:pPr>
              <w:pStyle w:val="12"/>
            </w:pPr>
            <w:r>
              <w:t>公共数字文化资源建设情况</w:t>
            </w:r>
          </w:p>
        </w:tc>
        <w:tc>
          <w:tcPr>
            <w:tcW w:w="2268" w:type="dxa"/>
            <w:vAlign w:val="center"/>
          </w:tcPr>
          <w:p>
            <w:pPr>
              <w:pStyle w:val="12"/>
            </w:pPr>
            <w:r>
              <w:t>≥95%</w:t>
            </w:r>
          </w:p>
        </w:tc>
        <w:tc>
          <w:tcPr>
            <w:tcW w:w="1276" w:type="dxa"/>
            <w:vAlign w:val="center"/>
          </w:tcPr>
          <w:p>
            <w:pPr>
              <w:pStyle w:val="12"/>
            </w:pPr>
            <w:r>
              <w:t>行内标准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能够很好的保障群众读书看报、观看电视等基本文化权益</w:t>
            </w:r>
          </w:p>
        </w:tc>
        <w:tc>
          <w:tcPr>
            <w:tcW w:w="2268" w:type="dxa"/>
            <w:vAlign w:val="center"/>
          </w:tcPr>
          <w:p>
            <w:pPr>
              <w:pStyle w:val="12"/>
            </w:pPr>
            <w:r>
              <w:t>100%</w:t>
            </w:r>
          </w:p>
        </w:tc>
        <w:tc>
          <w:tcPr>
            <w:tcW w:w="1276" w:type="dxa"/>
            <w:vAlign w:val="center"/>
          </w:tcPr>
          <w:p>
            <w:pPr>
              <w:pStyle w:val="12"/>
            </w:pPr>
            <w:r>
              <w:t>调查研究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38.54万元</w:t>
            </w:r>
          </w:p>
        </w:tc>
        <w:tc>
          <w:tcPr>
            <w:tcW w:w="1276" w:type="dxa"/>
            <w:vAlign w:val="center"/>
          </w:tcPr>
          <w:p>
            <w:pPr>
              <w:pStyle w:val="12"/>
            </w:pPr>
            <w:r>
              <w:t>行内标准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基本公共文化服务水平</w:t>
            </w:r>
          </w:p>
        </w:tc>
        <w:tc>
          <w:tcPr>
            <w:tcW w:w="5386" w:type="dxa"/>
            <w:vAlign w:val="center"/>
          </w:tcPr>
          <w:p>
            <w:pPr>
              <w:pStyle w:val="12"/>
            </w:pPr>
            <w:r>
              <w:t>稳步提升</w:t>
            </w:r>
          </w:p>
        </w:tc>
        <w:tc>
          <w:tcPr>
            <w:tcW w:w="2268" w:type="dxa"/>
            <w:vAlign w:val="center"/>
          </w:tcPr>
          <w:p>
            <w:pPr>
              <w:pStyle w:val="12"/>
            </w:pPr>
            <w:r>
              <w:t>稳步提升</w:t>
            </w:r>
          </w:p>
        </w:tc>
        <w:tc>
          <w:tcPr>
            <w:tcW w:w="1276" w:type="dxa"/>
            <w:vAlign w:val="center"/>
          </w:tcPr>
          <w:p>
            <w:pPr>
              <w:pStyle w:val="12"/>
            </w:pPr>
            <w:r>
              <w:t>调查统计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能够长期较好地开展展演、展映、展播、展示，长期满足人民群众对精神文化的需求。</w:t>
            </w:r>
          </w:p>
        </w:tc>
        <w:tc>
          <w:tcPr>
            <w:tcW w:w="2268" w:type="dxa"/>
            <w:vAlign w:val="center"/>
          </w:tcPr>
          <w:p>
            <w:pPr>
              <w:pStyle w:val="12"/>
            </w:pPr>
            <w:r>
              <w:t>长期</w:t>
            </w:r>
          </w:p>
        </w:tc>
        <w:tc>
          <w:tcPr>
            <w:tcW w:w="1276" w:type="dxa"/>
            <w:vAlign w:val="center"/>
          </w:tcPr>
          <w:p>
            <w:pPr>
              <w:pStyle w:val="12"/>
            </w:pPr>
            <w:r>
              <w:t>调查统计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rPr>
                <w:rFonts w:hint="eastAsia" w:eastAsia="方正书宋_GBK"/>
                <w:lang w:eastAsia="zh-CN"/>
              </w:rPr>
            </w:pPr>
            <w:r>
              <w:t>满意人数占总人数的</w:t>
            </w:r>
            <w:r>
              <w:rPr>
                <w:rFonts w:hint="eastAsia"/>
                <w:lang w:eastAsia="zh-CN"/>
              </w:rPr>
              <w:t>比例</w:t>
            </w:r>
          </w:p>
        </w:tc>
        <w:tc>
          <w:tcPr>
            <w:tcW w:w="2268" w:type="dxa"/>
            <w:vAlign w:val="center"/>
          </w:tcPr>
          <w:p>
            <w:pPr>
              <w:pStyle w:val="12"/>
            </w:pPr>
            <w:r>
              <w:t>≥90%</w:t>
            </w:r>
          </w:p>
        </w:tc>
        <w:tc>
          <w:tcPr>
            <w:tcW w:w="1276" w:type="dxa"/>
            <w:vAlign w:val="center"/>
          </w:tcPr>
          <w:p>
            <w:pPr>
              <w:pStyle w:val="12"/>
            </w:pPr>
            <w:r>
              <w:t>调查统计</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3、公益电影放映场次补贴（70元/场）绩效目标表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13012725P000050100032</w:t>
            </w:r>
          </w:p>
        </w:tc>
        <w:tc>
          <w:tcPr>
            <w:tcW w:w="2835" w:type="dxa"/>
            <w:vAlign w:val="center"/>
          </w:tcPr>
          <w:p>
            <w:pPr>
              <w:pStyle w:val="10"/>
            </w:pPr>
            <w:r>
              <w:t>项目名称</w:t>
            </w:r>
          </w:p>
        </w:tc>
        <w:tc>
          <w:tcPr>
            <w:tcW w:w="6095" w:type="dxa"/>
            <w:gridSpan w:val="3"/>
            <w:vAlign w:val="center"/>
          </w:tcPr>
          <w:p>
            <w:pPr>
              <w:pStyle w:val="12"/>
            </w:pPr>
            <w:r>
              <w:t>公益电影放映场次补贴（70元/场）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8.99</w:t>
            </w:r>
          </w:p>
        </w:tc>
        <w:tc>
          <w:tcPr>
            <w:tcW w:w="2835" w:type="dxa"/>
            <w:vAlign w:val="center"/>
          </w:tcPr>
          <w:p>
            <w:pPr>
              <w:pStyle w:val="10"/>
            </w:pPr>
            <w:r>
              <w:t>其中：财政    资金</w:t>
            </w:r>
          </w:p>
        </w:tc>
        <w:tc>
          <w:tcPr>
            <w:tcW w:w="2551" w:type="dxa"/>
            <w:vAlign w:val="center"/>
          </w:tcPr>
          <w:p>
            <w:pPr>
              <w:pStyle w:val="12"/>
            </w:pPr>
            <w:r>
              <w:t>8.99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公益电影放映场次补贴，107个村每村每月放映1场电影，每场电影补助200元。保障农民群众观看公益电影</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w:t>
            </w:r>
          </w:p>
        </w:tc>
        <w:tc>
          <w:tcPr>
            <w:tcW w:w="2835" w:type="dxa"/>
            <w:vAlign w:val="center"/>
          </w:tcPr>
          <w:p>
            <w:pPr>
              <w:pStyle w:val="13"/>
            </w:pPr>
            <w:r>
              <w:t>4.00</w:t>
            </w:r>
          </w:p>
        </w:tc>
        <w:tc>
          <w:tcPr>
            <w:tcW w:w="2551" w:type="dxa"/>
            <w:vAlign w:val="center"/>
          </w:tcPr>
          <w:p>
            <w:pPr>
              <w:pStyle w:val="13"/>
            </w:pPr>
            <w:r>
              <w:t>6.00</w:t>
            </w:r>
          </w:p>
        </w:tc>
        <w:tc>
          <w:tcPr>
            <w:tcW w:w="3544" w:type="dxa"/>
            <w:gridSpan w:val="2"/>
            <w:vAlign w:val="center"/>
          </w:tcPr>
          <w:p>
            <w:pPr>
              <w:pStyle w:val="13"/>
            </w:pPr>
            <w:r>
              <w:t>8.99</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1.公益电影放映场次补贴，107个村每村每月放映1场电影，每场电影补助200元。保障农民群众观看公益电影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放映场次</w:t>
            </w:r>
          </w:p>
        </w:tc>
        <w:tc>
          <w:tcPr>
            <w:tcW w:w="5386" w:type="dxa"/>
            <w:vAlign w:val="center"/>
          </w:tcPr>
          <w:p>
            <w:pPr>
              <w:pStyle w:val="12"/>
            </w:pPr>
            <w:r>
              <w:t>放映场次</w:t>
            </w:r>
          </w:p>
        </w:tc>
        <w:tc>
          <w:tcPr>
            <w:tcW w:w="2268" w:type="dxa"/>
            <w:vAlign w:val="center"/>
          </w:tcPr>
          <w:p>
            <w:pPr>
              <w:pStyle w:val="12"/>
            </w:pPr>
            <w:r>
              <w:t>1284场</w:t>
            </w:r>
          </w:p>
        </w:tc>
        <w:tc>
          <w:tcPr>
            <w:tcW w:w="1276" w:type="dxa"/>
            <w:vAlign w:val="center"/>
          </w:tcPr>
          <w:p>
            <w:pPr>
              <w:pStyle w:val="12"/>
            </w:pPr>
            <w:r>
              <w:t>统计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放映质量</w:t>
            </w:r>
          </w:p>
        </w:tc>
        <w:tc>
          <w:tcPr>
            <w:tcW w:w="5386" w:type="dxa"/>
            <w:vAlign w:val="center"/>
          </w:tcPr>
          <w:p>
            <w:pPr>
              <w:pStyle w:val="12"/>
            </w:pPr>
            <w:r>
              <w:t>放映质量</w:t>
            </w:r>
          </w:p>
        </w:tc>
        <w:tc>
          <w:tcPr>
            <w:tcW w:w="2268" w:type="dxa"/>
            <w:vAlign w:val="center"/>
          </w:tcPr>
          <w:p>
            <w:pPr>
              <w:pStyle w:val="12"/>
            </w:pPr>
            <w:r>
              <w:t>≥90百分比</w:t>
            </w:r>
          </w:p>
        </w:tc>
        <w:tc>
          <w:tcPr>
            <w:tcW w:w="1276" w:type="dxa"/>
            <w:vAlign w:val="center"/>
          </w:tcPr>
          <w:p>
            <w:pPr>
              <w:pStyle w:val="12"/>
            </w:pPr>
            <w:r>
              <w:t>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放映及时性</w:t>
            </w:r>
          </w:p>
        </w:tc>
        <w:tc>
          <w:tcPr>
            <w:tcW w:w="5386" w:type="dxa"/>
            <w:vAlign w:val="center"/>
          </w:tcPr>
          <w:p>
            <w:pPr>
              <w:pStyle w:val="12"/>
            </w:pPr>
            <w:r>
              <w:t>放映及时性</w:t>
            </w:r>
          </w:p>
        </w:tc>
        <w:tc>
          <w:tcPr>
            <w:tcW w:w="2268" w:type="dxa"/>
            <w:vAlign w:val="center"/>
          </w:tcPr>
          <w:p>
            <w:pPr>
              <w:pStyle w:val="12"/>
            </w:pPr>
            <w:r>
              <w:t>≥90百分比</w:t>
            </w:r>
          </w:p>
        </w:tc>
        <w:tc>
          <w:tcPr>
            <w:tcW w:w="1276" w:type="dxa"/>
            <w:vAlign w:val="center"/>
          </w:tcPr>
          <w:p>
            <w:pPr>
              <w:pStyle w:val="12"/>
            </w:pPr>
            <w:r>
              <w:t>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89880元</w:t>
            </w:r>
          </w:p>
        </w:tc>
        <w:tc>
          <w:tcPr>
            <w:tcW w:w="1276" w:type="dxa"/>
            <w:vAlign w:val="center"/>
          </w:tcPr>
          <w:p>
            <w:pPr>
              <w:pStyle w:val="12"/>
            </w:pPr>
            <w:r>
              <w:t>行内标准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有效保障农民群众观看公益电影</w:t>
            </w:r>
          </w:p>
        </w:tc>
        <w:tc>
          <w:tcPr>
            <w:tcW w:w="5386" w:type="dxa"/>
            <w:vAlign w:val="center"/>
          </w:tcPr>
          <w:p>
            <w:pPr>
              <w:pStyle w:val="12"/>
            </w:pPr>
            <w:r>
              <w:t>有效保障农民群众观看公益电影</w:t>
            </w:r>
          </w:p>
        </w:tc>
        <w:tc>
          <w:tcPr>
            <w:tcW w:w="2268" w:type="dxa"/>
            <w:vAlign w:val="center"/>
          </w:tcPr>
          <w:p>
            <w:pPr>
              <w:pStyle w:val="12"/>
            </w:pPr>
            <w:r>
              <w:t>有效保障</w:t>
            </w:r>
          </w:p>
        </w:tc>
        <w:tc>
          <w:tcPr>
            <w:tcW w:w="1276" w:type="dxa"/>
            <w:vAlign w:val="center"/>
          </w:tcPr>
          <w:p>
            <w:pPr>
              <w:pStyle w:val="12"/>
            </w:pPr>
            <w:r>
              <w:t>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长期使用性</w:t>
            </w:r>
          </w:p>
        </w:tc>
        <w:tc>
          <w:tcPr>
            <w:tcW w:w="2268" w:type="dxa"/>
            <w:vAlign w:val="center"/>
          </w:tcPr>
          <w:p>
            <w:pPr>
              <w:pStyle w:val="12"/>
            </w:pPr>
            <w:r>
              <w:t>长期</w:t>
            </w:r>
          </w:p>
        </w:tc>
        <w:tc>
          <w:tcPr>
            <w:tcW w:w="1276" w:type="dxa"/>
            <w:vAlign w:val="center"/>
          </w:tcPr>
          <w:p>
            <w:pPr>
              <w:pStyle w:val="12"/>
            </w:pPr>
            <w:r>
              <w:t>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≥90百分比</w:t>
            </w:r>
          </w:p>
        </w:tc>
        <w:tc>
          <w:tcPr>
            <w:tcW w:w="1276" w:type="dxa"/>
            <w:vAlign w:val="center"/>
          </w:tcPr>
          <w:p>
            <w:pPr>
              <w:pStyle w:val="12"/>
            </w:pPr>
            <w:r>
              <w:t>统计</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4、老电影放映员生活补助绩效目标表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13012725P00005010004M</w:t>
            </w:r>
          </w:p>
        </w:tc>
        <w:tc>
          <w:tcPr>
            <w:tcW w:w="2835" w:type="dxa"/>
            <w:vAlign w:val="center"/>
          </w:tcPr>
          <w:p>
            <w:pPr>
              <w:pStyle w:val="10"/>
            </w:pPr>
            <w:r>
              <w:t>项目名称</w:t>
            </w:r>
          </w:p>
        </w:tc>
        <w:tc>
          <w:tcPr>
            <w:tcW w:w="6095" w:type="dxa"/>
            <w:gridSpan w:val="3"/>
            <w:vAlign w:val="center"/>
          </w:tcPr>
          <w:p>
            <w:pPr>
              <w:pStyle w:val="12"/>
            </w:pPr>
            <w:r>
              <w:t>老电影放映员生活补助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8.30</w:t>
            </w:r>
          </w:p>
        </w:tc>
        <w:tc>
          <w:tcPr>
            <w:tcW w:w="2835" w:type="dxa"/>
            <w:vAlign w:val="center"/>
          </w:tcPr>
          <w:p>
            <w:pPr>
              <w:pStyle w:val="10"/>
            </w:pPr>
            <w:r>
              <w:t>其中：财政    资金</w:t>
            </w:r>
          </w:p>
        </w:tc>
        <w:tc>
          <w:tcPr>
            <w:tcW w:w="2551" w:type="dxa"/>
            <w:vAlign w:val="center"/>
          </w:tcPr>
          <w:p>
            <w:pPr>
              <w:pStyle w:val="12"/>
            </w:pPr>
            <w:r>
              <w:t>8.30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落实老放映员补贴这一惠民政策，全县21个电影放映员，年龄满60周岁，从事电影放映工作满1年补助20元。妥善解决老放映员的保障和生活困难问题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w:t>
            </w:r>
          </w:p>
        </w:tc>
        <w:tc>
          <w:tcPr>
            <w:tcW w:w="2835" w:type="dxa"/>
            <w:vAlign w:val="center"/>
          </w:tcPr>
          <w:p>
            <w:pPr>
              <w:pStyle w:val="13"/>
            </w:pPr>
            <w:r>
              <w:t>4.00</w:t>
            </w:r>
          </w:p>
        </w:tc>
        <w:tc>
          <w:tcPr>
            <w:tcW w:w="2551" w:type="dxa"/>
            <w:vAlign w:val="center"/>
          </w:tcPr>
          <w:p>
            <w:pPr>
              <w:pStyle w:val="13"/>
            </w:pPr>
            <w:r>
              <w:t>6.00</w:t>
            </w:r>
          </w:p>
        </w:tc>
        <w:tc>
          <w:tcPr>
            <w:tcW w:w="3544" w:type="dxa"/>
            <w:gridSpan w:val="2"/>
            <w:vAlign w:val="center"/>
          </w:tcPr>
          <w:p>
            <w:pPr>
              <w:pStyle w:val="13"/>
            </w:pPr>
            <w:r>
              <w:t>8.30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1.落实老放映员补贴这一惠民政策，全县21个电影放映员，年龄满60周岁，从事电影放映工作满1年补助20元。妥善解决老放映员的保障和生活困难问题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补助个人（家庭）数量（人/户）</w:t>
            </w:r>
          </w:p>
        </w:tc>
        <w:tc>
          <w:tcPr>
            <w:tcW w:w="5386" w:type="dxa"/>
            <w:vAlign w:val="center"/>
          </w:tcPr>
          <w:p>
            <w:pPr>
              <w:pStyle w:val="12"/>
            </w:pPr>
            <w:r>
              <w:t>补助个人（家庭）数量（人/户）</w:t>
            </w:r>
          </w:p>
        </w:tc>
        <w:tc>
          <w:tcPr>
            <w:tcW w:w="2268" w:type="dxa"/>
            <w:vAlign w:val="center"/>
          </w:tcPr>
          <w:p>
            <w:pPr>
              <w:pStyle w:val="12"/>
            </w:pPr>
            <w:r>
              <w:t>21人</w:t>
            </w:r>
          </w:p>
        </w:tc>
        <w:tc>
          <w:tcPr>
            <w:tcW w:w="1276" w:type="dxa"/>
            <w:vAlign w:val="center"/>
          </w:tcPr>
          <w:p>
            <w:pPr>
              <w:pStyle w:val="12"/>
            </w:pPr>
            <w:r>
              <w:t>行内标准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补助金发放率</w:t>
            </w:r>
          </w:p>
        </w:tc>
        <w:tc>
          <w:tcPr>
            <w:tcW w:w="5386" w:type="dxa"/>
            <w:vAlign w:val="center"/>
          </w:tcPr>
          <w:p>
            <w:pPr>
              <w:pStyle w:val="12"/>
            </w:pPr>
            <w:r>
              <w:t>实际发放的补助金金额占计划发放率</w:t>
            </w:r>
          </w:p>
        </w:tc>
        <w:tc>
          <w:tcPr>
            <w:tcW w:w="2268" w:type="dxa"/>
            <w:vAlign w:val="center"/>
          </w:tcPr>
          <w:p>
            <w:pPr>
              <w:pStyle w:val="12"/>
            </w:pPr>
            <w:r>
              <w:t>100百分比</w:t>
            </w:r>
          </w:p>
        </w:tc>
        <w:tc>
          <w:tcPr>
            <w:tcW w:w="1276" w:type="dxa"/>
            <w:vAlign w:val="center"/>
          </w:tcPr>
          <w:p>
            <w:pPr>
              <w:pStyle w:val="12"/>
            </w:pPr>
            <w:r>
              <w:t>统计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补助金发放及时率</w:t>
            </w:r>
          </w:p>
        </w:tc>
        <w:tc>
          <w:tcPr>
            <w:tcW w:w="5386" w:type="dxa"/>
            <w:vAlign w:val="center"/>
          </w:tcPr>
          <w:p>
            <w:pPr>
              <w:pStyle w:val="12"/>
            </w:pPr>
            <w:r>
              <w:t>补助金发放及时率</w:t>
            </w:r>
          </w:p>
        </w:tc>
        <w:tc>
          <w:tcPr>
            <w:tcW w:w="2268" w:type="dxa"/>
            <w:vAlign w:val="center"/>
          </w:tcPr>
          <w:p>
            <w:pPr>
              <w:pStyle w:val="12"/>
            </w:pPr>
            <w:r>
              <w:t>≥95百分比</w:t>
            </w:r>
          </w:p>
        </w:tc>
        <w:tc>
          <w:tcPr>
            <w:tcW w:w="1276" w:type="dxa"/>
            <w:vAlign w:val="center"/>
          </w:tcPr>
          <w:p>
            <w:pPr>
              <w:pStyle w:val="12"/>
            </w:pPr>
            <w:r>
              <w:t>统计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补助金</w:t>
            </w:r>
          </w:p>
        </w:tc>
        <w:tc>
          <w:tcPr>
            <w:tcW w:w="5386" w:type="dxa"/>
            <w:vAlign w:val="center"/>
          </w:tcPr>
          <w:p>
            <w:pPr>
              <w:pStyle w:val="12"/>
            </w:pPr>
            <w:r>
              <w:t>补助金</w:t>
            </w:r>
          </w:p>
        </w:tc>
        <w:tc>
          <w:tcPr>
            <w:tcW w:w="2268" w:type="dxa"/>
            <w:vAlign w:val="center"/>
          </w:tcPr>
          <w:p>
            <w:pPr>
              <w:pStyle w:val="12"/>
            </w:pPr>
            <w:r>
              <w:t>82980元</w:t>
            </w:r>
          </w:p>
        </w:tc>
        <w:tc>
          <w:tcPr>
            <w:tcW w:w="1276" w:type="dxa"/>
            <w:vAlign w:val="center"/>
          </w:tcPr>
          <w:p>
            <w:pPr>
              <w:pStyle w:val="12"/>
            </w:pPr>
            <w:r>
              <w:t>行内标准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改善生活困难程度</w:t>
            </w:r>
          </w:p>
        </w:tc>
        <w:tc>
          <w:tcPr>
            <w:tcW w:w="5386" w:type="dxa"/>
            <w:vAlign w:val="center"/>
          </w:tcPr>
          <w:p>
            <w:pPr>
              <w:pStyle w:val="12"/>
            </w:pPr>
            <w:r>
              <w:t>改善生活困难程度</w:t>
            </w:r>
          </w:p>
        </w:tc>
        <w:tc>
          <w:tcPr>
            <w:tcW w:w="2268" w:type="dxa"/>
            <w:vAlign w:val="center"/>
          </w:tcPr>
          <w:p>
            <w:pPr>
              <w:pStyle w:val="12"/>
            </w:pPr>
            <w:r>
              <w:t>改善</w:t>
            </w:r>
          </w:p>
        </w:tc>
        <w:tc>
          <w:tcPr>
            <w:tcW w:w="1276" w:type="dxa"/>
            <w:vAlign w:val="center"/>
          </w:tcPr>
          <w:p>
            <w:pPr>
              <w:pStyle w:val="12"/>
            </w:pPr>
            <w:r>
              <w:t>统计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长期使用性</w:t>
            </w:r>
          </w:p>
        </w:tc>
        <w:tc>
          <w:tcPr>
            <w:tcW w:w="2268" w:type="dxa"/>
            <w:vAlign w:val="center"/>
          </w:tcPr>
          <w:p>
            <w:pPr>
              <w:pStyle w:val="12"/>
            </w:pPr>
            <w:r>
              <w:t>长期</w:t>
            </w:r>
          </w:p>
        </w:tc>
        <w:tc>
          <w:tcPr>
            <w:tcW w:w="1276" w:type="dxa"/>
            <w:vAlign w:val="center"/>
          </w:tcPr>
          <w:p>
            <w:pPr>
              <w:pStyle w:val="12"/>
            </w:pPr>
            <w:r>
              <w:t>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≥90百分比</w:t>
            </w:r>
          </w:p>
        </w:tc>
        <w:tc>
          <w:tcPr>
            <w:tcW w:w="1276"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5、文化发展工作经费绩效目标表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13012725P00005410004C</w:t>
            </w:r>
          </w:p>
        </w:tc>
        <w:tc>
          <w:tcPr>
            <w:tcW w:w="2835" w:type="dxa"/>
            <w:vAlign w:val="center"/>
          </w:tcPr>
          <w:p>
            <w:pPr>
              <w:pStyle w:val="10"/>
            </w:pPr>
            <w:r>
              <w:t>项目名称</w:t>
            </w:r>
          </w:p>
        </w:tc>
        <w:tc>
          <w:tcPr>
            <w:tcW w:w="6095" w:type="dxa"/>
            <w:gridSpan w:val="3"/>
            <w:vAlign w:val="center"/>
          </w:tcPr>
          <w:p>
            <w:pPr>
              <w:pStyle w:val="12"/>
            </w:pPr>
            <w:r>
              <w:t>文化发展工作经费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进一步调动全县文艺工作者参与精品创作的积极性。创作一批文艺精品，提高精品创作水平和生产能力；不断完善公共文化服务体系，打造群众文化活动品牌，丰富群众文化生活，提升县城文化品位。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w:t>
            </w:r>
          </w:p>
        </w:tc>
        <w:tc>
          <w:tcPr>
            <w:tcW w:w="2835" w:type="dxa"/>
            <w:vAlign w:val="center"/>
          </w:tcPr>
          <w:p>
            <w:pPr>
              <w:pStyle w:val="13"/>
            </w:pPr>
            <w:r>
              <w:t>4.00</w:t>
            </w:r>
          </w:p>
        </w:tc>
        <w:tc>
          <w:tcPr>
            <w:tcW w:w="2551" w:type="dxa"/>
            <w:vAlign w:val="center"/>
          </w:tcPr>
          <w:p>
            <w:pPr>
              <w:pStyle w:val="13"/>
            </w:pPr>
            <w:r>
              <w:t>6.00</w:t>
            </w:r>
          </w:p>
        </w:tc>
        <w:tc>
          <w:tcPr>
            <w:tcW w:w="3544" w:type="dxa"/>
            <w:gridSpan w:val="2"/>
            <w:vAlign w:val="center"/>
          </w:tcPr>
          <w:p>
            <w:pPr>
              <w:pStyle w:val="13"/>
            </w:pPr>
            <w:r>
              <w:t>10.00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1.进一步调动全县文艺工作者参与精品创作的积极性。创作一批文艺精品，提高精品创作水平和生产能力；不断完善公共文化服务体系，打造群众文化活动品牌，丰富群众文化生活，提升县城文化品位。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开展宣传方式的品种</w:t>
            </w:r>
          </w:p>
        </w:tc>
        <w:tc>
          <w:tcPr>
            <w:tcW w:w="5386" w:type="dxa"/>
            <w:vAlign w:val="center"/>
          </w:tcPr>
          <w:p>
            <w:pPr>
              <w:pStyle w:val="12"/>
            </w:pPr>
            <w:r>
              <w:t>开展宣传方式的品种</w:t>
            </w:r>
          </w:p>
        </w:tc>
        <w:tc>
          <w:tcPr>
            <w:tcW w:w="2268" w:type="dxa"/>
            <w:vAlign w:val="center"/>
          </w:tcPr>
          <w:p>
            <w:pPr>
              <w:pStyle w:val="12"/>
            </w:pPr>
            <w:r>
              <w:t>≥4种</w:t>
            </w:r>
          </w:p>
        </w:tc>
        <w:tc>
          <w:tcPr>
            <w:tcW w:w="1276" w:type="dxa"/>
            <w:vAlign w:val="center"/>
          </w:tcPr>
          <w:p>
            <w:pPr>
              <w:pStyle w:val="12"/>
            </w:pPr>
            <w:r>
              <w:t>统计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网络舆情上报质量</w:t>
            </w:r>
          </w:p>
        </w:tc>
        <w:tc>
          <w:tcPr>
            <w:tcW w:w="5386" w:type="dxa"/>
            <w:vAlign w:val="center"/>
          </w:tcPr>
          <w:p>
            <w:pPr>
              <w:pStyle w:val="12"/>
            </w:pPr>
            <w:r>
              <w:t>网络舆情上报质量</w:t>
            </w:r>
          </w:p>
        </w:tc>
        <w:tc>
          <w:tcPr>
            <w:tcW w:w="2268" w:type="dxa"/>
            <w:vAlign w:val="center"/>
          </w:tcPr>
          <w:p>
            <w:pPr>
              <w:pStyle w:val="12"/>
            </w:pPr>
            <w:r>
              <w:t>≥90百分比</w:t>
            </w:r>
          </w:p>
        </w:tc>
        <w:tc>
          <w:tcPr>
            <w:tcW w:w="1276" w:type="dxa"/>
            <w:vAlign w:val="center"/>
          </w:tcPr>
          <w:p>
            <w:pPr>
              <w:pStyle w:val="12"/>
            </w:pPr>
            <w:r>
              <w:t>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支付及时率</w:t>
            </w:r>
          </w:p>
        </w:tc>
        <w:tc>
          <w:tcPr>
            <w:tcW w:w="5386" w:type="dxa"/>
            <w:vAlign w:val="center"/>
          </w:tcPr>
          <w:p>
            <w:pPr>
              <w:pStyle w:val="12"/>
            </w:pPr>
            <w:r>
              <w:t>支付及时率</w:t>
            </w:r>
          </w:p>
        </w:tc>
        <w:tc>
          <w:tcPr>
            <w:tcW w:w="2268" w:type="dxa"/>
            <w:vAlign w:val="center"/>
          </w:tcPr>
          <w:p>
            <w:pPr>
              <w:pStyle w:val="12"/>
            </w:pPr>
            <w:r>
              <w:t>≥95百分比</w:t>
            </w:r>
          </w:p>
        </w:tc>
        <w:tc>
          <w:tcPr>
            <w:tcW w:w="1276" w:type="dxa"/>
            <w:vAlign w:val="center"/>
          </w:tcPr>
          <w:p>
            <w:pPr>
              <w:pStyle w:val="12"/>
            </w:pPr>
            <w:r>
              <w:t>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10万元</w:t>
            </w:r>
          </w:p>
        </w:tc>
        <w:tc>
          <w:tcPr>
            <w:tcW w:w="1276" w:type="dxa"/>
            <w:vAlign w:val="center"/>
          </w:tcPr>
          <w:p>
            <w:pPr>
              <w:pStyle w:val="12"/>
            </w:pPr>
            <w:r>
              <w:t>行内标准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社会影响力</w:t>
            </w:r>
          </w:p>
        </w:tc>
        <w:tc>
          <w:tcPr>
            <w:tcW w:w="2268" w:type="dxa"/>
            <w:vAlign w:val="center"/>
          </w:tcPr>
          <w:p>
            <w:pPr>
              <w:pStyle w:val="12"/>
            </w:pPr>
            <w:r>
              <w:t>显著提高</w:t>
            </w:r>
          </w:p>
        </w:tc>
        <w:tc>
          <w:tcPr>
            <w:tcW w:w="1276" w:type="dxa"/>
            <w:vAlign w:val="center"/>
          </w:tcPr>
          <w:p>
            <w:pPr>
              <w:pStyle w:val="12"/>
            </w:pPr>
            <w:r>
              <w:t>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长期使用性</w:t>
            </w:r>
          </w:p>
        </w:tc>
        <w:tc>
          <w:tcPr>
            <w:tcW w:w="2268" w:type="dxa"/>
            <w:vAlign w:val="center"/>
          </w:tcPr>
          <w:p>
            <w:pPr>
              <w:pStyle w:val="12"/>
            </w:pPr>
            <w:r>
              <w:t>长期</w:t>
            </w:r>
          </w:p>
        </w:tc>
        <w:tc>
          <w:tcPr>
            <w:tcW w:w="1276" w:type="dxa"/>
            <w:vAlign w:val="center"/>
          </w:tcPr>
          <w:p>
            <w:pPr>
              <w:pStyle w:val="12"/>
            </w:pPr>
            <w:r>
              <w:t>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≥90百分比</w:t>
            </w:r>
          </w:p>
        </w:tc>
        <w:tc>
          <w:tcPr>
            <w:tcW w:w="1276"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6、新时代文明实践工作经费绩效目标表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13012725P000054100077</w:t>
            </w:r>
          </w:p>
        </w:tc>
        <w:tc>
          <w:tcPr>
            <w:tcW w:w="2835" w:type="dxa"/>
            <w:vAlign w:val="center"/>
          </w:tcPr>
          <w:p>
            <w:pPr>
              <w:pStyle w:val="10"/>
            </w:pPr>
            <w:r>
              <w:t>项目名称</w:t>
            </w:r>
          </w:p>
        </w:tc>
        <w:tc>
          <w:tcPr>
            <w:tcW w:w="6095" w:type="dxa"/>
            <w:gridSpan w:val="3"/>
            <w:vAlign w:val="center"/>
          </w:tcPr>
          <w:p>
            <w:pPr>
              <w:pStyle w:val="12"/>
            </w:pPr>
            <w:r>
              <w:t>新时代文明实践工作经费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更好地推进全县新时代文明实践工作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w:t>
            </w:r>
          </w:p>
        </w:tc>
        <w:tc>
          <w:tcPr>
            <w:tcW w:w="2835" w:type="dxa"/>
            <w:vAlign w:val="center"/>
          </w:tcPr>
          <w:p>
            <w:pPr>
              <w:pStyle w:val="13"/>
            </w:pPr>
            <w:r>
              <w:t>4.00</w:t>
            </w:r>
          </w:p>
        </w:tc>
        <w:tc>
          <w:tcPr>
            <w:tcW w:w="2551" w:type="dxa"/>
            <w:vAlign w:val="center"/>
          </w:tcPr>
          <w:p>
            <w:pPr>
              <w:pStyle w:val="13"/>
            </w:pPr>
            <w:r>
              <w:t>8.00</w:t>
            </w:r>
          </w:p>
        </w:tc>
        <w:tc>
          <w:tcPr>
            <w:tcW w:w="3544" w:type="dxa"/>
            <w:gridSpan w:val="2"/>
            <w:vAlign w:val="center"/>
          </w:tcPr>
          <w:p>
            <w:pPr>
              <w:pStyle w:val="13"/>
            </w:pPr>
            <w:r>
              <w:t>10.00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1.更好地推进全县新时代文明实践工作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开展文明实践活动次数</w:t>
            </w:r>
          </w:p>
        </w:tc>
        <w:tc>
          <w:tcPr>
            <w:tcW w:w="5386" w:type="dxa"/>
            <w:vAlign w:val="center"/>
          </w:tcPr>
          <w:p>
            <w:pPr>
              <w:pStyle w:val="12"/>
            </w:pPr>
            <w:r>
              <w:t>开展文明实践活动次数</w:t>
            </w:r>
          </w:p>
        </w:tc>
        <w:tc>
          <w:tcPr>
            <w:tcW w:w="2268" w:type="dxa"/>
            <w:vAlign w:val="center"/>
          </w:tcPr>
          <w:p>
            <w:pPr>
              <w:pStyle w:val="12"/>
            </w:pPr>
            <w:r>
              <w:t>≥30场次</w:t>
            </w:r>
          </w:p>
        </w:tc>
        <w:tc>
          <w:tcPr>
            <w:tcW w:w="1276" w:type="dxa"/>
            <w:vAlign w:val="center"/>
          </w:tcPr>
          <w:p>
            <w:pPr>
              <w:pStyle w:val="12"/>
            </w:pPr>
            <w:r>
              <w:t>统计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文明实践活动完成率</w:t>
            </w:r>
          </w:p>
        </w:tc>
        <w:tc>
          <w:tcPr>
            <w:tcW w:w="5386" w:type="dxa"/>
            <w:vAlign w:val="center"/>
          </w:tcPr>
          <w:p>
            <w:pPr>
              <w:pStyle w:val="12"/>
            </w:pPr>
            <w:r>
              <w:t>文明实践活动完成率</w:t>
            </w:r>
          </w:p>
        </w:tc>
        <w:tc>
          <w:tcPr>
            <w:tcW w:w="2268" w:type="dxa"/>
            <w:vAlign w:val="center"/>
          </w:tcPr>
          <w:p>
            <w:pPr>
              <w:pStyle w:val="12"/>
            </w:pPr>
            <w:r>
              <w:t>≥95百分比</w:t>
            </w:r>
          </w:p>
        </w:tc>
        <w:tc>
          <w:tcPr>
            <w:tcW w:w="1276" w:type="dxa"/>
            <w:vAlign w:val="center"/>
          </w:tcPr>
          <w:p>
            <w:pPr>
              <w:pStyle w:val="12"/>
            </w:pPr>
            <w:r>
              <w:t>统计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完成时间</w:t>
            </w:r>
          </w:p>
        </w:tc>
        <w:tc>
          <w:tcPr>
            <w:tcW w:w="5386" w:type="dxa"/>
            <w:vAlign w:val="center"/>
          </w:tcPr>
          <w:p>
            <w:pPr>
              <w:pStyle w:val="12"/>
            </w:pPr>
            <w:r>
              <w:t>完成时间</w:t>
            </w:r>
          </w:p>
        </w:tc>
        <w:tc>
          <w:tcPr>
            <w:tcW w:w="2268" w:type="dxa"/>
            <w:vAlign w:val="center"/>
          </w:tcPr>
          <w:p>
            <w:pPr>
              <w:pStyle w:val="12"/>
            </w:pPr>
            <w:r>
              <w:t>年底</w:t>
            </w:r>
          </w:p>
        </w:tc>
        <w:tc>
          <w:tcPr>
            <w:tcW w:w="1276" w:type="dxa"/>
            <w:vAlign w:val="center"/>
          </w:tcPr>
          <w:p>
            <w:pPr>
              <w:pStyle w:val="12"/>
            </w:pPr>
            <w:r>
              <w:t>行内标准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10万元</w:t>
            </w:r>
          </w:p>
        </w:tc>
        <w:tc>
          <w:tcPr>
            <w:tcW w:w="1276" w:type="dxa"/>
            <w:vAlign w:val="center"/>
          </w:tcPr>
          <w:p>
            <w:pPr>
              <w:pStyle w:val="12"/>
            </w:pPr>
            <w:r>
              <w:t>行内标准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社会氛围</w:t>
            </w:r>
          </w:p>
        </w:tc>
        <w:tc>
          <w:tcPr>
            <w:tcW w:w="5386" w:type="dxa"/>
            <w:vAlign w:val="center"/>
          </w:tcPr>
          <w:p>
            <w:pPr>
              <w:pStyle w:val="12"/>
            </w:pPr>
            <w:r>
              <w:t>社会氛围浓厚</w:t>
            </w:r>
          </w:p>
        </w:tc>
        <w:tc>
          <w:tcPr>
            <w:tcW w:w="2268" w:type="dxa"/>
            <w:vAlign w:val="center"/>
          </w:tcPr>
          <w:p>
            <w:pPr>
              <w:pStyle w:val="12"/>
            </w:pPr>
            <w:r>
              <w:t>社会氛围浓厚</w:t>
            </w:r>
          </w:p>
        </w:tc>
        <w:tc>
          <w:tcPr>
            <w:tcW w:w="1276" w:type="dxa"/>
            <w:vAlign w:val="center"/>
          </w:tcPr>
          <w:p>
            <w:pPr>
              <w:pStyle w:val="12"/>
            </w:pPr>
            <w:r>
              <w:t>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文明实践工作提质增效</w:t>
            </w:r>
          </w:p>
        </w:tc>
        <w:tc>
          <w:tcPr>
            <w:tcW w:w="5386" w:type="dxa"/>
            <w:vAlign w:val="center"/>
          </w:tcPr>
          <w:p>
            <w:pPr>
              <w:pStyle w:val="12"/>
            </w:pPr>
            <w:r>
              <w:t>文明实践工作提质增效</w:t>
            </w:r>
          </w:p>
        </w:tc>
        <w:tc>
          <w:tcPr>
            <w:tcW w:w="2268" w:type="dxa"/>
            <w:vAlign w:val="center"/>
          </w:tcPr>
          <w:p>
            <w:pPr>
              <w:pStyle w:val="12"/>
            </w:pPr>
            <w:r>
              <w:t>文明实践工作提质增效</w:t>
            </w:r>
          </w:p>
        </w:tc>
        <w:tc>
          <w:tcPr>
            <w:tcW w:w="1276" w:type="dxa"/>
            <w:vAlign w:val="center"/>
          </w:tcPr>
          <w:p>
            <w:pPr>
              <w:pStyle w:val="12"/>
            </w:pPr>
            <w:r>
              <w:t>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7、宣传工作经费绩效目标表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13012725P00005410006K</w:t>
            </w:r>
          </w:p>
        </w:tc>
        <w:tc>
          <w:tcPr>
            <w:tcW w:w="2835" w:type="dxa"/>
            <w:vAlign w:val="center"/>
          </w:tcPr>
          <w:p>
            <w:pPr>
              <w:pStyle w:val="10"/>
            </w:pPr>
            <w:r>
              <w:t>项目名称</w:t>
            </w:r>
          </w:p>
        </w:tc>
        <w:tc>
          <w:tcPr>
            <w:tcW w:w="6095" w:type="dxa"/>
            <w:gridSpan w:val="3"/>
            <w:vAlign w:val="center"/>
          </w:tcPr>
          <w:p>
            <w:pPr>
              <w:pStyle w:val="12"/>
            </w:pPr>
            <w:r>
              <w:t>宣传工作经费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13.90</w:t>
            </w:r>
          </w:p>
        </w:tc>
        <w:tc>
          <w:tcPr>
            <w:tcW w:w="2835" w:type="dxa"/>
            <w:vAlign w:val="center"/>
          </w:tcPr>
          <w:p>
            <w:pPr>
              <w:pStyle w:val="10"/>
            </w:pPr>
            <w:r>
              <w:t>其中：财政    资金</w:t>
            </w:r>
          </w:p>
        </w:tc>
        <w:tc>
          <w:tcPr>
            <w:tcW w:w="2551" w:type="dxa"/>
            <w:vAlign w:val="center"/>
          </w:tcPr>
          <w:p>
            <w:pPr>
              <w:pStyle w:val="12"/>
            </w:pPr>
            <w:r>
              <w:t>13.90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保障机关工作正常高效运转.保证各项宣传工作及时到位</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4.00</w:t>
            </w:r>
          </w:p>
        </w:tc>
        <w:tc>
          <w:tcPr>
            <w:tcW w:w="2835" w:type="dxa"/>
            <w:vAlign w:val="center"/>
          </w:tcPr>
          <w:p>
            <w:pPr>
              <w:pStyle w:val="13"/>
            </w:pPr>
            <w:r>
              <w:t>8.00</w:t>
            </w:r>
          </w:p>
        </w:tc>
        <w:tc>
          <w:tcPr>
            <w:tcW w:w="2551" w:type="dxa"/>
            <w:vAlign w:val="center"/>
          </w:tcPr>
          <w:p>
            <w:pPr>
              <w:pStyle w:val="13"/>
            </w:pPr>
            <w:r>
              <w:t>12.00</w:t>
            </w:r>
          </w:p>
        </w:tc>
        <w:tc>
          <w:tcPr>
            <w:tcW w:w="3544" w:type="dxa"/>
            <w:gridSpan w:val="2"/>
            <w:vAlign w:val="center"/>
          </w:tcPr>
          <w:p>
            <w:pPr>
              <w:pStyle w:val="13"/>
            </w:pPr>
            <w:r>
              <w:t>13.90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1.保障机关工作正常高效运转.保证各项宣传工作及时到位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制作宣传品数量（份）</w:t>
            </w:r>
          </w:p>
        </w:tc>
        <w:tc>
          <w:tcPr>
            <w:tcW w:w="5386" w:type="dxa"/>
            <w:vAlign w:val="center"/>
          </w:tcPr>
          <w:p>
            <w:pPr>
              <w:pStyle w:val="12"/>
            </w:pPr>
            <w:r>
              <w:t>制作宣传品数量（份）</w:t>
            </w:r>
          </w:p>
        </w:tc>
        <w:tc>
          <w:tcPr>
            <w:tcW w:w="2268" w:type="dxa"/>
            <w:vAlign w:val="center"/>
          </w:tcPr>
          <w:p>
            <w:pPr>
              <w:pStyle w:val="12"/>
            </w:pPr>
            <w:r>
              <w:t>≥2000份</w:t>
            </w:r>
          </w:p>
        </w:tc>
        <w:tc>
          <w:tcPr>
            <w:tcW w:w="1276" w:type="dxa"/>
            <w:vAlign w:val="center"/>
          </w:tcPr>
          <w:p>
            <w:pPr>
              <w:pStyle w:val="12"/>
            </w:pPr>
            <w:r>
              <w:t>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组织宣传活动完成率（%）</w:t>
            </w:r>
          </w:p>
        </w:tc>
        <w:tc>
          <w:tcPr>
            <w:tcW w:w="5386" w:type="dxa"/>
            <w:vAlign w:val="center"/>
          </w:tcPr>
          <w:p>
            <w:pPr>
              <w:pStyle w:val="12"/>
            </w:pPr>
            <w:r>
              <w:t>组织宣传活动完成率（%）</w:t>
            </w:r>
          </w:p>
        </w:tc>
        <w:tc>
          <w:tcPr>
            <w:tcW w:w="2268" w:type="dxa"/>
            <w:vAlign w:val="center"/>
          </w:tcPr>
          <w:p>
            <w:pPr>
              <w:pStyle w:val="12"/>
            </w:pPr>
            <w:r>
              <w:t>≥90百分比</w:t>
            </w:r>
          </w:p>
        </w:tc>
        <w:tc>
          <w:tcPr>
            <w:tcW w:w="1276" w:type="dxa"/>
            <w:vAlign w:val="center"/>
          </w:tcPr>
          <w:p>
            <w:pPr>
              <w:pStyle w:val="12"/>
            </w:pPr>
            <w:r>
              <w:t>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完成及时率</w:t>
            </w:r>
          </w:p>
        </w:tc>
        <w:tc>
          <w:tcPr>
            <w:tcW w:w="2268" w:type="dxa"/>
            <w:vAlign w:val="center"/>
          </w:tcPr>
          <w:p>
            <w:pPr>
              <w:pStyle w:val="12"/>
            </w:pPr>
            <w:r>
              <w:t>≥90百分比</w:t>
            </w:r>
          </w:p>
        </w:tc>
        <w:tc>
          <w:tcPr>
            <w:tcW w:w="1276" w:type="dxa"/>
            <w:vAlign w:val="center"/>
          </w:tcPr>
          <w:p>
            <w:pPr>
              <w:pStyle w:val="12"/>
            </w:pPr>
            <w:r>
              <w:t>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13.9万元</w:t>
            </w:r>
          </w:p>
        </w:tc>
        <w:tc>
          <w:tcPr>
            <w:tcW w:w="1276" w:type="dxa"/>
            <w:vAlign w:val="center"/>
          </w:tcPr>
          <w:p>
            <w:pPr>
              <w:pStyle w:val="12"/>
            </w:pPr>
            <w:r>
              <w:t>行内标准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牢牢把握正确社会导向</w:t>
            </w:r>
          </w:p>
        </w:tc>
        <w:tc>
          <w:tcPr>
            <w:tcW w:w="5386" w:type="dxa"/>
            <w:vAlign w:val="center"/>
          </w:tcPr>
          <w:p>
            <w:pPr>
              <w:pStyle w:val="12"/>
            </w:pPr>
            <w:r>
              <w:t>牢牢把握正确社会导向</w:t>
            </w:r>
          </w:p>
        </w:tc>
        <w:tc>
          <w:tcPr>
            <w:tcW w:w="2268" w:type="dxa"/>
            <w:vAlign w:val="center"/>
          </w:tcPr>
          <w:p>
            <w:pPr>
              <w:pStyle w:val="12"/>
            </w:pPr>
            <w:r>
              <w:t>牢牢把握</w:t>
            </w:r>
          </w:p>
        </w:tc>
        <w:tc>
          <w:tcPr>
            <w:tcW w:w="1276" w:type="dxa"/>
            <w:vAlign w:val="center"/>
          </w:tcPr>
          <w:p>
            <w:pPr>
              <w:pStyle w:val="12"/>
            </w:pPr>
            <w:r>
              <w:t>行内标准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长期使用性</w:t>
            </w:r>
          </w:p>
        </w:tc>
        <w:tc>
          <w:tcPr>
            <w:tcW w:w="5386" w:type="dxa"/>
            <w:vAlign w:val="center"/>
          </w:tcPr>
          <w:p>
            <w:pPr>
              <w:pStyle w:val="12"/>
            </w:pPr>
            <w:r>
              <w:t>长期使用性</w:t>
            </w:r>
          </w:p>
        </w:tc>
        <w:tc>
          <w:tcPr>
            <w:tcW w:w="2268" w:type="dxa"/>
            <w:vAlign w:val="center"/>
          </w:tcPr>
          <w:p>
            <w:pPr>
              <w:pStyle w:val="12"/>
            </w:pPr>
            <w:r>
              <w:t>长期</w:t>
            </w:r>
          </w:p>
        </w:tc>
        <w:tc>
          <w:tcPr>
            <w:tcW w:w="1276" w:type="dxa"/>
            <w:vAlign w:val="center"/>
          </w:tcPr>
          <w:p>
            <w:pPr>
              <w:pStyle w:val="12"/>
            </w:pPr>
            <w:r>
              <w:t>调查</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≥90百分比</w:t>
            </w:r>
          </w:p>
        </w:tc>
        <w:tc>
          <w:tcPr>
            <w:tcW w:w="1276" w:type="dxa"/>
            <w:vAlign w:val="center"/>
          </w:tcPr>
          <w:p>
            <w:pPr>
              <w:pStyle w:val="12"/>
            </w:pPr>
            <w:r>
              <w:t>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211001高邑县宣传部本级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高邑县宣传部本级上年末固定资产金额为46.98万元（详见下表）。本年度拟购置固定资产总额为0.00万元，已按要求列入政府采购预算，详见政府采购预算表。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211001高邑县宣传部本级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46.98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17.79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614</w:t>
            </w:r>
          </w:p>
        </w:tc>
        <w:tc>
          <w:tcPr>
            <w:tcW w:w="2835" w:type="dxa"/>
            <w:vAlign w:val="center"/>
          </w:tcPr>
          <w:p>
            <w:pPr>
              <w:pStyle w:val="11"/>
            </w:pPr>
            <w:r>
              <w:t>29.19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仿宋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rsids>
    <w:rsidRoot w:val="00000000"/>
    <w:rsid w:val="61D75DD0"/>
    <w:rsid w:val="755B293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30</Pages>
  <TotalTime>4</TotalTime>
  <ScaleCrop>false</ScaleCrop>
  <LinksUpToDate>false</LinksUpToDate>
  <Application>WPS Office_11.8.2.11500_F1E327BC-269C-435d-A152-05C5408002CA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2025-01-24T20:02:00Z</dcterms:created>
  <dc:creator>Administrator</dc:creator>
  <cp:lastModifiedBy>刘先生</cp:lastModifiedBy>
  <dcterms:modified xsi:type="dcterms:W3CDTF">2025-05-19T07:45:45Z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2052-11.8.2.11500</vt:lpwstr>
  </property>
  <property fmtid="{D5CDD505-2E9C-101B-9397-08002B2CF9AE}" pid="3" name="ICV">
    <vt:lpwstr>91689E1290B14FCEA7437B84E5E3CDDF</vt:lpwstr>
  </property>
</Properties>
</file>