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0" w:type="auto"/>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98"/>
        <w:gridCol w:w="1358"/>
        <w:gridCol w:w="989"/>
        <w:gridCol w:w="855"/>
        <w:gridCol w:w="1680"/>
        <w:gridCol w:w="1485"/>
        <w:gridCol w:w="2235"/>
        <w:gridCol w:w="1050"/>
        <w:gridCol w:w="990"/>
        <w:gridCol w:w="1597"/>
      </w:tblGrid>
      <w:tr w14:paraId="62A93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15" w:hRule="atLeast"/>
        </w:trPr>
        <w:tc>
          <w:tcPr>
            <w:tcW w:w="13037" w:type="dxa"/>
            <w:gridSpan w:val="10"/>
            <w:tcBorders>
              <w:top w:val="nil"/>
              <w:left w:val="nil"/>
              <w:bottom w:val="single" w:color="auto" w:sz="4" w:space="0"/>
              <w:right w:val="nil"/>
            </w:tcBorders>
            <w:noWrap w:val="0"/>
            <w:vAlign w:val="center"/>
          </w:tcPr>
          <w:p w14:paraId="3EC438CC">
            <w:pPr>
              <w:keepNext w:val="0"/>
              <w:keepLines w:val="0"/>
              <w:pageBreakBefore w:val="0"/>
              <w:widowControl w:val="0"/>
              <w:suppressLineNumbers w:val="0"/>
              <w:kinsoku/>
              <w:wordWrap/>
              <w:overflowPunct/>
              <w:topLinePunct w:val="0"/>
              <w:autoSpaceDE/>
              <w:autoSpaceDN/>
              <w:bidi w:val="0"/>
              <w:adjustRightInd/>
              <w:snapToGrid/>
              <w:spacing w:line="640" w:lineRule="exact"/>
              <w:jc w:val="left"/>
              <w:textAlignment w:val="center"/>
              <w:rPr>
                <w:rFonts w:hint="eastAsia" w:ascii="方正黑体_GBK" w:hAnsi="方正黑体_GBK" w:eastAsia="方正黑体_GBK" w:cs="方正黑体_GBK"/>
                <w:i w:val="0"/>
                <w:color w:val="000000"/>
                <w:kern w:val="0"/>
                <w:sz w:val="32"/>
                <w:szCs w:val="32"/>
                <w:u w:val="none"/>
                <w:lang w:val="en-US" w:eastAsia="zh-CN" w:bidi="ar"/>
              </w:rPr>
            </w:pPr>
            <w:r>
              <w:rPr>
                <w:rFonts w:hint="eastAsia" w:ascii="方正黑体_GBK" w:hAnsi="方正黑体_GBK" w:eastAsia="方正黑体_GBK" w:cs="方正黑体_GBK"/>
                <w:i w:val="0"/>
                <w:color w:val="000000"/>
                <w:kern w:val="0"/>
                <w:sz w:val="32"/>
                <w:szCs w:val="32"/>
                <w:u w:val="none"/>
                <w:lang w:val="en-US" w:eastAsia="zh-CN" w:bidi="ar"/>
              </w:rPr>
              <w:t>附件1-2</w:t>
            </w:r>
          </w:p>
          <w:p w14:paraId="707E486B">
            <w:pPr>
              <w:keepNext w:val="0"/>
              <w:keepLines w:val="0"/>
              <w:pageBreakBefore w:val="0"/>
              <w:widowControl w:val="0"/>
              <w:suppressLineNumbers w:val="0"/>
              <w:kinsoku/>
              <w:wordWrap/>
              <w:overflowPunct/>
              <w:topLinePunct w:val="0"/>
              <w:autoSpaceDE/>
              <w:autoSpaceDN/>
              <w:bidi w:val="0"/>
              <w:adjustRightInd/>
              <w:snapToGrid/>
              <w:spacing w:line="260" w:lineRule="exact"/>
              <w:jc w:val="left"/>
              <w:textAlignment w:val="center"/>
              <w:rPr>
                <w:rFonts w:hint="eastAsia" w:ascii="方正黑体_GBK" w:hAnsi="方正黑体_GBK" w:eastAsia="方正黑体_GBK" w:cs="方正黑体_GBK"/>
                <w:i w:val="0"/>
                <w:color w:val="000000"/>
                <w:kern w:val="0"/>
                <w:sz w:val="32"/>
                <w:szCs w:val="32"/>
                <w:u w:val="none"/>
                <w:lang w:val="en-US" w:eastAsia="zh-CN" w:bidi="ar"/>
              </w:rPr>
            </w:pPr>
          </w:p>
          <w:p w14:paraId="4D4D035E">
            <w:pPr>
              <w:keepNext w:val="0"/>
              <w:keepLines w:val="0"/>
              <w:pageBreakBefore w:val="0"/>
              <w:widowControl w:val="0"/>
              <w:suppressLineNumbers w:val="0"/>
              <w:kinsoku/>
              <w:wordWrap/>
              <w:overflowPunct/>
              <w:topLinePunct w:val="0"/>
              <w:autoSpaceDE/>
              <w:autoSpaceDN/>
              <w:bidi w:val="0"/>
              <w:adjustRightInd/>
              <w:snapToGrid/>
              <w:spacing w:line="640" w:lineRule="exact"/>
              <w:jc w:val="center"/>
              <w:textAlignment w:val="center"/>
              <w:rPr>
                <w:rFonts w:ascii="方正小标宋简体" w:hAnsi="方正小标宋简体" w:eastAsia="方正小标宋简体" w:cs="方正小标宋简体"/>
                <w:i w:val="0"/>
                <w:color w:val="000000"/>
                <w:sz w:val="44"/>
                <w:szCs w:val="44"/>
                <w:u w:val="none"/>
              </w:rPr>
            </w:pPr>
            <w:r>
              <w:rPr>
                <w:rFonts w:hint="eastAsia" w:ascii="方正小标宋简体" w:hAnsi="方正小标宋简体" w:eastAsia="方正小标宋简体" w:cs="方正小标宋简体"/>
                <w:i w:val="0"/>
                <w:color w:val="000000"/>
                <w:kern w:val="0"/>
                <w:sz w:val="44"/>
                <w:szCs w:val="44"/>
                <w:u w:val="none"/>
                <w:lang w:val="en-US" w:eastAsia="zh-CN" w:bidi="ar"/>
              </w:rPr>
              <w:t>高邑县</w:t>
            </w:r>
            <w:bookmarkStart w:id="0" w:name="_GoBack"/>
            <w:bookmarkEnd w:id="0"/>
            <w:r>
              <w:rPr>
                <w:rFonts w:hint="eastAsia" w:ascii="方正小标宋简体" w:hAnsi="方正小标宋简体" w:eastAsia="方正小标宋简体" w:cs="方正小标宋简体"/>
                <w:i w:val="0"/>
                <w:color w:val="000000"/>
                <w:kern w:val="0"/>
                <w:sz w:val="44"/>
                <w:szCs w:val="44"/>
                <w:u w:val="none"/>
                <w:lang w:val="en-US" w:eastAsia="zh-CN" w:bidi="ar"/>
              </w:rPr>
              <w:t>实行告知承诺制证明事项目录（2025年版）</w:t>
            </w:r>
          </w:p>
        </w:tc>
      </w:tr>
      <w:tr w14:paraId="1CCA5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45" w:hRule="atLeast"/>
        </w:trPr>
        <w:tc>
          <w:tcPr>
            <w:tcW w:w="798" w:type="dxa"/>
            <w:vMerge w:val="restart"/>
            <w:tcBorders>
              <w:top w:val="single" w:color="auto" w:sz="4" w:space="0"/>
              <w:left w:val="single" w:color="auto" w:sz="4" w:space="0"/>
              <w:bottom w:val="single" w:color="auto" w:sz="4" w:space="0"/>
              <w:right w:val="single" w:color="auto" w:sz="4" w:space="0"/>
            </w:tcBorders>
            <w:noWrap w:val="0"/>
            <w:vAlign w:val="center"/>
          </w:tcPr>
          <w:p w14:paraId="32060257">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序号</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1DEC5303">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事项</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09C59B44">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事项</w:t>
            </w:r>
          </w:p>
        </w:tc>
        <w:tc>
          <w:tcPr>
            <w:tcW w:w="6255" w:type="dxa"/>
            <w:gridSpan w:val="4"/>
            <w:vMerge w:val="restart"/>
            <w:tcBorders>
              <w:top w:val="single" w:color="auto" w:sz="4" w:space="0"/>
              <w:left w:val="single" w:color="auto" w:sz="4" w:space="0"/>
              <w:bottom w:val="single" w:color="auto" w:sz="4" w:space="0"/>
              <w:right w:val="single" w:color="auto" w:sz="4" w:space="0"/>
            </w:tcBorders>
            <w:noWrap w:val="0"/>
            <w:vAlign w:val="center"/>
          </w:tcPr>
          <w:p w14:paraId="7ED483CE">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设定依据</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78796490">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索证</w:t>
            </w:r>
          </w:p>
        </w:tc>
        <w:tc>
          <w:tcPr>
            <w:tcW w:w="990" w:type="dxa"/>
            <w:vMerge w:val="restart"/>
            <w:tcBorders>
              <w:top w:val="single" w:color="auto" w:sz="4" w:space="0"/>
              <w:left w:val="single" w:color="auto" w:sz="4" w:space="0"/>
              <w:bottom w:val="single" w:color="auto" w:sz="4" w:space="0"/>
              <w:right w:val="single" w:color="auto" w:sz="4" w:space="0"/>
            </w:tcBorders>
            <w:noWrap w:val="0"/>
            <w:vAlign w:val="center"/>
          </w:tcPr>
          <w:p w14:paraId="53C7F9F5">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出具</w:t>
            </w:r>
            <w:r>
              <w:rPr>
                <w:rFonts w:hint="eastAsia" w:ascii="黑体" w:hAnsi="宋体" w:eastAsia="黑体" w:cs="黑体"/>
                <w:b w:val="0"/>
                <w:bCs w:val="0"/>
                <w:i w:val="0"/>
                <w:color w:val="auto"/>
                <w:kern w:val="0"/>
                <w:sz w:val="24"/>
                <w:szCs w:val="24"/>
                <w:u w:val="none"/>
                <w:lang w:val="en-US" w:eastAsia="zh-CN" w:bidi="ar"/>
              </w:rPr>
              <w:t xml:space="preserve"> </w:t>
            </w:r>
            <w:r>
              <w:rPr>
                <w:rFonts w:hint="default" w:ascii="黑体" w:hAnsi="宋体" w:eastAsia="黑体" w:cs="黑体"/>
                <w:b w:val="0"/>
                <w:bCs w:val="0"/>
                <w:i w:val="0"/>
                <w:color w:val="auto"/>
                <w:kern w:val="0"/>
                <w:sz w:val="24"/>
                <w:szCs w:val="24"/>
                <w:u w:val="none"/>
                <w:lang w:val="en-US" w:eastAsia="zh-CN" w:bidi="ar"/>
              </w:rPr>
              <w:t>部门</w:t>
            </w:r>
          </w:p>
        </w:tc>
        <w:tc>
          <w:tcPr>
            <w:tcW w:w="1597" w:type="dxa"/>
            <w:vMerge w:val="restart"/>
            <w:tcBorders>
              <w:top w:val="single" w:color="auto" w:sz="4" w:space="0"/>
              <w:left w:val="single" w:color="auto" w:sz="4" w:space="0"/>
              <w:bottom w:val="single" w:color="auto" w:sz="4" w:space="0"/>
              <w:right w:val="single" w:color="auto" w:sz="4" w:space="0"/>
            </w:tcBorders>
            <w:noWrap w:val="0"/>
            <w:vAlign w:val="center"/>
          </w:tcPr>
          <w:p w14:paraId="6E34B5FF">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备注</w:t>
            </w:r>
          </w:p>
        </w:tc>
      </w:tr>
      <w:tr w14:paraId="07902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5" w:hRule="atLeast"/>
        </w:trPr>
        <w:tc>
          <w:tcPr>
            <w:tcW w:w="798" w:type="dxa"/>
            <w:vMerge w:val="continue"/>
            <w:tcBorders>
              <w:top w:val="single" w:color="auto" w:sz="4" w:space="0"/>
              <w:left w:val="single" w:color="auto" w:sz="4" w:space="0"/>
              <w:bottom w:val="single" w:color="auto" w:sz="4" w:space="0"/>
              <w:right w:val="single" w:color="auto" w:sz="4" w:space="0"/>
            </w:tcBorders>
            <w:noWrap w:val="0"/>
            <w:vAlign w:val="center"/>
          </w:tcPr>
          <w:p w14:paraId="2EB6BF53">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黑体" w:hAnsi="宋体" w:eastAsia="黑体" w:cs="黑体"/>
                <w:b w:val="0"/>
                <w:bCs w:val="0"/>
                <w:i w:val="0"/>
                <w:color w:val="auto"/>
                <w:sz w:val="24"/>
                <w:szCs w:val="24"/>
                <w:u w:val="none"/>
              </w:rPr>
            </w:pPr>
          </w:p>
        </w:tc>
        <w:tc>
          <w:tcPr>
            <w:tcW w:w="1358" w:type="dxa"/>
            <w:tcBorders>
              <w:top w:val="single" w:color="auto" w:sz="4" w:space="0"/>
              <w:left w:val="single" w:color="auto" w:sz="4" w:space="0"/>
              <w:bottom w:val="single" w:color="auto" w:sz="4" w:space="0"/>
              <w:right w:val="single" w:color="auto" w:sz="4" w:space="0"/>
            </w:tcBorders>
            <w:noWrap w:val="0"/>
            <w:vAlign w:val="center"/>
          </w:tcPr>
          <w:p w14:paraId="76D90EC9">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名称</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1FF9006A">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用途</w:t>
            </w:r>
          </w:p>
        </w:tc>
        <w:tc>
          <w:tcPr>
            <w:tcW w:w="6255" w:type="dxa"/>
            <w:gridSpan w:val="4"/>
            <w:vMerge w:val="continue"/>
            <w:tcBorders>
              <w:top w:val="single" w:color="auto" w:sz="4" w:space="0"/>
              <w:left w:val="single" w:color="auto" w:sz="4" w:space="0"/>
              <w:bottom w:val="single" w:color="auto" w:sz="4" w:space="0"/>
              <w:right w:val="single" w:color="auto" w:sz="4" w:space="0"/>
            </w:tcBorders>
            <w:noWrap w:val="0"/>
            <w:vAlign w:val="center"/>
          </w:tcPr>
          <w:p w14:paraId="21867F2E">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黑体" w:hAnsi="宋体" w:eastAsia="黑体" w:cs="黑体"/>
                <w:b w:val="0"/>
                <w:bCs w:val="0"/>
                <w:i w:val="0"/>
                <w:color w:val="auto"/>
                <w:sz w:val="24"/>
                <w:szCs w:val="24"/>
                <w:u w:val="none"/>
              </w:rPr>
            </w:pPr>
          </w:p>
        </w:tc>
        <w:tc>
          <w:tcPr>
            <w:tcW w:w="1050" w:type="dxa"/>
            <w:tcBorders>
              <w:top w:val="single" w:color="auto" w:sz="4" w:space="0"/>
              <w:left w:val="single" w:color="auto" w:sz="4" w:space="0"/>
              <w:bottom w:val="single" w:color="auto" w:sz="4" w:space="0"/>
              <w:right w:val="single" w:color="auto" w:sz="4" w:space="0"/>
            </w:tcBorders>
            <w:noWrap w:val="0"/>
            <w:vAlign w:val="center"/>
          </w:tcPr>
          <w:p w14:paraId="5A627747">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部门</w:t>
            </w:r>
          </w:p>
        </w:tc>
        <w:tc>
          <w:tcPr>
            <w:tcW w:w="990" w:type="dxa"/>
            <w:vMerge w:val="continue"/>
            <w:tcBorders>
              <w:top w:val="single" w:color="auto" w:sz="4" w:space="0"/>
              <w:left w:val="single" w:color="auto" w:sz="4" w:space="0"/>
              <w:bottom w:val="single" w:color="auto" w:sz="4" w:space="0"/>
              <w:right w:val="single" w:color="auto" w:sz="4" w:space="0"/>
            </w:tcBorders>
            <w:noWrap w:val="0"/>
            <w:vAlign w:val="center"/>
          </w:tcPr>
          <w:p w14:paraId="00CD555D">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黑体" w:hAnsi="宋体" w:eastAsia="黑体" w:cs="黑体"/>
                <w:b w:val="0"/>
                <w:bCs w:val="0"/>
                <w:i w:val="0"/>
                <w:color w:val="auto"/>
                <w:sz w:val="24"/>
                <w:szCs w:val="24"/>
                <w:u w:val="none"/>
              </w:rPr>
            </w:pPr>
          </w:p>
        </w:tc>
        <w:tc>
          <w:tcPr>
            <w:tcW w:w="1597" w:type="dxa"/>
            <w:vMerge w:val="continue"/>
            <w:tcBorders>
              <w:top w:val="single" w:color="auto" w:sz="4" w:space="0"/>
              <w:left w:val="single" w:color="auto" w:sz="4" w:space="0"/>
              <w:bottom w:val="single" w:color="auto" w:sz="4" w:space="0"/>
              <w:right w:val="single" w:color="auto" w:sz="4" w:space="0"/>
            </w:tcBorders>
            <w:noWrap w:val="0"/>
            <w:vAlign w:val="center"/>
          </w:tcPr>
          <w:p w14:paraId="55695251">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黑体" w:hAnsi="宋体" w:eastAsia="黑体" w:cs="黑体"/>
                <w:b w:val="0"/>
                <w:bCs w:val="0"/>
                <w:i w:val="0"/>
                <w:color w:val="auto"/>
                <w:sz w:val="24"/>
                <w:szCs w:val="24"/>
                <w:u w:val="none"/>
              </w:rPr>
            </w:pPr>
          </w:p>
        </w:tc>
      </w:tr>
      <w:tr w14:paraId="4A0D2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64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33EFA988">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黑体" w:hAnsi="宋体" w:eastAsia="黑体" w:cs="黑体"/>
                <w:b w:val="0"/>
                <w:bCs w:val="0"/>
                <w:i w:val="0"/>
                <w:color w:val="auto"/>
                <w:sz w:val="24"/>
                <w:szCs w:val="24"/>
                <w:u w:val="none"/>
              </w:rPr>
            </w:pPr>
          </w:p>
        </w:tc>
        <w:tc>
          <w:tcPr>
            <w:tcW w:w="1358" w:type="dxa"/>
            <w:tcBorders>
              <w:top w:val="single" w:color="auto" w:sz="4" w:space="0"/>
              <w:left w:val="single" w:color="auto" w:sz="4" w:space="0"/>
              <w:bottom w:val="single" w:color="auto" w:sz="4" w:space="0"/>
              <w:right w:val="single" w:color="auto" w:sz="4" w:space="0"/>
            </w:tcBorders>
            <w:noWrap w:val="0"/>
            <w:vAlign w:val="center"/>
          </w:tcPr>
          <w:p w14:paraId="5725C2B0">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黑体" w:hAnsi="宋体" w:eastAsia="黑体" w:cs="黑体"/>
                <w:b w:val="0"/>
                <w:bCs w:val="0"/>
                <w:i w:val="0"/>
                <w:color w:val="auto"/>
                <w:sz w:val="24"/>
                <w:szCs w:val="24"/>
                <w:u w:val="none"/>
              </w:rPr>
            </w:pPr>
          </w:p>
        </w:tc>
        <w:tc>
          <w:tcPr>
            <w:tcW w:w="989" w:type="dxa"/>
            <w:tcBorders>
              <w:top w:val="single" w:color="auto" w:sz="4" w:space="0"/>
              <w:left w:val="single" w:color="auto" w:sz="4" w:space="0"/>
              <w:bottom w:val="single" w:color="auto" w:sz="4" w:space="0"/>
              <w:right w:val="single" w:color="auto" w:sz="4" w:space="0"/>
            </w:tcBorders>
            <w:noWrap w:val="0"/>
            <w:vAlign w:val="center"/>
          </w:tcPr>
          <w:p w14:paraId="4CDC9B4D">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黑体" w:hAnsi="宋体" w:eastAsia="黑体" w:cs="黑体"/>
                <w:b w:val="0"/>
                <w:bCs w:val="0"/>
                <w:i w:val="0"/>
                <w:color w:val="auto"/>
                <w:sz w:val="24"/>
                <w:szCs w:val="24"/>
                <w:u w:val="none"/>
              </w:rPr>
            </w:pPr>
          </w:p>
        </w:tc>
        <w:tc>
          <w:tcPr>
            <w:tcW w:w="855" w:type="dxa"/>
            <w:tcBorders>
              <w:top w:val="single" w:color="auto" w:sz="4" w:space="0"/>
              <w:left w:val="single" w:color="auto" w:sz="4" w:space="0"/>
              <w:bottom w:val="single" w:color="auto" w:sz="4" w:space="0"/>
              <w:right w:val="single" w:color="auto" w:sz="4" w:space="0"/>
            </w:tcBorders>
            <w:noWrap w:val="0"/>
            <w:vAlign w:val="center"/>
          </w:tcPr>
          <w:p w14:paraId="42843CFF">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法律</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5437AE2F">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法规</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08A12192">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国务院</w:t>
            </w:r>
            <w:r>
              <w:rPr>
                <w:rFonts w:hint="eastAsia" w:ascii="黑体" w:hAnsi="宋体" w:eastAsia="黑体" w:cs="黑体"/>
                <w:b w:val="0"/>
                <w:bCs w:val="0"/>
                <w:i w:val="0"/>
                <w:color w:val="auto"/>
                <w:kern w:val="0"/>
                <w:sz w:val="24"/>
                <w:szCs w:val="24"/>
                <w:u w:val="none"/>
                <w:lang w:val="en-US" w:eastAsia="zh-CN" w:bidi="ar"/>
              </w:rPr>
              <w:t xml:space="preserve">   </w:t>
            </w:r>
            <w:r>
              <w:rPr>
                <w:rFonts w:hint="default" w:ascii="黑体" w:hAnsi="宋体" w:eastAsia="黑体" w:cs="黑体"/>
                <w:b w:val="0"/>
                <w:bCs w:val="0"/>
                <w:i w:val="0"/>
                <w:color w:val="auto"/>
                <w:kern w:val="0"/>
                <w:sz w:val="24"/>
                <w:szCs w:val="24"/>
                <w:u w:val="none"/>
                <w:lang w:val="en-US" w:eastAsia="zh-CN" w:bidi="ar"/>
              </w:rPr>
              <w:t>决定</w:t>
            </w:r>
          </w:p>
        </w:tc>
        <w:tc>
          <w:tcPr>
            <w:tcW w:w="2235" w:type="dxa"/>
            <w:tcBorders>
              <w:top w:val="single" w:color="auto" w:sz="4" w:space="0"/>
              <w:left w:val="single" w:color="auto" w:sz="4" w:space="0"/>
              <w:bottom w:val="single" w:color="auto" w:sz="4" w:space="0"/>
              <w:right w:val="single" w:color="auto" w:sz="4" w:space="0"/>
            </w:tcBorders>
            <w:noWrap w:val="0"/>
            <w:vAlign w:val="center"/>
          </w:tcPr>
          <w:p w14:paraId="112FF485">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黑体" w:hAnsi="宋体" w:eastAsia="黑体" w:cs="黑体"/>
                <w:b w:val="0"/>
                <w:bCs w:val="0"/>
                <w:i w:val="0"/>
                <w:color w:val="auto"/>
                <w:sz w:val="24"/>
                <w:szCs w:val="24"/>
                <w:u w:val="none"/>
              </w:rPr>
            </w:pPr>
            <w:r>
              <w:rPr>
                <w:rFonts w:hint="default" w:ascii="黑体" w:hAnsi="宋体" w:eastAsia="黑体" w:cs="黑体"/>
                <w:b w:val="0"/>
                <w:bCs w:val="0"/>
                <w:i w:val="0"/>
                <w:color w:val="auto"/>
                <w:kern w:val="0"/>
                <w:sz w:val="24"/>
                <w:szCs w:val="24"/>
                <w:u w:val="none"/>
                <w:lang w:val="en-US" w:eastAsia="zh-CN" w:bidi="ar"/>
              </w:rPr>
              <w:t>规章等程序性规定</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687C23A1">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黑体" w:hAnsi="宋体" w:eastAsia="黑体" w:cs="黑体"/>
                <w:b w:val="0"/>
                <w:bCs w:val="0"/>
                <w:i w:val="0"/>
                <w:color w:val="auto"/>
                <w:sz w:val="24"/>
                <w:szCs w:val="24"/>
                <w:u w:val="none"/>
              </w:rPr>
            </w:pPr>
          </w:p>
        </w:tc>
        <w:tc>
          <w:tcPr>
            <w:tcW w:w="990" w:type="dxa"/>
            <w:tcBorders>
              <w:top w:val="single" w:color="auto" w:sz="4" w:space="0"/>
              <w:left w:val="single" w:color="auto" w:sz="4" w:space="0"/>
              <w:bottom w:val="single" w:color="auto" w:sz="4" w:space="0"/>
              <w:right w:val="single" w:color="auto" w:sz="4" w:space="0"/>
            </w:tcBorders>
            <w:noWrap w:val="0"/>
            <w:vAlign w:val="center"/>
          </w:tcPr>
          <w:p w14:paraId="6F1014C7">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黑体" w:hAnsi="宋体" w:eastAsia="黑体" w:cs="黑体"/>
                <w:b w:val="0"/>
                <w:bCs w:val="0"/>
                <w:i w:val="0"/>
                <w:color w:val="auto"/>
                <w:sz w:val="24"/>
                <w:szCs w:val="24"/>
                <w:u w:val="none"/>
              </w:rPr>
            </w:pPr>
          </w:p>
        </w:tc>
        <w:tc>
          <w:tcPr>
            <w:tcW w:w="1597" w:type="dxa"/>
            <w:tcBorders>
              <w:top w:val="single" w:color="auto" w:sz="4" w:space="0"/>
              <w:left w:val="single" w:color="auto" w:sz="4" w:space="0"/>
              <w:bottom w:val="single" w:color="auto" w:sz="4" w:space="0"/>
              <w:right w:val="single" w:color="auto" w:sz="4" w:space="0"/>
            </w:tcBorders>
            <w:noWrap w:val="0"/>
            <w:vAlign w:val="center"/>
          </w:tcPr>
          <w:p w14:paraId="7D321599">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黑体" w:hAnsi="宋体" w:eastAsia="黑体" w:cs="黑体"/>
                <w:b w:val="0"/>
                <w:bCs w:val="0"/>
                <w:i w:val="0"/>
                <w:color w:val="auto"/>
                <w:sz w:val="24"/>
                <w:szCs w:val="24"/>
                <w:u w:val="none"/>
              </w:rPr>
            </w:pPr>
          </w:p>
        </w:tc>
      </w:tr>
      <w:tr w14:paraId="43E9F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16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579DB554">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1</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2D96CC5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亲属关系证明（结婚证、户口簿、出生证明等不能证明的）</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7518C5A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办理户口登记、迁移等</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37851877">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156D061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《中华人民共和国户口登记条例》（1958年1月9日主席令公布，1958年1月9日起施行）第十七条、第十九条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1D2E865C">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274F5E0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公安部等12部门联合印发的《关于改进和规范公安派出所出具证明工作的意见》（公通字〔2016〕21号）第二条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76A63082">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户口登记、户口迁入地公安派出所</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04BB83A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原户口所在地公安派出所</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00E75906">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0A025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56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41173E58">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2</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50A67795">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无暴力犯罪记录，无吸毒记录证明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0FF5CC62">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出租汽车驾驶员从业资格考试</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1731AD2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《中华人民共和国道路交通安全法》（2021年4月29日修改）第十九条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219ECE18">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《中华人民共和国道路运输条例》(国务院令第406号，2023年7月20日修订)第八十一条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297C9BB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《国务院对确需保留的行政审批项目设定行政许可的决定》（国务院令第412号）第112项</w:t>
            </w:r>
          </w:p>
        </w:tc>
        <w:tc>
          <w:tcPr>
            <w:tcW w:w="2235" w:type="dxa"/>
            <w:tcBorders>
              <w:top w:val="single" w:color="auto" w:sz="4" w:space="0"/>
              <w:left w:val="single" w:color="auto" w:sz="4" w:space="0"/>
              <w:bottom w:val="single" w:color="auto" w:sz="4" w:space="0"/>
              <w:right w:val="single" w:color="auto" w:sz="4" w:space="0"/>
            </w:tcBorders>
            <w:noWrap w:val="0"/>
            <w:vAlign w:val="center"/>
          </w:tcPr>
          <w:p w14:paraId="0EBC66C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《出租汽车驾驶员从业资格管理规定》（交通运输部令2021年第15号）第十一条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3FD3E48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市、县级出租汽车行政主管部门、行政审批部门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51E02ED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户口所在地公安派出所</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0A077A37">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0C707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1C41DC29">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3</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3DE8FBF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无交通肇事犯罪、危险驾驶犯罪记录，无饮酒后驾驶记录，最近连续3个记分周期内没有记满12分记录的证明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74CA759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出租汽车驾驶员从业资格考试</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4A587D34">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《中华人民共和国道路交通安全法》（2021年4月29日修改）第十九条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72B49C38">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《中华人民共和国道路运输条例》(国务院令第406号，2023年7月20日修订)第八十一条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0EA3FFA2">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《国务院对确需保留的行政审批项目设定行政许可的决定》（国务院令第412号）第112项</w:t>
            </w:r>
          </w:p>
        </w:tc>
        <w:tc>
          <w:tcPr>
            <w:tcW w:w="2235" w:type="dxa"/>
            <w:tcBorders>
              <w:top w:val="single" w:color="auto" w:sz="4" w:space="0"/>
              <w:left w:val="single" w:color="auto" w:sz="4" w:space="0"/>
              <w:bottom w:val="single" w:color="auto" w:sz="4" w:space="0"/>
              <w:right w:val="single" w:color="auto" w:sz="4" w:space="0"/>
            </w:tcBorders>
            <w:noWrap w:val="0"/>
            <w:vAlign w:val="center"/>
          </w:tcPr>
          <w:p w14:paraId="7C38841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《出租汽车驾驶员从业资格管理规定》（交通运输部令2021年第15号）第十一条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82872B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市、县级出租汽车行政主管部门、行政审批部门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1E5F2EC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公安交管部门</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2E37FE98">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50512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73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03FC8006">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4</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284B404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巡游出租汽车经营的投资人、负责人资信证明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272BA2B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巡游出租车经营许可审批</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099D7263">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1BF6882C">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566CB66E">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《国务院对确需保留的行政审批项目设定行政许可的决定》（国务院令第412号）第112项</w:t>
            </w:r>
          </w:p>
        </w:tc>
        <w:tc>
          <w:tcPr>
            <w:tcW w:w="2235" w:type="dxa"/>
            <w:tcBorders>
              <w:top w:val="single" w:color="auto" w:sz="4" w:space="0"/>
              <w:left w:val="single" w:color="auto" w:sz="4" w:space="0"/>
              <w:bottom w:val="single" w:color="auto" w:sz="4" w:space="0"/>
              <w:right w:val="single" w:color="auto" w:sz="4" w:space="0"/>
            </w:tcBorders>
            <w:noWrap w:val="0"/>
            <w:vAlign w:val="center"/>
          </w:tcPr>
          <w:p w14:paraId="195BEA9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《巡游出租汽车经营服务管理规定》（交通运输部令2021年第16号）第九条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A2F047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市、县级出租汽车行政主管部门、行政审批部门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1AF87B8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具有法定资格的验资机构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4E5B46BF">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0505A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86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76271BCC">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5</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5670A708">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网络预约出租汽车经营的投资人、负责人资信证明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3FE05CB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网络预约出租汽车经营许可审批</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540FA96C">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1559035A">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66373BB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《国务院对确需保留的行政审批项目设定行政许可的决定》（国务院令第412号）第112项</w:t>
            </w:r>
          </w:p>
        </w:tc>
        <w:tc>
          <w:tcPr>
            <w:tcW w:w="2235" w:type="dxa"/>
            <w:tcBorders>
              <w:top w:val="single" w:color="auto" w:sz="4" w:space="0"/>
              <w:left w:val="single" w:color="auto" w:sz="4" w:space="0"/>
              <w:bottom w:val="single" w:color="auto" w:sz="4" w:space="0"/>
              <w:right w:val="single" w:color="auto" w:sz="4" w:space="0"/>
            </w:tcBorders>
            <w:noWrap w:val="0"/>
            <w:vAlign w:val="center"/>
          </w:tcPr>
          <w:p w14:paraId="55AC21B4">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《网络预约出租汽车经营服务管理暂行办法》（交通运输部 工业和信息化部 公安部 商务部 市场监管总局 国家网信办令2022年第42号）第六条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37B9DEF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市、县级出租汽车行政主管部门、行政审批部门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5FCA91D2">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具有法定资格的验资机构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69C86BE8">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01EF2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33"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72D2D5D7">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6</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356753A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经营性道路旅客运输驾驶员、道路危险货物运输驾驶员3年内无重大以上交通责任事故证明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4FE1A20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从事客运经营、道路危险货物运输经营的驾驶员应符合的条件</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77AE306B">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06E57E48">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《中华人民共和国道路运输条例》（国务院令第406号，2023年7月20日修订）第八条、第九条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0CB6B693">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605453C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《道路运输从业人员管理规定》（交通运输部2022年38号令）第九条、第十一条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3F0D2282">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市、县级交通运输主管部门、行政审批部门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2B86AA7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公安交管部门</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6C41017F">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410A4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33"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77188D2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bidi="ar"/>
              </w:rPr>
              <w:t>7</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41870B14">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bidi="ar"/>
              </w:rPr>
              <w:t>健康体检证明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751D2B48">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bidi="ar"/>
              </w:rPr>
              <w:t>船员适任证书核发</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73A35598">
            <w:pPr>
              <w:keepNext w:val="0"/>
              <w:keepLines w:val="0"/>
              <w:pageBreakBefore w:val="0"/>
              <w:widowControl/>
              <w:kinsoku/>
              <w:wordWrap/>
              <w:overflowPunct/>
              <w:topLinePunct w:val="0"/>
              <w:autoSpaceDE/>
              <w:autoSpaceDN/>
              <w:bidi w:val="0"/>
              <w:adjustRightInd/>
              <w:snapToGrid/>
              <w:spacing w:line="300" w:lineRule="exact"/>
              <w:jc w:val="both"/>
              <w:rPr>
                <w:rFonts w:hint="default" w:ascii="仿宋_GB2312" w:hAnsi="宋体" w:eastAsia="仿宋_GB2312" w:cs="仿宋_GB2312"/>
                <w:b w:val="0"/>
                <w:bCs w:val="0"/>
                <w:i w:val="0"/>
                <w:color w:val="auto"/>
                <w:kern w:val="2"/>
                <w:sz w:val="20"/>
                <w:szCs w:val="20"/>
                <w:highlight w:val="none"/>
                <w:u w:val="none"/>
                <w:lang w:val="en-US" w:eastAsia="zh-CN" w:bidi="ar-SA"/>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26BC960C">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bidi="ar"/>
              </w:rPr>
              <w:t>《中华人民共和国船员条例》(国务院令第494号，2020年3月27日修订)第五条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254CE1B2">
            <w:pPr>
              <w:keepNext w:val="0"/>
              <w:keepLines w:val="0"/>
              <w:pageBreakBefore w:val="0"/>
              <w:widowControl/>
              <w:kinsoku/>
              <w:wordWrap/>
              <w:overflowPunct/>
              <w:topLinePunct w:val="0"/>
              <w:autoSpaceDE/>
              <w:autoSpaceDN/>
              <w:bidi w:val="0"/>
              <w:adjustRightInd/>
              <w:snapToGrid/>
              <w:spacing w:line="300" w:lineRule="exact"/>
              <w:jc w:val="both"/>
              <w:rPr>
                <w:rFonts w:hint="default" w:ascii="仿宋_GB2312" w:hAnsi="宋体" w:eastAsia="仿宋_GB2312" w:cs="仿宋_GB2312"/>
                <w:b w:val="0"/>
                <w:bCs w:val="0"/>
                <w:i w:val="0"/>
                <w:color w:val="auto"/>
                <w:kern w:val="2"/>
                <w:sz w:val="20"/>
                <w:szCs w:val="20"/>
                <w:highlight w:val="none"/>
                <w:u w:val="none"/>
                <w:lang w:val="en-US" w:eastAsia="zh-CN" w:bidi="ar-SA"/>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6A73D498">
            <w:pPr>
              <w:keepNext w:val="0"/>
              <w:keepLines w:val="0"/>
              <w:pageBreakBefore w:val="0"/>
              <w:widowControl/>
              <w:kinsoku/>
              <w:wordWrap/>
              <w:overflowPunct/>
              <w:topLinePunct w:val="0"/>
              <w:autoSpaceDE/>
              <w:autoSpaceDN/>
              <w:bidi w:val="0"/>
              <w:adjustRightInd/>
              <w:snapToGrid/>
              <w:spacing w:line="300" w:lineRule="exact"/>
              <w:jc w:val="both"/>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sz w:val="20"/>
                <w:szCs w:val="20"/>
                <w:highlight w:val="none"/>
                <w:u w:val="none"/>
              </w:rPr>
              <w:t>《中华人民共和国内河船舶船员适任考试和发证规则》（交通运输部令2015年第21号发布，2020年7月6日修正）第十九条、第二十条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3D90E5B0">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bidi="ar"/>
              </w:rPr>
              <w:t>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044F07D6">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center"/>
              <w:rPr>
                <w:rFonts w:hint="default" w:ascii="仿宋_GB2312" w:hAnsi="宋体" w:eastAsia="仿宋_GB2312" w:cs="仿宋_GB2312"/>
                <w:b w:val="0"/>
                <w:bCs w:val="0"/>
                <w:i w:val="0"/>
                <w:color w:val="auto"/>
                <w:kern w:val="2"/>
                <w:sz w:val="20"/>
                <w:szCs w:val="20"/>
                <w:highlight w:val="none"/>
                <w:u w:val="none"/>
                <w:lang w:val="en-US" w:eastAsia="zh-CN" w:bidi="ar-SA"/>
              </w:rPr>
            </w:pPr>
            <w:r>
              <w:rPr>
                <w:rFonts w:hint="eastAsia" w:ascii="仿宋_GB2312" w:hAnsi="宋体" w:eastAsia="仿宋_GB2312" w:cs="仿宋_GB2312"/>
                <w:b w:val="0"/>
                <w:bCs w:val="0"/>
                <w:i w:val="0"/>
                <w:color w:val="auto"/>
                <w:kern w:val="0"/>
                <w:sz w:val="20"/>
                <w:szCs w:val="20"/>
                <w:highlight w:val="none"/>
                <w:u w:val="none"/>
                <w:lang w:val="en-US" w:eastAsia="zh-CN" w:bidi="ar"/>
              </w:rPr>
              <w:t>县级以上医疗机构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7B6E329E">
            <w:pPr>
              <w:keepNext w:val="0"/>
              <w:keepLines w:val="0"/>
              <w:pageBreakBefore w:val="0"/>
              <w:widowControl/>
              <w:kinsoku/>
              <w:wordWrap/>
              <w:overflowPunct/>
              <w:topLinePunct w:val="0"/>
              <w:autoSpaceDE/>
              <w:autoSpaceDN/>
              <w:bidi w:val="0"/>
              <w:adjustRightInd/>
              <w:snapToGrid/>
              <w:spacing w:line="300" w:lineRule="exact"/>
              <w:jc w:val="both"/>
              <w:rPr>
                <w:rFonts w:hint="default" w:ascii="仿宋_GB2312" w:hAnsi="宋体" w:eastAsia="仿宋_GB2312" w:cs="仿宋_GB2312"/>
                <w:b/>
                <w:bCs/>
                <w:i w:val="0"/>
                <w:color w:val="auto"/>
                <w:kern w:val="2"/>
                <w:sz w:val="20"/>
                <w:szCs w:val="20"/>
                <w:highlight w:val="none"/>
                <w:u w:val="none"/>
                <w:lang w:val="en-US" w:eastAsia="zh-CN" w:bidi="ar-SA"/>
              </w:rPr>
            </w:pPr>
          </w:p>
        </w:tc>
      </w:tr>
      <w:tr w14:paraId="5CCF1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5469"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59EBFF9A">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eastAsia" w:ascii="仿宋_GB2312" w:hAnsi="宋体" w:eastAsia="仿宋_GB2312" w:cs="仿宋_GB2312"/>
                <w:b w:val="0"/>
                <w:bCs w:val="0"/>
                <w:i w:val="0"/>
                <w:color w:val="auto"/>
                <w:kern w:val="0"/>
                <w:sz w:val="20"/>
                <w:szCs w:val="20"/>
                <w:u w:val="none"/>
                <w:lang w:val="en-US" w:eastAsia="zh-CN" w:bidi="ar"/>
              </w:rPr>
              <w:t>8</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7C0D83F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学校资产证明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640C818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申请筹设、正式设立实施以职业技能为主的职业资格培训、职业技能培训的民办学校</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1E429521">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《中华人民共和国民办教育促进法》（2018年12月29日第三次修正）第十二条、第十三条、第十五条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57A6E919">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37340CD7">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78BFF00F">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noWrap w:val="0"/>
            <w:vAlign w:val="center"/>
          </w:tcPr>
          <w:p w14:paraId="412AA9D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市、县人力资源社会保障部门，市、县行政审批部门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2C5AD7B1">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银行、会计师事务所、其他具有验资资格的机构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76FFB39E">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51359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319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2341F470">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rPr>
            </w:pPr>
            <w:r>
              <w:rPr>
                <w:rFonts w:hint="eastAsia" w:ascii="仿宋_GB2312" w:hAnsi="宋体" w:eastAsia="仿宋_GB2312" w:cs="仿宋_GB2312"/>
                <w:b w:val="0"/>
                <w:bCs w:val="0"/>
                <w:i w:val="0"/>
                <w:color w:val="auto"/>
                <w:kern w:val="0"/>
                <w:sz w:val="20"/>
                <w:szCs w:val="20"/>
                <w:u w:val="none"/>
                <w:lang w:val="en-US" w:eastAsia="zh-CN" w:bidi="ar"/>
              </w:rPr>
              <w:t>9</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22FB6F5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供养直系亲属与死者关系证明（通过告知承诺制、部门间数据共享核查）</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5AA7ABFB">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办理养老保险丧葬补助金、抚恤金核定；个人账户一次性支付核定（养老保险服务）</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3E29CF14">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《中华人民共和国社会保险法》（2018年12月29日修正）第十七条、第十四条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4E4BA1F0">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78BCDCF1">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496FEA7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《人力资源社会保障部关于印发机关事业单位工作人员基本养老保险经办规程的通知》（人社部发〔2015〕32号）第四十条、第四十一条</w:t>
            </w:r>
            <w:r>
              <w:rPr>
                <w:rFonts w:hint="eastAsia" w:ascii="仿宋_GB2312" w:hAnsi="宋体" w:eastAsia="仿宋_GB2312" w:cs="仿宋_GB2312"/>
                <w:b w:val="0"/>
                <w:bCs w:val="0"/>
                <w:i w:val="0"/>
                <w:color w:val="auto"/>
                <w:kern w:val="0"/>
                <w:sz w:val="20"/>
                <w:szCs w:val="20"/>
                <w:u w:val="none"/>
                <w:lang w:val="en-US" w:eastAsia="zh-CN" w:bidi="ar"/>
              </w:rPr>
              <w:t>；</w:t>
            </w:r>
            <w:r>
              <w:rPr>
                <w:rFonts w:hint="default" w:ascii="仿宋_GB2312" w:hAnsi="宋体" w:eastAsia="仿宋_GB2312" w:cs="仿宋_GB2312"/>
                <w:b w:val="0"/>
                <w:bCs w:val="0"/>
                <w:i w:val="0"/>
                <w:color w:val="auto"/>
                <w:kern w:val="0"/>
                <w:sz w:val="20"/>
                <w:szCs w:val="20"/>
                <w:u w:val="none"/>
                <w:lang w:val="en-US" w:eastAsia="zh-CN" w:bidi="ar"/>
              </w:rPr>
              <w:t>《关于印发基本养老保险经办业务规程（试行）的通知》（劳社险中心函〔2003〕38号）第六十六条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FAC65B1">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人力资源社会保障部门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12DFBE5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公安派出所</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2BDDF8DA">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7FBF2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2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6612B09C">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10</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0C14E9E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死亡证明（通过告知承诺制、部门间数据共享核查）</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1DDEA85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办理养老保险丧葬补助金、抚恤金核定；个人账户一次性支付核定（养老保险服务）</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18FD5C72">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《中华人民共和国社会保险法》（2018年12月29日修正）第十七条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0C0437B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《中华人民共和国劳动保险条例》（1953年1月2日修正）第十四条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0BFA897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《国务院关于建立统一的城乡居民基本养老保险制度的意见》（国发〔2014〕8号）第七条</w:t>
            </w:r>
          </w:p>
        </w:tc>
        <w:tc>
          <w:tcPr>
            <w:tcW w:w="2235" w:type="dxa"/>
            <w:tcBorders>
              <w:top w:val="single" w:color="auto" w:sz="4" w:space="0"/>
              <w:left w:val="single" w:color="auto" w:sz="4" w:space="0"/>
              <w:bottom w:val="single" w:color="auto" w:sz="4" w:space="0"/>
              <w:right w:val="single" w:color="auto" w:sz="4" w:space="0"/>
            </w:tcBorders>
            <w:noWrap w:val="0"/>
            <w:vAlign w:val="center"/>
          </w:tcPr>
          <w:p w14:paraId="03823E24">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机关事业单位工作人员基本养老保险经办规程的通知》（人社部发〔2015〕32号）第四十条、第四十一条；《关于印发基本养老保险经办业务规程（试行）的通知》（劳社险中心函〔2003〕38号）第六十四条、第六十六条、第七十三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300644F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人力资源社会保障部门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1D6DFD2E">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人民法院、公安机关、医疗机构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61099FB8">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0B1A1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89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34C53BC9">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11</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2CE6125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能够确定指定受益人、法定继承人继承权的公证书</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170C68A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城乡居民基本养老保险注销登记</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6234AD88">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50DF4F81">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7CBEE69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《国务院关于建立统一的城乡居民基本养老保险制度的意见》（国发〔2014〕8号）第七条</w:t>
            </w:r>
          </w:p>
        </w:tc>
        <w:tc>
          <w:tcPr>
            <w:tcW w:w="2235" w:type="dxa"/>
            <w:tcBorders>
              <w:top w:val="single" w:color="auto" w:sz="4" w:space="0"/>
              <w:left w:val="single" w:color="auto" w:sz="4" w:space="0"/>
              <w:bottom w:val="single" w:color="auto" w:sz="4" w:space="0"/>
              <w:right w:val="single" w:color="auto" w:sz="4" w:space="0"/>
            </w:tcBorders>
            <w:noWrap w:val="0"/>
            <w:vAlign w:val="center"/>
          </w:tcPr>
          <w:p w14:paraId="1F1A2D55">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《城乡居民基本养老保险经办规程》（人社部发〔2019〕84号）第三十七条、第三十八条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9CD14F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人力资源社会保障部门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63B77542">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公证机构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4B1CDFE3">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35070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05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1BD7990C">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12</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7F80A085">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依靠工亡职工生前提供主要生活来源的证明（告知承诺制办理）</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27BDD404">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供养亲属抚恤金申领（工伤保险服务）</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68291E6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《中华人民共和国社会保险法》（2018年12月29日修正）第三十八条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2802C9A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《工伤保险条例》（国务院令第586号）第三十九条、第四十一条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3BD4044D">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5366AF3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《关于印发工伤保险经办规程的通知》的通知（人社部发〔2012〕11号）第七十条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7A9BC7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人力资源社会保障部门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2DEB4B1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户籍所在地公安派出所、街道办事处、乡镇政府</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60F9E6E5">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50539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05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5D2C92EF">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13</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2A58463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死亡证明（无法通过数据比对核查的通过告知承诺制）</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4B08115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失业保险丧葬补助金和抚恤金申领</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49CC6DF5">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《中华人民共和国社会保险法》（2018年12月29日修正）第四十九条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7DC15A14">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《失业保险条例》（中华人民共和国国务院令第258号）第十条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4FB5776F">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39CE2968">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《失业保险金申领发放办法》（中华人民共和国劳动和社会保障部令第8号）第十六条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654E550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人力资源和社会保障部门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0695C3E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人民法院、公安机关、医疗机构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636D30A0">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79A28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31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7363A6D5">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14</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4312E72E">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死亡证明（无法通过数据比对核查的通过告知承诺制）</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1DDFE24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申领一次性工亡补助金（含生活困难，预支50%确认）、丧葬补助金申领</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3C1B8FEB">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《中华人民共和国社会保险法》（2018年12月29日修正）第三十八条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43B6C955">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《工伤保险条例》（中华人民共和国国务院令第586号）第三十九条、第四十一条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58D929F9">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1F1B1BDE">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《关于印发工伤保险经办规程的通知》（人社部发〔2022〕24号）第七十二条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BFA422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人力资源社会保障部门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23E1533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人民法院、公安机关、医疗机构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34907C35">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75C46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1617A0C1">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15</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4EF546E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终止或者解除劳动关系的证明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248BB975">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失业登记</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433BDC6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《中华人民共和国社会保险法》（2018年12月29日修正）第五十条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66B95B4B">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7019B617">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22961BCD">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DCFA592">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市、县人力资源社会保障部门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6C47CABB">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原用人单位</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4CBEABD1">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仿宋_GB2312"/>
                <w:b w:val="0"/>
                <w:bCs w:val="0"/>
                <w:i w:val="0"/>
                <w:color w:val="auto"/>
                <w:sz w:val="20"/>
                <w:szCs w:val="20"/>
                <w:u w:val="none"/>
              </w:rPr>
            </w:pPr>
          </w:p>
        </w:tc>
      </w:tr>
      <w:tr w14:paraId="7A356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5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2AD656EC">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eastAsia" w:ascii="仿宋_GB2312" w:hAnsi="宋体" w:eastAsia="仿宋_GB2312" w:cs="仿宋_GB2312"/>
                <w:b w:val="0"/>
                <w:bCs w:val="0"/>
                <w:i w:val="0"/>
                <w:color w:val="auto"/>
                <w:kern w:val="0"/>
                <w:sz w:val="20"/>
                <w:szCs w:val="20"/>
                <w:u w:val="none"/>
                <w:lang w:val="en-US" w:eastAsia="zh-CN" w:bidi="ar"/>
              </w:rPr>
              <w:t>16</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3455340B">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bidi="ar"/>
              </w:rPr>
              <w:t>主要业务人员的从业资格证明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37935C4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bidi="ar"/>
              </w:rPr>
              <w:t>文化类民办非企业单位设立前置审查</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523D53AE">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kern w:val="2"/>
                <w:sz w:val="20"/>
                <w:szCs w:val="20"/>
                <w:u w:val="none"/>
                <w:lang w:val="en-US" w:eastAsia="zh-CN" w:bidi="ar-SA"/>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5F34117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bidi="ar"/>
              </w:rPr>
              <w:t>《民办非企业单位登记管理暂行条例》（国务院令第251号）第八条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7016EBD0">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kern w:val="2"/>
                <w:sz w:val="20"/>
                <w:szCs w:val="20"/>
                <w:u w:val="none"/>
                <w:lang w:val="en-US" w:eastAsia="zh-CN" w:bidi="ar-SA"/>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4DBBF302">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bidi="ar"/>
              </w:rPr>
              <w:t>《文化部、民政部关于文化类民办非企业单位登记审查管理暂行办法》（文人发〔2000〕第60号）第十条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4B07D4A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bidi="ar"/>
              </w:rPr>
              <w:t>省、市、县文化和旅游行政主管部门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6A90E8B8">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2"/>
                <w:sz w:val="20"/>
                <w:szCs w:val="20"/>
                <w:u w:val="none"/>
                <w:lang w:val="en-US" w:eastAsia="zh-CN" w:bidi="ar-SA"/>
              </w:rPr>
            </w:pPr>
            <w:r>
              <w:rPr>
                <w:rFonts w:hint="default" w:ascii="仿宋_GB2312" w:hAnsi="宋体" w:eastAsia="仿宋_GB2312" w:cs="仿宋_GB2312"/>
                <w:b w:val="0"/>
                <w:bCs w:val="0"/>
                <w:i w:val="0"/>
                <w:color w:val="auto"/>
                <w:kern w:val="0"/>
                <w:sz w:val="20"/>
                <w:szCs w:val="20"/>
                <w:u w:val="none"/>
                <w:lang w:val="en-US" w:eastAsia="zh-CN" w:bidi="ar"/>
              </w:rPr>
              <w:t>相关行业主管部门或社会组织</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1CCDA01A">
            <w:pPr>
              <w:keepNext w:val="0"/>
              <w:keepLines w:val="0"/>
              <w:pageBreakBefore w:val="0"/>
              <w:widowControl w:val="0"/>
              <w:kinsoku/>
              <w:wordWrap/>
              <w:overflowPunct/>
              <w:topLinePunct w:val="0"/>
              <w:autoSpaceDE/>
              <w:autoSpaceDN/>
              <w:bidi w:val="0"/>
              <w:adjustRightInd/>
              <w:snapToGrid/>
              <w:spacing w:line="260" w:lineRule="exact"/>
              <w:rPr>
                <w:rFonts w:hint="default" w:ascii="宋体" w:hAnsi="宋体" w:eastAsia="宋体" w:cs="宋体"/>
                <w:b w:val="0"/>
                <w:bCs w:val="0"/>
                <w:i w:val="0"/>
                <w:color w:val="auto"/>
                <w:kern w:val="2"/>
                <w:sz w:val="24"/>
                <w:szCs w:val="24"/>
                <w:u w:val="none"/>
                <w:lang w:val="en-US" w:eastAsia="zh-CN" w:bidi="ar-SA"/>
              </w:rPr>
            </w:pPr>
          </w:p>
        </w:tc>
      </w:tr>
      <w:tr w14:paraId="7BA52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5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65419579">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17</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4019168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无犯罪记录证明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6D5ECEB2">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娱乐场所设立、变更开办者审批</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135D8653">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771C1551">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《娱乐场所管理条例》（国务院令第458号，2020年11月29日第二次修订）第五条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3FB8BED5">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44A72DE2">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noWrap w:val="0"/>
            <w:vAlign w:val="center"/>
          </w:tcPr>
          <w:p w14:paraId="30BEECF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县级行政审批部门、文化和旅游部门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5DCA9B0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户口所在地公安派出所</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1A853914">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5BD73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9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457E4B2B">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18</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1E15B11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居民住宅改为商务用房不扰民证明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53C2E874">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将住宅改为经营性用房</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53DA518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《中华人民共和国民法典》第二百七十九条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1AAE1245">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35308578">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35DE89A6">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noWrap w:val="0"/>
            <w:vAlign w:val="center"/>
          </w:tcPr>
          <w:p w14:paraId="15DE371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市、县级市场监管部门、行政审批部门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5E33B3E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有利害关系的业主</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69BC589D">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3DE51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97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388CC298">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19</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03EE2565">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体检报告</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6ACF758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办理特种设备作业人员取证</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3F37223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《中华人民共和国特种设备安全法》第十四条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02F63C64">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70291F9E">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0FA5E5C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《特种设备作业人员考核规则》（国家市场监管总局，TSG Z6001-2019 ）第十五条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61AB8C3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县级市场监管部门或行政审批部门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16B73A9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县级以上医疗机构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73E66C4C">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75823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1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58C2DD38">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eastAsia="zh-CN"/>
              </w:rPr>
            </w:pPr>
            <w:r>
              <w:rPr>
                <w:rFonts w:hint="eastAsia" w:ascii="仿宋_GB2312" w:hAnsi="宋体" w:eastAsia="仿宋_GB2312" w:cs="仿宋_GB2312"/>
                <w:b w:val="0"/>
                <w:bCs w:val="0"/>
                <w:i w:val="0"/>
                <w:color w:val="auto"/>
                <w:sz w:val="20"/>
                <w:szCs w:val="20"/>
                <w:u w:val="none"/>
                <w:lang w:val="en-US" w:eastAsia="zh-CN"/>
              </w:rPr>
              <w:t>20</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1BEA8A8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医疗卫生机构出具的含视力、色盲内容的健康证明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51EBCD8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特种设备作业人员（持证焊工）资格认定</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2DDE663E">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《中华人民共和国特种设备安全法》第十四条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79A5B168">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4D27D280">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5EFBF37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《特种设备焊接作业人员考核细则》（国家质量监督检验检疫总局2010第126号）第二十六条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7CA3A5A8">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县级市场监管部门或行政审批部门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61A8B22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县级以上医疗机构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3E40E8DA">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284B4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9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13A0FC52">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21</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1D56EFD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姓名或名称更改证明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6A02063B">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申请股权出质变更登记</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7AA54BA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《中华人民共和国民法典》第四百四十条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014142CE">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6F21403D">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65BE3EC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《工商行政管理机关股权出质登记办法》（国家工商行政管理局总令第32号）第九条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3E75816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市、县级行政审批局；县级市场监督管理局</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4EC46D2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户口所在地公安派出所、市场监管部门</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2C0F7EB1">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39B81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9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4B3DC181">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22</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46DEACB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变更股东或发起人名称或姓名的，提交股东或发起人名称或姓名变更证明（身份证、户口簿不能证明的）</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4DC90EB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企业设立变更登记</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73835575">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53F28C6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《中华人民共和国市场主体登记管理条例》（国务院令第746号，2022年3月1日起施行）第八条、第二十四条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1A7B387F">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30BFFCC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《中华人民共和国市场主体登管理条例实施细则》第四十六条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4AD00D5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市、县级市场监管部门、行政审批部门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135A1CDB">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股东、发起人、投资人、出资人（主管部门）、合伙人登记机关、户口所在地公安派出所</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617BCB8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自然人身份证号码一致的无需提交改名证明，只需提交新的身份证件复印件</w:t>
            </w:r>
          </w:p>
        </w:tc>
      </w:tr>
      <w:tr w14:paraId="19F57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05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6ED819EA">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23</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1FDDB02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申请教师资格认定的思想品德鉴定表</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31CFCF5B">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申请教师资格认定</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5B208C96">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4045AD4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《教师资格条例》（国务院令第188号）第十五条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23B4CAAE">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14FE0D68">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C149565">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市、县教育部门、行政审批部门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097F348B">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申请人工作单位或所在地街道办事处（乡镇人民政府）、公安派出所</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3713659C">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708FC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78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5F10D293">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24</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4A6F6DA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法定代表人或主要负责人无不符合申请设置医疗机构的情况证明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2808061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医疗机构执业登记（人体器官移植除 外）</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5FF95B59">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12D737E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《医疗机构管理条例》（国务院令第149号，2022年3月29日修改）第十五条、第十六条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0F3A8ACD">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3A455B0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《医疗机构管理条例实施细则》（自2017年4月1日起施行）第十二条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1484DE8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2127F311">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卫生健康、公安派出所等部门</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53DB591B">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4AA68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78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12888AB5">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eastAsia" w:ascii="仿宋_GB2312" w:hAnsi="宋体" w:eastAsia="仿宋_GB2312" w:cs="仿宋_GB2312"/>
                <w:b w:val="0"/>
                <w:bCs w:val="0"/>
                <w:i w:val="0"/>
                <w:color w:val="auto"/>
                <w:kern w:val="0"/>
                <w:sz w:val="20"/>
                <w:szCs w:val="20"/>
                <w:u w:val="none"/>
                <w:lang w:val="en-US" w:eastAsia="zh-CN" w:bidi="ar"/>
              </w:rPr>
              <w:t>25</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454C25A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eastAsia" w:ascii="仿宋_GB2312" w:hAnsi="宋体" w:eastAsia="仿宋_GB2312" w:cs="仿宋_GB2312"/>
                <w:b w:val="0"/>
                <w:bCs w:val="0"/>
                <w:i w:val="0"/>
                <w:color w:val="auto"/>
                <w:kern w:val="0"/>
                <w:sz w:val="20"/>
                <w:szCs w:val="20"/>
                <w:u w:val="none"/>
                <w:lang w:val="en-US" w:eastAsia="zh-CN" w:bidi="ar"/>
              </w:rPr>
              <w:t>护士执业注册需提供的医疗卫生机构拟聘用证明（不能够提供聘任书或聘任合同等文件的）</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52E8E79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eastAsia" w:ascii="仿宋_GB2312" w:hAnsi="宋体" w:eastAsia="仿宋_GB2312" w:cs="仿宋_GB2312"/>
                <w:b w:val="0"/>
                <w:bCs w:val="0"/>
                <w:i w:val="0"/>
                <w:color w:val="auto"/>
                <w:kern w:val="0"/>
                <w:sz w:val="20"/>
                <w:szCs w:val="20"/>
                <w:u w:val="none"/>
                <w:lang w:val="en-US" w:eastAsia="zh-CN" w:bidi="ar"/>
              </w:rPr>
              <w:t>护士执业注册</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75621D2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bidi="ar"/>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49DED17E">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eastAsia" w:ascii="仿宋_GB2312" w:hAnsi="宋体" w:eastAsia="仿宋_GB2312" w:cs="仿宋_GB2312"/>
                <w:b w:val="0"/>
                <w:bCs w:val="0"/>
                <w:i w:val="0"/>
                <w:color w:val="auto"/>
                <w:kern w:val="0"/>
                <w:sz w:val="20"/>
                <w:szCs w:val="20"/>
                <w:u w:val="none"/>
                <w:lang w:val="en-US" w:eastAsia="zh-CN" w:bidi="ar"/>
              </w:rPr>
              <w:t>《护士条例》（国务院令第517号，2020年3月27日修订）第八条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231327D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bidi="ar"/>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4158969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eastAsia" w:ascii="仿宋_GB2312" w:hAnsi="宋体" w:eastAsia="仿宋_GB2312" w:cs="仿宋_GB2312"/>
                <w:b w:val="0"/>
                <w:bCs w:val="0"/>
                <w:i w:val="0"/>
                <w:color w:val="auto"/>
                <w:kern w:val="0"/>
                <w:sz w:val="20"/>
                <w:szCs w:val="20"/>
                <w:u w:val="none"/>
                <w:lang w:val="en-US" w:eastAsia="zh-CN" w:bidi="ar"/>
              </w:rPr>
              <w:t>《护士执业注册管理办法》（2008年卫生部令第59号，2021年1月8日修订）第九条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6B58198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eastAsia" w:ascii="仿宋_GB2312" w:hAnsi="宋体" w:eastAsia="仿宋_GB2312" w:cs="仿宋_GB2312"/>
                <w:b w:val="0"/>
                <w:bCs w:val="0"/>
                <w:i w:val="0"/>
                <w:color w:val="auto"/>
                <w:kern w:val="0"/>
                <w:sz w:val="20"/>
                <w:szCs w:val="20"/>
                <w:u w:val="none"/>
                <w:lang w:val="en-US" w:eastAsia="zh-CN" w:bidi="ar"/>
              </w:rPr>
              <w:t>市、县级卫生健康部门或行政审批部门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7932259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eastAsia" w:ascii="仿宋_GB2312" w:hAnsi="宋体" w:eastAsia="仿宋_GB2312" w:cs="仿宋_GB2312"/>
                <w:b w:val="0"/>
                <w:bCs w:val="0"/>
                <w:i w:val="0"/>
                <w:color w:val="auto"/>
                <w:kern w:val="0"/>
                <w:sz w:val="20"/>
                <w:szCs w:val="20"/>
                <w:u w:val="none"/>
                <w:lang w:val="en-US" w:eastAsia="zh-CN" w:bidi="ar"/>
              </w:rPr>
              <w:t>拟执业的医疗卫生机构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439338E4">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bidi="ar"/>
              </w:rPr>
            </w:pPr>
          </w:p>
        </w:tc>
      </w:tr>
      <w:tr w14:paraId="33CCF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78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7F3102CD">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eastAsia" w:ascii="仿宋_GB2312" w:hAnsi="宋体" w:eastAsia="仿宋_GB2312" w:cs="仿宋_GB2312"/>
                <w:b w:val="0"/>
                <w:bCs w:val="0"/>
                <w:i w:val="0"/>
                <w:color w:val="auto"/>
                <w:kern w:val="0"/>
                <w:sz w:val="20"/>
                <w:szCs w:val="20"/>
                <w:u w:val="none"/>
                <w:lang w:val="en-US" w:eastAsia="zh-CN" w:bidi="ar"/>
              </w:rPr>
              <w:t>26</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158CDF8D">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发起人、拟任负责人未受到剥夺政治权利的刑事处罚的证明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5B579329">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办理社会团体登记业务</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00453C49">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3DCF1903">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《社会团体登记管理条例》（国务院第250号令）第十三条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0C2D0315">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273EF38C">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p>
        </w:tc>
        <w:tc>
          <w:tcPr>
            <w:tcW w:w="1050" w:type="dxa"/>
            <w:tcBorders>
              <w:top w:val="single" w:color="auto" w:sz="4" w:space="0"/>
              <w:left w:val="single" w:color="auto" w:sz="4" w:space="0"/>
              <w:bottom w:val="single" w:color="auto" w:sz="4" w:space="0"/>
              <w:right w:val="single" w:color="auto" w:sz="4" w:space="0"/>
            </w:tcBorders>
            <w:noWrap w:val="0"/>
            <w:vAlign w:val="center"/>
          </w:tcPr>
          <w:p w14:paraId="7885EED7">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市、县级行政审批部门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0B71C99F">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公安机关</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040D71B9">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p>
        </w:tc>
      </w:tr>
      <w:tr w14:paraId="63684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78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6BE0E4E7">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eastAsia" w:ascii="仿宋_GB2312" w:hAnsi="宋体" w:eastAsia="仿宋_GB2312" w:cs="仿宋_GB2312"/>
                <w:b w:val="0"/>
                <w:bCs w:val="0"/>
                <w:i w:val="0"/>
                <w:color w:val="auto"/>
                <w:kern w:val="0"/>
                <w:sz w:val="20"/>
                <w:szCs w:val="20"/>
                <w:u w:val="none"/>
                <w:lang w:val="en-US" w:eastAsia="zh-CN" w:bidi="ar"/>
              </w:rPr>
              <w:t>27</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206D7552">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拟任负责人未受到剥夺政治权利的刑事处罚的证明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279C0583">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办理民办非企业单位登记业务</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08F7CAF4">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3FBB6B81">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《民办非企业单位登记管理暂行条例》（国务院令第251号）第十一条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69CE0C0B">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320C20EC">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F24FF8B">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市、县级行政审批部门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5C4BA279">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公安机关</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21286F90">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kern w:val="0"/>
                <w:sz w:val="20"/>
                <w:szCs w:val="20"/>
                <w:u w:val="none"/>
                <w:lang w:val="en-US" w:eastAsia="zh-CN" w:bidi="ar"/>
              </w:rPr>
            </w:pPr>
          </w:p>
        </w:tc>
      </w:tr>
      <w:tr w14:paraId="0C21A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31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13224845">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28</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224C6E58">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寄养家庭成员健康状况证明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708CFCD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办理儿童寄养业务</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28025551">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《中华人民共和国未成年人保护法》第四条、第九十三条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73CE261A">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3DCE52F4">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3BAFC6C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《家庭寄养管理办法》 (中华人民共和国民政部令第54 号）第十二条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09A10EA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民政部门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2321250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县级以上医疗机构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6D76B156">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5AA56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178E8932">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29</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699D515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三年以上从事基层法律服务工作或基层司法行政工作经历的证明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69DB5A3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基层法律服务所变更负责人</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50D08345">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6C4D4BA2">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4FA493D5">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《国务院对确需保留的行政审批项目设定行政许可的决定》（国务院令第412号，2004年7月1日起施行）第75项</w:t>
            </w:r>
          </w:p>
        </w:tc>
        <w:tc>
          <w:tcPr>
            <w:tcW w:w="2235" w:type="dxa"/>
            <w:tcBorders>
              <w:top w:val="single" w:color="auto" w:sz="4" w:space="0"/>
              <w:left w:val="single" w:color="auto" w:sz="4" w:space="0"/>
              <w:bottom w:val="single" w:color="auto" w:sz="4" w:space="0"/>
              <w:right w:val="single" w:color="auto" w:sz="4" w:space="0"/>
            </w:tcBorders>
            <w:noWrap w:val="0"/>
            <w:vAlign w:val="center"/>
          </w:tcPr>
          <w:p w14:paraId="19B6AA9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《基层法律服务所管理办法》（2017年12月25日司法部令第137号）第十六条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1A6815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市、县级行政审批部门、司法行政部门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748C4BC1">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基层法律服务所</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18C99FB4">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3BD7C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1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1B7B692C">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30</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2AD9D0D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新增加合伙人的三年以上职业经历证明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676246B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基层法律服务所变更合伙人</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3369FA3B">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1F457063">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3ABB030E">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《国务院对确需保留的行政审批项目设定行政许可的决定》（国务院令第412号，2004年7月1日起施行）第75项</w:t>
            </w:r>
          </w:p>
        </w:tc>
        <w:tc>
          <w:tcPr>
            <w:tcW w:w="2235" w:type="dxa"/>
            <w:tcBorders>
              <w:top w:val="single" w:color="auto" w:sz="4" w:space="0"/>
              <w:left w:val="single" w:color="auto" w:sz="4" w:space="0"/>
              <w:bottom w:val="single" w:color="auto" w:sz="4" w:space="0"/>
              <w:right w:val="single" w:color="auto" w:sz="4" w:space="0"/>
            </w:tcBorders>
            <w:noWrap w:val="0"/>
            <w:vAlign w:val="center"/>
          </w:tcPr>
          <w:p w14:paraId="3944FD3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《基层法律服务所管理办法》（2017年12月25日司法部令第137号）第七条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7E7D4F1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市、县级行政审批部门、司法行政部门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651FFFD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基层法律服务所</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15A9ED8D">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73449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93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6A27ABE6">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31</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293F8FF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体检证明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1BE479DE">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特种作业操作证核发</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36418C2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《中华人民共和国安全生产法》第三十条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247D3BBD">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1A0BE800">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6A0189F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《特种作业人员安全技术培训考核管理规定》（国家安全生产监督管理总局令第30号 ，2015年5月29日修改）第四条、第十六条</w:t>
            </w:r>
          </w:p>
          <w:p w14:paraId="75CD780C">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依据2018年12月4日《中华人民共和国应急管理部公告(2018年第12号）》中“部门规章设定的证明事项取消目录”第22项“申请人申请办理特种作业操作证时不再提交体检证明”、第24项“申请人申请特种作业操作证复审时不再提交健康证明”，两项均改为“个人健康书面承诺”</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5FD9642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市、县应急管理部门或行政审批部门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2AF8EFA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社区或县级以上医疗机构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426D38C4">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043EC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93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5B1E8B22">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32</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46E97F4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健康证明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15511A1B">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特种作业操作证复审</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1F6D8DC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《中华人民共和国安全生产法》第三十条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603C7A68">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213ACC39">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42D768C1">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kern w:val="0"/>
                <w:sz w:val="20"/>
                <w:szCs w:val="20"/>
                <w:u w:val="none"/>
                <w:lang w:val="en-US" w:eastAsia="zh-CN" w:bidi="ar"/>
              </w:rPr>
            </w:pPr>
            <w:r>
              <w:rPr>
                <w:rFonts w:hint="default" w:ascii="仿宋_GB2312" w:hAnsi="宋体" w:eastAsia="仿宋_GB2312" w:cs="仿宋_GB2312"/>
                <w:b w:val="0"/>
                <w:bCs w:val="0"/>
                <w:i w:val="0"/>
                <w:color w:val="auto"/>
                <w:kern w:val="0"/>
                <w:sz w:val="20"/>
                <w:szCs w:val="20"/>
                <w:u w:val="none"/>
                <w:lang w:val="en-US" w:eastAsia="zh-CN" w:bidi="ar"/>
              </w:rPr>
              <w:t>《特种作业人员安全技术培训考核管理规定》（国家安全生产监督管理总局令第30号 ，2015年5月29日修改）第四条、第二十二条</w:t>
            </w:r>
          </w:p>
          <w:p w14:paraId="4E4207C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依据2018年12月4日《中华人民共和国应急管理部公告(2018年第12号）》中“部门规章设定的证明事项取消目录”第22项“申请人申请办理特种作业操作证时不再提交体检证明”、第24项“申请人申请特种作业操作证复审时不再提交健康证明”，两项均改为“个人健康书面承诺”</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B76108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市、县应急管理部门或行政审批部门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6FD173FE">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社区或县级以上医疗机构</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6AC3B66A">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r>
      <w:tr w14:paraId="2D1B4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88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26A3FCA7">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33</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53431955">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当地兽药管理部门出具的企业没有违规经销假劣兽药行为的证明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7A7FECA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兽药GSP检查验收</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26B29943">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55EA53E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《中华人民共和国兽药管理条例》（国务院令第404号)第五十六条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54D38FD8">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4417936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《河北省兽药GSP检查验收办法》（2010年7月7日公布）第十一条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2DE6C630">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37EEE7A7">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县级兽药管理部门</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00C3340B">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仿宋_GB2312"/>
                <w:b w:val="0"/>
                <w:bCs w:val="0"/>
                <w:i w:val="0"/>
                <w:color w:val="auto"/>
                <w:sz w:val="20"/>
                <w:szCs w:val="20"/>
                <w:u w:val="none"/>
              </w:rPr>
            </w:pPr>
          </w:p>
        </w:tc>
      </w:tr>
      <w:tr w14:paraId="21979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810"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3C049A41">
            <w:pPr>
              <w:keepNext w:val="0"/>
              <w:keepLines w:val="0"/>
              <w:pageBreakBefore w:val="0"/>
              <w:widowControl w:val="0"/>
              <w:suppressLineNumbers w:val="0"/>
              <w:tabs>
                <w:tab w:val="center" w:pos="351"/>
                <w:tab w:val="left" w:pos="536"/>
              </w:tabs>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34</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32EFB45B">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变更注册地址的证明（地名发生变化的）</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3BC055E8">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危险化学品经营许可</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5DA7CC44">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5C61356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《危险化学品安全管理条例》（国务院令第344号，2013年12月7日修订）第三十五条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38A66647">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09FA156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《危险化学品经营许可证管理办法》（国家安全生产监督管理总局令第55号，2015年5月27日修订）第十四条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3424F2E9">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市、县级应急管理部门或行政审批部门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48ACE15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县级地名管理部门</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457D64B1">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涉及门牌号码的，由地名管理部门编制且变更的可出具证明</w:t>
            </w:r>
          </w:p>
        </w:tc>
      </w:tr>
      <w:tr w14:paraId="7644C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565"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764C9CA3">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35</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29A1AE5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无违法犯罪证明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21DE0BFF">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网安部门对安全管理机构和安全管理负责人及关键信息基础设施管理人员进行安全背景审查</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66CAF3F1">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《中华人民共和国网络安全法》第三十四条</w:t>
            </w:r>
          </w:p>
        </w:tc>
        <w:tc>
          <w:tcPr>
            <w:tcW w:w="1680" w:type="dxa"/>
            <w:tcBorders>
              <w:top w:val="single" w:color="auto" w:sz="4" w:space="0"/>
              <w:left w:val="single" w:color="auto" w:sz="4" w:space="0"/>
              <w:bottom w:val="single" w:color="auto" w:sz="4" w:space="0"/>
              <w:right w:val="single" w:color="auto" w:sz="4" w:space="0"/>
            </w:tcBorders>
            <w:noWrap w:val="0"/>
            <w:vAlign w:val="center"/>
          </w:tcPr>
          <w:p w14:paraId="5AFEEA5F">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1A86253B">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2A2AAE1A">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050" w:type="dxa"/>
            <w:tcBorders>
              <w:top w:val="single" w:color="auto" w:sz="4" w:space="0"/>
              <w:left w:val="single" w:color="auto" w:sz="4" w:space="0"/>
              <w:bottom w:val="single" w:color="auto" w:sz="4" w:space="0"/>
              <w:right w:val="single" w:color="auto" w:sz="4" w:space="0"/>
            </w:tcBorders>
            <w:noWrap w:val="0"/>
            <w:vAlign w:val="center"/>
          </w:tcPr>
          <w:p w14:paraId="445F563D">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关键信息基础设施的运营部门</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1A05122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户口所在地公安派出所</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76D5C53A">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仿宋_GB2312"/>
                <w:b w:val="0"/>
                <w:bCs w:val="0"/>
                <w:i w:val="0"/>
                <w:color w:val="auto"/>
                <w:sz w:val="20"/>
                <w:szCs w:val="20"/>
                <w:u w:val="none"/>
              </w:rPr>
            </w:pPr>
          </w:p>
        </w:tc>
      </w:tr>
      <w:tr w14:paraId="65124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957" w:hRule="atLeast"/>
        </w:trPr>
        <w:tc>
          <w:tcPr>
            <w:tcW w:w="798" w:type="dxa"/>
            <w:tcBorders>
              <w:top w:val="single" w:color="auto" w:sz="4" w:space="0"/>
              <w:left w:val="single" w:color="auto" w:sz="4" w:space="0"/>
              <w:bottom w:val="single" w:color="auto" w:sz="4" w:space="0"/>
              <w:right w:val="single" w:color="auto" w:sz="4" w:space="0"/>
            </w:tcBorders>
            <w:noWrap w:val="0"/>
            <w:vAlign w:val="center"/>
          </w:tcPr>
          <w:p w14:paraId="0FA0AD5F">
            <w:pPr>
              <w:keepNext w:val="0"/>
              <w:keepLines w:val="0"/>
              <w:pageBreakBefore w:val="0"/>
              <w:widowControl w:val="0"/>
              <w:suppressLineNumbers w:val="0"/>
              <w:kinsoku/>
              <w:wordWrap/>
              <w:overflowPunct/>
              <w:topLinePunct w:val="0"/>
              <w:autoSpaceDE/>
              <w:autoSpaceDN/>
              <w:bidi w:val="0"/>
              <w:adjustRightInd/>
              <w:snapToGrid/>
              <w:spacing w:line="260" w:lineRule="exact"/>
              <w:jc w:val="center"/>
              <w:textAlignment w:val="center"/>
              <w:rPr>
                <w:rFonts w:hint="default" w:ascii="仿宋_GB2312" w:hAnsi="宋体" w:eastAsia="仿宋_GB2312" w:cs="仿宋_GB2312"/>
                <w:b w:val="0"/>
                <w:bCs w:val="0"/>
                <w:i w:val="0"/>
                <w:color w:val="auto"/>
                <w:sz w:val="20"/>
                <w:szCs w:val="20"/>
                <w:u w:val="none"/>
                <w:lang w:val="en-US"/>
              </w:rPr>
            </w:pPr>
            <w:r>
              <w:rPr>
                <w:rFonts w:hint="eastAsia" w:ascii="仿宋_GB2312" w:hAnsi="宋体" w:eastAsia="仿宋_GB2312" w:cs="仿宋_GB2312"/>
                <w:b w:val="0"/>
                <w:bCs w:val="0"/>
                <w:i w:val="0"/>
                <w:color w:val="auto"/>
                <w:kern w:val="0"/>
                <w:sz w:val="20"/>
                <w:szCs w:val="20"/>
                <w:u w:val="none"/>
                <w:lang w:val="en-US" w:eastAsia="zh-CN" w:bidi="ar"/>
              </w:rPr>
              <w:t>36</w:t>
            </w:r>
          </w:p>
        </w:tc>
        <w:tc>
          <w:tcPr>
            <w:tcW w:w="1358" w:type="dxa"/>
            <w:tcBorders>
              <w:top w:val="single" w:color="auto" w:sz="4" w:space="0"/>
              <w:left w:val="single" w:color="auto" w:sz="4" w:space="0"/>
              <w:bottom w:val="single" w:color="auto" w:sz="4" w:space="0"/>
              <w:right w:val="single" w:color="auto" w:sz="4" w:space="0"/>
            </w:tcBorders>
            <w:noWrap w:val="0"/>
            <w:vAlign w:val="center"/>
          </w:tcPr>
          <w:p w14:paraId="001EC2EA">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亲子关系证明</w:t>
            </w:r>
          </w:p>
        </w:tc>
        <w:tc>
          <w:tcPr>
            <w:tcW w:w="989" w:type="dxa"/>
            <w:tcBorders>
              <w:top w:val="single" w:color="auto" w:sz="4" w:space="0"/>
              <w:left w:val="single" w:color="auto" w:sz="4" w:space="0"/>
              <w:bottom w:val="single" w:color="auto" w:sz="4" w:space="0"/>
              <w:right w:val="single" w:color="auto" w:sz="4" w:space="0"/>
            </w:tcBorders>
            <w:noWrap w:val="0"/>
            <w:vAlign w:val="center"/>
          </w:tcPr>
          <w:p w14:paraId="53C361A3">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多子女家庭租、购住房使用</w:t>
            </w:r>
          </w:p>
        </w:tc>
        <w:tc>
          <w:tcPr>
            <w:tcW w:w="855" w:type="dxa"/>
            <w:tcBorders>
              <w:top w:val="single" w:color="auto" w:sz="4" w:space="0"/>
              <w:left w:val="single" w:color="auto" w:sz="4" w:space="0"/>
              <w:bottom w:val="single" w:color="auto" w:sz="4" w:space="0"/>
              <w:right w:val="single" w:color="auto" w:sz="4" w:space="0"/>
            </w:tcBorders>
            <w:noWrap w:val="0"/>
            <w:vAlign w:val="center"/>
          </w:tcPr>
          <w:p w14:paraId="60030DCA">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1680" w:type="dxa"/>
            <w:tcBorders>
              <w:top w:val="single" w:color="auto" w:sz="4" w:space="0"/>
              <w:left w:val="single" w:color="auto" w:sz="4" w:space="0"/>
              <w:bottom w:val="single" w:color="auto" w:sz="4" w:space="0"/>
              <w:right w:val="single" w:color="auto" w:sz="4" w:space="0"/>
            </w:tcBorders>
            <w:noWrap w:val="0"/>
            <w:vAlign w:val="center"/>
          </w:tcPr>
          <w:p w14:paraId="08922FD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《住房公积金管理条例》（国务院令第350号）第二十四条、第二十五条</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6C989F13">
            <w:pPr>
              <w:keepNext w:val="0"/>
              <w:keepLines w:val="0"/>
              <w:pageBreakBefore w:val="0"/>
              <w:widowControl w:val="0"/>
              <w:kinsoku/>
              <w:wordWrap/>
              <w:overflowPunct/>
              <w:topLinePunct w:val="0"/>
              <w:autoSpaceDE/>
              <w:autoSpaceDN/>
              <w:bidi w:val="0"/>
              <w:adjustRightInd/>
              <w:snapToGrid/>
              <w:spacing w:line="260" w:lineRule="exact"/>
              <w:jc w:val="both"/>
              <w:rPr>
                <w:rFonts w:hint="default" w:ascii="仿宋_GB2312" w:hAnsi="宋体" w:eastAsia="仿宋_GB2312" w:cs="仿宋_GB2312"/>
                <w:b w:val="0"/>
                <w:bCs w:val="0"/>
                <w:i w:val="0"/>
                <w:color w:val="auto"/>
                <w:sz w:val="20"/>
                <w:szCs w:val="20"/>
                <w:u w:val="none"/>
              </w:rPr>
            </w:pPr>
          </w:p>
        </w:tc>
        <w:tc>
          <w:tcPr>
            <w:tcW w:w="2235" w:type="dxa"/>
            <w:tcBorders>
              <w:top w:val="single" w:color="auto" w:sz="4" w:space="0"/>
              <w:left w:val="single" w:color="auto" w:sz="4" w:space="0"/>
              <w:bottom w:val="single" w:color="auto" w:sz="4" w:space="0"/>
              <w:right w:val="single" w:color="auto" w:sz="4" w:space="0"/>
            </w:tcBorders>
            <w:noWrap w:val="0"/>
            <w:vAlign w:val="center"/>
          </w:tcPr>
          <w:p w14:paraId="50532146">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《河北省住房公积金管理办法》（河北省人民政府令〔2008〕第14号）第二十九条、第三十条</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1CAE4E6B">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住房公积金管理中心</w:t>
            </w:r>
          </w:p>
        </w:tc>
        <w:tc>
          <w:tcPr>
            <w:tcW w:w="990" w:type="dxa"/>
            <w:tcBorders>
              <w:top w:val="single" w:color="auto" w:sz="4" w:space="0"/>
              <w:left w:val="single" w:color="auto" w:sz="4" w:space="0"/>
              <w:bottom w:val="single" w:color="auto" w:sz="4" w:space="0"/>
              <w:right w:val="single" w:color="auto" w:sz="4" w:space="0"/>
            </w:tcBorders>
            <w:noWrap w:val="0"/>
            <w:vAlign w:val="center"/>
          </w:tcPr>
          <w:p w14:paraId="4ED81735">
            <w:pPr>
              <w:keepNext w:val="0"/>
              <w:keepLines w:val="0"/>
              <w:pageBreakBefore w:val="0"/>
              <w:widowControl w:val="0"/>
              <w:suppressLineNumbers w:val="0"/>
              <w:kinsoku/>
              <w:wordWrap/>
              <w:overflowPunct/>
              <w:topLinePunct w:val="0"/>
              <w:autoSpaceDE/>
              <w:autoSpaceDN/>
              <w:bidi w:val="0"/>
              <w:adjustRightInd/>
              <w:snapToGrid/>
              <w:spacing w:line="260" w:lineRule="exact"/>
              <w:jc w:val="both"/>
              <w:textAlignment w:val="center"/>
              <w:rPr>
                <w:rFonts w:hint="default" w:ascii="仿宋_GB2312" w:hAnsi="宋体" w:eastAsia="仿宋_GB2312" w:cs="仿宋_GB2312"/>
                <w:b w:val="0"/>
                <w:bCs w:val="0"/>
                <w:i w:val="0"/>
                <w:color w:val="auto"/>
                <w:sz w:val="20"/>
                <w:szCs w:val="20"/>
                <w:u w:val="none"/>
              </w:rPr>
            </w:pPr>
            <w:r>
              <w:rPr>
                <w:rFonts w:hint="default" w:ascii="仿宋_GB2312" w:hAnsi="宋体" w:eastAsia="仿宋_GB2312" w:cs="仿宋_GB2312"/>
                <w:b w:val="0"/>
                <w:bCs w:val="0"/>
                <w:i w:val="0"/>
                <w:color w:val="auto"/>
                <w:kern w:val="0"/>
                <w:sz w:val="20"/>
                <w:szCs w:val="20"/>
                <w:u w:val="none"/>
                <w:lang w:val="en-US" w:eastAsia="zh-CN" w:bidi="ar"/>
              </w:rPr>
              <w:t>公安机关</w:t>
            </w:r>
          </w:p>
        </w:tc>
        <w:tc>
          <w:tcPr>
            <w:tcW w:w="1597" w:type="dxa"/>
            <w:tcBorders>
              <w:top w:val="single" w:color="auto" w:sz="4" w:space="0"/>
              <w:left w:val="single" w:color="auto" w:sz="4" w:space="0"/>
              <w:bottom w:val="single" w:color="auto" w:sz="4" w:space="0"/>
              <w:right w:val="single" w:color="auto" w:sz="4" w:space="0"/>
            </w:tcBorders>
            <w:noWrap w:val="0"/>
            <w:vAlign w:val="center"/>
          </w:tcPr>
          <w:p w14:paraId="646813E3">
            <w:pPr>
              <w:keepNext w:val="0"/>
              <w:keepLines w:val="0"/>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仿宋_GB2312"/>
                <w:b w:val="0"/>
                <w:bCs w:val="0"/>
                <w:i w:val="0"/>
                <w:color w:val="auto"/>
                <w:sz w:val="20"/>
                <w:szCs w:val="20"/>
                <w:u w:val="none"/>
              </w:rPr>
            </w:pPr>
          </w:p>
        </w:tc>
      </w:tr>
    </w:tbl>
    <w:p w14:paraId="4781D1E4"/>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Droid Sans Fallback">
    <w:altName w:val="Microsoft YaHei UI Light"/>
    <w:panose1 w:val="020B0502000000000001"/>
    <w:charset w:val="00"/>
    <w:family w:val="swiss"/>
    <w:pitch w:val="default"/>
    <w:sig w:usb0="00000000" w:usb1="00000000" w:usb2="00000036" w:usb3="00000000" w:csb0="203F01FF" w:csb1="D7FF0000"/>
  </w:font>
  <w:font w:name="Microsoft YaHei UI Light">
    <w:panose1 w:val="020B0502040204020203"/>
    <w:charset w:val="86"/>
    <w:family w:val="auto"/>
    <w:pitch w:val="default"/>
    <w:sig w:usb0="80000287" w:usb1="2ACF0010" w:usb2="00000016" w:usb3="00000000" w:csb0="0004001F" w:csb1="00000000"/>
  </w:font>
  <w:font w:name="方正黑体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AF1CAB"/>
    <w:rsid w:val="7E1D10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 w:cs="Times New Roman"/>
      <w:kern w:val="2"/>
      <w:sz w:val="32"/>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ind w:left="121"/>
    </w:pPr>
    <w:rPr>
      <w:rFonts w:ascii="Droid Sans Fallback" w:hAnsi="Droid Sans Fallback" w:eastAsia="Droid Sans Fallback" w:cs="Droid Sans Fallback"/>
      <w:sz w:val="29"/>
      <w:szCs w:val="29"/>
    </w:rPr>
  </w:style>
  <w:style w:type="paragraph" w:styleId="3">
    <w:name w:val="index 5"/>
    <w:basedOn w:val="1"/>
    <w:next w:val="1"/>
    <w:qFormat/>
    <w:uiPriority w:val="0"/>
    <w:pPr>
      <w:ind w:left="1680"/>
    </w:pPr>
  </w:style>
  <w:style w:type="paragraph" w:styleId="4">
    <w:name w:val="footer"/>
    <w:basedOn w:val="1"/>
    <w:next w:val="3"/>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5222</Words>
  <Characters>5569</Characters>
  <Lines>0</Lines>
  <Paragraphs>0</Paragraphs>
  <TotalTime>3</TotalTime>
  <ScaleCrop>false</ScaleCrop>
  <LinksUpToDate>false</LinksUpToDate>
  <CharactersWithSpaces>5585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2025-04-03T07:51:00Z</dcterms:created>
  <dc:creator>Administrator</dc:creator>
  <cp:lastModifiedBy>Nzh</cp:lastModifiedBy>
  <dcterms:modified xsi:type="dcterms:W3CDTF">2025-04-09T00:50:01Z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eyJoZGlkIjoiNDE0MzVhMjVmZjBmMzY5ZGUzZmI5ZGUxNjJkNDg1MDgiLCJ1c2VySWQiOiIxNjE5MTY2NDU2In0=</vt:lpwstr>
  </property>
  <property fmtid="{D5CDD505-2E9C-101B-9397-08002B2CF9AE}" pid="4" name="ICV">
    <vt:lpwstr>CE91C1111E5A497BA52CBCBF2B42D989_12</vt:lpwstr>
  </property>
</Properties>
</file>