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color w:val="000000" w:themeColor="text1"/>
          <w:sz w:val="36"/>
          <w:szCs w:val="36"/>
          <w14:textFill>
            <w14:solidFill>
              <w14:schemeClr w14:val="tx1"/>
            </w14:solidFill>
          </w14:textFill>
        </w:rPr>
      </w:pPr>
      <w:r>
        <w:rPr>
          <w:color w:val="000000" w:themeColor="text1"/>
          <w:sz w:val="36"/>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96520</wp:posOffset>
                </wp:positionH>
                <wp:positionV relativeFrom="paragraph">
                  <wp:posOffset>-21590</wp:posOffset>
                </wp:positionV>
                <wp:extent cx="2952115" cy="1200785"/>
                <wp:effectExtent l="0" t="0" r="635" b="18415"/>
                <wp:wrapNone/>
                <wp:docPr id="17" name="文本框 17"/>
                <wp:cNvGraphicFramePr/>
                <a:graphic xmlns:a="http://schemas.openxmlformats.org/drawingml/2006/main">
                  <a:graphicData uri="http://schemas.microsoft.com/office/word/2010/wordprocessingShape">
                    <wps:wsp>
                      <wps:cNvSpPr txBox="1"/>
                      <wps:spPr>
                        <a:xfrm>
                          <a:off x="816610" y="1058545"/>
                          <a:ext cx="2952115" cy="120078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lang w:eastAsia="zh-CN"/>
                              </w:rPr>
                            </w:pPr>
                            <w:bookmarkStart w:id="15" w:name="_Hlk523818776"/>
                            <w:bookmarkEnd w:id="15"/>
                            <w:r>
                              <w:rPr>
                                <w:rFonts w:hint="default" w:ascii="Times New Roman" w:hAnsi="Times New Roman" w:eastAsia="宋体" w:cs="Times New Roman"/>
                                <w:color w:val="000000" w:themeColor="text1"/>
                                <w:highlight w:val="none"/>
                                <w:lang w:eastAsia="zh-CN"/>
                                <w14:textFill>
                                  <w14:solidFill>
                                    <w14:schemeClr w14:val="tx1"/>
                                  </w14:solidFill>
                                </w14:textFill>
                              </w:rPr>
                              <w:drawing>
                                <wp:inline distT="0" distB="0" distL="114300" distR="114300">
                                  <wp:extent cx="2091055" cy="905510"/>
                                  <wp:effectExtent l="0" t="0" r="0" b="0"/>
                                  <wp:docPr id="20" name="图片 1" descr="单位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单位LOGO"/>
                                          <pic:cNvPicPr>
                                            <a:picLocks noChangeAspect="1"/>
                                          </pic:cNvPicPr>
                                        </pic:nvPicPr>
                                        <pic:blipFill>
                                          <a:blip r:embed="rId10"/>
                                          <a:stretch>
                                            <a:fillRect/>
                                          </a:stretch>
                                        </pic:blipFill>
                                        <pic:spPr>
                                          <a:xfrm>
                                            <a:off x="0" y="0"/>
                                            <a:ext cx="2091055" cy="9055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6pt;margin-top:-1.7pt;height:94.55pt;width:232.45pt;z-index:251666432;mso-width-relative:page;mso-height-relative:page;" fillcolor="#FFFFFF [3201]" filled="t" stroked="f" coordsize="21600,21600" o:gfxdata="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x2QCZ1AAAAAkBAAAPAAAAAAAAAAEAIAAAACIAAABkcnMv&#10;ZG93bnJldi54bWxQSwECFAAUAAAACACHTuJAmUpg5EACAABPBAAADgAAAAAAAAABACAAAAAjAQAA&#10;ZHJzL2Uyb0RvYy54bWxQSwUGAAAAAAYABgBZAQAA1QUAAAAA&#10;">
                <v:fill on="t" focussize="0,0"/>
                <v:stroke on="f" weight="0.5pt"/>
                <v:imagedata o:title=""/>
                <o:lock v:ext="edit" aspectratio="f"/>
                <v:textbox>
                  <w:txbxContent>
                    <w:p>
                      <w:pPr>
                        <w:rPr>
                          <w:rFonts w:hint="eastAsia" w:eastAsia="宋体"/>
                          <w:lang w:eastAsia="zh-CN"/>
                        </w:rPr>
                      </w:pPr>
                      <w:bookmarkStart w:id="15" w:name="_Hlk523818776"/>
                      <w:bookmarkEnd w:id="15"/>
                      <w:r>
                        <w:rPr>
                          <w:rFonts w:hint="default" w:ascii="Times New Roman" w:hAnsi="Times New Roman" w:eastAsia="宋体" w:cs="Times New Roman"/>
                          <w:color w:val="000000" w:themeColor="text1"/>
                          <w:highlight w:val="none"/>
                          <w:lang w:eastAsia="zh-CN"/>
                          <w14:textFill>
                            <w14:solidFill>
                              <w14:schemeClr w14:val="tx1"/>
                            </w14:solidFill>
                          </w14:textFill>
                        </w:rPr>
                        <w:drawing>
                          <wp:inline distT="0" distB="0" distL="114300" distR="114300">
                            <wp:extent cx="2091055" cy="905510"/>
                            <wp:effectExtent l="0" t="0" r="0" b="0"/>
                            <wp:docPr id="20" name="图片 1" descr="单位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单位LOGO"/>
                                    <pic:cNvPicPr>
                                      <a:picLocks noChangeAspect="1"/>
                                    </pic:cNvPicPr>
                                  </pic:nvPicPr>
                                  <pic:blipFill>
                                    <a:blip r:embed="rId10"/>
                                    <a:stretch>
                                      <a:fillRect/>
                                    </a:stretch>
                                  </pic:blipFill>
                                  <pic:spPr>
                                    <a:xfrm>
                                      <a:off x="0" y="0"/>
                                      <a:ext cx="2091055" cy="905510"/>
                                    </a:xfrm>
                                    <a:prstGeom prst="rect">
                                      <a:avLst/>
                                    </a:prstGeom>
                                    <a:noFill/>
                                    <a:ln>
                                      <a:noFill/>
                                    </a:ln>
                                  </pic:spPr>
                                </pic:pic>
                              </a:graphicData>
                            </a:graphic>
                          </wp:inline>
                        </w:drawing>
                      </w:r>
                    </w:p>
                  </w:txbxContent>
                </v:textbox>
              </v:shape>
            </w:pict>
          </mc:Fallback>
        </mc:AlternateContent>
      </w:r>
      <w:r>
        <w:rPr>
          <w:rFonts w:hint="eastAsia"/>
          <w:color w:val="000000" w:themeColor="text1"/>
          <w:sz w:val="36"/>
          <w:szCs w:val="36"/>
          <w14:textFill>
            <w14:solidFill>
              <w14:schemeClr w14:val="tx1"/>
            </w14:solidFill>
          </w14:textFill>
        </w:rPr>
        <w:t xml:space="preserve"> </w:t>
      </w:r>
    </w:p>
    <w:p>
      <w:pPr>
        <w:rPr>
          <w:color w:val="000000" w:themeColor="text1"/>
          <w:sz w:val="36"/>
          <w:szCs w:val="36"/>
          <w14:textFill>
            <w14:solidFill>
              <w14:schemeClr w14:val="tx1"/>
            </w14:solidFill>
          </w14:textFill>
        </w:rPr>
      </w:pPr>
    </w:p>
    <w:p>
      <w:pPr>
        <w:rPr>
          <w:color w:val="000000" w:themeColor="text1"/>
          <w:sz w:val="36"/>
          <w:szCs w:val="36"/>
          <w14:textFill>
            <w14:solidFill>
              <w14:schemeClr w14:val="tx1"/>
            </w14:solidFill>
          </w14:textFill>
        </w:rPr>
      </w:pPr>
    </w:p>
    <w:p>
      <w:pPr>
        <w:rPr>
          <w:color w:val="000000" w:themeColor="text1"/>
          <w:sz w:val="36"/>
          <w:szCs w:val="36"/>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sz w:val="36"/>
          <w:szCs w:val="36"/>
          <w14:textFill>
            <w14:solidFill>
              <w14:schemeClr w14:val="tx1"/>
            </w14:solidFill>
          </w14:textFill>
        </w:rPr>
      </w:pPr>
    </w:p>
    <w:p>
      <w:pPr>
        <w:adjustRightInd w:val="0"/>
        <w:snapToGrid w:val="0"/>
        <w:jc w:val="center"/>
        <w:outlineLvl w:val="0"/>
        <w:rPr>
          <w:bCs/>
          <w:color w:val="000000" w:themeColor="text1"/>
          <w:sz w:val="72"/>
          <w:szCs w:val="72"/>
          <w14:textFill>
            <w14:solidFill>
              <w14:schemeClr w14:val="tx1"/>
            </w14:solidFill>
          </w14:textFill>
        </w:rPr>
      </w:pPr>
      <w:r>
        <w:rPr>
          <w:bCs/>
          <w:color w:val="000000" w:themeColor="text1"/>
          <w:sz w:val="72"/>
          <w:szCs w:val="72"/>
          <w14:textFill>
            <w14:solidFill>
              <w14:schemeClr w14:val="tx1"/>
            </w14:solidFill>
          </w14:textFill>
        </w:rPr>
        <w:t>建设项目环境影响报告表</w:t>
      </w:r>
    </w:p>
    <w:p>
      <w:pPr>
        <w:adjustRightInd w:val="0"/>
        <w:snapToGrid w:val="0"/>
        <w:spacing w:before="192" w:beforeLines="80"/>
        <w:jc w:val="center"/>
        <w:rPr>
          <w:bCs/>
          <w:color w:val="000000" w:themeColor="text1"/>
          <w:sz w:val="48"/>
          <w:szCs w:val="48"/>
          <w14:textFill>
            <w14:solidFill>
              <w14:schemeClr w14:val="tx1"/>
            </w14:solidFill>
          </w14:textFill>
        </w:rPr>
      </w:pPr>
      <w:r>
        <w:rPr>
          <w:bCs/>
          <w:color w:val="000000" w:themeColor="text1"/>
          <w:sz w:val="48"/>
          <w:szCs w:val="48"/>
          <w14:textFill>
            <w14:solidFill>
              <w14:schemeClr w14:val="tx1"/>
            </w14:solidFill>
          </w14:textFill>
        </w:rPr>
        <w:t>（污染影响类）</w:t>
      </w: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adjustRightInd w:val="0"/>
        <w:snapToGrid w:val="0"/>
        <w:spacing w:line="288" w:lineRule="auto"/>
        <w:ind w:left="2559" w:leftChars="152" w:hanging="2240" w:hangingChars="700"/>
        <w:rPr>
          <w:rFonts w:hint="eastAsia"/>
          <w:color w:val="000000" w:themeColor="text1"/>
          <w:sz w:val="32"/>
          <w:szCs w:val="32"/>
          <w:u w:val="single"/>
          <w:lang w:val="en-US" w:eastAsia="zh-CN"/>
          <w14:textFill>
            <w14:solidFill>
              <w14:schemeClr w14:val="tx1"/>
            </w14:solidFill>
          </w14:textFill>
        </w:rPr>
      </w:pPr>
      <w:r>
        <w:rPr>
          <w:color w:val="000000" w:themeColor="text1"/>
          <w:sz w:val="32"/>
          <w:szCs w:val="32"/>
          <w14:textFill>
            <w14:solidFill>
              <w14:schemeClr w14:val="tx1"/>
            </w14:solidFill>
          </w14:textFill>
        </w:rPr>
        <w:t>项目名称：</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沥青路面就地热再生集成式工程列车和水平式全封闭</w:t>
      </w:r>
    </w:p>
    <w:p>
      <w:pPr>
        <w:adjustRightInd w:val="0"/>
        <w:snapToGrid w:val="0"/>
        <w:spacing w:line="288" w:lineRule="auto"/>
        <w:ind w:left="2559" w:leftChars="152" w:hanging="2240" w:hangingChars="700"/>
        <w:jc w:val="center"/>
        <w:rPr>
          <w:rFonts w:hint="default"/>
          <w:color w:val="000000" w:themeColor="text1"/>
          <w:sz w:val="32"/>
          <w:szCs w:val="32"/>
          <w:u w:val="single"/>
          <w:lang w:val="en-US"/>
          <w14:textFill>
            <w14:solidFill>
              <w14:schemeClr w14:val="tx1"/>
            </w14:solidFill>
          </w14:textFill>
        </w:rPr>
      </w:pPr>
      <w:r>
        <w:rPr>
          <w:rFonts w:hint="eastAsia"/>
          <w:color w:val="000000" w:themeColor="text1"/>
          <w:sz w:val="32"/>
          <w:szCs w:val="32"/>
          <w:u w:val="single"/>
          <w:lang w:val="en-US" w:eastAsia="zh-CN"/>
          <w14:textFill>
            <w14:solidFill>
              <w14:schemeClr w14:val="tx1"/>
            </w14:solidFill>
          </w14:textFill>
        </w:rPr>
        <w:t xml:space="preserve">         多功能道路工程材料拌合生产线项目          </w:t>
      </w:r>
    </w:p>
    <w:p>
      <w:pPr>
        <w:adjustRightInd w:val="0"/>
        <w:snapToGrid w:val="0"/>
        <w:spacing w:line="288" w:lineRule="auto"/>
        <w:ind w:firstLine="320" w:firstLineChars="100"/>
        <w:rPr>
          <w:color w:val="000000" w:themeColor="text1"/>
          <w:sz w:val="32"/>
          <w:szCs w:val="32"/>
          <w:u w:val="single"/>
          <w14:textFill>
            <w14:solidFill>
              <w14:schemeClr w14:val="tx1"/>
            </w14:solidFill>
          </w14:textFill>
        </w:rPr>
      </w:pPr>
      <w:r>
        <w:rPr>
          <w:color w:val="000000" w:themeColor="text1"/>
          <w:sz w:val="32"/>
          <w:szCs w:val="32"/>
          <w14:textFill>
            <w14:solidFill>
              <w14:schemeClr w14:val="tx1"/>
            </w14:solidFill>
          </w14:textFill>
        </w:rPr>
        <w:t>建设单位（盖章）：</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 xml:space="preserve">   </w:t>
      </w:r>
      <w:r>
        <w:rPr>
          <w:rFonts w:hint="eastAsia" w:ascii="Times New Roman" w:hAnsi="Times New Roman" w:cs="Times New Roman"/>
          <w:color w:val="000000" w:themeColor="text1"/>
          <w:sz w:val="32"/>
          <w:szCs w:val="32"/>
          <w:u w:val="single"/>
          <w:lang w:val="en-US" w:eastAsia="zh-CN"/>
          <w14:textFill>
            <w14:solidFill>
              <w14:schemeClr w14:val="tx1"/>
            </w14:solidFill>
          </w14:textFill>
        </w:rPr>
        <w:t xml:space="preserve">河北坚实基业科技有限公司   </w:t>
      </w:r>
      <w:r>
        <w:rPr>
          <w:color w:val="000000" w:themeColor="text1"/>
          <w:sz w:val="32"/>
          <w:szCs w:val="32"/>
          <w:u w:val="single"/>
          <w14:textFill>
            <w14:solidFill>
              <w14:schemeClr w14:val="tx1"/>
            </w14:solidFill>
          </w14:textFill>
        </w:rPr>
        <w:t xml:space="preserve"> </w:t>
      </w:r>
    </w:p>
    <w:p>
      <w:pPr>
        <w:adjustRightInd w:val="0"/>
        <w:snapToGrid w:val="0"/>
        <w:spacing w:line="288" w:lineRule="auto"/>
        <w:ind w:firstLine="320" w:firstLineChars="100"/>
        <w:rPr>
          <w:color w:val="000000" w:themeColor="text1"/>
          <w:sz w:val="32"/>
          <w:szCs w:val="32"/>
          <w:u w:val="single"/>
          <w14:textFill>
            <w14:solidFill>
              <w14:schemeClr w14:val="tx1"/>
            </w14:solidFill>
          </w14:textFill>
        </w:rPr>
      </w:pPr>
      <w:r>
        <w:rPr>
          <w:color w:val="000000" w:themeColor="text1"/>
          <w:sz w:val="32"/>
          <w:szCs w:val="32"/>
          <w14:textFill>
            <w14:solidFill>
              <w14:schemeClr w14:val="tx1"/>
            </w14:solidFill>
          </w14:textFill>
        </w:rPr>
        <w:t>编制日期：</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 xml:space="preserve">   </w:t>
      </w:r>
      <w:r>
        <w:rPr>
          <w:color w:val="000000" w:themeColor="text1"/>
          <w:sz w:val="32"/>
          <w:szCs w:val="32"/>
          <w:u w:val="single"/>
          <w14:textFill>
            <w14:solidFill>
              <w14:schemeClr w14:val="tx1"/>
            </w14:solidFill>
          </w14:textFill>
        </w:rPr>
        <w:t>202</w:t>
      </w:r>
      <w:r>
        <w:rPr>
          <w:rFonts w:hint="eastAsia"/>
          <w:color w:val="000000" w:themeColor="text1"/>
          <w:sz w:val="32"/>
          <w:szCs w:val="32"/>
          <w:u w:val="single"/>
          <w:lang w:val="en-US" w:eastAsia="zh-CN"/>
          <w14:textFill>
            <w14:solidFill>
              <w14:schemeClr w14:val="tx1"/>
            </w14:solidFill>
          </w14:textFill>
        </w:rPr>
        <w:t>5</w:t>
      </w:r>
      <w:r>
        <w:rPr>
          <w:color w:val="000000" w:themeColor="text1"/>
          <w:sz w:val="32"/>
          <w:szCs w:val="32"/>
          <w:u w:val="single"/>
          <w14:textFill>
            <w14:solidFill>
              <w14:schemeClr w14:val="tx1"/>
            </w14:solidFill>
          </w14:textFill>
        </w:rPr>
        <w:t>年</w:t>
      </w:r>
      <w:r>
        <w:rPr>
          <w:rFonts w:hint="eastAsia"/>
          <w:color w:val="000000" w:themeColor="text1"/>
          <w:sz w:val="32"/>
          <w:szCs w:val="32"/>
          <w:u w:val="single"/>
          <w:lang w:val="en-US" w:eastAsia="zh-CN"/>
          <w14:textFill>
            <w14:solidFill>
              <w14:schemeClr w14:val="tx1"/>
            </w14:solidFill>
          </w14:textFill>
        </w:rPr>
        <w:t>1</w:t>
      </w:r>
      <w:r>
        <w:rPr>
          <w:color w:val="000000" w:themeColor="text1"/>
          <w:sz w:val="32"/>
          <w:szCs w:val="32"/>
          <w:u w:val="single"/>
          <w14:textFill>
            <w14:solidFill>
              <w14:schemeClr w14:val="tx1"/>
            </w14:solidFill>
          </w14:textFill>
        </w:rPr>
        <w:t xml:space="preserve">月       </w:t>
      </w:r>
      <w:r>
        <w:rPr>
          <w:rFonts w:hint="eastAsia"/>
          <w:color w:val="000000" w:themeColor="text1"/>
          <w:sz w:val="32"/>
          <w:szCs w:val="32"/>
          <w:u w:val="single"/>
          <w:lang w:val="en-US" w:eastAsia="zh-CN"/>
          <w14:textFill>
            <w14:solidFill>
              <w14:schemeClr w14:val="tx1"/>
            </w14:solidFill>
          </w14:textFill>
        </w:rPr>
        <w:t xml:space="preserve">       </w:t>
      </w:r>
      <w:r>
        <w:rPr>
          <w:color w:val="000000" w:themeColor="text1"/>
          <w:sz w:val="32"/>
          <w:szCs w:val="32"/>
          <w:u w:val="single"/>
          <w14:textFill>
            <w14:solidFill>
              <w14:schemeClr w14:val="tx1"/>
            </w14:solidFill>
          </w14:textFill>
        </w:rPr>
        <w:t xml:space="preserve">     </w:t>
      </w:r>
    </w:p>
    <w:p>
      <w:pPr>
        <w:adjustRightInd w:val="0"/>
        <w:snapToGrid w:val="0"/>
        <w:spacing w:line="288" w:lineRule="auto"/>
        <w:ind w:firstLine="1040"/>
        <w:rPr>
          <w:color w:val="000000" w:themeColor="text1"/>
          <w:sz w:val="36"/>
          <w:szCs w:val="36"/>
          <w14:textFill>
            <w14:solidFill>
              <w14:schemeClr w14:val="tx1"/>
            </w14:solidFill>
          </w14:textFill>
        </w:rPr>
      </w:pPr>
      <w:bookmarkStart w:id="0" w:name="_Hlk57884087"/>
    </w:p>
    <w:p>
      <w:pPr>
        <w:adjustRightInd w:val="0"/>
        <w:snapToGrid w:val="0"/>
        <w:spacing w:line="288" w:lineRule="auto"/>
        <w:ind w:firstLine="1040"/>
        <w:rPr>
          <w:color w:val="000000" w:themeColor="text1"/>
          <w:sz w:val="36"/>
          <w:szCs w:val="36"/>
          <w14:textFill>
            <w14:solidFill>
              <w14:schemeClr w14:val="tx1"/>
            </w14:solidFill>
          </w14:textFill>
        </w:rPr>
      </w:pPr>
    </w:p>
    <w:p>
      <w:pPr>
        <w:adjustRightInd w:val="0"/>
        <w:snapToGrid w:val="0"/>
        <w:spacing w:line="288" w:lineRule="auto"/>
        <w:ind w:firstLine="1040"/>
        <w:rPr>
          <w:color w:val="000000" w:themeColor="text1"/>
          <w:sz w:val="36"/>
          <w:szCs w:val="36"/>
          <w14:textFill>
            <w14:solidFill>
              <w14:schemeClr w14:val="tx1"/>
            </w14:solidFill>
          </w14:textFill>
        </w:rPr>
      </w:pPr>
    </w:p>
    <w:p>
      <w:pPr>
        <w:adjustRightInd w:val="0"/>
        <w:snapToGrid w:val="0"/>
        <w:spacing w:line="288" w:lineRule="auto"/>
        <w:ind w:firstLine="1040"/>
        <w:rPr>
          <w:color w:val="000000" w:themeColor="text1"/>
          <w:sz w:val="36"/>
          <w:szCs w:val="36"/>
          <w14:textFill>
            <w14:solidFill>
              <w14:schemeClr w14:val="tx1"/>
            </w14:solidFill>
          </w14:textFill>
        </w:rPr>
      </w:pPr>
    </w:p>
    <w:bookmarkEnd w:id="0"/>
    <w:p>
      <w:pPr>
        <w:adjustRightInd w:val="0"/>
        <w:snapToGrid w:val="0"/>
        <w:spacing w:line="288" w:lineRule="auto"/>
        <w:jc w:val="center"/>
        <w:rPr>
          <w:color w:val="000000" w:themeColor="text1"/>
          <w:sz w:val="36"/>
          <w:szCs w:val="36"/>
          <w14:textFill>
            <w14:solidFill>
              <w14:schemeClr w14:val="tx1"/>
            </w14:solidFill>
          </w14:textFill>
        </w:rPr>
      </w:pPr>
      <w:r>
        <w:rPr>
          <w:color w:val="000000" w:themeColor="text1"/>
          <w:sz w:val="36"/>
          <w:szCs w:val="36"/>
          <w14:textFill>
            <w14:solidFill>
              <w14:schemeClr w14:val="tx1"/>
            </w14:solidFill>
          </w14:textFill>
        </w:rPr>
        <w:t>中华人民共和国生态环境部制</w:t>
      </w:r>
    </w:p>
    <w:p>
      <w:pPr>
        <w:adjustRightInd w:val="0"/>
        <w:snapToGrid w:val="0"/>
        <w:spacing w:line="288" w:lineRule="auto"/>
        <w:ind w:firstLine="1040"/>
        <w:rPr>
          <w:color w:val="000000" w:themeColor="text1"/>
          <w:sz w:val="36"/>
          <w:szCs w:val="36"/>
          <w14:textFill>
            <w14:solidFill>
              <w14:schemeClr w14:val="tx1"/>
            </w14:solidFill>
          </w14:textFill>
        </w:rPr>
        <w:sectPr>
          <w:headerReference r:id="rId4" w:type="default"/>
          <w:footerReference r:id="rId5" w:type="default"/>
          <w:footerReference r:id="rId6" w:type="even"/>
          <w:pgSz w:w="11907" w:h="16840"/>
          <w:pgMar w:top="1701" w:right="1134" w:bottom="1701" w:left="1134" w:header="851" w:footer="1077" w:gutter="0"/>
          <w:pgBorders>
            <w:top w:val="none" w:sz="0" w:space="0"/>
            <w:left w:val="none" w:sz="0" w:space="0"/>
            <w:bottom w:val="none" w:sz="0" w:space="0"/>
            <w:right w:val="none" w:sz="0" w:space="0"/>
          </w:pgBorders>
          <w:pgNumType w:start="3"/>
          <w:cols w:space="720" w:num="1"/>
          <w:docGrid w:linePitch="312" w:charSpace="0"/>
        </w:sectPr>
      </w:pPr>
    </w:p>
    <w:p>
      <w:pPr>
        <w:pStyle w:val="32"/>
        <w:spacing w:before="120" w:beforeLines="50" w:beforeAutospacing="0" w:after="120" w:afterLines="50" w:afterAutospacing="0"/>
        <w:jc w:val="center"/>
        <w:outlineLvl w:val="0"/>
        <w:rPr>
          <w:snapToGrid w:val="0"/>
          <w:color w:val="000000" w:themeColor="text1"/>
          <w:sz w:val="30"/>
          <w:szCs w:val="30"/>
          <w14:textFill>
            <w14:solidFill>
              <w14:schemeClr w14:val="tx1"/>
            </w14:solidFill>
          </w14:textFill>
        </w:rPr>
      </w:pPr>
      <w:r>
        <w:rPr>
          <w:snapToGrid w:val="0"/>
          <w:color w:val="000000" w:themeColor="text1"/>
          <w:sz w:val="30"/>
          <w:szCs w:val="30"/>
          <w14:textFill>
            <w14:solidFill>
              <w14:schemeClr w14:val="tx1"/>
            </w14:solidFill>
          </w14:textFill>
        </w:rPr>
        <w:t>一、建设项目基本情况</w:t>
      </w:r>
    </w:p>
    <w:tbl>
      <w:tblPr>
        <w:tblStyle w:val="42"/>
        <w:tblW w:w="9999"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1172"/>
        <w:gridCol w:w="1144"/>
        <w:gridCol w:w="2456"/>
        <w:gridCol w:w="1978"/>
        <w:gridCol w:w="324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建设项目名称</w:t>
            </w:r>
          </w:p>
        </w:tc>
        <w:tc>
          <w:tcPr>
            <w:tcW w:w="7683" w:type="dxa"/>
            <w:gridSpan w:val="3"/>
            <w:vAlign w:val="center"/>
          </w:tcPr>
          <w:p>
            <w:pPr>
              <w:adjustRightInd w:val="0"/>
              <w:snapToGrid w:val="0"/>
              <w:spacing w:line="480" w:lineRule="exact"/>
              <w:jc w:val="center"/>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沥青路面就地热再生集成式工程列车和水平式全封闭多功能道路工程</w:t>
            </w:r>
          </w:p>
          <w:p>
            <w:pPr>
              <w:adjustRightInd w:val="0"/>
              <w:snapToGrid w:val="0"/>
              <w:spacing w:line="480" w:lineRule="exact"/>
              <w:jc w:val="center"/>
              <w:rPr>
                <w:rFonts w:hint="default"/>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材料拌合生产线项目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项目代码</w:t>
            </w:r>
          </w:p>
        </w:tc>
        <w:tc>
          <w:tcPr>
            <w:tcW w:w="7683" w:type="dxa"/>
            <w:gridSpan w:val="3"/>
            <w:vAlign w:val="center"/>
          </w:tcPr>
          <w:p>
            <w:pPr>
              <w:adjustRightInd w:val="0"/>
              <w:snapToGrid w:val="0"/>
              <w:spacing w:line="480" w:lineRule="exact"/>
              <w:jc w:val="center"/>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2405-130127-89-05-842360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建设单位联系人</w:t>
            </w:r>
          </w:p>
        </w:tc>
        <w:tc>
          <w:tcPr>
            <w:tcW w:w="2456" w:type="dxa"/>
            <w:vAlign w:val="center"/>
          </w:tcPr>
          <w:p>
            <w:pPr>
              <w:adjustRightInd w:val="0"/>
              <w:snapToGrid w:val="0"/>
              <w:spacing w:line="480" w:lineRule="exact"/>
              <w:jc w:val="center"/>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韩书青</w:t>
            </w:r>
          </w:p>
        </w:tc>
        <w:tc>
          <w:tcPr>
            <w:tcW w:w="1978" w:type="dxa"/>
            <w:vAlign w:val="center"/>
          </w:tcPr>
          <w:p>
            <w:pPr>
              <w:adjustRightInd w:val="0"/>
              <w:snapToGrid w:val="0"/>
              <w:spacing w:line="480" w:lineRule="exact"/>
              <w:jc w:val="center"/>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联系方式</w:t>
            </w:r>
          </w:p>
        </w:tc>
        <w:tc>
          <w:tcPr>
            <w:tcW w:w="3249" w:type="dxa"/>
            <w:vAlign w:val="center"/>
          </w:tcPr>
          <w:p>
            <w:pPr>
              <w:adjustRightInd w:val="0"/>
              <w:snapToGrid w:val="0"/>
              <w:spacing w:line="480" w:lineRule="exact"/>
              <w:jc w:val="center"/>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13803345991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建设地点</w:t>
            </w:r>
          </w:p>
        </w:tc>
        <w:tc>
          <w:tcPr>
            <w:tcW w:w="7683" w:type="dxa"/>
            <w:gridSpan w:val="3"/>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u w:val="single"/>
                <w:lang w:val="en-US" w:eastAsia="zh-CN"/>
                <w14:textFill>
                  <w14:solidFill>
                    <w14:schemeClr w14:val="tx1"/>
                  </w14:solidFill>
                </w14:textFill>
              </w:rPr>
              <w:t xml:space="preserve"> </w:t>
            </w:r>
            <w:r>
              <w:rPr>
                <w:color w:val="000000" w:themeColor="text1"/>
                <w:sz w:val="24"/>
                <w:highlight w:val="none"/>
                <w:u w:val="single"/>
                <w14:textFill>
                  <w14:solidFill>
                    <w14:schemeClr w14:val="tx1"/>
                  </w14:solidFill>
                </w14:textFill>
              </w:rPr>
              <w:t>河北</w:t>
            </w:r>
            <w:r>
              <w:rPr>
                <w:rFonts w:hint="eastAsia"/>
                <w:color w:val="000000" w:themeColor="text1"/>
                <w:sz w:val="24"/>
                <w:highlight w:val="none"/>
                <w:u w:val="single"/>
                <w:lang w:val="en-US" w:eastAsia="zh-CN"/>
                <w14:textFill>
                  <w14:solidFill>
                    <w14:schemeClr w14:val="tx1"/>
                  </w14:solidFill>
                </w14:textFill>
              </w:rPr>
              <w:t xml:space="preserve"> </w:t>
            </w:r>
            <w:r>
              <w:rPr>
                <w:color w:val="000000" w:themeColor="text1"/>
                <w:sz w:val="24"/>
                <w:highlight w:val="none"/>
                <w14:textFill>
                  <w14:solidFill>
                    <w14:schemeClr w14:val="tx1"/>
                  </w14:solidFill>
                </w14:textFill>
              </w:rPr>
              <w:t>省</w:t>
            </w:r>
            <w:r>
              <w:rPr>
                <w:rFonts w:hint="eastAsia"/>
                <w:color w:val="000000" w:themeColor="text1"/>
                <w:sz w:val="24"/>
                <w:highlight w:val="none"/>
                <w:u w:val="single"/>
                <w:lang w:val="en-US" w:eastAsia="zh-CN"/>
                <w14:textFill>
                  <w14:solidFill>
                    <w14:schemeClr w14:val="tx1"/>
                  </w14:solidFill>
                </w14:textFill>
              </w:rPr>
              <w:t xml:space="preserve"> 石家庄 </w:t>
            </w:r>
            <w:r>
              <w:rPr>
                <w:color w:val="000000" w:themeColor="text1"/>
                <w:sz w:val="24"/>
                <w:highlight w:val="none"/>
                <w14:textFill>
                  <w14:solidFill>
                    <w14:schemeClr w14:val="tx1"/>
                  </w14:solidFill>
                </w14:textFill>
              </w:rPr>
              <w:t>市</w:t>
            </w:r>
            <w:r>
              <w:rPr>
                <w:rFonts w:hint="eastAsia"/>
                <w:color w:val="000000" w:themeColor="text1"/>
                <w:sz w:val="24"/>
                <w:highlight w:val="none"/>
                <w:u w:val="single"/>
                <w:lang w:val="en-US" w:eastAsia="zh-CN"/>
                <w14:textFill>
                  <w14:solidFill>
                    <w14:schemeClr w14:val="tx1"/>
                  </w14:solidFill>
                </w14:textFill>
              </w:rPr>
              <w:t xml:space="preserve"> 高邑 </w:t>
            </w:r>
            <w:r>
              <w:rPr>
                <w:rFonts w:hint="eastAsia"/>
                <w:color w:val="000000" w:themeColor="text1"/>
                <w:sz w:val="24"/>
                <w:highlight w:val="none"/>
                <w:u w:val="none"/>
                <w:lang w:val="en-US" w:eastAsia="zh-CN"/>
                <w14:textFill>
                  <w14:solidFill>
                    <w14:schemeClr w14:val="tx1"/>
                  </w14:solidFill>
                </w14:textFill>
              </w:rPr>
              <w:t xml:space="preserve">县 </w:t>
            </w:r>
            <w:r>
              <w:rPr>
                <w:rFonts w:hint="eastAsia"/>
                <w:color w:val="000000" w:themeColor="text1"/>
                <w:sz w:val="24"/>
                <w:highlight w:val="none"/>
                <w:u w:val="single"/>
                <w:lang w:val="en-US" w:eastAsia="zh-CN"/>
                <w14:textFill>
                  <w14:solidFill>
                    <w14:schemeClr w14:val="tx1"/>
                  </w14:solidFill>
                </w14:textFill>
              </w:rPr>
              <w:t xml:space="preserve">107国道与中韩公路交口东南角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地理坐标</w:t>
            </w:r>
          </w:p>
        </w:tc>
        <w:tc>
          <w:tcPr>
            <w:tcW w:w="7683" w:type="dxa"/>
            <w:gridSpan w:val="3"/>
            <w:vAlign w:val="center"/>
          </w:tcPr>
          <w:p>
            <w:pPr>
              <w:spacing w:line="480" w:lineRule="exact"/>
              <w:jc w:val="center"/>
              <w:rPr>
                <w:color w:val="000000" w:themeColor="text1"/>
                <w:sz w:val="24"/>
                <w:highlight w:val="yellow"/>
                <w14:textFill>
                  <w14:solidFill>
                    <w14:schemeClr w14:val="tx1"/>
                  </w14:solidFill>
                </w14:textFill>
              </w:rPr>
            </w:pPr>
            <w:r>
              <w:rPr>
                <w:color w:val="000000" w:themeColor="text1"/>
                <w:sz w:val="24"/>
                <w:highlight w:val="none"/>
                <w14:textFill>
                  <w14:solidFill>
                    <w14:schemeClr w14:val="tx1"/>
                  </w14:solidFill>
                </w14:textFill>
              </w:rPr>
              <w:t>（</w:t>
            </w:r>
            <w:r>
              <w:rPr>
                <w:color w:val="000000" w:themeColor="text1"/>
                <w:sz w:val="24"/>
                <w:highlight w:val="none"/>
                <w:u w:val="single"/>
                <w14:textFill>
                  <w14:solidFill>
                    <w14:schemeClr w14:val="tx1"/>
                  </w14:solidFill>
                </w14:textFill>
              </w:rPr>
              <w:t>114</w:t>
            </w:r>
            <w:r>
              <w:rPr>
                <w:color w:val="000000" w:themeColor="text1"/>
                <w:sz w:val="24"/>
                <w:highlight w:val="none"/>
                <w14:textFill>
                  <w14:solidFill>
                    <w14:schemeClr w14:val="tx1"/>
                  </w14:solidFill>
                </w14:textFill>
              </w:rPr>
              <w:t>度</w:t>
            </w:r>
            <w:r>
              <w:rPr>
                <w:rFonts w:hint="eastAsia"/>
                <w:color w:val="000000" w:themeColor="text1"/>
                <w:sz w:val="24"/>
                <w:highlight w:val="none"/>
                <w:u w:val="single"/>
                <w:lang w:val="en-US" w:eastAsia="zh-CN"/>
                <w14:textFill>
                  <w14:solidFill>
                    <w14:schemeClr w14:val="tx1"/>
                  </w14:solidFill>
                </w14:textFill>
              </w:rPr>
              <w:t>35</w:t>
            </w:r>
            <w:r>
              <w:rPr>
                <w:color w:val="000000" w:themeColor="text1"/>
                <w:sz w:val="24"/>
                <w:highlight w:val="none"/>
                <w14:textFill>
                  <w14:solidFill>
                    <w14:schemeClr w14:val="tx1"/>
                  </w14:solidFill>
                </w14:textFill>
              </w:rPr>
              <w:t>分</w:t>
            </w:r>
            <w:r>
              <w:rPr>
                <w:rFonts w:hint="eastAsia"/>
                <w:color w:val="000000" w:themeColor="text1"/>
                <w:sz w:val="24"/>
                <w:highlight w:val="none"/>
                <w:u w:val="single"/>
                <w:lang w:val="en-US" w:eastAsia="zh-CN"/>
                <w14:textFill>
                  <w14:solidFill>
                    <w14:schemeClr w14:val="tx1"/>
                  </w14:solidFill>
                </w14:textFill>
              </w:rPr>
              <w:t>35.995</w:t>
            </w:r>
            <w:r>
              <w:rPr>
                <w:color w:val="000000" w:themeColor="text1"/>
                <w:sz w:val="24"/>
                <w:highlight w:val="none"/>
                <w14:textFill>
                  <w14:solidFill>
                    <w14:schemeClr w14:val="tx1"/>
                  </w14:solidFill>
                </w14:textFill>
              </w:rPr>
              <w:t>秒，</w:t>
            </w:r>
            <w:r>
              <w:rPr>
                <w:color w:val="000000" w:themeColor="text1"/>
                <w:sz w:val="24"/>
                <w:highlight w:val="none"/>
                <w:u w:val="single"/>
                <w14:textFill>
                  <w14:solidFill>
                    <w14:schemeClr w14:val="tx1"/>
                  </w14:solidFill>
                </w14:textFill>
              </w:rPr>
              <w:t>3</w:t>
            </w:r>
            <w:r>
              <w:rPr>
                <w:rFonts w:hint="eastAsia"/>
                <w:color w:val="000000" w:themeColor="text1"/>
                <w:sz w:val="24"/>
                <w:highlight w:val="none"/>
                <w:u w:val="single"/>
                <w:lang w:val="en-US" w:eastAsia="zh-CN"/>
                <w14:textFill>
                  <w14:solidFill>
                    <w14:schemeClr w14:val="tx1"/>
                  </w14:solidFill>
                </w14:textFill>
              </w:rPr>
              <w:t>7</w:t>
            </w:r>
            <w:r>
              <w:rPr>
                <w:color w:val="000000" w:themeColor="text1"/>
                <w:sz w:val="24"/>
                <w:highlight w:val="none"/>
                <w14:textFill>
                  <w14:solidFill>
                    <w14:schemeClr w14:val="tx1"/>
                  </w14:solidFill>
                </w14:textFill>
              </w:rPr>
              <w:t>度</w:t>
            </w:r>
            <w:r>
              <w:rPr>
                <w:color w:val="000000" w:themeColor="text1"/>
                <w:sz w:val="24"/>
                <w:highlight w:val="none"/>
                <w:u w:val="single"/>
                <w14:textFill>
                  <w14:solidFill>
                    <w14:schemeClr w14:val="tx1"/>
                  </w14:solidFill>
                </w14:textFill>
              </w:rPr>
              <w:t>3</w:t>
            </w:r>
            <w:r>
              <w:rPr>
                <w:rFonts w:hint="eastAsia"/>
                <w:color w:val="000000" w:themeColor="text1"/>
                <w:sz w:val="24"/>
                <w:highlight w:val="none"/>
                <w:u w:val="single"/>
                <w:lang w:val="en-US" w:eastAsia="zh-CN"/>
                <w14:textFill>
                  <w14:solidFill>
                    <w14:schemeClr w14:val="tx1"/>
                  </w14:solidFill>
                </w14:textFill>
              </w:rPr>
              <w:t>9</w:t>
            </w:r>
            <w:r>
              <w:rPr>
                <w:color w:val="000000" w:themeColor="text1"/>
                <w:sz w:val="24"/>
                <w:highlight w:val="none"/>
                <w14:textFill>
                  <w14:solidFill>
                    <w14:schemeClr w14:val="tx1"/>
                  </w14:solidFill>
                </w14:textFill>
              </w:rPr>
              <w:t>分</w:t>
            </w:r>
            <w:r>
              <w:rPr>
                <w:rFonts w:hint="eastAsia"/>
                <w:color w:val="000000" w:themeColor="text1"/>
                <w:sz w:val="24"/>
                <w:highlight w:val="none"/>
                <w:u w:val="single"/>
                <w:lang w:val="en-US" w:eastAsia="zh-CN"/>
                <w14:textFill>
                  <w14:solidFill>
                    <w14:schemeClr w14:val="tx1"/>
                  </w14:solidFill>
                </w14:textFill>
              </w:rPr>
              <w:t>31.049</w:t>
            </w:r>
            <w:r>
              <w:rPr>
                <w:color w:val="000000" w:themeColor="text1"/>
                <w:sz w:val="24"/>
                <w:highlight w:val="none"/>
                <w14:textFill>
                  <w14:solidFill>
                    <w14:schemeClr w14:val="tx1"/>
                  </w14:solidFill>
                </w14:textFill>
              </w:rPr>
              <w:t>秒）</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61"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国民经济</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行业类别</w:t>
            </w:r>
          </w:p>
        </w:tc>
        <w:tc>
          <w:tcPr>
            <w:tcW w:w="2456" w:type="dxa"/>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t>C30</w:t>
            </w:r>
            <w:r>
              <w:rPr>
                <w:rFonts w:hint="eastAsia" w:ascii="Times New Roman" w:hAnsi="Times New Roman" w:eastAsia="宋体" w:cs="Times New Roman"/>
                <w:color w:val="000000" w:themeColor="text1"/>
                <w:sz w:val="24"/>
                <w:lang w:val="en-US" w:eastAsia="zh-CN"/>
                <w14:textFill>
                  <w14:solidFill>
                    <w14:schemeClr w14:val="tx1"/>
                  </w14:solidFill>
                </w14:textFill>
              </w:rPr>
              <w:t>99</w:t>
            </w:r>
            <w:r>
              <w:rPr>
                <w:rFonts w:hint="default" w:ascii="Times New Roman" w:hAnsi="Times New Roman" w:eastAsia="宋体" w:cs="Times New Roman"/>
                <w:color w:val="000000" w:themeColor="text1"/>
                <w:sz w:val="24"/>
                <w14:textFill>
                  <w14:solidFill>
                    <w14:schemeClr w14:val="tx1"/>
                  </w14:solidFill>
                </w14:textFill>
              </w:rPr>
              <w:t xml:space="preserve"> 其他非金属矿物制品制造</w:t>
            </w:r>
            <w:r>
              <w:rPr>
                <w:rFonts w:hint="eastAsia" w:cs="Times New Roman"/>
                <w:color w:val="000000" w:themeColor="text1"/>
                <w:sz w:val="24"/>
                <w:lang w:val="en-US" w:eastAsia="zh-CN"/>
                <w14:textFill>
                  <w14:solidFill>
                    <w14:schemeClr w14:val="tx1"/>
                  </w14:solidFill>
                </w14:textFill>
              </w:rPr>
              <w:t>/C3599其他专用设备制造</w:t>
            </w:r>
          </w:p>
        </w:tc>
        <w:tc>
          <w:tcPr>
            <w:tcW w:w="1978" w:type="dxa"/>
            <w:vAlign w:val="center"/>
          </w:tcPr>
          <w:p>
            <w:pPr>
              <w:adjustRightInd w:val="0"/>
              <w:snapToGrid w:val="0"/>
              <w:spacing w:line="480" w:lineRule="exact"/>
              <w:jc w:val="center"/>
              <w:rPr>
                <w:color w:val="000000" w:themeColor="text1"/>
                <w:sz w:val="24"/>
                <w14:textFill>
                  <w14:solidFill>
                    <w14:schemeClr w14:val="tx1"/>
                  </w14:solidFill>
                </w14:textFill>
              </w:rPr>
            </w:pPr>
            <w:bookmarkStart w:id="1" w:name="_Hlk49843745"/>
            <w:r>
              <w:rPr>
                <w:color w:val="000000" w:themeColor="text1"/>
                <w:sz w:val="24"/>
                <w14:textFill>
                  <w14:solidFill>
                    <w14:schemeClr w14:val="tx1"/>
                  </w14:solidFill>
                </w14:textFill>
              </w:rPr>
              <w:t>建设项目</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行业类别</w:t>
            </w:r>
            <w:bookmarkEnd w:id="1"/>
          </w:p>
        </w:tc>
        <w:tc>
          <w:tcPr>
            <w:tcW w:w="3249" w:type="dxa"/>
            <w:vAlign w:val="center"/>
          </w:tcPr>
          <w:p>
            <w:pPr>
              <w:adjustRightInd w:val="0"/>
              <w:snapToGrid w:val="0"/>
              <w:spacing w:line="480" w:lineRule="exact"/>
              <w:jc w:val="center"/>
              <w:rPr>
                <w:color w:val="000000" w:themeColor="text1"/>
                <w:sz w:val="24"/>
                <w14:textFill>
                  <w14:solidFill>
                    <w14:schemeClr w14:val="tx1"/>
                  </w14:solidFill>
                </w14:textFill>
              </w:rPr>
            </w:pPr>
            <w:r>
              <w:rPr>
                <w:rFonts w:hint="eastAsia" w:ascii="宋体" w:hAnsi="宋体" w:cs="宋体"/>
                <w:color w:val="000000" w:themeColor="text1"/>
                <w:sz w:val="24"/>
                <w:highlight w:val="none"/>
                <w:lang w:val="en-US" w:eastAsia="zh-CN"/>
                <w14:textFill>
                  <w14:solidFill>
                    <w14:schemeClr w14:val="tx1"/>
                  </w14:solidFill>
                </w14:textFill>
              </w:rPr>
              <w:t>二十</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七</w:t>
            </w:r>
            <w:r>
              <w:rPr>
                <w:rFonts w:hint="default"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14:textFill>
                  <w14:solidFill>
                    <w14:schemeClr w14:val="tx1"/>
                  </w14:solidFill>
                </w14:textFill>
              </w:rPr>
              <w:t>“非金属矿物制品业30”中“第60石墨及其他非金属矿物制品制造309”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1219"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建设性质</w:t>
            </w:r>
          </w:p>
        </w:tc>
        <w:tc>
          <w:tcPr>
            <w:tcW w:w="2456" w:type="dxa"/>
            <w:vAlign w:val="center"/>
          </w:tcPr>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52"/>
            </w:r>
            <w:r>
              <w:rPr>
                <w:color w:val="000000" w:themeColor="text1"/>
                <w:sz w:val="24"/>
                <w14:textFill>
                  <w14:solidFill>
                    <w14:schemeClr w14:val="tx1"/>
                  </w14:solidFill>
                </w14:textFill>
              </w:rPr>
              <w:t>新建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改建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扩建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技术改造</w:t>
            </w:r>
          </w:p>
        </w:tc>
        <w:tc>
          <w:tcPr>
            <w:tcW w:w="1978" w:type="dxa"/>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建设项目</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申报情形</w:t>
            </w:r>
          </w:p>
        </w:tc>
        <w:tc>
          <w:tcPr>
            <w:tcW w:w="3249" w:type="dxa"/>
            <w:vAlign w:val="center"/>
          </w:tcPr>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w:char="F0FE"/>
            </w:r>
            <w:r>
              <w:rPr>
                <w:color w:val="000000" w:themeColor="text1"/>
                <w:sz w:val="24"/>
                <w14:textFill>
                  <w14:solidFill>
                    <w14:schemeClr w14:val="tx1"/>
                  </w14:solidFill>
                </w14:textFill>
              </w:rPr>
              <w:t>首次申报项目</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不予批准后再次申报项目</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 xml:space="preserve">超五年重新审核项目     </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851"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项目审批（核准/</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备案）部门（选填）</w:t>
            </w:r>
          </w:p>
        </w:tc>
        <w:tc>
          <w:tcPr>
            <w:tcW w:w="2456" w:type="dxa"/>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w:t>
            </w:r>
          </w:p>
        </w:tc>
        <w:tc>
          <w:tcPr>
            <w:tcW w:w="1978" w:type="dxa"/>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项目审批（核准/</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备案）文号（选填）</w:t>
            </w:r>
          </w:p>
        </w:tc>
        <w:tc>
          <w:tcPr>
            <w:tcW w:w="3249" w:type="dxa"/>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高数政投备[2024]98号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总投资（万元）</w:t>
            </w:r>
          </w:p>
        </w:tc>
        <w:tc>
          <w:tcPr>
            <w:tcW w:w="2456" w:type="dxa"/>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3000</w:t>
            </w:r>
          </w:p>
        </w:tc>
        <w:tc>
          <w:tcPr>
            <w:tcW w:w="1978" w:type="dxa"/>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环保投资（万元）</w:t>
            </w:r>
          </w:p>
        </w:tc>
        <w:tc>
          <w:tcPr>
            <w:tcW w:w="3249" w:type="dxa"/>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环保投资占比（%）</w:t>
            </w:r>
          </w:p>
        </w:tc>
        <w:tc>
          <w:tcPr>
            <w:tcW w:w="2456" w:type="dxa"/>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10</w:t>
            </w:r>
          </w:p>
        </w:tc>
        <w:tc>
          <w:tcPr>
            <w:tcW w:w="1978" w:type="dxa"/>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施工工期</w:t>
            </w:r>
          </w:p>
        </w:tc>
        <w:tc>
          <w:tcPr>
            <w:tcW w:w="3249" w:type="dxa"/>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w:t>
            </w:r>
            <w:r>
              <w:rPr>
                <w:rFonts w:hint="eastAsia"/>
                <w:color w:val="000000" w:themeColor="text1"/>
                <w:sz w:val="24"/>
                <w:highlight w:val="none"/>
                <w14:textFill>
                  <w14:solidFill>
                    <w14:schemeClr w14:val="tx1"/>
                  </w14:solidFill>
                </w14:textFill>
              </w:rPr>
              <w:t>个月</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497" w:hRule="atLeast"/>
          <w:jc w:val="center"/>
        </w:trPr>
        <w:tc>
          <w:tcPr>
            <w:tcW w:w="2316" w:type="dxa"/>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是否开工建设</w:t>
            </w:r>
          </w:p>
        </w:tc>
        <w:tc>
          <w:tcPr>
            <w:tcW w:w="2456" w:type="dxa"/>
            <w:vAlign w:val="center"/>
          </w:tcPr>
          <w:p>
            <w:pPr>
              <w:adjustRightInd w:val="0"/>
              <w:snapToGrid w:val="0"/>
              <w:spacing w:line="48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w:char="00A8"/>
            </w:r>
            <w:r>
              <w:rPr>
                <w:color w:val="000000" w:themeColor="text1"/>
                <w:sz w:val="24"/>
                <w14:textFill>
                  <w14:solidFill>
                    <w14:schemeClr w14:val="tx1"/>
                  </w14:solidFill>
                </w14:textFill>
              </w:rPr>
              <w:t>否</w:t>
            </w:r>
          </w:p>
          <w:p>
            <w:pPr>
              <w:adjustRightInd w:val="0"/>
              <w:snapToGrid w:val="0"/>
              <w:spacing w:line="48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52"/>
            </w:r>
            <w:r>
              <w:rPr>
                <w:color w:val="000000" w:themeColor="text1"/>
                <w:sz w:val="24"/>
                <w14:textFill>
                  <w14:solidFill>
                    <w14:schemeClr w14:val="tx1"/>
                  </w14:solidFill>
                </w14:textFill>
              </w:rPr>
              <w:t>是：</w:t>
            </w:r>
            <w:r>
              <w:rPr>
                <w:color w:val="000000" w:themeColor="text1"/>
                <w:sz w:val="24"/>
                <w:u w:val="single"/>
                <w14:textFill>
                  <w14:solidFill>
                    <w14:schemeClr w14:val="tx1"/>
                  </w14:solidFill>
                </w14:textFill>
              </w:rPr>
              <w:t xml:space="preserve"> </w:t>
            </w:r>
            <w:r>
              <w:rPr>
                <w:rFonts w:hint="eastAsia"/>
                <w:color w:val="000000" w:themeColor="text1"/>
                <w:sz w:val="24"/>
                <w:u w:val="single"/>
                <w:lang w:val="en-US" w:eastAsia="zh-CN"/>
                <w14:textFill>
                  <w14:solidFill>
                    <w14:schemeClr w14:val="tx1"/>
                  </w14:solidFill>
                </w14:textFill>
              </w:rPr>
              <w:t>项目已开工建设，生产设备基本安装到位，未投入运行。</w:t>
            </w:r>
            <w:r>
              <w:commentReference w:id="0"/>
            </w:r>
            <w:r>
              <w:rPr>
                <w:color w:val="000000" w:themeColor="text1"/>
                <w:sz w:val="24"/>
                <w:u w:val="single"/>
                <w14:textFill>
                  <w14:solidFill>
                    <w14:schemeClr w14:val="tx1"/>
                  </w14:solidFill>
                </w14:textFill>
              </w:rPr>
              <w:t xml:space="preserve">         </w:t>
            </w:r>
          </w:p>
        </w:tc>
        <w:tc>
          <w:tcPr>
            <w:tcW w:w="1978" w:type="dxa"/>
            <w:tcMar>
              <w:top w:w="16" w:type="dxa"/>
              <w:left w:w="16" w:type="dxa"/>
              <w:right w:w="16" w:type="dxa"/>
            </w:tcMar>
            <w:vAlign w:val="center"/>
          </w:tcPr>
          <w:p>
            <w:pPr>
              <w:adjustRightInd w:val="0"/>
              <w:snapToGrid w:val="0"/>
              <w:spacing w:line="480" w:lineRule="exact"/>
              <w:jc w:val="center"/>
              <w:rPr>
                <w:color w:val="000000" w:themeColor="text1"/>
                <w:spacing w:val="-6"/>
                <w:sz w:val="24"/>
                <w14:textFill>
                  <w14:solidFill>
                    <w14:schemeClr w14:val="tx1"/>
                  </w14:solidFill>
                </w14:textFill>
              </w:rPr>
            </w:pPr>
            <w:r>
              <w:rPr>
                <w:color w:val="000000" w:themeColor="text1"/>
                <w:spacing w:val="-6"/>
                <w:sz w:val="24"/>
                <w14:textFill>
                  <w14:solidFill>
                    <w14:schemeClr w14:val="tx1"/>
                  </w14:solidFill>
                </w14:textFill>
              </w:rPr>
              <w:t>用地（用海）</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pacing w:val="-6"/>
                <w:sz w:val="24"/>
                <w14:textFill>
                  <w14:solidFill>
                    <w14:schemeClr w14:val="tx1"/>
                  </w14:solidFill>
                </w14:textFill>
              </w:rPr>
              <w:t>面积（m</w:t>
            </w:r>
            <w:r>
              <w:rPr>
                <w:color w:val="000000" w:themeColor="text1"/>
                <w:spacing w:val="-6"/>
                <w:sz w:val="24"/>
                <w:vertAlign w:val="superscript"/>
                <w14:textFill>
                  <w14:solidFill>
                    <w14:schemeClr w14:val="tx1"/>
                  </w14:solidFill>
                </w14:textFill>
              </w:rPr>
              <w:t>2</w:t>
            </w:r>
            <w:r>
              <w:rPr>
                <w:color w:val="000000" w:themeColor="text1"/>
                <w:spacing w:val="-6"/>
                <w:sz w:val="24"/>
                <w14:textFill>
                  <w14:solidFill>
                    <w14:schemeClr w14:val="tx1"/>
                  </w14:solidFill>
                </w14:textFill>
              </w:rPr>
              <w:t>）</w:t>
            </w:r>
          </w:p>
        </w:tc>
        <w:tc>
          <w:tcPr>
            <w:tcW w:w="3249" w:type="dxa"/>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7334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23" w:hRule="atLeast"/>
          <w:jc w:val="center"/>
        </w:trPr>
        <w:tc>
          <w:tcPr>
            <w:tcW w:w="1172" w:type="dxa"/>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专项评价设置情况</w:t>
            </w:r>
          </w:p>
        </w:tc>
        <w:tc>
          <w:tcPr>
            <w:tcW w:w="8827" w:type="dxa"/>
            <w:gridSpan w:val="4"/>
            <w:vAlign w:val="center"/>
          </w:tcPr>
          <w:p>
            <w:pPr>
              <w:adjustRightInd w:val="0"/>
              <w:snapToGrid w:val="0"/>
              <w:spacing w:line="480" w:lineRule="exact"/>
              <w:jc w:val="left"/>
              <w:rPr>
                <w:rFonts w:hint="default" w:eastAsia="宋体"/>
                <w:color w:val="000000" w:themeColor="text1"/>
                <w:sz w:val="24"/>
                <w:lang w:val="en-US" w:eastAsia="zh-CN"/>
                <w14:textFill>
                  <w14:solidFill>
                    <w14:schemeClr w14:val="tx1"/>
                  </w14:solidFill>
                </w14:textFill>
              </w:rPr>
            </w:pPr>
            <w:r>
              <w:rPr>
                <w:rFonts w:ascii="Times New Roman" w:hAnsi="Times New Roman" w:eastAsia="宋体" w:cs="Times New Roman"/>
                <w:bCs/>
                <w:color w:val="000000" w:themeColor="text1"/>
                <w:sz w:val="24"/>
                <w14:textFill>
                  <w14:solidFill>
                    <w14:schemeClr w14:val="tx1"/>
                  </w14:solidFill>
                </w14:textFill>
              </w:rPr>
              <w:t>本项目主要进行沥青混凝土生产，生产废气主要污染物含有苯并[a]芘，且厂界外500范围内有农村地区人群较集中区域，因此，项目需设置大气环境专项评价。本评价根据环境影响评价相关技术导则开展专项评价工作，编制完成《</w:t>
            </w:r>
            <w:r>
              <w:rPr>
                <w:rFonts w:hint="eastAsia"/>
                <w:color w:val="000000" w:themeColor="text1"/>
                <w:sz w:val="24"/>
                <w:lang w:val="en-US" w:eastAsia="zh-CN"/>
                <w14:textFill>
                  <w14:solidFill>
                    <w14:schemeClr w14:val="tx1"/>
                  </w14:solidFill>
                </w14:textFill>
              </w:rPr>
              <w:t>沥青路面就地热再生集成式工程列车和水平式全封闭多功能道路工程材料拌合生产线项目大气环境影响专项评价</w:t>
            </w:r>
            <w:r>
              <w:rPr>
                <w:rFonts w:ascii="Times New Roman" w:hAnsi="Times New Roman" w:eastAsia="宋体" w:cs="Times New Roman"/>
                <w:bCs/>
                <w:color w:val="000000" w:themeColor="text1"/>
                <w:sz w:val="24"/>
                <w14:textFill>
                  <w14:solidFill>
                    <w14:schemeClr w14:val="tx1"/>
                  </w14:solidFill>
                </w14:textFill>
              </w:rPr>
              <w:t>》，详见</w:t>
            </w:r>
            <w:r>
              <w:rPr>
                <w:rFonts w:hint="eastAsia" w:ascii="Times New Roman" w:hAnsi="Times New Roman" w:eastAsia="宋体" w:cs="Times New Roman"/>
                <w:bCs/>
                <w:color w:val="000000" w:themeColor="text1"/>
                <w:sz w:val="24"/>
                <w:lang w:eastAsia="zh-CN"/>
                <w14:textFill>
                  <w14:solidFill>
                    <w14:schemeClr w14:val="tx1"/>
                  </w14:solidFill>
                </w14:textFill>
              </w:rPr>
              <w:t>“</w:t>
            </w:r>
            <w:r>
              <w:rPr>
                <w:rFonts w:ascii="Times New Roman" w:hAnsi="Times New Roman" w:eastAsia="宋体" w:cs="Times New Roman"/>
                <w:bCs/>
                <w:color w:val="000000" w:themeColor="text1"/>
                <w:sz w:val="24"/>
                <w14:textFill>
                  <w14:solidFill>
                    <w14:schemeClr w14:val="tx1"/>
                  </w14:solidFill>
                </w14:textFill>
              </w:rPr>
              <w:t>大气</w:t>
            </w:r>
            <w:r>
              <w:rPr>
                <w:rFonts w:hint="eastAsia" w:cs="Times New Roman"/>
                <w:bCs/>
                <w:color w:val="000000" w:themeColor="text1"/>
                <w:sz w:val="24"/>
                <w:lang w:val="en-US" w:eastAsia="zh-CN"/>
                <w14:textFill>
                  <w14:solidFill>
                    <w14:schemeClr w14:val="tx1"/>
                  </w14:solidFill>
                </w14:textFill>
              </w:rPr>
              <w:t>环境影响</w:t>
            </w:r>
            <w:r>
              <w:rPr>
                <w:rFonts w:ascii="Times New Roman" w:hAnsi="Times New Roman" w:eastAsia="宋体" w:cs="Times New Roman"/>
                <w:bCs/>
                <w:color w:val="000000" w:themeColor="text1"/>
                <w:sz w:val="24"/>
                <w14:textFill>
                  <w14:solidFill>
                    <w14:schemeClr w14:val="tx1"/>
                  </w14:solidFill>
                </w14:textFill>
              </w:rPr>
              <w:t>专项评价</w:t>
            </w:r>
            <w:r>
              <w:rPr>
                <w:rFonts w:hint="eastAsia" w:ascii="Times New Roman" w:hAnsi="Times New Roman" w:eastAsia="宋体" w:cs="Times New Roman"/>
                <w:bCs/>
                <w:color w:val="000000" w:themeColor="text1"/>
                <w:sz w:val="24"/>
                <w:lang w:eastAsia="zh-CN"/>
                <w14:textFill>
                  <w14:solidFill>
                    <w14:schemeClr w14:val="tx1"/>
                  </w14:solidFill>
                </w14:textFill>
              </w:rPr>
              <w:t>”</w:t>
            </w:r>
            <w:r>
              <w:rPr>
                <w:rFonts w:hint="eastAsia" w:ascii="Times New Roman" w:hAnsi="Times New Roman" w:cs="Times New Roman"/>
                <w:bCs/>
                <w:color w:val="000000" w:themeColor="text1"/>
                <w:sz w:val="24"/>
                <w:lang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021" w:hRule="atLeast"/>
          <w:jc w:val="center"/>
        </w:trPr>
        <w:tc>
          <w:tcPr>
            <w:tcW w:w="1172" w:type="dxa"/>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sz w:val="24"/>
                <w14:textFill>
                  <w14:solidFill>
                    <w14:schemeClr w14:val="tx1"/>
                  </w14:solidFill>
                </w14:textFill>
              </w:rPr>
              <w:t>规划情况</w:t>
            </w:r>
          </w:p>
        </w:tc>
        <w:tc>
          <w:tcPr>
            <w:tcW w:w="8827" w:type="dxa"/>
            <w:gridSpan w:val="4"/>
            <w:vAlign w:val="center"/>
          </w:tcPr>
          <w:p>
            <w:pPr>
              <w:autoSpaceDE w:val="0"/>
              <w:autoSpaceDN w:val="0"/>
              <w:adjustRightInd w:val="0"/>
              <w:snapToGrid w:val="0"/>
              <w:spacing w:line="480" w:lineRule="exact"/>
              <w:rPr>
                <w:rFonts w:hint="default" w:eastAsia="宋体"/>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021" w:hRule="atLeast"/>
          <w:jc w:val="center"/>
        </w:trPr>
        <w:tc>
          <w:tcPr>
            <w:tcW w:w="1172" w:type="dxa"/>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规划环境影响</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sz w:val="24"/>
                <w14:textFill>
                  <w14:solidFill>
                    <w14:schemeClr w14:val="tx1"/>
                  </w14:solidFill>
                </w14:textFill>
              </w:rPr>
              <w:t>评价情况</w:t>
            </w:r>
          </w:p>
        </w:tc>
        <w:tc>
          <w:tcPr>
            <w:tcW w:w="8827" w:type="dxa"/>
            <w:gridSpan w:val="4"/>
            <w:vAlign w:val="center"/>
          </w:tcPr>
          <w:p>
            <w:pPr>
              <w:autoSpaceDE w:val="0"/>
              <w:autoSpaceDN w:val="0"/>
              <w:adjustRightInd w:val="0"/>
              <w:snapToGrid w:val="0"/>
              <w:spacing w:line="480" w:lineRule="exact"/>
              <w:rPr>
                <w:rFonts w:hint="eastAsia" w:eastAsia="宋体"/>
                <w:color w:val="000000" w:themeColor="text1"/>
                <w:sz w:val="24"/>
                <w:lang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021" w:hRule="atLeast"/>
          <w:jc w:val="center"/>
        </w:trPr>
        <w:tc>
          <w:tcPr>
            <w:tcW w:w="1172" w:type="dxa"/>
            <w:vAlign w:val="center"/>
          </w:tcPr>
          <w:p>
            <w:pPr>
              <w:adjustRightInd w:val="0"/>
              <w:snapToGrid w:val="0"/>
              <w:spacing w:line="240" w:lineRule="auto"/>
              <w:jc w:val="center"/>
              <w:rPr>
                <w:color w:val="000000" w:themeColor="text1"/>
                <w:sz w:val="24"/>
                <w14:textFill>
                  <w14:solidFill>
                    <w14:schemeClr w14:val="tx1"/>
                  </w14:solidFill>
                </w14:textFill>
              </w:rPr>
            </w:pPr>
            <w:r>
              <w:rPr>
                <w:color w:val="000000" w:themeColor="text1"/>
                <w:kern w:val="0"/>
                <w:sz w:val="24"/>
                <w14:textFill>
                  <w14:solidFill>
                    <w14:schemeClr w14:val="tx1"/>
                  </w14:solidFill>
                </w14:textFill>
              </w:rPr>
              <w:t>规划及规划环境影响评价符合性分析</w:t>
            </w:r>
          </w:p>
        </w:tc>
        <w:tc>
          <w:tcPr>
            <w:tcW w:w="8827" w:type="dxa"/>
            <w:gridSpan w:val="4"/>
            <w:vAlign w:val="center"/>
          </w:tcPr>
          <w:p>
            <w:pPr>
              <w:autoSpaceDE w:val="0"/>
              <w:autoSpaceDN w:val="0"/>
              <w:adjustRightInd w:val="0"/>
              <w:snapToGrid w:val="0"/>
              <w:spacing w:line="480" w:lineRule="exact"/>
              <w:rPr>
                <w:rFonts w:hint="eastAsia" w:eastAsia="宋体"/>
                <w:color w:val="000000" w:themeColor="text1"/>
                <w:sz w:val="24"/>
                <w:lang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021" w:hRule="atLeast"/>
          <w:jc w:val="center"/>
        </w:trPr>
        <w:tc>
          <w:tcPr>
            <w:tcW w:w="1172" w:type="dxa"/>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其他符合性分析</w:t>
            </w:r>
          </w:p>
        </w:tc>
        <w:tc>
          <w:tcPr>
            <w:tcW w:w="8827" w:type="dxa"/>
            <w:gridSpan w:val="4"/>
            <w:vAlign w:val="center"/>
          </w:tcPr>
          <w:p>
            <w:pPr>
              <w:spacing w:line="480" w:lineRule="exact"/>
              <w:ind w:firstLine="482" w:firstLineChars="200"/>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1、与</w:t>
            </w:r>
            <w:r>
              <w:rPr>
                <w:rFonts w:hint="eastAsia"/>
                <w:b/>
                <w:bCs/>
                <w:color w:val="000000" w:themeColor="text1"/>
                <w:sz w:val="24"/>
                <w14:textFill>
                  <w14:solidFill>
                    <w14:schemeClr w14:val="tx1"/>
                  </w14:solidFill>
                </w14:textFill>
              </w:rPr>
              <w:t>所在地“</w:t>
            </w:r>
            <w:r>
              <w:rPr>
                <w:b/>
                <w:bCs/>
                <w:color w:val="000000" w:themeColor="text1"/>
                <w:sz w:val="24"/>
                <w14:textFill>
                  <w14:solidFill>
                    <w14:schemeClr w14:val="tx1"/>
                  </w14:solidFill>
                </w14:textFill>
              </w:rPr>
              <w:t>三线一单</w:t>
            </w:r>
            <w:r>
              <w:rPr>
                <w:rFonts w:hint="eastAsia"/>
                <w:b/>
                <w:bCs/>
                <w:color w:val="000000" w:themeColor="text1"/>
                <w:sz w:val="24"/>
                <w14:textFill>
                  <w14:solidFill>
                    <w14:schemeClr w14:val="tx1"/>
                  </w14:solidFill>
                </w14:textFill>
              </w:rPr>
              <w:t>”</w:t>
            </w:r>
            <w:r>
              <w:rPr>
                <w:b/>
                <w:bCs/>
                <w:color w:val="000000" w:themeColor="text1"/>
                <w:sz w:val="24"/>
                <w14:textFill>
                  <w14:solidFill>
                    <w14:schemeClr w14:val="tx1"/>
                  </w14:solidFill>
                </w14:textFill>
              </w:rPr>
              <w:t>的符合性分析</w:t>
            </w:r>
          </w:p>
          <w:p>
            <w:pPr>
              <w:autoSpaceDE w:val="0"/>
              <w:autoSpaceDN w:val="0"/>
              <w:spacing w:line="480" w:lineRule="exact"/>
              <w:ind w:firstLine="480" w:firstLineChars="200"/>
              <w:rPr>
                <w:rFonts w:hint="default" w:ascii="Times New Roman" w:hAnsi="Times New Roman" w:cs="宋体"/>
                <w:color w:val="000000" w:themeColor="text1"/>
                <w:kern w:val="0"/>
                <w:sz w:val="24"/>
                <w:lang w:val="en-US" w:eastAsia="zh-CN"/>
                <w14:textFill>
                  <w14:solidFill>
                    <w14:schemeClr w14:val="tx1"/>
                  </w14:solidFill>
                </w14:textFill>
              </w:rPr>
            </w:pPr>
            <w:r>
              <w:rPr>
                <w:rFonts w:hint="eastAsia" w:ascii="Times New Roman" w:hAnsi="Times New Roman" w:cs="宋体"/>
                <w:color w:val="000000" w:themeColor="text1"/>
                <w:kern w:val="0"/>
                <w:sz w:val="24"/>
                <w:lang w:val="en-US" w:eastAsia="zh-CN"/>
                <w14:textFill>
                  <w14:solidFill>
                    <w14:schemeClr w14:val="tx1"/>
                  </w14:solidFill>
                </w14:textFill>
              </w:rPr>
              <w:t>①生态保护红线</w:t>
            </w: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r>
              <w:rPr>
                <w:rFonts w:hint="eastAsia" w:ascii="Times New Roman" w:hAnsi="Times New Roman" w:cs="宋体"/>
                <w:color w:val="000000" w:themeColor="text1"/>
                <w:kern w:val="0"/>
                <w:sz w:val="24"/>
                <w14:textFill>
                  <w14:solidFill>
                    <w14:schemeClr w14:val="tx1"/>
                  </w14:solidFill>
                </w14:textFill>
              </w:rPr>
              <w:t>高邑县生态红线主要</w:t>
            </w:r>
            <w:r>
              <w:rPr>
                <w:rFonts w:hint="eastAsia" w:cs="宋体"/>
                <w:color w:val="000000" w:themeColor="text1"/>
                <w:kern w:val="0"/>
                <w:sz w:val="24"/>
                <w:lang w:val="en-US" w:eastAsia="zh-CN"/>
                <w14:textFill>
                  <w14:solidFill>
                    <w14:schemeClr w14:val="tx1"/>
                  </w14:solidFill>
                </w14:textFill>
              </w:rPr>
              <w:t>为南水北调工程</w:t>
            </w:r>
            <w:r>
              <w:rPr>
                <w:rFonts w:hint="eastAsia" w:ascii="Times New Roman" w:hAnsi="Times New Roman" w:cs="宋体"/>
                <w:color w:val="000000" w:themeColor="text1"/>
                <w:kern w:val="0"/>
                <w:sz w:val="24"/>
                <w14:textFill>
                  <w14:solidFill>
                    <w14:schemeClr w14:val="tx1"/>
                  </w14:solidFill>
                </w14:textFill>
              </w:rPr>
              <w:t>，本项目位于河北省石家庄市</w:t>
            </w:r>
            <w:r>
              <w:rPr>
                <w:rFonts w:hint="eastAsia" w:ascii="Times New Roman" w:hAnsi="Times New Roman" w:cs="宋体"/>
                <w:color w:val="000000" w:themeColor="text1"/>
                <w:kern w:val="0"/>
                <w:sz w:val="24"/>
                <w:lang w:val="en-US" w:eastAsia="zh-CN"/>
                <w14:textFill>
                  <w14:solidFill>
                    <w14:schemeClr w14:val="tx1"/>
                  </w14:solidFill>
                </w14:textFill>
              </w:rPr>
              <w:t>高邑县107国道与中韩公路交口东南角</w:t>
            </w:r>
            <w:r>
              <w:rPr>
                <w:rFonts w:hint="eastAsia" w:ascii="Times New Roman" w:hAnsi="Times New Roman" w:cs="宋体"/>
                <w:color w:val="000000" w:themeColor="text1"/>
                <w:kern w:val="0"/>
                <w:sz w:val="24"/>
                <w14:textFill>
                  <w14:solidFill>
                    <w14:schemeClr w14:val="tx1"/>
                  </w14:solidFill>
                </w14:textFill>
              </w:rPr>
              <w:t>，厂址</w:t>
            </w:r>
            <w:r>
              <w:rPr>
                <w:rFonts w:hint="eastAsia" w:cs="宋体"/>
                <w:color w:val="000000" w:themeColor="text1"/>
                <w:kern w:val="0"/>
                <w:sz w:val="24"/>
                <w:lang w:val="en-US" w:eastAsia="zh-CN"/>
                <w14:textFill>
                  <w14:solidFill>
                    <w14:schemeClr w14:val="tx1"/>
                  </w14:solidFill>
                </w14:textFill>
              </w:rPr>
              <w:t>西</w:t>
            </w:r>
            <w:r>
              <w:rPr>
                <w:rFonts w:hint="eastAsia" w:ascii="Times New Roman" w:hAnsi="Times New Roman" w:cs="宋体"/>
                <w:color w:val="000000" w:themeColor="text1"/>
                <w:kern w:val="0"/>
                <w:sz w:val="24"/>
                <w14:textFill>
                  <w14:solidFill>
                    <w14:schemeClr w14:val="tx1"/>
                  </w14:solidFill>
                </w14:textFill>
              </w:rPr>
              <w:t>距</w:t>
            </w:r>
            <w:r>
              <w:rPr>
                <w:rFonts w:hint="eastAsia" w:cs="宋体"/>
                <w:color w:val="000000" w:themeColor="text1"/>
                <w:kern w:val="0"/>
                <w:sz w:val="24"/>
                <w:lang w:val="en-US" w:eastAsia="zh-CN"/>
                <w14:textFill>
                  <w14:solidFill>
                    <w14:schemeClr w14:val="tx1"/>
                  </w14:solidFill>
                </w14:textFill>
              </w:rPr>
              <w:t>南水北调9.5</w:t>
            </w:r>
            <w:r>
              <w:rPr>
                <w:rFonts w:hint="eastAsia" w:ascii="Times New Roman" w:hAnsi="Times New Roman" w:cs="宋体"/>
                <w:color w:val="000000" w:themeColor="text1"/>
                <w:kern w:val="0"/>
                <w:sz w:val="24"/>
                <w:lang w:val="en-US" w:eastAsia="zh-CN"/>
                <w14:textFill>
                  <w14:solidFill>
                    <w14:schemeClr w14:val="tx1"/>
                  </w14:solidFill>
                </w14:textFill>
              </w:rPr>
              <w:t>k</w:t>
            </w:r>
            <w:r>
              <w:rPr>
                <w:rFonts w:hint="eastAsia" w:ascii="Times New Roman" w:hAnsi="Times New Roman" w:cs="宋体"/>
                <w:color w:val="000000" w:themeColor="text1"/>
                <w:kern w:val="0"/>
                <w:sz w:val="24"/>
                <w14:textFill>
                  <w14:solidFill>
                    <w14:schemeClr w14:val="tx1"/>
                  </w14:solidFill>
                </w14:textFill>
              </w:rPr>
              <w:t>m，距</w:t>
            </w:r>
            <w:r>
              <w:rPr>
                <w:rFonts w:hint="eastAsia" w:cs="宋体"/>
                <w:color w:val="000000" w:themeColor="text1"/>
                <w:kern w:val="0"/>
                <w:sz w:val="24"/>
                <w:lang w:val="en-US" w:eastAsia="zh-CN"/>
                <w14:textFill>
                  <w14:solidFill>
                    <w14:schemeClr w14:val="tx1"/>
                  </w14:solidFill>
                </w14:textFill>
              </w:rPr>
              <w:t>南水北调二级保护区（二级保护区范围为南水北调工程边线外50m）约9.4</w:t>
            </w:r>
            <w:r>
              <w:rPr>
                <w:rFonts w:hint="eastAsia" w:ascii="Times New Roman" w:hAnsi="Times New Roman" w:cs="宋体"/>
                <w:color w:val="000000" w:themeColor="text1"/>
                <w:kern w:val="0"/>
                <w:sz w:val="24"/>
                <w:lang w:val="en-US" w:eastAsia="zh-CN"/>
                <w14:textFill>
                  <w14:solidFill>
                    <w14:schemeClr w14:val="tx1"/>
                  </w14:solidFill>
                </w14:textFill>
              </w:rPr>
              <w:t>k</w:t>
            </w:r>
            <w:r>
              <w:rPr>
                <w:rFonts w:hint="eastAsia" w:ascii="Times New Roman" w:hAnsi="Times New Roman" w:cs="宋体"/>
                <w:color w:val="000000" w:themeColor="text1"/>
                <w:kern w:val="0"/>
                <w:sz w:val="24"/>
                <w14:textFill>
                  <w14:solidFill>
                    <w14:schemeClr w14:val="tx1"/>
                  </w14:solidFill>
                </w14:textFill>
              </w:rPr>
              <w:t>m，符合生态保护红线的要求。</w:t>
            </w: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p>
          <w:p>
            <w:pPr>
              <w:spacing w:line="480" w:lineRule="exact"/>
              <w:jc w:val="center"/>
              <w:rPr>
                <w:rFonts w:hint="eastAsia" w:ascii="Times New Roman" w:hAnsi="Times New Roman" w:eastAsia="宋体" w:cs="Times New Roman"/>
                <w:b/>
                <w:bCs/>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2098675</wp:posOffset>
                      </wp:positionH>
                      <wp:positionV relativeFrom="paragraph">
                        <wp:posOffset>1314450</wp:posOffset>
                      </wp:positionV>
                      <wp:extent cx="581025" cy="285750"/>
                      <wp:effectExtent l="4445" t="4445" r="5080" b="14605"/>
                      <wp:wrapNone/>
                      <wp:docPr id="19" name="文本框 19"/>
                      <wp:cNvGraphicFramePr/>
                      <a:graphic xmlns:a="http://schemas.openxmlformats.org/drawingml/2006/main">
                        <a:graphicData uri="http://schemas.microsoft.com/office/word/2010/wordprocessingShape">
                          <wps:wsp>
                            <wps:cNvSpPr txBox="1"/>
                            <wps:spPr>
                              <a:xfrm>
                                <a:off x="3469640" y="6755765"/>
                                <a:ext cx="581025" cy="2857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9.5km</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5.25pt;margin-top:103.5pt;height:22.5pt;width:45.75pt;z-index:251667456;mso-width-relative:page;mso-height-relative:page;" fillcolor="#FFFFFF [3201]" filled="t" stroked="t" coordsize="21600,21600" o:gfxdata="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Ks24VjWAAAACwEAAA8AAAAAAAAAAQAg&#10;AAAAIgAAAGRycy9kb3ducmV2LnhtbFBLAQIUABQAAAAIAIdO4kC2plkOSQIAAHYEAAAOAAAAAAAA&#10;AAEAIAAAACUBAABkcnMvZTJvRG9jLnhtbFBLBQYAAAAABgAGAFkBAADgBQ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9.5km</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869950</wp:posOffset>
                      </wp:positionH>
                      <wp:positionV relativeFrom="paragraph">
                        <wp:posOffset>1483360</wp:posOffset>
                      </wp:positionV>
                      <wp:extent cx="3019425" cy="381000"/>
                      <wp:effectExtent l="0" t="28575" r="9525" b="9525"/>
                      <wp:wrapNone/>
                      <wp:docPr id="52" name="直接箭头连接符 52"/>
                      <wp:cNvGraphicFramePr/>
                      <a:graphic xmlns:a="http://schemas.openxmlformats.org/drawingml/2006/main">
                        <a:graphicData uri="http://schemas.microsoft.com/office/word/2010/wordprocessingShape">
                          <wps:wsp>
                            <wps:cNvCnPr/>
                            <wps:spPr>
                              <a:xfrm flipH="1" flipV="1">
                                <a:off x="4479290" y="7307580"/>
                                <a:ext cx="3019425" cy="381000"/>
                              </a:xfrm>
                              <a:prstGeom prst="straightConnector1">
                                <a:avLst/>
                              </a:prstGeom>
                              <a:ln>
                                <a:solidFill>
                                  <a:srgbClr val="00B0F0"/>
                                </a:solidFill>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68.5pt;margin-top:116.8pt;height:30pt;width:237.75pt;z-index:251663360;mso-width-relative:page;mso-height-relative:page;" filled="f" stroked="t" coordsize="21600,21600" o:gfxdata="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Kw9xpdcA&#10;AAALAQAADwAAAAAAAAABACAAAAAiAAAAZHJzL2Rvd25yZXYueG1sUEsBAhQAFAAAAAgAh07iQA0/&#10;dKMgAgAA5QMAAA4AAAAAAAAAAQAgAAAAJgEAAGRycy9lMm9Eb2MueG1sUEsFBgAAAAAGAAYAWQEA&#10;ALgFAAAAAA==&#10;">
                      <v:fill on="f" focussize="0,0"/>
                      <v:stroke weight="1pt" color="#00B0F0 [3204]" miterlimit="8" joinstyle="miter"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3432175</wp:posOffset>
                      </wp:positionH>
                      <wp:positionV relativeFrom="paragraph">
                        <wp:posOffset>2436495</wp:posOffset>
                      </wp:positionV>
                      <wp:extent cx="1000125" cy="323850"/>
                      <wp:effectExtent l="6350" t="530225" r="22225" b="22225"/>
                      <wp:wrapNone/>
                      <wp:docPr id="53" name="矩形标注 53"/>
                      <wp:cNvGraphicFramePr/>
                      <a:graphic xmlns:a="http://schemas.openxmlformats.org/drawingml/2006/main">
                        <a:graphicData uri="http://schemas.microsoft.com/office/word/2010/wordprocessingShape">
                          <wps:wsp>
                            <wps:cNvSpPr/>
                            <wps:spPr>
                              <a:xfrm>
                                <a:off x="3507740" y="7564755"/>
                                <a:ext cx="1000125" cy="323850"/>
                              </a:xfrm>
                              <a:prstGeom prst="wedgeRectCallout">
                                <a:avLst>
                                  <a:gd name="adj1" fmla="val 2952"/>
                                  <a:gd name="adj2" fmla="val -205098"/>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70.25pt;margin-top:191.85pt;height:25.5pt;width:78.75pt;z-index:251664384;v-text-anchor:middle;mso-width-relative:page;mso-height-relative:page;" fillcolor="#FFFFFF [3212]" filled="t" stroked="t" coordsize="21600,21600" o:gfxdata="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WrShzNsAAAALAQAADwAAAAAAAAABACAAAAAiAAAAZHJzL2Rvd25yZXYueG1s&#10;UEsBAhQAFAAAAAgAh07iQPui/m+gAgAAIwUAAA4AAAAAAAAAAQAgAAAAKgEAAGRycy9lMm9Eb2Mu&#10;eG1sUEsFBgAAAAAGAAYAWQEAADwGAAAAAA==&#10;" adj="11438,-33501">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3870325</wp:posOffset>
                      </wp:positionH>
                      <wp:positionV relativeFrom="paragraph">
                        <wp:posOffset>1836420</wp:posOffset>
                      </wp:positionV>
                      <wp:extent cx="123825" cy="123825"/>
                      <wp:effectExtent l="6350" t="6350" r="22225" b="22225"/>
                      <wp:wrapNone/>
                      <wp:docPr id="50" name="矩形 50"/>
                      <wp:cNvGraphicFramePr/>
                      <a:graphic xmlns:a="http://schemas.openxmlformats.org/drawingml/2006/main">
                        <a:graphicData uri="http://schemas.microsoft.com/office/word/2010/wordprocessingShape">
                          <wps:wsp>
                            <wps:cNvSpPr/>
                            <wps:spPr>
                              <a:xfrm>
                                <a:off x="4298315" y="7031355"/>
                                <a:ext cx="123825" cy="123825"/>
                              </a:xfrm>
                              <a:prstGeom prst="rect">
                                <a:avLst/>
                              </a:prstGeom>
                              <a:solidFill>
                                <a:srgbClr val="FF0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4.75pt;margin-top:144.6pt;height:9.75pt;width:9.75pt;z-index:251662336;v-text-anchor:middle;mso-width-relative:page;mso-height-relative:page;" fillcolor="#FF0000" filled="t" stroked="t" coordsize="21600,21600" o:gfxdata="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CP67nQ2gAAAAsBAAAPAAAAAAAAAAEAIAAAACIAAABkcnMvZG93&#10;bnJldi54bWxQSwECFAAUAAAACACHTuJAckXUgHACAADVBAAADgAAAAAAAAABACAAAAApAQAAZHJz&#10;L2Uyb0RvYy54bWxQSwUGAAAAAAYABgBZAQAACwYAAAAA&#10;">
                      <v:fill on="t" focussize="0,0"/>
                      <v:stroke weight="1pt" color="#2F5597 [2404]" miterlimit="8" joinstyle="miter"/>
                      <v:imagedata o:title=""/>
                      <o:lock v:ext="edit" aspectratio="f"/>
                    </v:rect>
                  </w:pict>
                </mc:Fallback>
              </mc:AlternateContent>
            </w:r>
            <w:r>
              <w:rPr>
                <w:rFonts w:hint="eastAsia" w:ascii="Times New Roman" w:hAnsi="Times New Roman" w:eastAsia="宋体" w:cs="宋体"/>
                <w:color w:val="000000" w:themeColor="text1"/>
                <w:kern w:val="0"/>
                <w:sz w:val="24"/>
                <w:lang w:eastAsia="zh-CN"/>
                <w14:textFill>
                  <w14:solidFill>
                    <w14:schemeClr w14:val="tx1"/>
                  </w14:solidFill>
                </w14:textFill>
              </w:rPr>
              <w:drawing>
                <wp:anchor distT="0" distB="0" distL="114300" distR="114300" simplePos="0" relativeHeight="251665408" behindDoc="0" locked="0" layoutInCell="1" allowOverlap="1">
                  <wp:simplePos x="0" y="0"/>
                  <wp:positionH relativeFrom="column">
                    <wp:posOffset>38100</wp:posOffset>
                  </wp:positionH>
                  <wp:positionV relativeFrom="paragraph">
                    <wp:posOffset>92075</wp:posOffset>
                  </wp:positionV>
                  <wp:extent cx="5400040" cy="3222625"/>
                  <wp:effectExtent l="0" t="0" r="10160" b="15875"/>
                  <wp:wrapSquare wrapText="bothSides"/>
                  <wp:docPr id="15" name="图片 15" descr="4afa42d78d436e057341f11d7174a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4afa42d78d436e057341f11d7174ad8"/>
                          <pic:cNvPicPr>
                            <a:picLocks noChangeAspect="1"/>
                          </pic:cNvPicPr>
                        </pic:nvPicPr>
                        <pic:blipFill>
                          <a:blip r:embed="rId11"/>
                          <a:stretch>
                            <a:fillRect/>
                          </a:stretch>
                        </pic:blipFill>
                        <pic:spPr>
                          <a:xfrm>
                            <a:off x="0" y="0"/>
                            <a:ext cx="5400040" cy="3222625"/>
                          </a:xfrm>
                          <a:prstGeom prst="rect">
                            <a:avLst/>
                          </a:prstGeom>
                        </pic:spPr>
                      </pic:pic>
                    </a:graphicData>
                  </a:graphic>
                </wp:anchor>
              </w:drawing>
            </w:r>
            <w:r>
              <w:rPr>
                <w:rFonts w:hint="eastAsia" w:ascii="Times New Roman" w:hAnsi="Times New Roman" w:eastAsia="宋体" w:cs="Times New Roman"/>
                <w:b/>
                <w:bCs/>
                <w:color w:val="000000" w:themeColor="text1"/>
                <w:sz w:val="24"/>
                <w14:textFill>
                  <w14:solidFill>
                    <w14:schemeClr w14:val="tx1"/>
                  </w14:solidFill>
                </w14:textFill>
              </w:rPr>
              <w:t>图</w:t>
            </w:r>
            <w:r>
              <w:rPr>
                <w:rFonts w:hint="eastAsia" w:ascii="Times New Roman" w:hAnsi="Times New Roman" w:eastAsia="宋体" w:cs="Times New Roman"/>
                <w:b/>
                <w:bCs/>
                <w:color w:val="000000" w:themeColor="text1"/>
                <w:sz w:val="24"/>
                <w14:textFill>
                  <w14:solidFill>
                    <w14:schemeClr w14:val="tx1"/>
                  </w14:solidFill>
                </w14:textFill>
              </w:rPr>
              <w:fldChar w:fldCharType="begin" w:fldLock="1"/>
            </w:r>
            <w:r>
              <w:rPr>
                <w:rFonts w:hint="eastAsia" w:ascii="Times New Roman" w:hAnsi="Times New Roman" w:eastAsia="宋体" w:cs="Times New Roman"/>
                <w:b/>
                <w:bCs/>
                <w:color w:val="000000" w:themeColor="text1"/>
                <w:sz w:val="24"/>
                <w14:textFill>
                  <w14:solidFill>
                    <w14:schemeClr w14:val="tx1"/>
                  </w14:solidFill>
                </w14:textFill>
              </w:rPr>
              <w:instrText xml:space="preserve"> seq “t” \n </w:instrText>
            </w:r>
            <w:r>
              <w:rPr>
                <w:rFonts w:hint="eastAsia" w:ascii="Times New Roman" w:hAnsi="Times New Roman" w:eastAsia="宋体" w:cs="Times New Roman"/>
                <w:b/>
                <w:bCs/>
                <w:color w:val="000000" w:themeColor="text1"/>
                <w:sz w:val="24"/>
                <w14:textFill>
                  <w14:solidFill>
                    <w14:schemeClr w14:val="tx1"/>
                  </w14:solidFill>
                </w14:textFill>
              </w:rPr>
              <w:fldChar w:fldCharType="separate"/>
            </w:r>
            <w:r>
              <w:rPr>
                <w:rFonts w:hint="eastAsia" w:ascii="Times New Roman" w:hAnsi="Times New Roman" w:eastAsia="宋体" w:cs="Times New Roman"/>
                <w:b/>
                <w:bCs/>
                <w:color w:val="000000" w:themeColor="text1"/>
                <w:sz w:val="24"/>
                <w14:textFill>
                  <w14:solidFill>
                    <w14:schemeClr w14:val="tx1"/>
                  </w14:solidFill>
                </w14:textFill>
              </w:rPr>
              <w:t>1</w:t>
            </w:r>
            <w:r>
              <w:rPr>
                <w:rFonts w:hint="eastAsia" w:ascii="Times New Roman" w:hAnsi="Times New Roman" w:eastAsia="宋体" w:cs="Times New Roman"/>
                <w:b/>
                <w:bCs/>
                <w:color w:val="000000" w:themeColor="text1"/>
                <w:sz w:val="24"/>
                <w14:textFill>
                  <w14:solidFill>
                    <w14:schemeClr w14:val="tx1"/>
                  </w14:solidFill>
                </w14:textFill>
              </w:rPr>
              <w:fldChar w:fldCharType="end"/>
            </w:r>
            <w:r>
              <w:rPr>
                <w:rFonts w:hint="eastAsia" w:ascii="Times New Roman" w:hAnsi="Times New Roman" w:eastAsia="宋体" w:cs="Times New Roman"/>
                <w:b/>
                <w:bCs/>
                <w:color w:val="000000" w:themeColor="text1"/>
                <w:sz w:val="24"/>
                <w:lang w:val="en-US" w:eastAsia="zh-CN"/>
                <w14:textFill>
                  <w14:solidFill>
                    <w14:schemeClr w14:val="tx1"/>
                  </w14:solidFill>
                </w14:textFill>
              </w:rPr>
              <w:t>-1</w:t>
            </w:r>
            <w:r>
              <w:rPr>
                <w:rFonts w:hint="eastAsia" w:ascii="Times New Roman" w:hAnsi="Times New Roman" w:eastAsia="宋体" w:cs="Times New Roman"/>
                <w:b/>
                <w:bCs/>
                <w:color w:val="000000" w:themeColor="text1"/>
                <w:sz w:val="24"/>
                <w14:textFill>
                  <w14:solidFill>
                    <w14:schemeClr w14:val="tx1"/>
                  </w14:solidFill>
                </w14:textFill>
              </w:rPr>
              <w:t xml:space="preserve">    </w:t>
            </w:r>
            <w:r>
              <w:rPr>
                <w:rFonts w:hint="eastAsia" w:ascii="Times New Roman" w:hAnsi="Times New Roman" w:eastAsia="宋体" w:cs="Times New Roman"/>
                <w:b/>
                <w:bCs/>
                <w:color w:val="000000" w:themeColor="text1"/>
                <w:sz w:val="24"/>
                <w:lang w:val="en-US" w:eastAsia="zh-CN"/>
                <w14:textFill>
                  <w14:solidFill>
                    <w14:schemeClr w14:val="tx1"/>
                  </w14:solidFill>
                </w14:textFill>
              </w:rPr>
              <w:t>本项目与</w:t>
            </w:r>
            <w:r>
              <w:rPr>
                <w:rFonts w:hint="eastAsia" w:ascii="Times New Roman" w:hAnsi="Times New Roman" w:eastAsia="宋体" w:cs="Times New Roman"/>
                <w:b/>
                <w:bCs/>
                <w:color w:val="000000" w:themeColor="text1"/>
                <w:sz w:val="24"/>
                <w14:textFill>
                  <w14:solidFill>
                    <w14:schemeClr w14:val="tx1"/>
                  </w14:solidFill>
                </w14:textFill>
              </w:rPr>
              <w:t>生态保护红线位置关系图</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②环境质量底线</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根据石家庄市生态环境局发布的《202</w:t>
            </w:r>
            <w:r>
              <w:rPr>
                <w:rFonts w:hint="eastAsia" w:ascii="Times New Roman" w:hAnsi="Times New Roman" w:cs="Times New Roman"/>
                <w:color w:val="000000" w:themeColor="text1"/>
                <w:sz w:val="24"/>
                <w:lang w:val="en-US" w:eastAsia="zh-CN"/>
                <w14:textFill>
                  <w14:solidFill>
                    <w14:schemeClr w14:val="tx1"/>
                  </w14:solidFill>
                </w14:textFill>
              </w:rPr>
              <w:t>3</w:t>
            </w:r>
            <w:r>
              <w:rPr>
                <w:rFonts w:hint="eastAsia" w:ascii="Times New Roman" w:hAnsi="Times New Roman" w:cs="Times New Roman"/>
                <w:color w:val="000000" w:themeColor="text1"/>
                <w:sz w:val="24"/>
                <w:lang w:eastAsia="zh-CN"/>
                <w14:textFill>
                  <w14:solidFill>
                    <w14:schemeClr w14:val="tx1"/>
                  </w14:solidFill>
                </w14:textFill>
              </w:rPr>
              <w:t>年石家庄市生态环境</w:t>
            </w:r>
            <w:r>
              <w:rPr>
                <w:rFonts w:hint="eastAsia" w:ascii="Times New Roman" w:hAnsi="Times New Roman" w:cs="Times New Roman"/>
                <w:color w:val="000000" w:themeColor="text1"/>
                <w:sz w:val="24"/>
                <w:lang w:val="en-US" w:eastAsia="zh-CN"/>
                <w14:textFill>
                  <w14:solidFill>
                    <w14:schemeClr w14:val="tx1"/>
                  </w14:solidFill>
                </w14:textFill>
              </w:rPr>
              <w:t>状况</w:t>
            </w:r>
            <w:r>
              <w:rPr>
                <w:rFonts w:hint="eastAsia" w:ascii="Times New Roman" w:hAnsi="Times New Roman" w:cs="Times New Roman"/>
                <w:color w:val="000000" w:themeColor="text1"/>
                <w:sz w:val="24"/>
                <w:lang w:eastAsia="zh-CN"/>
                <w14:textFill>
                  <w14:solidFill>
                    <w14:schemeClr w14:val="tx1"/>
                  </w14:solidFill>
                </w14:textFill>
              </w:rPr>
              <w:t>公报》，项目所在区域</w:t>
            </w:r>
            <w:r>
              <w:rPr>
                <w:rFonts w:hint="eastAsia" w:ascii="Times New Roman" w:hAnsi="Times New Roman" w:cs="Times New Roman"/>
                <w:color w:val="000000" w:themeColor="text1"/>
                <w:sz w:val="24"/>
                <w:highlight w:val="none"/>
                <w:lang w:eastAsia="zh-CN"/>
                <w14:textFill>
                  <w14:solidFill>
                    <w14:schemeClr w14:val="tx1"/>
                  </w14:solidFill>
                </w14:textFill>
              </w:rPr>
              <w:t>PM</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10</w:t>
            </w:r>
            <w:r>
              <w:rPr>
                <w:rFonts w:hint="eastAsia" w:ascii="Times New Roman" w:hAnsi="Times New Roman" w:cs="Times New Roman"/>
                <w:color w:val="000000" w:themeColor="text1"/>
                <w:sz w:val="24"/>
                <w:highlight w:val="none"/>
                <w:lang w:eastAsia="zh-CN"/>
                <w14:textFill>
                  <w14:solidFill>
                    <w14:schemeClr w14:val="tx1"/>
                  </w14:solidFill>
                </w14:textFill>
              </w:rPr>
              <w:t>、PM</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2.5</w:t>
            </w:r>
            <w:r>
              <w:rPr>
                <w:rFonts w:hint="eastAsia" w:ascii="Times New Roman" w:hAnsi="Times New Roman" w:cs="Times New Roman"/>
                <w:color w:val="000000" w:themeColor="text1"/>
                <w:sz w:val="24"/>
                <w:highlight w:val="none"/>
                <w:lang w:eastAsia="zh-CN"/>
                <w14:textFill>
                  <w14:solidFill>
                    <w14:schemeClr w14:val="tx1"/>
                  </w14:solidFill>
                </w14:textFill>
              </w:rPr>
              <w:t>、O</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3</w:t>
            </w:r>
            <w:r>
              <w:rPr>
                <w:rFonts w:hint="eastAsia" w:ascii="Times New Roman" w:hAnsi="Times New Roman" w:cs="Times New Roman"/>
                <w:color w:val="000000" w:themeColor="text1"/>
                <w:sz w:val="24"/>
                <w:highlight w:val="none"/>
                <w:lang w:eastAsia="zh-CN"/>
                <w14:textFill>
                  <w14:solidFill>
                    <w14:schemeClr w14:val="tx1"/>
                  </w14:solidFill>
                </w14:textFill>
              </w:rPr>
              <w:t>日最大8小时平均值</w:t>
            </w:r>
            <w:r>
              <w:rPr>
                <w:rFonts w:hint="eastAsia" w:ascii="Times New Roman" w:hAnsi="Times New Roman" w:cs="Times New Roman"/>
                <w:color w:val="000000" w:themeColor="text1"/>
                <w:sz w:val="24"/>
                <w:lang w:eastAsia="zh-CN"/>
                <w14:textFill>
                  <w14:solidFill>
                    <w14:schemeClr w14:val="tx1"/>
                  </w14:solidFill>
                </w14:textFill>
              </w:rPr>
              <w:t>不能满足《环境空气质量标准》（GB3095-2012）二级标准及2018年修改单要求，项目所在区域环境空气质量属于不达标区。地下水环</w:t>
            </w:r>
            <w:r>
              <w:rPr>
                <w:rFonts w:hint="default" w:ascii="Times New Roman" w:hAnsi="Times New Roman" w:cs="Times New Roman"/>
                <w:color w:val="000000" w:themeColor="text1"/>
                <w:sz w:val="24"/>
                <w:lang w:eastAsia="zh-CN"/>
                <w14:textFill>
                  <w14:solidFill>
                    <w14:schemeClr w14:val="tx1"/>
                  </w14:solidFill>
                </w14:textFill>
              </w:rPr>
              <w:t>境质量满足《地下水质量标准》（GB/T14848-2017）Ⅲ类标准。项目区域声环境质量满足《声环境质量标准》（GB3096-2008）</w:t>
            </w:r>
            <w:r>
              <w:rPr>
                <w:rFonts w:hint="eastAsia" w:cs="Times New Roman"/>
                <w:color w:val="000000" w:themeColor="text1"/>
                <w:sz w:val="24"/>
                <w:lang w:val="en-US" w:eastAsia="zh-CN"/>
                <w14:textFill>
                  <w14:solidFill>
                    <w14:schemeClr w14:val="tx1"/>
                  </w14:solidFill>
                </w14:textFill>
              </w:rPr>
              <w:t>2类</w:t>
            </w:r>
            <w:r>
              <w:rPr>
                <w:rFonts w:hint="default" w:ascii="Times New Roman" w:hAnsi="Times New Roman" w:cs="Times New Roman"/>
                <w:color w:val="000000" w:themeColor="text1"/>
                <w:sz w:val="24"/>
                <w:lang w:eastAsia="zh-CN"/>
                <w14:textFill>
                  <w14:solidFill>
                    <w14:schemeClr w14:val="tx1"/>
                  </w14:solidFill>
                </w14:textFill>
              </w:rPr>
              <w:t>标准。</w:t>
            </w:r>
            <w:r>
              <w:rPr>
                <w:rFonts w:hint="default" w:ascii="Times New Roman" w:hAnsi="Times New Roman" w:cs="Times New Roman"/>
                <w:color w:val="000000" w:themeColor="text1"/>
                <w:sz w:val="24"/>
                <w:highlight w:val="none"/>
                <w:lang w:eastAsia="zh-CN"/>
                <w14:textFill>
                  <w14:solidFill>
                    <w14:schemeClr w14:val="tx1"/>
                  </w14:solidFill>
                </w14:textFill>
              </w:rPr>
              <w:t>本项目</w:t>
            </w:r>
            <w:r>
              <w:rPr>
                <w:rFonts w:hint="eastAsia" w:ascii="Times New Roman" w:hAnsi="Times New Roman" w:cs="Times New Roman"/>
                <w:color w:val="000000" w:themeColor="text1"/>
                <w:sz w:val="24"/>
                <w:highlight w:val="none"/>
                <w:lang w:val="en-US" w:eastAsia="zh-CN"/>
                <w14:textFill>
                  <w14:solidFill>
                    <w14:schemeClr w14:val="tx1"/>
                  </w14:solidFill>
                </w14:textFill>
              </w:rPr>
              <w:t>废气经治理设施处理后均达标排放；本项目</w:t>
            </w:r>
            <w:r>
              <w:rPr>
                <w:rFonts w:hint="eastAsia" w:cs="Times New Roman"/>
                <w:color w:val="000000" w:themeColor="text1"/>
                <w:sz w:val="24"/>
                <w:highlight w:val="none"/>
                <w:lang w:val="en-US" w:eastAsia="zh-CN"/>
                <w14:textFill>
                  <w14:solidFill>
                    <w14:schemeClr w14:val="tx1"/>
                  </w14:solidFill>
                </w14:textFill>
              </w:rPr>
              <w:t>车辆清洗废水循环使用不外排</w:t>
            </w:r>
            <w:r>
              <w:rPr>
                <w:rFonts w:hint="eastAsia" w:ascii="Times New Roman" w:hAnsi="Times New Roman" w:cs="Times New Roman"/>
                <w:color w:val="000000" w:themeColor="text1"/>
                <w:sz w:val="24"/>
                <w:highlight w:val="none"/>
                <w:lang w:val="en-US" w:eastAsia="zh-CN"/>
                <w14:textFill>
                  <w14:solidFill>
                    <w14:schemeClr w14:val="tx1"/>
                  </w14:solidFill>
                </w14:textFill>
              </w:rPr>
              <w:t>，生活污水</w:t>
            </w:r>
            <w:r>
              <w:rPr>
                <w:rFonts w:hint="eastAsia" w:cs="Times New Roman"/>
                <w:color w:val="000000" w:themeColor="text1"/>
                <w:sz w:val="24"/>
                <w:highlight w:val="none"/>
                <w:lang w:val="en-US" w:eastAsia="zh-CN"/>
                <w14:textFill>
                  <w14:solidFill>
                    <w14:schemeClr w14:val="tx1"/>
                  </w14:solidFill>
                </w14:textFill>
              </w:rPr>
              <w:t>经厂区化粪池处理后定期清理</w:t>
            </w:r>
            <w:r>
              <w:rPr>
                <w:rFonts w:hint="eastAsia" w:ascii="Times New Roman" w:hAnsi="Times New Roman" w:cs="Times New Roman"/>
                <w:color w:val="000000" w:themeColor="text1"/>
                <w:sz w:val="24"/>
                <w:highlight w:val="none"/>
                <w:lang w:val="en-US" w:eastAsia="zh-CN"/>
                <w14:textFill>
                  <w14:solidFill>
                    <w14:schemeClr w14:val="tx1"/>
                  </w14:solidFill>
                </w14:textFill>
              </w:rPr>
              <w:t>；生产</w:t>
            </w:r>
            <w:r>
              <w:rPr>
                <w:rFonts w:hint="default" w:ascii="Times New Roman" w:hAnsi="Times New Roman" w:cs="Times New Roman"/>
                <w:color w:val="000000" w:themeColor="text1"/>
                <w:sz w:val="24"/>
                <w:highlight w:val="none"/>
                <w:lang w:eastAsia="zh-CN"/>
                <w14:textFill>
                  <w14:solidFill>
                    <w14:schemeClr w14:val="tx1"/>
                  </w14:solidFill>
                </w14:textFill>
              </w:rPr>
              <w:t>设备采取相应的噪声治理措施</w:t>
            </w:r>
            <w:r>
              <w:rPr>
                <w:rFonts w:hint="eastAsia" w:ascii="Times New Roman" w:hAnsi="Times New Roman" w:cs="Times New Roman"/>
                <w:color w:val="000000" w:themeColor="text1"/>
                <w:sz w:val="24"/>
                <w:highlight w:val="none"/>
                <w:lang w:eastAsia="zh-CN"/>
                <w14:textFill>
                  <w14:solidFill>
                    <w14:schemeClr w14:val="tx1"/>
                  </w14:solidFill>
                </w14:textFill>
              </w:rPr>
              <w:t>后对周围环境影响较小；</w:t>
            </w:r>
            <w:r>
              <w:rPr>
                <w:rFonts w:hint="eastAsia" w:ascii="Times New Roman" w:hAnsi="Times New Roman" w:cs="Times New Roman"/>
                <w:color w:val="000000" w:themeColor="text1"/>
                <w:sz w:val="24"/>
                <w:highlight w:val="none"/>
                <w:lang w:val="en-US" w:eastAsia="zh-CN"/>
                <w14:textFill>
                  <w14:solidFill>
                    <w14:schemeClr w14:val="tx1"/>
                  </w14:solidFill>
                </w14:textFill>
              </w:rPr>
              <w:t>产生的固废均合理处理、处置</w:t>
            </w:r>
            <w:r>
              <w:rPr>
                <w:rFonts w:hint="eastAsia" w:ascii="Times New Roman" w:hAnsi="Times New Roman" w:cs="Times New Roman"/>
                <w:color w:val="000000" w:themeColor="text1"/>
                <w:sz w:val="24"/>
                <w:lang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③资源利用上线</w:t>
            </w:r>
          </w:p>
          <w:p>
            <w:pPr>
              <w:spacing w:line="480" w:lineRule="exact"/>
              <w:ind w:firstLine="480" w:firstLineChars="200"/>
              <w:rPr>
                <w:rFonts w:ascii="Times New Roman" w:hAnsi="Times New Roman"/>
                <w:color w:val="000000" w:themeColor="text1"/>
                <w:sz w:val="24"/>
                <w:szCs w:val="32"/>
                <w14:textFill>
                  <w14:solidFill>
                    <w14:schemeClr w14:val="tx1"/>
                  </w14:solidFill>
                </w14:textFill>
              </w:rPr>
            </w:pPr>
            <w:r>
              <w:rPr>
                <w:rFonts w:ascii="Times New Roman" w:hAnsi="Times New Roman"/>
                <w:color w:val="000000" w:themeColor="text1"/>
                <w:sz w:val="24"/>
                <w:szCs w:val="32"/>
                <w14:textFill>
                  <w14:solidFill>
                    <w14:schemeClr w14:val="tx1"/>
                  </w14:solidFill>
                </w14:textFill>
              </w:rPr>
              <w:t>本项目天然气</w:t>
            </w:r>
            <w:r>
              <w:rPr>
                <w:rFonts w:hint="eastAsia"/>
                <w:color w:val="000000" w:themeColor="text1"/>
                <w:sz w:val="24"/>
                <w:szCs w:val="32"/>
                <w:lang w:val="en-US" w:eastAsia="zh-CN"/>
                <w14:textFill>
                  <w14:solidFill>
                    <w14:schemeClr w14:val="tx1"/>
                  </w14:solidFill>
                </w14:textFill>
              </w:rPr>
              <w:t>使用量较小，由供气管网提供</w:t>
            </w:r>
            <w:r>
              <w:rPr>
                <w:rFonts w:ascii="Times New Roman" w:hAnsi="Times New Roman"/>
                <w:color w:val="000000" w:themeColor="text1"/>
                <w:sz w:val="24"/>
                <w:szCs w:val="32"/>
                <w14:textFill>
                  <w14:solidFill>
                    <w14:schemeClr w14:val="tx1"/>
                  </w14:solidFill>
                </w14:textFill>
              </w:rPr>
              <w:t>；本项目新增用水量</w:t>
            </w:r>
            <w:r>
              <w:rPr>
                <w:rFonts w:hint="eastAsia"/>
                <w:color w:val="000000" w:themeColor="text1"/>
                <w:sz w:val="24"/>
                <w:szCs w:val="32"/>
                <w:lang w:val="en-US" w:eastAsia="zh-CN"/>
                <w14:textFill>
                  <w14:solidFill>
                    <w14:schemeClr w14:val="tx1"/>
                  </w14:solidFill>
                </w14:textFill>
              </w:rPr>
              <w:t>较小，主要为职工生活用水、车辆清洗用水及抑尘用水</w:t>
            </w:r>
            <w:r>
              <w:rPr>
                <w:rFonts w:ascii="Times New Roman" w:hAnsi="Times New Roman"/>
                <w:color w:val="000000" w:themeColor="text1"/>
                <w:sz w:val="24"/>
                <w:szCs w:val="32"/>
                <w14:textFill>
                  <w14:solidFill>
                    <w14:schemeClr w14:val="tx1"/>
                  </w14:solidFill>
                </w14:textFill>
              </w:rPr>
              <w:t>，用水由</w:t>
            </w:r>
            <w:r>
              <w:rPr>
                <w:rFonts w:hint="eastAsia"/>
                <w:color w:val="000000" w:themeColor="text1"/>
                <w:sz w:val="24"/>
                <w:szCs w:val="32"/>
                <w:lang w:val="en-US" w:eastAsia="zh-CN"/>
                <w14:textFill>
                  <w14:solidFill>
                    <w14:schemeClr w14:val="tx1"/>
                  </w14:solidFill>
                </w14:textFill>
              </w:rPr>
              <w:t>市政</w:t>
            </w:r>
            <w:r>
              <w:rPr>
                <w:rFonts w:ascii="Times New Roman" w:hAnsi="Times New Roman"/>
                <w:color w:val="000000" w:themeColor="text1"/>
                <w:sz w:val="24"/>
                <w:szCs w:val="32"/>
                <w14:textFill>
                  <w14:solidFill>
                    <w14:schemeClr w14:val="tx1"/>
                  </w14:solidFill>
                </w14:textFill>
              </w:rPr>
              <w:t>供水管网提供；项目在现有厂房内进行建设，不涉及新增占地。本项目建设满足资源利用上线要求。</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ascii="Times New Roman" w:hAnsi="Times New Roman"/>
                <w:color w:val="000000" w:themeColor="text1"/>
                <w:sz w:val="24"/>
                <w:szCs w:val="32"/>
                <w14:textFill>
                  <w14:solidFill>
                    <w14:schemeClr w14:val="tx1"/>
                  </w14:solidFill>
                </w14:textFill>
              </w:rPr>
              <w:t>本项目通过加强节能管理、使用节能设备，可降低资源、能源消耗，因此本项目的建设符合资源利用上线要求</w:t>
            </w:r>
            <w:r>
              <w:rPr>
                <w:rFonts w:hint="eastAsia" w:ascii="Times New Roman" w:hAnsi="Times New Roman" w:cs="Times New Roman"/>
                <w:color w:val="000000" w:themeColor="text1"/>
                <w:sz w:val="24"/>
                <w:lang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④</w:t>
            </w:r>
            <w:r>
              <w:rPr>
                <w:rFonts w:hint="eastAsia" w:cs="Times New Roman"/>
                <w:color w:val="000000" w:themeColor="text1"/>
                <w:sz w:val="24"/>
                <w:lang w:val="en-US" w:eastAsia="zh-CN"/>
                <w14:textFill>
                  <w14:solidFill>
                    <w14:schemeClr w14:val="tx1"/>
                  </w14:solidFill>
                </w14:textFill>
              </w:rPr>
              <w:t>生态</w:t>
            </w:r>
            <w:r>
              <w:rPr>
                <w:rFonts w:hint="eastAsia" w:ascii="Times New Roman" w:hAnsi="Times New Roman" w:cs="Times New Roman"/>
                <w:color w:val="000000" w:themeColor="text1"/>
                <w:sz w:val="24"/>
                <w:lang w:eastAsia="zh-CN"/>
                <w14:textFill>
                  <w14:solidFill>
                    <w14:schemeClr w14:val="tx1"/>
                  </w14:solidFill>
                </w14:textFill>
              </w:rPr>
              <w:t>环境准入清单</w:t>
            </w:r>
          </w:p>
          <w:p>
            <w:pPr>
              <w:spacing w:line="480" w:lineRule="exact"/>
              <w:ind w:firstLine="480" w:firstLineChars="200"/>
              <w:rPr>
                <w:rFonts w:hint="eastAsia"/>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本项目与石家庄市环境管控单元位置关系图见下图</w:t>
            </w:r>
            <w:r>
              <w:rPr>
                <w:rFonts w:hint="eastAsia"/>
                <w:color w:val="000000" w:themeColor="text1"/>
                <w:sz w:val="24"/>
                <w14:textFill>
                  <w14:solidFill>
                    <w14:schemeClr w14:val="tx1"/>
                  </w14:solidFill>
                </w14:textFill>
              </w:rPr>
              <w:t>。</w:t>
            </w:r>
          </w:p>
          <w:p>
            <w:pPr>
              <w:pStyle w:val="15"/>
              <w:ind w:left="0" w:leftChars="0" w:firstLine="0" w:firstLineChars="0"/>
              <w:jc w:val="cente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2812415</wp:posOffset>
                      </wp:positionH>
                      <wp:positionV relativeFrom="paragraph">
                        <wp:posOffset>3215005</wp:posOffset>
                      </wp:positionV>
                      <wp:extent cx="774700" cy="266065"/>
                      <wp:effectExtent l="334645" t="5080" r="14605" b="14605"/>
                      <wp:wrapNone/>
                      <wp:docPr id="204" name="AutoShape 531"/>
                      <wp:cNvGraphicFramePr/>
                      <a:graphic xmlns:a="http://schemas.openxmlformats.org/drawingml/2006/main">
                        <a:graphicData uri="http://schemas.microsoft.com/office/word/2010/wordprocessingShape">
                          <wps:wsp>
                            <wps:cNvSpPr>
                              <a:spLocks noChangeArrowheads="1"/>
                            </wps:cNvSpPr>
                            <wps:spPr bwMode="auto">
                              <a:xfrm>
                                <a:off x="3981755" y="5522976"/>
                                <a:ext cx="774700" cy="266065"/>
                              </a:xfrm>
                              <a:prstGeom prst="wedgeRectCallout">
                                <a:avLst>
                                  <a:gd name="adj1" fmla="val -88360"/>
                                  <a:gd name="adj2" fmla="val -41169"/>
                                </a:avLst>
                              </a:prstGeom>
                              <a:solidFill>
                                <a:srgbClr val="FFFFFF"/>
                              </a:solidFill>
                              <a:ln w="9525">
                                <a:solidFill>
                                  <a:srgbClr val="000000"/>
                                </a:solidFill>
                                <a:miter lim="800000"/>
                              </a:ln>
                            </wps:spPr>
                            <wps:txbx>
                              <w:txbxContent>
                                <w:p>
                                  <w:pPr>
                                    <w:jc w:val="center"/>
                                    <w:rPr>
                                      <w:sz w:val="21"/>
                                      <w:szCs w:val="24"/>
                                    </w:rPr>
                                  </w:pPr>
                                  <w:r>
                                    <w:rPr>
                                      <w:rFonts w:hint="eastAsia"/>
                                      <w:sz w:val="21"/>
                                      <w:szCs w:val="24"/>
                                    </w:rPr>
                                    <w:t>本项目</w:t>
                                  </w:r>
                                </w:p>
                              </w:txbxContent>
                            </wps:txbx>
                            <wps:bodyPr rot="0" vert="horz" wrap="square" lIns="91440" tIns="45720" rIns="91440" bIns="45720" anchor="t" anchorCtr="0" upright="1">
                              <a:noAutofit/>
                            </wps:bodyPr>
                          </wps:wsp>
                        </a:graphicData>
                      </a:graphic>
                    </wp:anchor>
                  </w:drawing>
                </mc:Choice>
                <mc:Fallback>
                  <w:pict>
                    <v:shape id="AutoShape 531" o:spid="_x0000_s1026" o:spt="61" type="#_x0000_t61" style="position:absolute;left:0pt;margin-left:221.45pt;margin-top:253.15pt;height:20.95pt;width:61pt;z-index:251660288;mso-width-relative:page;mso-height-relative:page;" fillcolor="#FFFFFF" filled="t" stroked="t" coordsize="21600,21600" o:gfxdata="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J1Fnw/aAAAACwEAAA8AAAAA&#10;AAAAAQAgAAAAIgAAAGRycy9kb3ducmV2LnhtbFBLAQIUABQAAAAIAIdO4kCi8TJ3SwIAAJ0EAAAO&#10;AAAAAAAAAAEAIAAAACkBAABkcnMvZTJvRG9jLnhtbFBLBQYAAAAABgAGAFkBAADmBQAAAAA=&#10;" adj="-8286,1907">
                      <v:fill on="t" focussize="0,0"/>
                      <v:stroke color="#000000" miterlimit="8" joinstyle="miter"/>
                      <v:imagedata o:title=""/>
                      <o:lock v:ext="edit" aspectratio="f"/>
                      <v:textbox>
                        <w:txbxContent>
                          <w:p>
                            <w:pPr>
                              <w:jc w:val="center"/>
                              <w:rPr>
                                <w:sz w:val="21"/>
                                <w:szCs w:val="24"/>
                              </w:rPr>
                            </w:pPr>
                            <w:r>
                              <w:rPr>
                                <w:rFonts w:hint="eastAsia"/>
                                <w:sz w:val="21"/>
                                <w:szCs w:val="24"/>
                              </w:rPr>
                              <w:t>本项目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2401570</wp:posOffset>
                      </wp:positionH>
                      <wp:positionV relativeFrom="paragraph">
                        <wp:posOffset>3181985</wp:posOffset>
                      </wp:positionV>
                      <wp:extent cx="85725" cy="76200"/>
                      <wp:effectExtent l="6350" t="6350" r="22225" b="12700"/>
                      <wp:wrapNone/>
                      <wp:docPr id="44" name="矩形 44"/>
                      <wp:cNvGraphicFramePr/>
                      <a:graphic xmlns:a="http://schemas.openxmlformats.org/drawingml/2006/main">
                        <a:graphicData uri="http://schemas.microsoft.com/office/word/2010/wordprocessingShape">
                          <wps:wsp>
                            <wps:cNvSpPr/>
                            <wps:spPr>
                              <a:xfrm>
                                <a:off x="3896360" y="5808345"/>
                                <a:ext cx="85725" cy="76200"/>
                              </a:xfrm>
                              <a:prstGeom prst="rect">
                                <a:avLst/>
                              </a:prstGeom>
                              <a:solidFill>
                                <a:schemeClr val="tx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89.1pt;margin-top:250.55pt;height:6pt;width:6.75pt;z-index:251661312;v-text-anchor:middle;mso-width-relative:page;mso-height-relative:page;" fillcolor="#000000 [3213]" filled="t" stroked="t" coordsize="21600,21600" o:gfxdata="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BdNu&#10;L9sAAAALAQAADwAAAAAAAAABACAAAAAiAAAAZHJzL2Rvd25yZXYueG1sUEsBAhQAFAAAAAgAh07i&#10;QMlR7oxYAgAAsQQAAA4AAAAAAAAAAQAgAAAAKgEAAGRycy9lMm9Eb2MueG1sUEsFBgAAAAAGAAYA&#10;WQEAAPQFAAAAAA==&#10;">
                      <v:fill on="t" focussize="0,0"/>
                      <v:stroke weight="1pt" color="#000000 [3213]" miterlimit="8" joinstyle="miter"/>
                      <v:imagedata o:title=""/>
                      <o:lock v:ext="edit" aspectratio="f"/>
                    </v:rect>
                  </w:pict>
                </mc:Fallback>
              </mc:AlternateContent>
            </w:r>
            <w:r>
              <w:rPr>
                <w:color w:val="000000" w:themeColor="text1"/>
                <w14:textFill>
                  <w14:solidFill>
                    <w14:schemeClr w14:val="tx1"/>
                  </w14:solidFill>
                </w14:textFill>
              </w:rPr>
              <w:drawing>
                <wp:inline distT="0" distB="0" distL="114300" distR="114300">
                  <wp:extent cx="5400040" cy="3836035"/>
                  <wp:effectExtent l="0" t="0" r="10160" b="12065"/>
                  <wp:docPr id="3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2"/>
                          <pic:cNvPicPr>
                            <a:picLocks noChangeAspect="1"/>
                          </pic:cNvPicPr>
                        </pic:nvPicPr>
                        <pic:blipFill>
                          <a:blip r:embed="rId12"/>
                          <a:stretch>
                            <a:fillRect/>
                          </a:stretch>
                        </pic:blipFill>
                        <pic:spPr>
                          <a:xfrm>
                            <a:off x="0" y="0"/>
                            <a:ext cx="5400040" cy="3836035"/>
                          </a:xfrm>
                          <a:prstGeom prst="rect">
                            <a:avLst/>
                          </a:prstGeom>
                          <a:noFill/>
                          <a:ln>
                            <a:noFill/>
                          </a:ln>
                        </pic:spPr>
                      </pic:pic>
                    </a:graphicData>
                  </a:graphic>
                </wp:inline>
              </w:drawing>
            </w:r>
          </w:p>
          <w:p>
            <w:pPr>
              <w:spacing w:line="480" w:lineRule="exact"/>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1-2</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石家庄</w:t>
            </w:r>
            <w:r>
              <w:rPr>
                <w:rFonts w:hint="eastAsia"/>
                <w:b/>
                <w:bCs/>
                <w:color w:val="000000" w:themeColor="text1"/>
                <w:sz w:val="24"/>
                <w14:textFill>
                  <w14:solidFill>
                    <w14:schemeClr w14:val="tx1"/>
                  </w14:solidFill>
                </w14:textFill>
              </w:rPr>
              <w:t>市环境管控单元位置关系图</w:t>
            </w:r>
          </w:p>
          <w:p>
            <w:pPr>
              <w:pStyle w:val="15"/>
              <w:ind w:firstLine="480" w:firstLineChars="200"/>
              <w:rPr>
                <w:rFonts w:hint="eastAsia"/>
                <w:color w:val="000000" w:themeColor="text1"/>
                <w:highlight w:val="none"/>
                <w14:textFill>
                  <w14:solidFill>
                    <w14:schemeClr w14:val="tx1"/>
                  </w14:solidFill>
                </w14:textFill>
              </w:rPr>
            </w:pPr>
            <w:r>
              <w:rPr>
                <w:rFonts w:hint="eastAsia"/>
                <w:b w:val="0"/>
                <w:bCs w:val="0"/>
                <w:color w:val="000000" w:themeColor="text1"/>
                <w:highlight w:val="none"/>
                <w14:textFill>
                  <w14:solidFill>
                    <w14:schemeClr w14:val="tx1"/>
                  </w14:solidFill>
                </w14:textFill>
              </w:rPr>
              <w:t>根据</w:t>
            </w:r>
            <w:r>
              <w:rPr>
                <w:rFonts w:hint="eastAsia"/>
                <w:b w:val="0"/>
                <w:bCs w:val="0"/>
                <w:color w:val="000000" w:themeColor="text1"/>
                <w:highlight w:val="none"/>
                <w:lang w:val="en-US" w:eastAsia="zh-CN"/>
                <w14:textFill>
                  <w14:solidFill>
                    <w14:schemeClr w14:val="tx1"/>
                  </w14:solidFill>
                </w14:textFill>
              </w:rPr>
              <w:t>石家庄</w:t>
            </w:r>
            <w:r>
              <w:rPr>
                <w:rFonts w:hint="eastAsia"/>
                <w:b w:val="0"/>
                <w:bCs w:val="0"/>
                <w:color w:val="000000" w:themeColor="text1"/>
                <w:highlight w:val="none"/>
                <w14:textFill>
                  <w14:solidFill>
                    <w14:schemeClr w14:val="tx1"/>
                  </w14:solidFill>
                </w14:textFill>
              </w:rPr>
              <w:t>市环境管控单元图，本项目位于</w:t>
            </w:r>
            <w:r>
              <w:rPr>
                <w:rFonts w:hint="eastAsia"/>
                <w:b w:val="0"/>
                <w:bCs w:val="0"/>
                <w:color w:val="000000" w:themeColor="text1"/>
                <w:highlight w:val="none"/>
                <w:lang w:val="en-US" w:eastAsia="zh-CN"/>
                <w14:textFill>
                  <w14:solidFill>
                    <w14:schemeClr w14:val="tx1"/>
                  </w14:solidFill>
                </w14:textFill>
              </w:rPr>
              <w:t>重点管控</w:t>
            </w:r>
            <w:r>
              <w:rPr>
                <w:rFonts w:hint="eastAsia"/>
                <w:b w:val="0"/>
                <w:bCs w:val="0"/>
                <w:color w:val="000000" w:themeColor="text1"/>
                <w:highlight w:val="none"/>
                <w14:textFill>
                  <w14:solidFill>
                    <w14:schemeClr w14:val="tx1"/>
                  </w14:solidFill>
                </w14:textFill>
              </w:rPr>
              <w:t>单元，</w:t>
            </w:r>
            <w:r>
              <w:rPr>
                <w:rFonts w:hint="eastAsia"/>
                <w:color w:val="000000" w:themeColor="text1"/>
                <w:highlight w:val="none"/>
                <w:lang w:val="en-US" w:eastAsia="zh-CN"/>
                <w14:textFill>
                  <w14:solidFill>
                    <w14:schemeClr w14:val="tx1"/>
                  </w14:solidFill>
                </w14:textFill>
              </w:rPr>
              <w:t>本项目</w:t>
            </w:r>
            <w:r>
              <w:rPr>
                <w:rFonts w:hint="eastAsia"/>
                <w:color w:val="000000" w:themeColor="text1"/>
                <w:highlight w:val="none"/>
                <w14:textFill>
                  <w14:solidFill>
                    <w14:schemeClr w14:val="tx1"/>
                  </w14:solidFill>
                </w14:textFill>
              </w:rPr>
              <w:t>与</w:t>
            </w:r>
            <w:r>
              <w:rPr>
                <w:rFonts w:hint="eastAsia"/>
                <w:color w:val="000000" w:themeColor="text1"/>
                <w:kern w:val="0"/>
                <w:sz w:val="24"/>
                <w14:textFill>
                  <w14:solidFill>
                    <w14:schemeClr w14:val="tx1"/>
                  </w14:solidFill>
                </w14:textFill>
              </w:rPr>
              <w:t>《石家庄市“三线一单”生态环境准入清单》（2023年版）</w:t>
            </w:r>
            <w:r>
              <w:rPr>
                <w:rFonts w:hint="eastAsia"/>
                <w:color w:val="000000" w:themeColor="text1"/>
                <w:kern w:val="0"/>
                <w:sz w:val="24"/>
                <w:lang w:val="en-US" w:eastAsia="zh-CN"/>
                <w14:textFill>
                  <w14:solidFill>
                    <w14:schemeClr w14:val="tx1"/>
                  </w14:solidFill>
                </w14:textFill>
              </w:rPr>
              <w:t>生态环境准入总体要求</w:t>
            </w:r>
            <w:r>
              <w:rPr>
                <w:rFonts w:hint="eastAsia"/>
                <w:color w:val="000000" w:themeColor="text1"/>
                <w:highlight w:val="none"/>
                <w14:textFill>
                  <w14:solidFill>
                    <w14:schemeClr w14:val="tx1"/>
                  </w14:solidFill>
                </w14:textFill>
              </w:rPr>
              <w:t>对比详见下表。</w:t>
            </w:r>
          </w:p>
          <w:p>
            <w:pPr>
              <w:pStyle w:val="91"/>
              <w:numPr>
                <w:ilvl w:val="0"/>
                <w:numId w:val="6"/>
              </w:numPr>
              <w:spacing w:line="480" w:lineRule="exact"/>
              <w:ind w:left="0" w:firstLine="480"/>
              <w:outlineLvl w:val="3"/>
              <w:rPr>
                <w:rFonts w:hint="eastAsia" w:ascii="Times New Roman" w:cs="Times New Roman"/>
                <w:b/>
                <w:bCs w:val="0"/>
                <w:color w:val="000000" w:themeColor="text1"/>
                <w:highlight w:val="none"/>
                <w14:textFill>
                  <w14:solidFill>
                    <w14:schemeClr w14:val="tx1"/>
                  </w14:solidFill>
                </w14:textFill>
              </w:rPr>
            </w:pPr>
            <w:r>
              <w:rPr>
                <w:rFonts w:hint="eastAsia" w:ascii="Times New Roman" w:cs="Times New Roman"/>
                <w:b/>
                <w:bCs w:val="0"/>
                <w:color w:val="000000" w:themeColor="text1"/>
                <w:highlight w:val="none"/>
                <w14:textFill>
                  <w14:solidFill>
                    <w14:schemeClr w14:val="tx1"/>
                  </w14:solidFill>
                </w14:textFill>
              </w:rPr>
              <w:t>本项目与《石家庄市“三线一单”生态环境准入清单》（2023年版）的符合性分析</w:t>
            </w:r>
          </w:p>
          <w:tbl>
            <w:tblPr>
              <w:tblStyle w:val="43"/>
              <w:tblW w:w="8608"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5"/>
              <w:gridCol w:w="477"/>
              <w:gridCol w:w="7"/>
              <w:gridCol w:w="419"/>
              <w:gridCol w:w="472"/>
              <w:gridCol w:w="3512"/>
              <w:gridCol w:w="2191"/>
              <w:gridCol w:w="76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类别</w:t>
                  </w:r>
                </w:p>
              </w:tc>
              <w:tc>
                <w:tcPr>
                  <w:tcW w:w="477"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属性</w:t>
                  </w:r>
                </w:p>
              </w:tc>
              <w:tc>
                <w:tcPr>
                  <w:tcW w:w="898" w:type="dxa"/>
                  <w:gridSpan w:val="3"/>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管控</w:t>
                  </w:r>
                </w:p>
              </w:tc>
              <w:tc>
                <w:tcPr>
                  <w:tcW w:w="3512"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管控要求</w:t>
                  </w:r>
                </w:p>
              </w:tc>
              <w:tc>
                <w:tcPr>
                  <w:tcW w:w="2191"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符合性分析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全市生态环境准入综合管控要求</w:t>
                  </w:r>
                </w:p>
              </w:tc>
              <w:tc>
                <w:tcPr>
                  <w:tcW w:w="1375" w:type="dxa"/>
                  <w:gridSpan w:val="4"/>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全市域</w:t>
                  </w:r>
                </w:p>
              </w:tc>
              <w:tc>
                <w:tcPr>
                  <w:tcW w:w="3512" w:type="dxa"/>
                  <w:tcBorders>
                    <w:tl2br w:val="nil"/>
                    <w:tr2bl w:val="nil"/>
                  </w:tcBorders>
                </w:tcPr>
                <w:p>
                  <w:pPr>
                    <w:pStyle w:val="12"/>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1、</w:t>
                  </w:r>
                  <w:r>
                    <w:rPr>
                      <w:rFonts w:hint="eastAsia"/>
                      <w:color w:val="000000" w:themeColor="text1"/>
                      <w:sz w:val="21"/>
                      <w:szCs w:val="21"/>
                      <w14:textFill>
                        <w14:solidFill>
                          <w14:schemeClr w14:val="tx1"/>
                        </w14:solidFill>
                      </w14:textFill>
                    </w:rPr>
                    <w:t>优化产业结构。落实国家、省</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市产业政策，严格“两高”项目环评审批，落实区域削减要求，推进减污降碳协同控制</w:t>
                  </w:r>
                  <w:r>
                    <w:rPr>
                      <w:color w:val="000000" w:themeColor="text1"/>
                      <w:sz w:val="21"/>
                      <w:szCs w:val="21"/>
                      <w14:textFill>
                        <w14:solidFill>
                          <w14:schemeClr w14:val="tx1"/>
                        </w14:solidFill>
                      </w14:textFill>
                    </w:rPr>
                    <w:t>。</w:t>
                  </w:r>
                </w:p>
                <w:p>
                  <w:pPr>
                    <w:pStyle w:val="12"/>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2、强化产业入园。优化园区布局，提升园区规划、环评实效性，提升园区资源利用效率和绿色低碳水平，加强新建项目入园</w:t>
                  </w:r>
                  <w:r>
                    <w:rPr>
                      <w:rFonts w:hint="eastAsia"/>
                      <w:color w:val="000000" w:themeColor="text1"/>
                      <w:sz w:val="21"/>
                      <w:szCs w:val="21"/>
                      <w:lang w:eastAsia="zh-CN"/>
                      <w14:textFill>
                        <w14:solidFill>
                          <w14:schemeClr w14:val="tx1"/>
                        </w14:solidFill>
                      </w14:textFill>
                    </w:rPr>
                    <w:t>，</w:t>
                  </w:r>
                  <w:r>
                    <w:rPr>
                      <w:color w:val="000000" w:themeColor="text1"/>
                      <w:sz w:val="21"/>
                      <w:szCs w:val="21"/>
                      <w14:textFill>
                        <w14:solidFill>
                          <w14:schemeClr w14:val="tx1"/>
                        </w14:solidFill>
                      </w14:textFill>
                    </w:rPr>
                    <w:t>严格现有分散企业污染管控。</w:t>
                  </w:r>
                </w:p>
              </w:tc>
              <w:tc>
                <w:tcPr>
                  <w:tcW w:w="2191" w:type="dxa"/>
                  <w:tcBorders>
                    <w:tl2br w:val="nil"/>
                    <w:tr2bl w:val="nil"/>
                  </w:tcBorders>
                  <w:vAlign w:val="center"/>
                </w:tcPr>
                <w:p>
                  <w:pPr>
                    <w:pStyle w:val="12"/>
                    <w:spacing w:before="0" w:after="0" w:line="240" w:lineRule="auto"/>
                    <w:ind w:right="0"/>
                    <w:jc w:val="left"/>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本项目位于河北省石家庄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rFonts w:hint="eastAsia" w:cs="Times New Roman"/>
                      <w:color w:val="000000" w:themeColor="text1"/>
                      <w:sz w:val="21"/>
                      <w:szCs w:val="21"/>
                      <w:lang w:val="en-US" w:eastAsia="zh-CN"/>
                      <w14:textFill>
                        <w14:solidFill>
                          <w14:schemeClr w14:val="tx1"/>
                        </w14:solidFill>
                      </w14:textFill>
                    </w:rPr>
                    <w:t>现有厂房</w:t>
                  </w:r>
                  <w:r>
                    <w:rPr>
                      <w:rFonts w:hint="eastAsia" w:ascii="Times New Roman" w:hAnsi="Times New Roman" w:cs="Times New Roman"/>
                      <w:color w:val="000000" w:themeColor="text1"/>
                      <w:sz w:val="21"/>
                      <w:szCs w:val="21"/>
                      <w:lang w:val="en-US" w:eastAsia="zh-CN"/>
                      <w14:textFill>
                        <w14:solidFill>
                          <w14:schemeClr w14:val="tx1"/>
                        </w14:solidFill>
                      </w14:textFill>
                    </w:rPr>
                    <w:t>，</w:t>
                  </w:r>
                  <w:r>
                    <w:rPr>
                      <w:rFonts w:hint="eastAsia" w:cs="Times New Roman"/>
                      <w:color w:val="000000" w:themeColor="text1"/>
                      <w:sz w:val="21"/>
                      <w:szCs w:val="21"/>
                      <w:lang w:val="en-US" w:eastAsia="zh-CN"/>
                      <w14:textFill>
                        <w14:solidFill>
                          <w14:schemeClr w14:val="tx1"/>
                        </w14:solidFill>
                      </w14:textFill>
                    </w:rPr>
                    <w:t>占地性质为工业用地，</w:t>
                  </w:r>
                  <w:r>
                    <w:rPr>
                      <w:rFonts w:hint="eastAsia" w:ascii="Times New Roman" w:hAnsi="Times New Roman" w:cs="Times New Roman"/>
                      <w:color w:val="000000" w:themeColor="text1"/>
                      <w:sz w:val="21"/>
                      <w:szCs w:val="21"/>
                      <w:lang w:val="en-US" w:eastAsia="zh-CN"/>
                      <w14:textFill>
                        <w14:solidFill>
                          <w14:schemeClr w14:val="tx1"/>
                        </w14:solidFill>
                      </w14:textFill>
                    </w:rPr>
                    <w:t>为</w:t>
                  </w:r>
                  <w:r>
                    <w:rPr>
                      <w:rFonts w:hint="default" w:ascii="Times New Roman" w:hAnsi="Times New Roman" w:cs="Times New Roman"/>
                      <w:color w:val="000000" w:themeColor="text1"/>
                      <w:sz w:val="21"/>
                      <w:szCs w:val="21"/>
                      <w14:textFill>
                        <w14:solidFill>
                          <w14:schemeClr w14:val="tx1"/>
                        </w14:solidFill>
                      </w14:textFill>
                    </w:rPr>
                    <w:t>其他非金属矿物制品制造</w:t>
                  </w:r>
                  <w:r>
                    <w:rPr>
                      <w:rFonts w:hint="eastAsia" w:ascii="Times New Roman" w:hAnsi="Times New Roman" w:cs="Times New Roman"/>
                      <w:color w:val="000000" w:themeColor="text1"/>
                      <w:sz w:val="21"/>
                      <w:szCs w:val="21"/>
                      <w:lang w:eastAsia="zh-CN"/>
                      <w14:textFill>
                        <w14:solidFill>
                          <w14:schemeClr w14:val="tx1"/>
                        </w14:solidFill>
                      </w14:textFill>
                    </w:rPr>
                    <w:t>，</w:t>
                  </w:r>
                  <w:r>
                    <w:rPr>
                      <w:rFonts w:hint="eastAsia" w:ascii="Times New Roman" w:hAnsi="Times New Roman" w:cs="Times New Roman"/>
                      <w:color w:val="000000" w:themeColor="text1"/>
                      <w:sz w:val="21"/>
                      <w:szCs w:val="21"/>
                      <w:lang w:val="en-US" w:eastAsia="zh-CN"/>
                      <w14:textFill>
                        <w14:solidFill>
                          <w14:schemeClr w14:val="tx1"/>
                        </w14:solidFill>
                      </w14:textFill>
                    </w:rPr>
                    <w:t>不</w:t>
                  </w:r>
                  <w:r>
                    <w:rPr>
                      <w:rFonts w:hint="eastAsia" w:cs="Times New Roman"/>
                      <w:color w:val="000000" w:themeColor="text1"/>
                      <w:sz w:val="21"/>
                      <w:szCs w:val="21"/>
                      <w:lang w:val="en-US" w:eastAsia="zh-CN"/>
                      <w14:textFill>
                        <w14:solidFill>
                          <w14:schemeClr w14:val="tx1"/>
                        </w14:solidFill>
                      </w14:textFill>
                    </w:rPr>
                    <w:t>属于“两高”项目；</w:t>
                  </w:r>
                  <w:r>
                    <w:rPr>
                      <w:rFonts w:hint="eastAsia"/>
                      <w:bCs/>
                      <w:color w:val="000000" w:themeColor="text1"/>
                      <w:sz w:val="21"/>
                      <w:szCs w:val="21"/>
                      <w:lang w:val="en-US" w:eastAsia="zh-CN"/>
                      <w14:textFill>
                        <w14:solidFill>
                          <w14:schemeClr w14:val="tx1"/>
                        </w14:solidFill>
                      </w14:textFill>
                    </w:rPr>
                    <w:t>将</w:t>
                  </w:r>
                  <w:r>
                    <w:rPr>
                      <w:rFonts w:hint="eastAsia"/>
                      <w:bCs/>
                      <w:color w:val="000000" w:themeColor="text1"/>
                      <w:sz w:val="21"/>
                      <w:szCs w:val="21"/>
                      <w14:textFill>
                        <w14:solidFill>
                          <w14:schemeClr w14:val="tx1"/>
                        </w14:solidFill>
                      </w14:textFill>
                    </w:rPr>
                    <w:t>按照</w:t>
                  </w:r>
                  <w:r>
                    <w:rPr>
                      <w:rFonts w:hint="eastAsia"/>
                      <w:bCs/>
                      <w:color w:val="000000" w:themeColor="text1"/>
                      <w:sz w:val="21"/>
                      <w:szCs w:val="21"/>
                      <w:lang w:val="en-US" w:eastAsia="zh-CN"/>
                      <w14:textFill>
                        <w14:solidFill>
                          <w14:schemeClr w14:val="tx1"/>
                        </w14:solidFill>
                      </w14:textFill>
                    </w:rPr>
                    <w:t>当地审批和环保部门的要求，实施</w:t>
                  </w:r>
                  <w:r>
                    <w:rPr>
                      <w:rFonts w:hint="eastAsia"/>
                      <w:bCs/>
                      <w:color w:val="000000" w:themeColor="text1"/>
                      <w:sz w:val="21"/>
                      <w:szCs w:val="21"/>
                      <w14:textFill>
                        <w14:solidFill>
                          <w14:schemeClr w14:val="tx1"/>
                        </w14:solidFill>
                      </w14:textFill>
                    </w:rPr>
                    <w:t>区域削减要求</w:t>
                  </w:r>
                  <w:r>
                    <w:rPr>
                      <w:rFonts w:hint="eastAsia"/>
                      <w:bCs/>
                      <w:color w:val="000000" w:themeColor="text1"/>
                      <w:sz w:val="21"/>
                      <w:szCs w:val="21"/>
                      <w:lang w:eastAsia="zh-CN"/>
                      <w14:textFill>
                        <w14:solidFill>
                          <w14:schemeClr w14:val="tx1"/>
                        </w14:solidFill>
                      </w14:textFill>
                    </w:rPr>
                    <w:t>，</w:t>
                  </w:r>
                  <w:r>
                    <w:rPr>
                      <w:rFonts w:hint="eastAsia"/>
                      <w:bCs/>
                      <w:color w:val="000000" w:themeColor="text1"/>
                      <w:sz w:val="21"/>
                      <w:szCs w:val="21"/>
                      <w14:textFill>
                        <w14:solidFill>
                          <w14:schemeClr w14:val="tx1"/>
                        </w14:solidFill>
                      </w14:textFill>
                    </w:rPr>
                    <w:t>实施倍量削减替代</w:t>
                  </w:r>
                  <w:r>
                    <w:rPr>
                      <w:rFonts w:ascii="Times New Roman" w:hAnsi="Times New Roman" w:cs="Times New Roman"/>
                      <w:color w:val="000000" w:themeColor="text1"/>
                      <w:sz w:val="21"/>
                      <w:szCs w:val="21"/>
                      <w14:textFill>
                        <w14:solidFill>
                          <w14:schemeClr w14:val="tx1"/>
                        </w14:solidFill>
                      </w14:textFill>
                    </w:rPr>
                    <w:t>。</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全市生态空间总体管控要求</w:t>
                  </w:r>
                </w:p>
              </w:tc>
              <w:tc>
                <w:tcPr>
                  <w:tcW w:w="477"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生态保护红线</w:t>
                  </w:r>
                </w:p>
              </w:tc>
              <w:tc>
                <w:tcPr>
                  <w:tcW w:w="426" w:type="dxa"/>
                  <w:gridSpan w:val="2"/>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空间约束布局</w:t>
                  </w:r>
                </w:p>
              </w:tc>
              <w:tc>
                <w:tcPr>
                  <w:tcW w:w="472"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禁止开发建设活动的要求</w:t>
                  </w:r>
                </w:p>
              </w:tc>
              <w:tc>
                <w:tcPr>
                  <w:tcW w:w="3512" w:type="dxa"/>
                  <w:tcBorders>
                    <w:tl2br w:val="nil"/>
                    <w:tr2bl w:val="nil"/>
                  </w:tcBorders>
                </w:tcPr>
                <w:p>
                  <w:pPr>
                    <w:pStyle w:val="12"/>
                    <w:numPr>
                      <w:ilvl w:val="0"/>
                      <w:numId w:val="10"/>
                    </w:numPr>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生态保护红线原则上按禁止开发区域的要求进行管理。严禁不符合主体功能定位的各类开发活动，严禁任意改变用途。</w:t>
                  </w:r>
                </w:p>
                <w:p>
                  <w:pPr>
                    <w:pStyle w:val="12"/>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2、生态保护红线内，自然保护地核心保护区原则上禁止人为活动，其他区域严格禁止开发性、生产性建设活动，法律法规另有规定的，从其规定。</w:t>
                  </w:r>
                </w:p>
              </w:tc>
              <w:tc>
                <w:tcPr>
                  <w:tcW w:w="2191" w:type="dxa"/>
                  <w:tcBorders>
                    <w:tl2br w:val="nil"/>
                    <w:tr2bl w:val="nil"/>
                  </w:tcBorders>
                  <w:vAlign w:val="center"/>
                </w:tcPr>
                <w:p>
                  <w:pPr>
                    <w:pStyle w:val="12"/>
                    <w:spacing w:before="0" w:after="0" w:line="240" w:lineRule="auto"/>
                    <w:ind w:right="0"/>
                    <w:rPr>
                      <w:bCs/>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color w:val="000000" w:themeColor="text1"/>
                      <w:sz w:val="21"/>
                      <w:szCs w:val="21"/>
                      <w14:textFill>
                        <w14:solidFill>
                          <w14:schemeClr w14:val="tx1"/>
                        </w14:solidFill>
                      </w14:textFill>
                    </w:rPr>
                    <w:t>，不涉及生态保护红线区域。</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p>
              </w:tc>
              <w:tc>
                <w:tcPr>
                  <w:tcW w:w="477"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一般生态空间</w:t>
                  </w:r>
                </w:p>
              </w:tc>
              <w:tc>
                <w:tcPr>
                  <w:tcW w:w="426" w:type="dxa"/>
                  <w:gridSpan w:val="2"/>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总体要求</w:t>
                  </w:r>
                </w:p>
              </w:tc>
              <w:tc>
                <w:tcPr>
                  <w:tcW w:w="472"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空间布局约束</w:t>
                  </w:r>
                </w:p>
              </w:tc>
              <w:tc>
                <w:tcPr>
                  <w:tcW w:w="3512" w:type="dxa"/>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严格矿产资源开发与管控，矿产开发管控要求依照《河北省加强矿产资源开发管控十条措施》、《河北省人民政府办公厅关于转发河北省矿山综合治理攻坚行动方案的通知》（冀政办字〔2020〕75号）、《河北省人民代表大会常务委员会关于加强矿产开发管控保护生态环境的决定》执行。</w:t>
                  </w:r>
                </w:p>
              </w:tc>
              <w:tc>
                <w:tcPr>
                  <w:tcW w:w="2191"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本项目不涉及</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全市水环境总体管控要求</w:t>
                  </w:r>
                </w:p>
              </w:tc>
              <w:tc>
                <w:tcPr>
                  <w:tcW w:w="477" w:type="dxa"/>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水环境工业污染重点管控区</w:t>
                  </w:r>
                </w:p>
              </w:tc>
              <w:tc>
                <w:tcPr>
                  <w:tcW w:w="898" w:type="dxa"/>
                  <w:gridSpan w:val="3"/>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空间约束布局</w:t>
                  </w:r>
                </w:p>
              </w:tc>
              <w:tc>
                <w:tcPr>
                  <w:tcW w:w="3512" w:type="dxa"/>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1、全面落实《产业结构调整指导目录》中淘汰和限制措施。</w:t>
                  </w:r>
                </w:p>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2、积极推进工业园区</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一园一档</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一企一册</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环保管理制度建设，新建、升级工业集聚区应同步规划、建设污水集中处理设施，并安装自动在线监控装置。推进工业园区污染整治、规范企业排水。</w:t>
                  </w:r>
                </w:p>
              </w:tc>
              <w:tc>
                <w:tcPr>
                  <w:tcW w:w="2191"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本项目不属于</w:t>
                  </w:r>
                  <w:r>
                    <w:rPr>
                      <w:color w:val="000000" w:themeColor="text1"/>
                      <w:sz w:val="21"/>
                      <w:szCs w:val="21"/>
                      <w:lang w:bidi="ar"/>
                      <w14:textFill>
                        <w14:solidFill>
                          <w14:schemeClr w14:val="tx1"/>
                        </w14:solidFill>
                      </w14:textFill>
                    </w:rPr>
                    <w:t>《产业结构调整指导目录》中淘汰</w:t>
                  </w:r>
                  <w:r>
                    <w:rPr>
                      <w:rFonts w:hint="eastAsia"/>
                      <w:color w:val="000000" w:themeColor="text1"/>
                      <w:sz w:val="21"/>
                      <w:szCs w:val="21"/>
                      <w:lang w:bidi="ar"/>
                      <w14:textFill>
                        <w14:solidFill>
                          <w14:schemeClr w14:val="tx1"/>
                        </w14:solidFill>
                      </w14:textFill>
                    </w:rPr>
                    <w:t>类</w:t>
                  </w:r>
                  <w:r>
                    <w:rPr>
                      <w:color w:val="000000" w:themeColor="text1"/>
                      <w:sz w:val="21"/>
                      <w:szCs w:val="21"/>
                      <w:lang w:bidi="ar"/>
                      <w14:textFill>
                        <w14:solidFill>
                          <w14:schemeClr w14:val="tx1"/>
                        </w14:solidFill>
                      </w14:textFill>
                    </w:rPr>
                    <w:t>和限制</w:t>
                  </w:r>
                  <w:r>
                    <w:rPr>
                      <w:rFonts w:hint="eastAsia"/>
                      <w:color w:val="000000" w:themeColor="text1"/>
                      <w:sz w:val="21"/>
                      <w:szCs w:val="21"/>
                      <w:lang w:bidi="ar"/>
                      <w14:textFill>
                        <w14:solidFill>
                          <w14:schemeClr w14:val="tx1"/>
                        </w14:solidFill>
                      </w14:textFill>
                    </w:rPr>
                    <w:t>类，企业建设完成后，按照当地环保管理制度要求建设“一企一册”</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p>
              </w:tc>
              <w:tc>
                <w:tcPr>
                  <w:tcW w:w="477" w:type="dxa"/>
                  <w:vMerge w:val="continue"/>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p>
              </w:tc>
              <w:tc>
                <w:tcPr>
                  <w:tcW w:w="898" w:type="dxa"/>
                  <w:gridSpan w:val="3"/>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污染物排放管控</w:t>
                  </w:r>
                </w:p>
              </w:tc>
              <w:tc>
                <w:tcPr>
                  <w:tcW w:w="3512" w:type="dxa"/>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2、工业园区全部建成污水集中处理设施，并安装自动在线监控装置；有流域特别排放限值要求的地区，执行流域特别排放限值。</w:t>
                  </w:r>
                </w:p>
              </w:tc>
              <w:tc>
                <w:tcPr>
                  <w:tcW w:w="2191"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本项目不涉及</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全市</w:t>
                  </w:r>
                  <w:r>
                    <w:rPr>
                      <w:rFonts w:hint="eastAsia"/>
                      <w:color w:val="000000" w:themeColor="text1"/>
                      <w:sz w:val="21"/>
                      <w:szCs w:val="21"/>
                      <w14:textFill>
                        <w14:solidFill>
                          <w14:schemeClr w14:val="tx1"/>
                        </w14:solidFill>
                      </w14:textFill>
                    </w:rPr>
                    <w:t>大气</w:t>
                  </w:r>
                  <w:r>
                    <w:rPr>
                      <w:color w:val="000000" w:themeColor="text1"/>
                      <w:sz w:val="21"/>
                      <w:szCs w:val="21"/>
                      <w14:textFill>
                        <w14:solidFill>
                          <w14:schemeClr w14:val="tx1"/>
                        </w14:solidFill>
                      </w14:textFill>
                    </w:rPr>
                    <w:t>环境总体</w:t>
                  </w:r>
                  <w:r>
                    <w:rPr>
                      <w:rFonts w:hint="eastAsia"/>
                      <w:color w:val="000000" w:themeColor="text1"/>
                      <w:sz w:val="21"/>
                      <w:szCs w:val="21"/>
                      <w14:textFill>
                        <w14:solidFill>
                          <w14:schemeClr w14:val="tx1"/>
                        </w14:solidFill>
                      </w14:textFill>
                    </w:rPr>
                    <w:t>准入要求</w:t>
                  </w:r>
                </w:p>
              </w:tc>
              <w:tc>
                <w:tcPr>
                  <w:tcW w:w="1375" w:type="dxa"/>
                  <w:gridSpan w:val="4"/>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空间布局约束</w:t>
                  </w:r>
                </w:p>
              </w:tc>
              <w:tc>
                <w:tcPr>
                  <w:tcW w:w="3512" w:type="dxa"/>
                  <w:tcBorders>
                    <w:tl2br w:val="nil"/>
                    <w:tr2bl w:val="nil"/>
                  </w:tcBorders>
                </w:tcPr>
                <w:p>
                  <w:pPr>
                    <w:widowControl/>
                    <w:numPr>
                      <w:ilvl w:val="0"/>
                      <w:numId w:val="11"/>
                    </w:numPr>
                    <w:jc w:val="left"/>
                    <w:rPr>
                      <w:color w:val="000000" w:themeColor="text1"/>
                      <w:kern w:val="0"/>
                      <w:szCs w:val="21"/>
                      <w:lang w:bidi="ar"/>
                      <w14:textFill>
                        <w14:solidFill>
                          <w14:schemeClr w14:val="tx1"/>
                        </w14:solidFill>
                      </w14:textFill>
                    </w:rPr>
                  </w:pPr>
                  <w:r>
                    <w:rPr>
                      <w:rFonts w:hint="eastAsia"/>
                      <w:color w:val="000000" w:themeColor="text1"/>
                      <w:kern w:val="0"/>
                      <w:szCs w:val="21"/>
                      <w:lang w:bidi="ar"/>
                      <w14:textFill>
                        <w14:solidFill>
                          <w14:schemeClr w14:val="tx1"/>
                        </w14:solidFill>
                      </w14:textFill>
                    </w:rPr>
                    <w:t>大气重点管控区加大各县（市、区）高污染产业集群的淘汰、转型力度，逐步加大水泥、钢铁、焦化、碳素产能压减力度。</w:t>
                  </w:r>
                </w:p>
                <w:p>
                  <w:pPr>
                    <w:widowControl/>
                    <w:numPr>
                      <w:ilvl w:val="0"/>
                      <w:numId w:val="11"/>
                    </w:numPr>
                    <w:jc w:val="left"/>
                    <w:rPr>
                      <w:color w:val="000000" w:themeColor="text1"/>
                      <w:szCs w:val="21"/>
                      <w14:textFill>
                        <w14:solidFill>
                          <w14:schemeClr w14:val="tx1"/>
                        </w14:solidFill>
                      </w14:textFill>
                    </w:rPr>
                  </w:pPr>
                  <w:r>
                    <w:rPr>
                      <w:rFonts w:hint="eastAsia"/>
                      <w:color w:val="000000" w:themeColor="text1"/>
                      <w:kern w:val="0"/>
                      <w:szCs w:val="21"/>
                      <w:lang w:bidi="ar"/>
                      <w14:textFill>
                        <w14:solidFill>
                          <w14:schemeClr w14:val="tx1"/>
                        </w14:solidFill>
                      </w14:textFill>
                    </w:rPr>
                    <w:t>全市禁止新建35蒸吨/小时及以下燃煤锅炉，35蒸吨/小时以上燃煤锅炉要达到超低排放标准。市区和县城建成区禁止新建35蒸吨/小时及以下生物质锅炉，35蒸吨/小时以上的生物质锅炉要达到超低排放标准。</w:t>
                  </w:r>
                </w:p>
              </w:tc>
              <w:tc>
                <w:tcPr>
                  <w:tcW w:w="2191"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本项目为</w:t>
                  </w:r>
                  <w:r>
                    <w:rPr>
                      <w:rFonts w:hint="default" w:ascii="Times New Roman" w:hAnsi="Times New Roman" w:cs="Times New Roman"/>
                      <w:color w:val="000000" w:themeColor="text1"/>
                      <w:sz w:val="21"/>
                      <w:szCs w:val="21"/>
                      <w14:textFill>
                        <w14:solidFill>
                          <w14:schemeClr w14:val="tx1"/>
                        </w14:solidFill>
                      </w14:textFill>
                    </w:rPr>
                    <w:t>其他非金属矿物制品制造</w:t>
                  </w:r>
                  <w:r>
                    <w:rPr>
                      <w:rFonts w:hint="eastAsia"/>
                      <w:bCs/>
                      <w:color w:val="000000" w:themeColor="text1"/>
                      <w:sz w:val="21"/>
                      <w:szCs w:val="21"/>
                      <w14:textFill>
                        <w14:solidFill>
                          <w14:schemeClr w14:val="tx1"/>
                        </w14:solidFill>
                      </w14:textFill>
                    </w:rPr>
                    <w:t>项目，涉及到的锅炉为</w:t>
                  </w:r>
                  <w:r>
                    <w:rPr>
                      <w:rFonts w:hint="eastAsia"/>
                      <w:bCs/>
                      <w:color w:val="000000" w:themeColor="text1"/>
                      <w:sz w:val="21"/>
                      <w:szCs w:val="21"/>
                      <w:lang w:val="en-US" w:eastAsia="zh-CN"/>
                      <w14:textFill>
                        <w14:solidFill>
                          <w14:schemeClr w14:val="tx1"/>
                        </w14:solidFill>
                      </w14:textFill>
                    </w:rPr>
                    <w:t>天然</w:t>
                  </w:r>
                  <w:r>
                    <w:rPr>
                      <w:rFonts w:hint="eastAsia"/>
                      <w:bCs/>
                      <w:color w:val="000000" w:themeColor="text1"/>
                      <w:sz w:val="21"/>
                      <w:szCs w:val="21"/>
                      <w14:textFill>
                        <w14:solidFill>
                          <w14:schemeClr w14:val="tx1"/>
                        </w14:solidFill>
                      </w14:textFill>
                    </w:rPr>
                    <w:t>气锅炉，废气污染物经处理后均能满足达标排放要求。</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p>
              </w:tc>
              <w:tc>
                <w:tcPr>
                  <w:tcW w:w="1375" w:type="dxa"/>
                  <w:gridSpan w:val="4"/>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污染物排放管控</w:t>
                  </w:r>
                </w:p>
              </w:tc>
              <w:tc>
                <w:tcPr>
                  <w:tcW w:w="3512" w:type="dxa"/>
                  <w:tcBorders>
                    <w:tl2br w:val="nil"/>
                    <w:tr2bl w:val="nil"/>
                  </w:tcBorders>
                </w:tcPr>
                <w:p>
                  <w:pPr>
                    <w:widowControl/>
                    <w:numPr>
                      <w:ilvl w:val="0"/>
                      <w:numId w:val="12"/>
                    </w:numPr>
                    <w:jc w:val="left"/>
                    <w:rPr>
                      <w:rFonts w:ascii="宋体" w:hAnsi="宋体" w:cs="宋体"/>
                      <w:color w:val="000000" w:themeColor="text1"/>
                      <w:kern w:val="0"/>
                      <w:szCs w:val="21"/>
                      <w:lang w:bidi="ar"/>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严格区域削减要求。严格执行《生态环境部办公厅关于加强重点行业建设项目区域削减措施监督管理的通知》（环办环评〔</w:t>
                  </w:r>
                  <w:r>
                    <w:rPr>
                      <w:color w:val="000000" w:themeColor="text1"/>
                      <w:kern w:val="0"/>
                      <w:szCs w:val="21"/>
                      <w:lang w:bidi="ar"/>
                      <w14:textFill>
                        <w14:solidFill>
                          <w14:schemeClr w14:val="tx1"/>
                        </w14:solidFill>
                      </w14:textFill>
                    </w:rPr>
                    <w:t>2020〕36号</w:t>
                  </w:r>
                  <w:r>
                    <w:rPr>
                      <w:rFonts w:hint="eastAsia" w:ascii="宋体" w:hAnsi="宋体" w:cs="宋体"/>
                      <w:color w:val="000000" w:themeColor="text1"/>
                      <w:kern w:val="0"/>
                      <w:szCs w:val="21"/>
                      <w:lang w:bidi="ar"/>
                      <w14:textFill>
                        <w14:solidFill>
                          <w14:schemeClr w14:val="tx1"/>
                        </w14:solidFill>
                      </w14:textFill>
                    </w:rPr>
                    <w:t>）相关要求。</w:t>
                  </w:r>
                </w:p>
                <w:p>
                  <w:pPr>
                    <w:widowControl/>
                    <w:numPr>
                      <w:ilvl w:val="0"/>
                      <w:numId w:val="12"/>
                    </w:numPr>
                    <w:jc w:val="left"/>
                    <w:rPr>
                      <w:color w:val="000000" w:themeColor="text1"/>
                      <w:szCs w:val="21"/>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深化建筑施工扬尘专项整治，严格执行《石家庄市建设工程围挡设置和扬尘管理标准》加强道路扬尘综 合整治。全市工业企业料堆场全部实现规范管理；对环境敏感区的煤场、料场、渣场实现在线监控和视频监控全覆盖。</w:t>
                  </w:r>
                </w:p>
              </w:tc>
              <w:tc>
                <w:tcPr>
                  <w:tcW w:w="2191"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w:t>
                  </w:r>
                  <w:r>
                    <w:rPr>
                      <w:rFonts w:hint="eastAsia"/>
                      <w:bCs/>
                      <w:color w:val="000000" w:themeColor="text1"/>
                      <w:sz w:val="21"/>
                      <w:szCs w:val="21"/>
                      <w:lang w:val="en-US" w:eastAsia="zh-CN"/>
                      <w14:textFill>
                        <w14:solidFill>
                          <w14:schemeClr w14:val="tx1"/>
                        </w14:solidFill>
                      </w14:textFill>
                    </w:rPr>
                    <w:t>将</w:t>
                  </w:r>
                  <w:r>
                    <w:rPr>
                      <w:rFonts w:hint="eastAsia"/>
                      <w:bCs/>
                      <w:color w:val="000000" w:themeColor="text1"/>
                      <w:sz w:val="21"/>
                      <w:szCs w:val="21"/>
                      <w14:textFill>
                        <w14:solidFill>
                          <w14:schemeClr w14:val="tx1"/>
                        </w14:solidFill>
                      </w14:textFill>
                    </w:rPr>
                    <w:t>按照</w:t>
                  </w:r>
                  <w:r>
                    <w:rPr>
                      <w:rFonts w:hint="eastAsia"/>
                      <w:bCs/>
                      <w:color w:val="000000" w:themeColor="text1"/>
                      <w:sz w:val="21"/>
                      <w:szCs w:val="21"/>
                      <w:lang w:val="en-US" w:eastAsia="zh-CN"/>
                      <w14:textFill>
                        <w14:solidFill>
                          <w14:schemeClr w14:val="tx1"/>
                        </w14:solidFill>
                      </w14:textFill>
                    </w:rPr>
                    <w:t>当地审批和环保部门的要求，实施</w:t>
                  </w:r>
                  <w:r>
                    <w:rPr>
                      <w:rFonts w:hint="eastAsia"/>
                      <w:bCs/>
                      <w:color w:val="000000" w:themeColor="text1"/>
                      <w:sz w:val="21"/>
                      <w:szCs w:val="21"/>
                      <w14:textFill>
                        <w14:solidFill>
                          <w14:schemeClr w14:val="tx1"/>
                        </w14:solidFill>
                      </w14:textFill>
                    </w:rPr>
                    <w:t>区域削减要求</w:t>
                  </w:r>
                  <w:r>
                    <w:rPr>
                      <w:rFonts w:hint="eastAsia"/>
                      <w:bCs/>
                      <w:color w:val="000000" w:themeColor="text1"/>
                      <w:sz w:val="21"/>
                      <w:szCs w:val="21"/>
                      <w:lang w:eastAsia="zh-CN"/>
                      <w14:textFill>
                        <w14:solidFill>
                          <w14:schemeClr w14:val="tx1"/>
                        </w14:solidFill>
                      </w14:textFill>
                    </w:rPr>
                    <w:t>，</w:t>
                  </w:r>
                  <w:r>
                    <w:rPr>
                      <w:rFonts w:hint="eastAsia"/>
                      <w:bCs/>
                      <w:color w:val="000000" w:themeColor="text1"/>
                      <w:sz w:val="21"/>
                      <w:szCs w:val="21"/>
                      <w14:textFill>
                        <w14:solidFill>
                          <w14:schemeClr w14:val="tx1"/>
                        </w14:solidFill>
                      </w14:textFill>
                    </w:rPr>
                    <w:t>实施倍量削减替代。</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tcPr>
                <w:p>
                  <w:pPr>
                    <w:pStyle w:val="12"/>
                    <w:spacing w:before="0" w:after="0" w:line="240" w:lineRule="auto"/>
                    <w:ind w:right="0"/>
                    <w:jc w:val="center"/>
                    <w:rPr>
                      <w:color w:val="000000" w:themeColor="text1"/>
                      <w:sz w:val="21"/>
                      <w:szCs w:val="21"/>
                      <w14:textFill>
                        <w14:solidFill>
                          <w14:schemeClr w14:val="tx1"/>
                        </w14:solidFill>
                      </w14:textFill>
                    </w:rPr>
                  </w:pPr>
                </w:p>
              </w:tc>
              <w:tc>
                <w:tcPr>
                  <w:tcW w:w="1375" w:type="dxa"/>
                  <w:gridSpan w:val="4"/>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环境风险防控</w:t>
                  </w:r>
                </w:p>
              </w:tc>
              <w:tc>
                <w:tcPr>
                  <w:tcW w:w="3512" w:type="dxa"/>
                  <w:tcBorders>
                    <w:tl2br w:val="nil"/>
                    <w:tr2bl w:val="nil"/>
                  </w:tcBorders>
                </w:tcPr>
                <w:p>
                  <w:pPr>
                    <w:pStyle w:val="12"/>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2191"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本项目不涉及</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restart"/>
                  <w:tcBorders>
                    <w:tl2br w:val="nil"/>
                    <w:tr2bl w:val="nil"/>
                  </w:tcBorders>
                  <w:vAlign w:val="center"/>
                </w:tcPr>
                <w:p>
                  <w:pPr>
                    <w:pStyle w:val="12"/>
                    <w:spacing w:before="0" w:after="0" w:line="240" w:lineRule="auto"/>
                    <w:ind w:right="0"/>
                    <w:jc w:val="cente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全市</w:t>
                  </w:r>
                  <w:r>
                    <w:rPr>
                      <w:rFonts w:hint="eastAsia"/>
                      <w:color w:val="000000" w:themeColor="text1"/>
                      <w:sz w:val="21"/>
                      <w:szCs w:val="21"/>
                      <w14:textFill>
                        <w14:solidFill>
                          <w14:schemeClr w14:val="tx1"/>
                        </w14:solidFill>
                      </w14:textFill>
                    </w:rPr>
                    <w:t>大气</w:t>
                  </w:r>
                  <w:r>
                    <w:rPr>
                      <w:color w:val="000000" w:themeColor="text1"/>
                      <w:sz w:val="21"/>
                      <w:szCs w:val="21"/>
                      <w14:textFill>
                        <w14:solidFill>
                          <w14:schemeClr w14:val="tx1"/>
                        </w14:solidFill>
                      </w14:textFill>
                    </w:rPr>
                    <w:t>环境总体</w:t>
                  </w:r>
                  <w:r>
                    <w:rPr>
                      <w:rFonts w:hint="eastAsia"/>
                      <w:color w:val="000000" w:themeColor="text1"/>
                      <w:sz w:val="21"/>
                      <w:szCs w:val="21"/>
                      <w:lang w:val="en-US" w:eastAsia="zh-CN"/>
                      <w14:textFill>
                        <w14:solidFill>
                          <w14:schemeClr w14:val="tx1"/>
                        </w14:solidFill>
                      </w14:textFill>
                    </w:rPr>
                    <w:t>管控</w:t>
                  </w:r>
                  <w:r>
                    <w:rPr>
                      <w:rFonts w:hint="eastAsia"/>
                      <w:color w:val="000000" w:themeColor="text1"/>
                      <w:sz w:val="21"/>
                      <w:szCs w:val="21"/>
                      <w14:textFill>
                        <w14:solidFill>
                          <w14:schemeClr w14:val="tx1"/>
                        </w14:solidFill>
                      </w14:textFill>
                    </w:rPr>
                    <w:t>要求</w:t>
                  </w:r>
                </w:p>
              </w:tc>
              <w:tc>
                <w:tcPr>
                  <w:tcW w:w="1375" w:type="dxa"/>
                  <w:gridSpan w:val="4"/>
                  <w:tcBorders>
                    <w:tl2br w:val="nil"/>
                    <w:tr2bl w:val="nil"/>
                  </w:tcBorders>
                  <w:vAlign w:val="center"/>
                </w:tcPr>
                <w:p>
                  <w:pPr>
                    <w:pStyle w:val="12"/>
                    <w:spacing w:before="0" w:after="0" w:line="240" w:lineRule="auto"/>
                    <w:ind w:right="0"/>
                    <w:jc w:val="center"/>
                    <w:rPr>
                      <w:rFonts w:hint="eastAsia"/>
                      <w:color w:val="000000" w:themeColor="text1"/>
                      <w:kern w:val="0"/>
                      <w:szCs w:val="21"/>
                      <w14:textFill>
                        <w14:solidFill>
                          <w14:schemeClr w14:val="tx1"/>
                        </w14:solidFill>
                      </w14:textFill>
                    </w:rPr>
                  </w:pPr>
                  <w:r>
                    <w:rPr>
                      <w:rFonts w:hint="eastAsia"/>
                      <w:color w:val="000000" w:themeColor="text1"/>
                      <w:sz w:val="21"/>
                      <w:szCs w:val="21"/>
                      <w14:textFill>
                        <w14:solidFill>
                          <w14:schemeClr w14:val="tx1"/>
                        </w14:solidFill>
                      </w14:textFill>
                    </w:rPr>
                    <w:t>土壤污染重点监管单位</w:t>
                  </w:r>
                </w:p>
              </w:tc>
              <w:tc>
                <w:tcPr>
                  <w:tcW w:w="3512" w:type="dxa"/>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土壤污染重点监管单位应该严格控制有毒有害物质排放，并按年度向相关主管部门报告排放情况；建立土壤污染隐患排查制度，保证持续有效防止有毒有害物质渗漏、流失、扬散；制定、《中华人民共和国土壤污染防治法》、《河实施自行监测方案，并将监测数据报相关主管部门。并对监测数据的真实性和准确性负责。相关主管部门发现土壤污染重点监管单位监测数据异常，应当及时进行调查。</w:t>
                  </w:r>
                </w:p>
              </w:tc>
              <w:tc>
                <w:tcPr>
                  <w:tcW w:w="2191" w:type="dxa"/>
                  <w:tcBorders>
                    <w:tl2br w:val="nil"/>
                    <w:tr2bl w:val="nil"/>
                  </w:tcBorders>
                  <w:vAlign w:val="center"/>
                </w:tcPr>
                <w:p>
                  <w:pPr>
                    <w:pStyle w:val="12"/>
                    <w:spacing w:before="0" w:after="0" w:line="240" w:lineRule="auto"/>
                    <w:ind w:right="0"/>
                    <w:jc w:val="left"/>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本项目不涉及土壤污染，不属于土壤污染重点监管单位</w:t>
                  </w:r>
                </w:p>
              </w:tc>
              <w:tc>
                <w:tcPr>
                  <w:tcW w:w="765" w:type="dxa"/>
                  <w:tcBorders>
                    <w:tl2br w:val="nil"/>
                    <w:tr2bl w:val="nil"/>
                  </w:tcBorders>
                  <w:vAlign w:val="center"/>
                </w:tcPr>
                <w:p>
                  <w:pPr>
                    <w:pStyle w:val="12"/>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rFonts w:hint="eastAsia"/>
                      <w:color w:val="000000" w:themeColor="text1"/>
                      <w:sz w:val="21"/>
                      <w:szCs w:val="21"/>
                      <w:lang w:val="en-US" w:eastAsia="zh-CN"/>
                      <w14:textFill>
                        <w14:solidFill>
                          <w14:schemeClr w14:val="tx1"/>
                        </w14:solidFill>
                      </w14:textFill>
                    </w:rPr>
                  </w:pPr>
                </w:p>
              </w:tc>
              <w:tc>
                <w:tcPr>
                  <w:tcW w:w="1375" w:type="dxa"/>
                  <w:gridSpan w:val="4"/>
                  <w:tcBorders>
                    <w:tl2br w:val="nil"/>
                    <w:tr2bl w:val="nil"/>
                  </w:tcBorders>
                  <w:vAlign w:val="center"/>
                </w:tcPr>
                <w:p>
                  <w:pPr>
                    <w:pStyle w:val="12"/>
                    <w:spacing w:before="0" w:after="0" w:line="240" w:lineRule="auto"/>
                    <w:ind w:right="0"/>
                    <w:jc w:val="center"/>
                    <w:rPr>
                      <w:rFonts w:hint="eastAsia"/>
                      <w:color w:val="000000" w:themeColor="text1"/>
                      <w:kern w:val="0"/>
                      <w:szCs w:val="21"/>
                      <w14:textFill>
                        <w14:solidFill>
                          <w14:schemeClr w14:val="tx1"/>
                        </w14:solidFill>
                      </w14:textFill>
                    </w:rPr>
                  </w:pPr>
                  <w:r>
                    <w:rPr>
                      <w:rFonts w:hint="eastAsia"/>
                      <w:color w:val="000000" w:themeColor="text1"/>
                      <w:sz w:val="21"/>
                      <w:szCs w:val="21"/>
                      <w14:textFill>
                        <w14:solidFill>
                          <w14:schemeClr w14:val="tx1"/>
                        </w14:solidFill>
                      </w14:textFill>
                    </w:rPr>
                    <w:t>重金属污染防控重点区</w:t>
                  </w:r>
                </w:p>
              </w:tc>
              <w:tc>
                <w:tcPr>
                  <w:tcW w:w="3512" w:type="dxa"/>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持续推进重金属减排，动态更新涉重金属重点行业企业全口径清单，按照国家部署明确重点区域执行颗粒物和重点重金属特别排放限值</w:t>
                  </w:r>
                </w:p>
              </w:tc>
              <w:tc>
                <w:tcPr>
                  <w:tcW w:w="2191" w:type="dxa"/>
                  <w:tcBorders>
                    <w:tl2br w:val="nil"/>
                    <w:tr2bl w:val="nil"/>
                  </w:tcBorders>
                  <w:vAlign w:val="center"/>
                </w:tcPr>
                <w:p>
                  <w:pPr>
                    <w:pStyle w:val="12"/>
                    <w:spacing w:before="0" w:after="0" w:line="240" w:lineRule="auto"/>
                    <w:ind w:right="0"/>
                    <w:jc w:val="left"/>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rFonts w:hint="eastAsia" w:cs="Times New Roman"/>
                      <w:color w:val="000000" w:themeColor="text1"/>
                      <w:sz w:val="21"/>
                      <w:szCs w:val="21"/>
                      <w:lang w:val="en-US" w:eastAsia="zh-CN"/>
                      <w14:textFill>
                        <w14:solidFill>
                          <w14:schemeClr w14:val="tx1"/>
                        </w14:solidFill>
                      </w14:textFill>
                    </w:rPr>
                    <w:t>，不属于重金属污染防控重点区</w:t>
                  </w:r>
                </w:p>
              </w:tc>
              <w:tc>
                <w:tcPr>
                  <w:tcW w:w="765" w:type="dxa"/>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全市自然资源总体管控要求</w:t>
                  </w:r>
                </w:p>
              </w:tc>
              <w:tc>
                <w:tcPr>
                  <w:tcW w:w="484" w:type="dxa"/>
                  <w:gridSpan w:val="2"/>
                  <w:vMerge w:val="restart"/>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水资源</w:t>
                  </w:r>
                </w:p>
              </w:tc>
              <w:tc>
                <w:tcPr>
                  <w:tcW w:w="891" w:type="dxa"/>
                  <w:gridSpan w:val="2"/>
                  <w:tcBorders>
                    <w:tl2br w:val="nil"/>
                    <w:tr2bl w:val="nil"/>
                  </w:tcBorders>
                  <w:vAlign w:val="center"/>
                </w:tcPr>
                <w:p>
                  <w:pPr>
                    <w:widowControl/>
                    <w:jc w:val="center"/>
                    <w:rPr>
                      <w:color w:val="000000" w:themeColor="text1"/>
                      <w:kern w:val="0"/>
                      <w:szCs w:val="21"/>
                      <w14:textFill>
                        <w14:solidFill>
                          <w14:schemeClr w14:val="tx1"/>
                        </w14:solidFill>
                      </w14:textFill>
                    </w:rPr>
                  </w:pPr>
                </w:p>
                <w:p>
                  <w:pPr>
                    <w:widowControl/>
                    <w:jc w:val="center"/>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地下水开采重点管控区（地下水严重超采区）</w:t>
                  </w:r>
                </w:p>
              </w:tc>
              <w:tc>
                <w:tcPr>
                  <w:tcW w:w="3512" w:type="dxa"/>
                  <w:tcBorders>
                    <w:tl2br w:val="nil"/>
                    <w:tr2bl w:val="nil"/>
                  </w:tcBorders>
                </w:tcPr>
                <w:p>
                  <w:pPr>
                    <w:widowControl/>
                    <w:jc w:val="left"/>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1、地下水禁止开采区，一律禁止开凿新的取水井，对已有的取水井应当制定计划逐步予以关停。</w:t>
                  </w:r>
                </w:p>
                <w:p>
                  <w:pPr>
                    <w:widowControl/>
                    <w:jc w:val="left"/>
                    <w:rPr>
                      <w:color w:val="000000" w:themeColor="text1"/>
                      <w14:textFill>
                        <w14:solidFill>
                          <w14:schemeClr w14:val="tx1"/>
                        </w14:solidFill>
                      </w14:textFill>
                    </w:rPr>
                  </w:pPr>
                  <w:r>
                    <w:rPr>
                      <w:rFonts w:hint="eastAsia"/>
                      <w:color w:val="000000" w:themeColor="text1"/>
                      <w:kern w:val="0"/>
                      <w:szCs w:val="21"/>
                      <w14:textFill>
                        <w14:solidFill>
                          <w14:schemeClr w14:val="tx1"/>
                        </w14:solidFill>
                      </w14:textFill>
                    </w:rPr>
                    <w:t>2、地下水限制开采区，一般不得开凿新的取水井，确需取用地下水的，应按省市要求进行削减。</w:t>
                  </w:r>
                </w:p>
              </w:tc>
              <w:tc>
                <w:tcPr>
                  <w:tcW w:w="2191" w:type="dxa"/>
                  <w:tcBorders>
                    <w:tl2br w:val="nil"/>
                    <w:tr2bl w:val="nil"/>
                  </w:tcBorders>
                  <w:vAlign w:val="center"/>
                </w:tcPr>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本项目水源来自</w:t>
                  </w:r>
                  <w:r>
                    <w:rPr>
                      <w:rFonts w:hint="eastAsia"/>
                      <w:bCs/>
                      <w:color w:val="000000" w:themeColor="text1"/>
                      <w:sz w:val="21"/>
                      <w:szCs w:val="21"/>
                      <w:lang w:val="en-US" w:eastAsia="zh-CN"/>
                      <w14:textFill>
                        <w14:solidFill>
                          <w14:schemeClr w14:val="tx1"/>
                        </w14:solidFill>
                      </w14:textFill>
                    </w:rPr>
                    <w:t>中韩镇</w:t>
                  </w:r>
                  <w:r>
                    <w:rPr>
                      <w:rFonts w:hint="eastAsia"/>
                      <w:bCs/>
                      <w:color w:val="000000" w:themeColor="text1"/>
                      <w:sz w:val="21"/>
                      <w:szCs w:val="21"/>
                      <w14:textFill>
                        <w14:solidFill>
                          <w14:schemeClr w14:val="tx1"/>
                        </w14:solidFill>
                      </w14:textFill>
                    </w:rPr>
                    <w:t>市政管网，不开采地下水</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rFonts w:hint="eastAsia"/>
                      <w:color w:val="000000" w:themeColor="text1"/>
                      <w:sz w:val="21"/>
                      <w:szCs w:val="21"/>
                      <w14:textFill>
                        <w14:solidFill>
                          <w14:schemeClr w14:val="tx1"/>
                        </w14:solidFill>
                      </w14:textFill>
                    </w:rPr>
                  </w:pPr>
                </w:p>
              </w:tc>
              <w:tc>
                <w:tcPr>
                  <w:tcW w:w="484" w:type="dxa"/>
                  <w:gridSpan w:val="2"/>
                  <w:vMerge w:val="continue"/>
                  <w:tcBorders>
                    <w:tl2br w:val="nil"/>
                    <w:tr2bl w:val="nil"/>
                  </w:tcBorders>
                  <w:vAlign w:val="center"/>
                </w:tcPr>
                <w:p>
                  <w:pPr>
                    <w:pStyle w:val="12"/>
                    <w:spacing w:before="0" w:after="0" w:line="240" w:lineRule="auto"/>
                    <w:ind w:right="0"/>
                    <w:jc w:val="center"/>
                    <w:rPr>
                      <w:rFonts w:hint="eastAsia"/>
                      <w:color w:val="000000" w:themeColor="text1"/>
                      <w:sz w:val="21"/>
                      <w:szCs w:val="21"/>
                      <w14:textFill>
                        <w14:solidFill>
                          <w14:schemeClr w14:val="tx1"/>
                        </w14:solidFill>
                      </w14:textFill>
                    </w:rPr>
                  </w:pPr>
                </w:p>
              </w:tc>
              <w:tc>
                <w:tcPr>
                  <w:tcW w:w="891" w:type="dxa"/>
                  <w:gridSpan w:val="2"/>
                  <w:tcBorders>
                    <w:tl2br w:val="nil"/>
                    <w:tr2bl w:val="nil"/>
                  </w:tcBorders>
                  <w:vAlign w:val="center"/>
                </w:tcPr>
                <w:p>
                  <w:pPr>
                    <w:widowControl/>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一般管控区</w:t>
                  </w:r>
                </w:p>
              </w:tc>
              <w:tc>
                <w:tcPr>
                  <w:tcW w:w="3512" w:type="dxa"/>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1、严格执行“最严格水资源管理制度”确定的用水总量控制指标，加强水资源取水论证，严格水资源总</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量考核管理，同时全面推进节水型社会建设，提高用水效率。</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2、地下水开采重点管控区外的地下水超采区按照《华北地区地下水超采综合治理行动方案》、《河北省</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人民政府关于公布地下水超采区和禁止开采区、限制开采区范围的通知》及《关于地下水超采综合治理实</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施意见》进行管控</w:t>
                  </w:r>
                </w:p>
              </w:tc>
              <w:tc>
                <w:tcPr>
                  <w:tcW w:w="2191" w:type="dxa"/>
                  <w:tcBorders>
                    <w:tl2br w:val="nil"/>
                    <w:tr2bl w:val="nil"/>
                  </w:tcBorders>
                  <w:vAlign w:val="center"/>
                </w:tcPr>
                <w:p>
                  <w:pPr>
                    <w:pStyle w:val="12"/>
                    <w:spacing w:before="0" w:after="0" w:line="240" w:lineRule="auto"/>
                    <w:ind w:right="0"/>
                    <w:jc w:val="left"/>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本项目生产过程不涉及用水，生活用水及车辆清洗用水、抑尘用水量较小</w:t>
                  </w:r>
                </w:p>
              </w:tc>
              <w:tc>
                <w:tcPr>
                  <w:tcW w:w="765" w:type="dxa"/>
                  <w:tcBorders>
                    <w:tl2br w:val="nil"/>
                    <w:tr2bl w:val="nil"/>
                  </w:tcBorders>
                  <w:vAlign w:val="center"/>
                </w:tcPr>
                <w:p>
                  <w:pPr>
                    <w:pStyle w:val="12"/>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vMerge w:val="continue"/>
                  <w:tcBorders>
                    <w:tl2br w:val="nil"/>
                    <w:tr2bl w:val="nil"/>
                  </w:tcBorders>
                  <w:vAlign w:val="center"/>
                </w:tcPr>
                <w:p>
                  <w:pPr>
                    <w:pStyle w:val="12"/>
                    <w:spacing w:before="0" w:after="0" w:line="240" w:lineRule="auto"/>
                    <w:ind w:right="0"/>
                    <w:jc w:val="center"/>
                    <w:rPr>
                      <w:rFonts w:hint="eastAsia"/>
                      <w:color w:val="000000" w:themeColor="text1"/>
                      <w:sz w:val="21"/>
                      <w:szCs w:val="21"/>
                      <w14:textFill>
                        <w14:solidFill>
                          <w14:schemeClr w14:val="tx1"/>
                        </w14:solidFill>
                      </w14:textFill>
                    </w:rPr>
                  </w:pPr>
                </w:p>
              </w:tc>
              <w:tc>
                <w:tcPr>
                  <w:tcW w:w="484" w:type="dxa"/>
                  <w:gridSpan w:val="2"/>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能源</w:t>
                  </w:r>
                </w:p>
              </w:tc>
              <w:tc>
                <w:tcPr>
                  <w:tcW w:w="891" w:type="dxa"/>
                  <w:gridSpan w:val="2"/>
                  <w:tcBorders>
                    <w:tl2br w:val="nil"/>
                    <w:tr2bl w:val="nil"/>
                  </w:tcBorders>
                  <w:vAlign w:val="center"/>
                </w:tcPr>
                <w:p>
                  <w:pPr>
                    <w:widowControl/>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一般管控区</w:t>
                  </w:r>
                </w:p>
              </w:tc>
              <w:tc>
                <w:tcPr>
                  <w:tcW w:w="3512" w:type="dxa"/>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1、强化能源消费约束，严格实施能源消费总量和强度“双控”。从工艺技术、主要用能设备、节能措施</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等方面切实加强项目单耗先进性审查，新建高能耗项目单位产品(产值)能耗达到国际先进水平，用能设备</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达到国家一级能效标准。</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2、以工业、建筑和交通运输领域为重点，深入推进技术节能和管理节能。</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3、控制煤炭消费总量，加快产业结构向高新高端产业转变，推进钢铁、水泥等重点行业去产能。大力实</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施散煤替代。</w:t>
                  </w:r>
                </w:p>
              </w:tc>
              <w:tc>
                <w:tcPr>
                  <w:tcW w:w="2191" w:type="dxa"/>
                  <w:tcBorders>
                    <w:tl2br w:val="nil"/>
                    <w:tr2bl w:val="nil"/>
                  </w:tcBorders>
                  <w:vAlign w:val="center"/>
                </w:tcPr>
                <w:p>
                  <w:pPr>
                    <w:pStyle w:val="12"/>
                    <w:spacing w:before="0" w:after="0" w:line="240" w:lineRule="auto"/>
                    <w:ind w:right="0"/>
                    <w:jc w:val="left"/>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本项目使用能源为天然气和电能，生产工艺采用先进技术和先进生产设备</w:t>
                  </w:r>
                </w:p>
              </w:tc>
              <w:tc>
                <w:tcPr>
                  <w:tcW w:w="765" w:type="dxa"/>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全市产业布局总体管控要求</w:t>
                  </w:r>
                </w:p>
              </w:tc>
              <w:tc>
                <w:tcPr>
                  <w:tcW w:w="484" w:type="dxa"/>
                  <w:gridSpan w:val="2"/>
                  <w:tcBorders>
                    <w:tl2br w:val="nil"/>
                    <w:tr2bl w:val="nil"/>
                  </w:tcBorders>
                </w:tcPr>
                <w:p>
                  <w:pPr>
                    <w:widowControl/>
                    <w:numPr>
                      <w:ilvl w:val="0"/>
                      <w:numId w:val="0"/>
                    </w:numPr>
                    <w:jc w:val="left"/>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产业总体布局</w:t>
                  </w:r>
                  <w:r>
                    <w:rPr>
                      <w:rFonts w:hint="eastAsia"/>
                      <w:color w:val="000000" w:themeColor="text1"/>
                      <w:sz w:val="21"/>
                      <w:szCs w:val="21"/>
                      <w:lang w:val="en-US" w:eastAsia="zh-CN"/>
                      <w14:textFill>
                        <w14:solidFill>
                          <w14:schemeClr w14:val="tx1"/>
                        </w14:solidFill>
                      </w14:textFill>
                    </w:rPr>
                    <w:t>要求</w:t>
                  </w:r>
                </w:p>
              </w:tc>
              <w:tc>
                <w:tcPr>
                  <w:tcW w:w="4403" w:type="dxa"/>
                  <w:gridSpan w:val="3"/>
                  <w:tcBorders>
                    <w:tl2br w:val="nil"/>
                    <w:tr2bl w:val="nil"/>
                  </w:tcBorders>
                </w:tcPr>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w:t>
                  </w:r>
                  <w:r>
                    <w:rPr>
                      <w:color w:val="000000" w:themeColor="text1"/>
                      <w:kern w:val="0"/>
                      <w:szCs w:val="21"/>
                      <w:lang w:bidi="ar"/>
                      <w14:textFill>
                        <w14:solidFill>
                          <w14:schemeClr w14:val="tx1"/>
                        </w14:solidFill>
                      </w14:textFill>
                    </w:rPr>
                    <w:t>严格建设项目环境准入，新、改、扩建项目的环境影响评价应满足区域、规划环评要求。</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w:t>
                  </w:r>
                  <w:r>
                    <w:rPr>
                      <w:color w:val="000000" w:themeColor="text1"/>
                      <w:kern w:val="0"/>
                      <w:szCs w:val="21"/>
                      <w:lang w:bidi="ar"/>
                      <w14:textFill>
                        <w14:solidFill>
                          <w14:schemeClr w14:val="tx1"/>
                        </w14:solidFill>
                      </w14:textFill>
                    </w:rPr>
                    <w:t>严格执行国家《产业结构调整指导目录》、《市场准入负面清单》以及《河北省禁止投资的产业目录》中准入要求。</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3、</w:t>
                  </w:r>
                  <w:r>
                    <w:rPr>
                      <w:color w:val="000000" w:themeColor="text1"/>
                      <w:kern w:val="0"/>
                      <w:szCs w:val="21"/>
                      <w:lang w:bidi="ar"/>
                      <w14:textFill>
                        <w14:solidFill>
                          <w14:schemeClr w14:val="tx1"/>
                        </w14:solidFill>
                      </w14:textFill>
                    </w:rPr>
                    <w:t>严格控制《环境保护综合名录》中</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高污染、高风险</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产品加工项目，城市工业企业退城搬迁改造及产能置换项目除外。</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4、</w:t>
                  </w:r>
                  <w:r>
                    <w:rPr>
                      <w:color w:val="000000" w:themeColor="text1"/>
                      <w:kern w:val="0"/>
                      <w:szCs w:val="21"/>
                      <w:lang w:bidi="ar"/>
                      <w14:textFill>
                        <w14:solidFill>
                          <w14:schemeClr w14:val="tx1"/>
                        </w14:solidFill>
                      </w14:textFill>
                    </w:rPr>
                    <w:t>新建项目一律不得违规占用河库管理范围。</w:t>
                  </w:r>
                </w:p>
                <w:p>
                  <w:pPr>
                    <w:widowControl/>
                    <w:numPr>
                      <w:ilvl w:val="0"/>
                      <w:numId w:val="0"/>
                    </w:numPr>
                    <w:jc w:val="left"/>
                    <w:rPr>
                      <w:color w:val="000000" w:themeColor="text1"/>
                      <w:szCs w:val="21"/>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5、</w:t>
                  </w:r>
                  <w:r>
                    <w:rPr>
                      <w:color w:val="000000" w:themeColor="text1"/>
                      <w:kern w:val="0"/>
                      <w:szCs w:val="21"/>
                      <w:lang w:bidi="ar"/>
                      <w14:textFill>
                        <w14:solidFill>
                          <w14:schemeClr w14:val="tx1"/>
                        </w14:solidFill>
                      </w14:textFill>
                    </w:rPr>
                    <w:t>锅炉大气污染物排放控制要求、污染物监测要求、达标判定要求按照河北省地标《锅炉大气污染物排放标准》（DB13/5161-2020）执行。</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6、</w:t>
                  </w:r>
                  <w:r>
                    <w:rPr>
                      <w:rFonts w:hint="eastAsia"/>
                      <w:color w:val="000000" w:themeColor="text1"/>
                      <w:kern w:val="0"/>
                      <w:szCs w:val="21"/>
                      <w:lang w:bidi="ar"/>
                      <w14:textFill>
                        <w14:solidFill>
                          <w14:schemeClr w14:val="tx1"/>
                        </w14:solidFill>
                      </w14:textFill>
                    </w:rPr>
                    <w:t>在地下水超采区控制高耗水产业发展。</w:t>
                  </w:r>
                </w:p>
              </w:tc>
              <w:tc>
                <w:tcPr>
                  <w:tcW w:w="2191" w:type="dxa"/>
                  <w:tcBorders>
                    <w:tl2br w:val="nil"/>
                    <w:tr2bl w:val="nil"/>
                  </w:tcBorders>
                  <w:vAlign w:val="center"/>
                </w:tcPr>
                <w:p>
                  <w:pPr>
                    <w:widowControl/>
                    <w:numPr>
                      <w:ilvl w:val="0"/>
                      <w:numId w:val="0"/>
                    </w:numPr>
                    <w:jc w:val="left"/>
                    <w:rPr>
                      <w:rFonts w:ascii="Times New Roman" w:hAnsi="Times New Roman" w:cs="Times New Roman"/>
                      <w:color w:val="000000" w:themeColor="text1"/>
                      <w:kern w:val="0"/>
                      <w:szCs w:val="21"/>
                      <w:lang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1</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w:t>
                  </w:r>
                  <w:r>
                    <w:rPr>
                      <w:color w:val="000000" w:themeColor="text1"/>
                      <w:sz w:val="21"/>
                      <w:szCs w:val="21"/>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color w:val="000000" w:themeColor="text1"/>
                      <w:sz w:val="21"/>
                      <w:szCs w:val="21"/>
                      <w14:textFill>
                        <w14:solidFill>
                          <w14:schemeClr w14:val="tx1"/>
                        </w14:solidFill>
                      </w14:textFill>
                    </w:rPr>
                    <w:t>，</w:t>
                  </w:r>
                  <w:r>
                    <w:rPr>
                      <w:rFonts w:hint="eastAsia"/>
                      <w:bCs/>
                      <w:color w:val="000000" w:themeColor="text1"/>
                      <w:sz w:val="21"/>
                      <w:szCs w:val="21"/>
                      <w14:textFill>
                        <w14:solidFill>
                          <w14:schemeClr w14:val="tx1"/>
                        </w14:solidFill>
                      </w14:textFill>
                    </w:rPr>
                    <w:t>不属于</w:t>
                  </w:r>
                  <w:r>
                    <w:rPr>
                      <w:color w:val="000000" w:themeColor="text1"/>
                      <w:sz w:val="21"/>
                      <w:szCs w:val="21"/>
                      <w:lang w:bidi="ar"/>
                      <w14:textFill>
                        <w14:solidFill>
                          <w14:schemeClr w14:val="tx1"/>
                        </w14:solidFill>
                      </w14:textFill>
                    </w:rPr>
                    <w:t>《产业结构调</w:t>
                  </w:r>
                  <w:r>
                    <w:rPr>
                      <w:rFonts w:ascii="Times New Roman" w:hAnsi="Times New Roman" w:cs="Times New Roman"/>
                      <w:color w:val="000000" w:themeColor="text1"/>
                      <w:kern w:val="0"/>
                      <w:szCs w:val="21"/>
                      <w:lang w:bidi="ar"/>
                      <w14:textFill>
                        <w14:solidFill>
                          <w14:schemeClr w14:val="tx1"/>
                        </w14:solidFill>
                      </w14:textFill>
                    </w:rPr>
                    <w:t>整指导目录》中淘汰</w:t>
                  </w:r>
                  <w:r>
                    <w:rPr>
                      <w:rFonts w:hint="eastAsia" w:ascii="Times New Roman" w:hAnsi="Times New Roman" w:cs="Times New Roman"/>
                      <w:color w:val="000000" w:themeColor="text1"/>
                      <w:kern w:val="0"/>
                      <w:szCs w:val="21"/>
                      <w:lang w:bidi="ar"/>
                      <w14:textFill>
                        <w14:solidFill>
                          <w14:schemeClr w14:val="tx1"/>
                        </w14:solidFill>
                      </w14:textFill>
                    </w:rPr>
                    <w:t>类</w:t>
                  </w:r>
                  <w:r>
                    <w:rPr>
                      <w:rFonts w:ascii="Times New Roman" w:hAnsi="Times New Roman" w:cs="Times New Roman"/>
                      <w:color w:val="000000" w:themeColor="text1"/>
                      <w:kern w:val="0"/>
                      <w:szCs w:val="21"/>
                      <w:lang w:bidi="ar"/>
                      <w14:textFill>
                        <w14:solidFill>
                          <w14:schemeClr w14:val="tx1"/>
                        </w14:solidFill>
                      </w14:textFill>
                    </w:rPr>
                    <w:t>和限制</w:t>
                  </w:r>
                  <w:r>
                    <w:rPr>
                      <w:rFonts w:hint="eastAsia" w:ascii="Times New Roman" w:hAnsi="Times New Roman" w:cs="Times New Roman"/>
                      <w:color w:val="000000" w:themeColor="text1"/>
                      <w:kern w:val="0"/>
                      <w:szCs w:val="21"/>
                      <w:lang w:bidi="ar"/>
                      <w14:textFill>
                        <w14:solidFill>
                          <w14:schemeClr w14:val="tx1"/>
                        </w14:solidFill>
                      </w14:textFill>
                    </w:rPr>
                    <w:t>类</w:t>
                  </w:r>
                  <w:r>
                    <w:rPr>
                      <w:rFonts w:ascii="Times New Roman" w:hAnsi="Times New Roman" w:cs="Times New Roman"/>
                      <w:color w:val="000000" w:themeColor="text1"/>
                      <w:kern w:val="0"/>
                      <w:szCs w:val="21"/>
                      <w:lang w:bidi="ar"/>
                      <w14:textFill>
                        <w14:solidFill>
                          <w14:schemeClr w14:val="tx1"/>
                        </w14:solidFill>
                      </w14:textFill>
                    </w:rPr>
                    <w:t>以及《河北省禁止投资的产业目录》中</w:t>
                  </w:r>
                  <w:r>
                    <w:rPr>
                      <w:rFonts w:hint="eastAsia" w:ascii="Times New Roman" w:hAnsi="Times New Roman" w:cs="Times New Roman"/>
                      <w:color w:val="000000" w:themeColor="text1"/>
                      <w:kern w:val="0"/>
                      <w:szCs w:val="21"/>
                      <w:lang w:val="en-US" w:eastAsia="zh-CN" w:bidi="ar"/>
                      <w14:textFill>
                        <w14:solidFill>
                          <w14:schemeClr w14:val="tx1"/>
                        </w14:solidFill>
                      </w14:textFill>
                    </w:rPr>
                    <w:t>禁止投资类</w:t>
                  </w:r>
                  <w:r>
                    <w:rPr>
                      <w:rFonts w:hint="eastAsia" w:ascii="Times New Roman" w:hAnsi="Times New Roman" w:cs="Times New Roman"/>
                      <w:color w:val="000000" w:themeColor="text1"/>
                      <w:kern w:val="0"/>
                      <w:szCs w:val="21"/>
                      <w:lang w:bidi="ar"/>
                      <w14:textFill>
                        <w14:solidFill>
                          <w14:schemeClr w14:val="tx1"/>
                        </w14:solidFill>
                      </w14:textFill>
                    </w:rPr>
                    <w:t>；</w:t>
                  </w:r>
                </w:p>
                <w:p>
                  <w:pPr>
                    <w:widowControl/>
                    <w:numPr>
                      <w:ilvl w:val="0"/>
                      <w:numId w:val="0"/>
                    </w:numPr>
                    <w:jc w:val="left"/>
                    <w:rPr>
                      <w:color w:val="000000" w:themeColor="text1"/>
                      <w14:textFill>
                        <w14:solidFill>
                          <w14:schemeClr w14:val="tx1"/>
                        </w14:solidFill>
                      </w14:textFill>
                    </w:rPr>
                  </w:pPr>
                  <w:r>
                    <w:rPr>
                      <w:rFonts w:hint="eastAsia" w:ascii="Times New Roman" w:hAnsi="Times New Roman" w:cs="Times New Roman"/>
                      <w:color w:val="000000" w:themeColor="text1"/>
                      <w:kern w:val="2"/>
                      <w:sz w:val="21"/>
                      <w:szCs w:val="21"/>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w:t>
                  </w:r>
                  <w:r>
                    <w:rPr>
                      <w:rFonts w:hint="eastAsia" w:ascii="Times New Roman" w:hAnsi="Times New Roman" w:cs="Times New Roman"/>
                      <w:color w:val="000000" w:themeColor="text1"/>
                      <w:kern w:val="0"/>
                      <w:szCs w:val="21"/>
                      <w:lang w:bidi="ar"/>
                      <w14:textFill>
                        <w14:solidFill>
                          <w14:schemeClr w14:val="tx1"/>
                        </w14:solidFill>
                      </w14:textFill>
                    </w:rPr>
                    <w:t>本项目</w:t>
                  </w:r>
                  <w:r>
                    <w:rPr>
                      <w:rFonts w:hint="eastAsia" w:ascii="Times New Roman" w:hAnsi="Times New Roman" w:cs="Times New Roman"/>
                      <w:color w:val="000000" w:themeColor="text1"/>
                      <w:kern w:val="0"/>
                      <w:szCs w:val="21"/>
                      <w:lang w:val="en-US" w:eastAsia="zh-CN" w:bidi="ar"/>
                      <w14:textFill>
                        <w14:solidFill>
                          <w14:schemeClr w14:val="tx1"/>
                        </w14:solidFill>
                      </w14:textFill>
                    </w:rPr>
                    <w:t>锅炉</w:t>
                  </w:r>
                  <w:r>
                    <w:rPr>
                      <w:rFonts w:hint="eastAsia" w:ascii="Times New Roman" w:hAnsi="Times New Roman" w:cs="Times New Roman"/>
                      <w:color w:val="000000" w:themeColor="text1"/>
                      <w:kern w:val="0"/>
                      <w:szCs w:val="21"/>
                      <w:lang w:bidi="ar"/>
                      <w14:textFill>
                        <w14:solidFill>
                          <w14:schemeClr w14:val="tx1"/>
                        </w14:solidFill>
                      </w14:textFill>
                    </w:rPr>
                    <w:t>废气污染物经处理后均能满足</w:t>
                  </w:r>
                  <w:r>
                    <w:rPr>
                      <w:rFonts w:ascii="Times New Roman" w:hAnsi="Times New Roman" w:cs="Times New Roman"/>
                      <w:color w:val="000000" w:themeColor="text1"/>
                      <w:kern w:val="0"/>
                      <w:szCs w:val="21"/>
                      <w:lang w:bidi="ar"/>
                      <w14:textFill>
                        <w14:solidFill>
                          <w14:schemeClr w14:val="tx1"/>
                        </w14:solidFill>
                      </w14:textFill>
                    </w:rPr>
                    <w:t>《锅炉大气污染物排放标准》</w:t>
                  </w:r>
                  <w:r>
                    <w:rPr>
                      <w:color w:val="000000" w:themeColor="text1"/>
                      <w:sz w:val="21"/>
                      <w:szCs w:val="21"/>
                      <w14:textFill>
                        <w14:solidFill>
                          <w14:schemeClr w14:val="tx1"/>
                        </w14:solidFill>
                      </w14:textFill>
                    </w:rPr>
                    <w:t>（DB13/5161-2020）</w:t>
                  </w:r>
                  <w:r>
                    <w:rPr>
                      <w:rFonts w:hint="eastAsia"/>
                      <w:color w:val="000000" w:themeColor="text1"/>
                      <w:sz w:val="21"/>
                      <w:szCs w:val="21"/>
                      <w14:textFill>
                        <w14:solidFill>
                          <w14:schemeClr w14:val="tx1"/>
                        </w14:solidFill>
                      </w14:textFill>
                    </w:rPr>
                    <w:t>排放限值要求。</w:t>
                  </w:r>
                </w:p>
              </w:tc>
              <w:tc>
                <w:tcPr>
                  <w:tcW w:w="76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65" w:type="dxa"/>
                  <w:tcBorders>
                    <w:tl2br w:val="nil"/>
                    <w:tr2bl w:val="nil"/>
                  </w:tcBorders>
                  <w:vAlign w:val="center"/>
                </w:tcPr>
                <w:p>
                  <w:pPr>
                    <w:pStyle w:val="12"/>
                    <w:spacing w:before="0" w:after="0" w:line="240" w:lineRule="auto"/>
                    <w:ind w:right="0"/>
                    <w:jc w:val="center"/>
                    <w:rPr>
                      <w:rFonts w:hint="eastAsia"/>
                      <w:color w:val="000000" w:themeColor="text1"/>
                      <w:sz w:val="21"/>
                      <w:szCs w:val="21"/>
                      <w14:textFill>
                        <w14:solidFill>
                          <w14:schemeClr w14:val="tx1"/>
                        </w14:solidFill>
                      </w14:textFill>
                    </w:rPr>
                  </w:pPr>
                </w:p>
              </w:tc>
              <w:tc>
                <w:tcPr>
                  <w:tcW w:w="484" w:type="dxa"/>
                  <w:gridSpan w:val="2"/>
                  <w:tcBorders>
                    <w:tl2br w:val="nil"/>
                    <w:tr2bl w:val="nil"/>
                  </w:tcBorders>
                </w:tcPr>
                <w:p>
                  <w:pPr>
                    <w:widowControl/>
                    <w:numPr>
                      <w:ilvl w:val="0"/>
                      <w:numId w:val="0"/>
                    </w:numPr>
                    <w:jc w:val="left"/>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项目入园准入要求</w:t>
                  </w:r>
                </w:p>
              </w:tc>
              <w:tc>
                <w:tcPr>
                  <w:tcW w:w="4403" w:type="dxa"/>
                  <w:gridSpan w:val="3"/>
                  <w:tcBorders>
                    <w:tl2br w:val="nil"/>
                    <w:tr2bl w:val="nil"/>
                  </w:tcBorders>
                </w:tcPr>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1、县级以下原则不再建设新的园区，造纸、焦化、氮肥、有色金属、印染、原料药制造、皮革、农药、电镀、钢铁、石灰、平板玻璃、</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石化、化工等高污染工业项目必须入园进区。被认定为重点监控点的化工企业，可按照《河北省人民政府办公厅关于印发河北省化工重</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点监控点认定办法的通知》(冀政办字〔2021〕122 号)相关要求执行。</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2、加强园区规划及环评时效性。现有县市级工业区在遵从规划、规划环评及跟踪评价的要求前提下，严格遵循全省、地市及对应单元生</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态环境准入要求。</w:t>
                  </w:r>
                </w:p>
              </w:tc>
              <w:tc>
                <w:tcPr>
                  <w:tcW w:w="2191" w:type="dxa"/>
                  <w:tcBorders>
                    <w:tl2br w:val="nil"/>
                    <w:tr2bl w:val="nil"/>
                  </w:tcBorders>
                  <w:vAlign w:val="center"/>
                </w:tcPr>
                <w:p>
                  <w:pPr>
                    <w:widowControl/>
                    <w:numPr>
                      <w:ilvl w:val="0"/>
                      <w:numId w:val="0"/>
                    </w:numPr>
                    <w:jc w:val="left"/>
                    <w:rPr>
                      <w:rFonts w:hint="default" w:ascii="Times New Roman" w:hAnsi="Times New Roman"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本项目不属于高污染工业项目，未在相关园区内</w:t>
                  </w:r>
                </w:p>
              </w:tc>
              <w:tc>
                <w:tcPr>
                  <w:tcW w:w="765" w:type="dxa"/>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bl>
          <w:p>
            <w:pPr>
              <w:pStyle w:val="60"/>
              <w:rPr>
                <w:rFonts w:hint="eastAsia" w:eastAsia="宋体"/>
                <w:color w:val="000000" w:themeColor="text1"/>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w:t>
            </w:r>
            <w:r>
              <w:rPr>
                <w:rFonts w:hint="eastAsia"/>
                <w:color w:val="000000" w:themeColor="text1"/>
                <w:highlight w:val="none"/>
                <w14:textFill>
                  <w14:solidFill>
                    <w14:schemeClr w14:val="tx1"/>
                  </w14:solidFill>
                </w14:textFill>
              </w:rPr>
              <w:t>与</w:t>
            </w:r>
            <w:r>
              <w:rPr>
                <w:rFonts w:hint="eastAsia"/>
                <w:color w:val="000000" w:themeColor="text1"/>
                <w:kern w:val="0"/>
                <w:sz w:val="24"/>
                <w14:textFill>
                  <w14:solidFill>
                    <w14:schemeClr w14:val="tx1"/>
                  </w14:solidFill>
                </w14:textFill>
              </w:rPr>
              <w:t>《石家庄市“三线一单”生态环境准入清单》（2023年版）</w:t>
            </w:r>
            <w:r>
              <w:rPr>
                <w:rFonts w:hint="eastAsia"/>
                <w:color w:val="000000" w:themeColor="text1"/>
                <w:kern w:val="0"/>
                <w:sz w:val="24"/>
                <w:lang w:val="en-US" w:eastAsia="zh-CN"/>
                <w14:textFill>
                  <w14:solidFill>
                    <w14:schemeClr w14:val="tx1"/>
                  </w14:solidFill>
                </w14:textFill>
              </w:rPr>
              <w:t>中高邑县生态环境</w:t>
            </w:r>
            <w:r>
              <w:rPr>
                <w:rFonts w:hint="eastAsia"/>
                <w:color w:val="000000" w:themeColor="text1"/>
                <w:highlight w:val="none"/>
                <w14:textFill>
                  <w14:solidFill>
                    <w14:schemeClr w14:val="tx1"/>
                  </w14:solidFill>
                </w14:textFill>
              </w:rPr>
              <w:t>准入清单对比详见下表</w:t>
            </w:r>
            <w:r>
              <w:rPr>
                <w:rFonts w:hint="eastAsia"/>
                <w:color w:val="000000" w:themeColor="text1"/>
                <w:highlight w:val="none"/>
                <w:lang w:eastAsia="zh-CN"/>
                <w14:textFill>
                  <w14:solidFill>
                    <w14:schemeClr w14:val="tx1"/>
                  </w14:solidFill>
                </w14:textFill>
              </w:rPr>
              <w:t>。</w:t>
            </w:r>
          </w:p>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高邑县</w:t>
            </w:r>
            <w:r>
              <w:rPr>
                <w:rFonts w:hint="eastAsia"/>
                <w:b/>
                <w:bCs w:val="0"/>
                <w:color w:val="000000" w:themeColor="text1"/>
                <w:highlight w:val="none"/>
                <w14:textFill>
                  <w14:solidFill>
                    <w14:schemeClr w14:val="tx1"/>
                  </w14:solidFill>
                </w14:textFill>
              </w:rPr>
              <w:t>生态环境准入清单</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42"/>
              <w:tblW w:w="8599" w:type="dxa"/>
              <w:tblInd w:w="2"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
            <w:tblGrid>
              <w:gridCol w:w="503"/>
              <w:gridCol w:w="1014"/>
              <w:gridCol w:w="680"/>
              <w:gridCol w:w="3887"/>
              <w:gridCol w:w="2117"/>
              <w:gridCol w:w="398"/>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503"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单元类别</w:t>
                  </w:r>
                </w:p>
              </w:tc>
              <w:tc>
                <w:tcPr>
                  <w:tcW w:w="1014"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环境要素类别</w:t>
                  </w:r>
                </w:p>
              </w:tc>
              <w:tc>
                <w:tcPr>
                  <w:tcW w:w="68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维度</w:t>
                  </w:r>
                </w:p>
              </w:tc>
              <w:tc>
                <w:tcPr>
                  <w:tcW w:w="3887"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2117"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398"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PrEx>
              <w:trPr>
                <w:trHeight w:val="340" w:hRule="atLeast"/>
              </w:trPr>
              <w:tc>
                <w:tcPr>
                  <w:tcW w:w="503" w:type="dxa"/>
                  <w:vMerge w:val="restar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重点管控单元</w:t>
                  </w:r>
                </w:p>
                <w:p>
                  <w:pPr>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w:t>
                  </w:r>
                </w:p>
              </w:tc>
              <w:tc>
                <w:tcPr>
                  <w:tcW w:w="1014" w:type="dxa"/>
                  <w:vMerge w:val="restart"/>
                  <w:tcBorders>
                    <w:tl2br w:val="nil"/>
                    <w:tr2bl w:val="nil"/>
                  </w:tcBorders>
                  <w:vAlign w:val="center"/>
                </w:tcPr>
                <w:p>
                  <w:pPr>
                    <w:jc w:val="center"/>
                    <w:rPr>
                      <w:rFonts w:hint="eastAsia"/>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水环境城镇生活污染重点管控区、大气环境受体敏感重点管控区、地</w:t>
                  </w:r>
                </w:p>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下水开采重点管控区</w:t>
                  </w:r>
                </w:p>
              </w:tc>
              <w:tc>
                <w:tcPr>
                  <w:tcW w:w="68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空间布局约束</w:t>
                  </w:r>
                </w:p>
              </w:tc>
              <w:tc>
                <w:tcPr>
                  <w:tcW w:w="3887" w:type="dxa"/>
                  <w:tcBorders>
                    <w:tl2br w:val="nil"/>
                    <w:tr2bl w:val="nil"/>
                  </w:tcBorders>
                  <w:vAlign w:val="center"/>
                </w:tcPr>
                <w:p>
                  <w:pPr>
                    <w:pStyle w:val="12"/>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1、新建项目必须符合鼓励和允许类发展类导向目录相关要求；对列入限制类的产品产能及工艺装备，企业要限期改造和提升；对列入淘汰类的产品、工艺和技术装备要限期淘汰。</w:t>
                  </w:r>
                </w:p>
                <w:p>
                  <w:pPr>
                    <w:pStyle w:val="12"/>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2、饮用水水源保护区内严格执行《水污染防治法》《集中式饮用水水源地规范化建设环境保护技术要求(HJ773-2015)》相关要求。</w:t>
                  </w:r>
                </w:p>
              </w:tc>
              <w:tc>
                <w:tcPr>
                  <w:tcW w:w="2117" w:type="dxa"/>
                  <w:tcBorders>
                    <w:tl2br w:val="nil"/>
                    <w:tr2bl w:val="nil"/>
                  </w:tcBorders>
                  <w:vAlign w:val="center"/>
                </w:tcPr>
                <w:p>
                  <w:pPr>
                    <w:pStyle w:val="12"/>
                    <w:spacing w:before="0" w:after="0" w:line="240" w:lineRule="auto"/>
                    <w:ind w:right="0"/>
                    <w:jc w:val="left"/>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14:textFill>
                        <w14:solidFill>
                          <w14:schemeClr w14:val="tx1"/>
                        </w14:solidFill>
                      </w14:textFill>
                    </w:rPr>
                    <w:t>本项目符合产业政策</w:t>
                  </w:r>
                  <w:r>
                    <w:rPr>
                      <w:rFonts w:hint="eastAsia"/>
                      <w:bCs/>
                      <w:color w:val="000000" w:themeColor="text1"/>
                      <w:sz w:val="21"/>
                      <w:szCs w:val="21"/>
                      <w:lang w:eastAsia="zh-CN"/>
                      <w14:textFill>
                        <w14:solidFill>
                          <w14:schemeClr w14:val="tx1"/>
                        </w14:solidFill>
                      </w14:textFill>
                    </w:rPr>
                    <w:t>。</w:t>
                  </w:r>
                </w:p>
              </w:tc>
              <w:tc>
                <w:tcPr>
                  <w:tcW w:w="398"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503" w:type="dxa"/>
                  <w:vMerge w:val="continue"/>
                  <w:tcBorders>
                    <w:tl2br w:val="nil"/>
                    <w:tr2bl w:val="nil"/>
                  </w:tcBorders>
                  <w:vAlign w:val="center"/>
                </w:tcPr>
                <w:p>
                  <w:pPr>
                    <w:widowControl/>
                    <w:jc w:val="left"/>
                    <w:rPr>
                      <w:color w:val="000000" w:themeColor="text1"/>
                      <w:szCs w:val="21"/>
                      <w14:textFill>
                        <w14:solidFill>
                          <w14:schemeClr w14:val="tx1"/>
                        </w14:solidFill>
                      </w14:textFill>
                    </w:rPr>
                  </w:pPr>
                </w:p>
              </w:tc>
              <w:tc>
                <w:tcPr>
                  <w:tcW w:w="1014" w:type="dxa"/>
                  <w:vMerge w:val="continue"/>
                  <w:tcBorders>
                    <w:tl2br w:val="nil"/>
                    <w:tr2bl w:val="nil"/>
                  </w:tcBorders>
                  <w:vAlign w:val="center"/>
                </w:tcPr>
                <w:p>
                  <w:pPr>
                    <w:widowControl/>
                    <w:jc w:val="left"/>
                    <w:rPr>
                      <w:color w:val="000000" w:themeColor="text1"/>
                      <w:szCs w:val="21"/>
                      <w14:textFill>
                        <w14:solidFill>
                          <w14:schemeClr w14:val="tx1"/>
                        </w14:solidFill>
                      </w14:textFill>
                    </w:rPr>
                  </w:pPr>
                </w:p>
              </w:tc>
              <w:tc>
                <w:tcPr>
                  <w:tcW w:w="68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污染物排放管控</w:t>
                  </w:r>
                </w:p>
              </w:tc>
              <w:tc>
                <w:tcPr>
                  <w:tcW w:w="3887" w:type="dxa"/>
                  <w:tcBorders>
                    <w:tl2br w:val="nil"/>
                    <w:tr2bl w:val="nil"/>
                  </w:tcBorders>
                  <w:vAlign w:val="center"/>
                </w:tcPr>
                <w:p>
                  <w:pPr>
                    <w:pStyle w:val="12"/>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1、提升城镇污水管网收集能效。</w:t>
                  </w:r>
                </w:p>
                <w:p>
                  <w:pPr>
                    <w:pStyle w:val="12"/>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2、新(改、扩)建向环境水体直接排放污水的排污单位执行《子牙河流域水污染物排放标准》(DB13/2796-2018)排放限值。</w:t>
                  </w:r>
                </w:p>
                <w:p>
                  <w:pPr>
                    <w:pStyle w:val="12"/>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3、落实《关于加强重点行业建设项目区域削减措施监督管理的通知》(环办环评〔2020〕36号)的要求。</w:t>
                  </w:r>
                </w:p>
                <w:p>
                  <w:pPr>
                    <w:pStyle w:val="12"/>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4、严格执行《生活垃圾填埋场污染控制标准》(GB16889-2008)。</w:t>
                  </w:r>
                </w:p>
              </w:tc>
              <w:tc>
                <w:tcPr>
                  <w:tcW w:w="2117" w:type="dxa"/>
                  <w:tcBorders>
                    <w:tl2br w:val="nil"/>
                    <w:tr2bl w:val="nil"/>
                  </w:tcBorders>
                  <w:vAlign w:val="center"/>
                </w:tcPr>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highlight w:val="none"/>
                      <w14:textFill>
                        <w14:solidFill>
                          <w14:schemeClr w14:val="tx1"/>
                        </w14:solidFill>
                      </w14:textFill>
                    </w:rPr>
                    <w:t>本项目</w:t>
                  </w:r>
                  <w:r>
                    <w:rPr>
                      <w:rFonts w:hint="eastAsia"/>
                      <w:bCs/>
                      <w:color w:val="000000" w:themeColor="text1"/>
                      <w:sz w:val="21"/>
                      <w:szCs w:val="21"/>
                      <w:highlight w:val="none"/>
                      <w:lang w:val="en-US" w:eastAsia="zh-CN"/>
                      <w14:textFill>
                        <w14:solidFill>
                          <w14:schemeClr w14:val="tx1"/>
                        </w14:solidFill>
                      </w14:textFill>
                    </w:rPr>
                    <w:t>生活污水水质简单，水量少，厂区化粪池处理后定期清理；车辆清洗废水经隔油器和沉淀池处理后循环使用不外排</w:t>
                  </w:r>
                  <w:r>
                    <w:rPr>
                      <w:rFonts w:hint="eastAsia"/>
                      <w:bCs/>
                      <w:color w:val="000000" w:themeColor="text1"/>
                      <w:sz w:val="21"/>
                      <w:szCs w:val="21"/>
                      <w14:textFill>
                        <w14:solidFill>
                          <w14:schemeClr w14:val="tx1"/>
                        </w14:solidFill>
                      </w14:textFill>
                    </w:rPr>
                    <w:t>。</w:t>
                  </w:r>
                </w:p>
              </w:tc>
              <w:tc>
                <w:tcPr>
                  <w:tcW w:w="398"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503"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1014"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680"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环境风险防控</w:t>
                  </w:r>
                </w:p>
              </w:tc>
              <w:tc>
                <w:tcPr>
                  <w:tcW w:w="3887" w:type="dxa"/>
                  <w:tcBorders>
                    <w:tl2br w:val="nil"/>
                    <w:tr2bl w:val="nil"/>
                  </w:tcBorders>
                  <w:vAlign w:val="center"/>
                </w:tcPr>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1、严禁将城镇生活垃圾等废物直接用作肥料。</w:t>
                  </w:r>
                </w:p>
              </w:tc>
              <w:tc>
                <w:tcPr>
                  <w:tcW w:w="2117" w:type="dxa"/>
                  <w:tcBorders>
                    <w:tl2br w:val="nil"/>
                    <w:tr2bl w:val="nil"/>
                  </w:tcBorders>
                  <w:vAlign w:val="center"/>
                </w:tcPr>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w:t>
                  </w:r>
                  <w:r>
                    <w:rPr>
                      <w:rFonts w:hint="eastAsia"/>
                      <w:bCs/>
                      <w:color w:val="000000" w:themeColor="text1"/>
                      <w:sz w:val="21"/>
                      <w:szCs w:val="21"/>
                      <w:lang w:val="en-US" w:eastAsia="zh-CN"/>
                      <w14:textFill>
                        <w14:solidFill>
                          <w14:schemeClr w14:val="tx1"/>
                        </w14:solidFill>
                      </w14:textFill>
                    </w:rPr>
                    <w:t>产生的固废均合理处理、处置</w:t>
                  </w:r>
                  <w:r>
                    <w:rPr>
                      <w:rFonts w:hint="eastAsia"/>
                      <w:bCs/>
                      <w:color w:val="000000" w:themeColor="text1"/>
                      <w:sz w:val="21"/>
                      <w:szCs w:val="21"/>
                      <w14:textFill>
                        <w14:solidFill>
                          <w14:schemeClr w14:val="tx1"/>
                        </w14:solidFill>
                      </w14:textFill>
                    </w:rPr>
                    <w:t>。</w:t>
                  </w:r>
                </w:p>
              </w:tc>
              <w:tc>
                <w:tcPr>
                  <w:tcW w:w="398"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503"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1014"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680"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资源利用效率</w:t>
                  </w:r>
                </w:p>
              </w:tc>
              <w:tc>
                <w:tcPr>
                  <w:tcW w:w="3887" w:type="dxa"/>
                  <w:tcBorders>
                    <w:tl2br w:val="nil"/>
                    <w:tr2bl w:val="nil"/>
                  </w:tcBorders>
                  <w:vAlign w:val="center"/>
                </w:tcPr>
                <w:p>
                  <w:pPr>
                    <w:pStyle w:val="12"/>
                    <w:spacing w:before="0" w:after="0" w:line="240" w:lineRule="auto"/>
                    <w:ind w:right="0"/>
                    <w:jc w:val="left"/>
                    <w:rPr>
                      <w:rFonts w:hint="eastAsia"/>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1、开展节能活动，提高能源利用效率。</w:t>
                  </w:r>
                </w:p>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2、地下水水资源使用应严格落实《河北省人民政府关于公布地下水超采区和禁止开采区、限制开采区范围的通知》(冀政字〔2022〕59 号)及《关于地下水超采综合治理实施意见》(冀办〔2019〕17号)等相关要求。</w:t>
                  </w:r>
                </w:p>
              </w:tc>
              <w:tc>
                <w:tcPr>
                  <w:tcW w:w="2117" w:type="dxa"/>
                  <w:tcBorders>
                    <w:tl2br w:val="nil"/>
                    <w:tr2bl w:val="nil"/>
                  </w:tcBorders>
                  <w:vAlign w:val="center"/>
                </w:tcPr>
                <w:p>
                  <w:pPr>
                    <w:pStyle w:val="12"/>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本项目水源由</w:t>
                  </w:r>
                  <w:r>
                    <w:rPr>
                      <w:rFonts w:hint="eastAsia"/>
                      <w:bCs/>
                      <w:color w:val="000000" w:themeColor="text1"/>
                      <w:sz w:val="21"/>
                      <w:szCs w:val="21"/>
                      <w:lang w:val="en-US" w:eastAsia="zh-CN"/>
                      <w14:textFill>
                        <w14:solidFill>
                          <w14:schemeClr w14:val="tx1"/>
                        </w14:solidFill>
                      </w14:textFill>
                    </w:rPr>
                    <w:t>中韩镇</w:t>
                  </w:r>
                  <w:r>
                    <w:rPr>
                      <w:rFonts w:hint="eastAsia"/>
                      <w:bCs/>
                      <w:color w:val="000000" w:themeColor="text1"/>
                      <w:sz w:val="21"/>
                      <w:szCs w:val="21"/>
                      <w14:textFill>
                        <w14:solidFill>
                          <w14:schemeClr w14:val="tx1"/>
                        </w14:solidFill>
                      </w14:textFill>
                    </w:rPr>
                    <w:t>市政管网供给，不使用地下水。</w:t>
                  </w:r>
                </w:p>
              </w:tc>
              <w:tc>
                <w:tcPr>
                  <w:tcW w:w="398" w:type="dxa"/>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bl>
          <w:p>
            <w:pPr>
              <w:pStyle w:val="15"/>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由上表分析可知，本项目满足</w:t>
            </w:r>
            <w:r>
              <w:rPr>
                <w:rFonts w:hint="eastAsia"/>
                <w:color w:val="000000" w:themeColor="text1"/>
                <w:lang w:val="en-US" w:eastAsia="zh-CN"/>
                <w14:textFill>
                  <w14:solidFill>
                    <w14:schemeClr w14:val="tx1"/>
                  </w14:solidFill>
                </w14:textFill>
              </w:rPr>
              <w:t>高邑县</w:t>
            </w:r>
            <w:r>
              <w:rPr>
                <w:rFonts w:hint="eastAsia"/>
                <w:color w:val="000000" w:themeColor="text1"/>
                <w14:textFill>
                  <w14:solidFill>
                    <w14:schemeClr w14:val="tx1"/>
                  </w14:solidFill>
                </w14:textFill>
              </w:rPr>
              <w:t>生态环境准入清单要求。</w:t>
            </w:r>
          </w:p>
          <w:p>
            <w:pPr>
              <w:pStyle w:val="15"/>
              <w:rPr>
                <w:color w:val="000000" w:themeColor="text1"/>
                <w14:textFill>
                  <w14:solidFill>
                    <w14:schemeClr w14:val="tx1"/>
                  </w14:solidFill>
                </w14:textFill>
              </w:rPr>
            </w:pPr>
            <w:r>
              <w:rPr>
                <w:rFonts w:hint="eastAsia"/>
                <w:color w:val="000000" w:themeColor="text1"/>
                <w14:textFill>
                  <w14:solidFill>
                    <w14:schemeClr w14:val="tx1"/>
                  </w14:solidFill>
                </w14:textFill>
              </w:rPr>
              <w:t>综上所述，本项目符合</w:t>
            </w:r>
            <w:r>
              <w:rPr>
                <w:rFonts w:hint="eastAsia"/>
                <w:color w:val="000000" w:themeColor="text1"/>
                <w:lang w:val="en-US" w:eastAsia="zh-CN"/>
                <w14:textFill>
                  <w14:solidFill>
                    <w14:schemeClr w14:val="tx1"/>
                  </w14:solidFill>
                </w14:textFill>
              </w:rPr>
              <w:t>石家庄</w:t>
            </w:r>
            <w:r>
              <w:rPr>
                <w:rFonts w:hint="eastAsia"/>
                <w:color w:val="000000" w:themeColor="text1"/>
                <w14:textFill>
                  <w14:solidFill>
                    <w14:schemeClr w14:val="tx1"/>
                  </w14:solidFill>
                </w14:textFill>
              </w:rPr>
              <w:t>市“三线一单”生态环境分区管控相关要求。</w:t>
            </w:r>
          </w:p>
          <w:p>
            <w:pPr>
              <w:spacing w:line="480" w:lineRule="exact"/>
              <w:ind w:firstLine="482" w:firstLineChars="200"/>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2、</w:t>
            </w:r>
            <w:r>
              <w:rPr>
                <w:rFonts w:hint="eastAsia"/>
                <w:b/>
                <w:bCs/>
                <w:color w:val="000000" w:themeColor="text1"/>
                <w:sz w:val="24"/>
                <w14:textFill>
                  <w14:solidFill>
                    <w14:schemeClr w14:val="tx1"/>
                  </w14:solidFill>
                </w14:textFill>
              </w:rPr>
              <w:t>相关产业政策</w:t>
            </w:r>
            <w:r>
              <w:rPr>
                <w:b/>
                <w:bCs/>
                <w:color w:val="000000" w:themeColor="text1"/>
                <w:sz w:val="24"/>
                <w14:textFill>
                  <w14:solidFill>
                    <w14:schemeClr w14:val="tx1"/>
                  </w14:solidFill>
                </w14:textFill>
              </w:rPr>
              <w:t>符合性分析</w:t>
            </w:r>
          </w:p>
          <w:p>
            <w:pPr>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本项目属于</w:t>
            </w:r>
            <w:r>
              <w:rPr>
                <w:rFonts w:hint="default" w:ascii="Times New Roman" w:hAnsi="Times New Roman" w:cs="Times New Roman"/>
                <w:color w:val="000000" w:themeColor="text1"/>
                <w:sz w:val="24"/>
                <w14:textFill>
                  <w14:solidFill>
                    <w14:schemeClr w14:val="tx1"/>
                  </w14:solidFill>
                </w14:textFill>
              </w:rPr>
              <w:t>其他非金属矿物制品制造</w:t>
            </w:r>
            <w:r>
              <w:rPr>
                <w:rFonts w:hint="eastAsia" w:ascii="Times New Roman" w:hAnsi="Times New Roman" w:cs="Times New Roman"/>
                <w:color w:val="000000" w:themeColor="text1"/>
                <w:sz w:val="24"/>
                <w14:textFill>
                  <w14:solidFill>
                    <w14:schemeClr w14:val="tx1"/>
                  </w14:solidFill>
                </w14:textFill>
              </w:rPr>
              <w:t>项目。</w:t>
            </w:r>
            <w:r>
              <w:rPr>
                <w:rFonts w:ascii="Times New Roman" w:hAnsi="Times New Roman" w:cs="Times New Roman"/>
                <w:color w:val="000000" w:themeColor="text1"/>
                <w:sz w:val="24"/>
                <w14:textFill>
                  <w14:solidFill>
                    <w14:schemeClr w14:val="tx1"/>
                  </w14:solidFill>
                </w14:textFill>
              </w:rPr>
              <w:t>根据国家发展改革委颁布的《</w:t>
            </w:r>
            <w:r>
              <w:rPr>
                <w:rFonts w:hint="eastAsia" w:ascii="Times New Roman" w:hAnsi="Times New Roman" w:cs="Times New Roman"/>
                <w:color w:val="000000" w:themeColor="text1"/>
                <w:sz w:val="24"/>
                <w:lang w:eastAsia="zh-CN"/>
                <w14:textFill>
                  <w14:solidFill>
                    <w14:schemeClr w14:val="tx1"/>
                  </w14:solidFill>
                </w14:textFill>
              </w:rPr>
              <w:t>产业结构调整指导目录（2024年本）</w:t>
            </w:r>
            <w:r>
              <w:rPr>
                <w:rFonts w:ascii="Times New Roman" w:hAnsi="Times New Roman" w:cs="Times New Roman"/>
                <w:color w:val="000000" w:themeColor="text1"/>
                <w:sz w:val="24"/>
                <w14:textFill>
                  <w14:solidFill>
                    <w14:schemeClr w14:val="tx1"/>
                  </w14:solidFill>
                </w14:textFill>
              </w:rPr>
              <w:t>》，</w:t>
            </w:r>
            <w:r>
              <w:rPr>
                <w:color w:val="000000" w:themeColor="text1"/>
                <w:sz w:val="24"/>
                <w14:textFill>
                  <w14:solidFill>
                    <w14:schemeClr w14:val="tx1"/>
                  </w14:solidFill>
                </w14:textFill>
              </w:rPr>
              <w:t>本项目不属于限制类和淘汰类，因此，本项目符合国家产业政策。</w:t>
            </w:r>
          </w:p>
          <w:p>
            <w:pPr>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14:textFill>
                  <w14:solidFill>
                    <w14:schemeClr w14:val="tx1"/>
                  </w14:solidFill>
                </w14:textFill>
              </w:rPr>
              <w:t>本项目</w:t>
            </w:r>
            <w:r>
              <w:rPr>
                <w:color w:val="000000" w:themeColor="text1"/>
                <w:sz w:val="24"/>
                <w14:textFill>
                  <w14:solidFill>
                    <w14:schemeClr w14:val="tx1"/>
                  </w14:solidFill>
                </w14:textFill>
              </w:rPr>
              <w:t>不属于《市场准入负面清单》（202</w:t>
            </w:r>
            <w:r>
              <w:rPr>
                <w:rFonts w:hint="eastAsia"/>
                <w:color w:val="000000" w:themeColor="text1"/>
                <w:sz w:val="24"/>
                <w:lang w:val="en-US" w:eastAsia="zh-CN"/>
                <w14:textFill>
                  <w14:solidFill>
                    <w14:schemeClr w14:val="tx1"/>
                  </w14:solidFill>
                </w14:textFill>
              </w:rPr>
              <w:t>2</w:t>
            </w:r>
            <w:r>
              <w:rPr>
                <w:color w:val="000000" w:themeColor="text1"/>
                <w:sz w:val="24"/>
                <w14:textFill>
                  <w14:solidFill>
                    <w14:schemeClr w14:val="tx1"/>
                  </w14:solidFill>
                </w14:textFill>
              </w:rPr>
              <w:t>年版）中禁止准入类项目。</w:t>
            </w:r>
          </w:p>
          <w:p>
            <w:pPr>
              <w:pStyle w:val="15"/>
              <w:ind w:left="0" w:leftChars="0" w:firstLine="480" w:firstLineChars="200"/>
              <w:rPr>
                <w:rFonts w:hint="eastAsia" w:eastAsia="宋体"/>
                <w:color w:val="000000" w:themeColor="text1"/>
                <w:highlight w:val="none"/>
                <w:lang w:val="en-US" w:eastAsia="zh-CN"/>
                <w14:textFill>
                  <w14:solidFill>
                    <w14:schemeClr w14:val="tx1"/>
                  </w14:solidFill>
                </w14:textFill>
              </w:rPr>
            </w:pPr>
            <w:r>
              <w:rPr>
                <w:rFonts w:ascii="Times New Roman" w:hAnsi="Times New Roman"/>
                <w:color w:val="000000" w:themeColor="text1"/>
                <w:sz w:val="24"/>
                <w:highlight w:val="none"/>
                <w14:textFill>
                  <w14:solidFill>
                    <w14:schemeClr w14:val="tx1"/>
                  </w14:solidFill>
                </w14:textFill>
              </w:rPr>
              <w:t>202</w:t>
            </w:r>
            <w:r>
              <w:rPr>
                <w:rFonts w:hint="eastAsia" w:ascii="Times New Roman" w:hAnsi="Times New Roman"/>
                <w:color w:val="000000" w:themeColor="text1"/>
                <w:sz w:val="24"/>
                <w:highlight w:val="none"/>
                <w:lang w:val="en-US" w:eastAsia="zh-CN"/>
                <w14:textFill>
                  <w14:solidFill>
                    <w14:schemeClr w14:val="tx1"/>
                  </w14:solidFill>
                </w14:textFill>
              </w:rPr>
              <w:t>4</w:t>
            </w:r>
            <w:r>
              <w:rPr>
                <w:rFonts w:ascii="Times New Roman" w:hAnsi="Times New Roman"/>
                <w:color w:val="000000" w:themeColor="text1"/>
                <w:sz w:val="24"/>
                <w:highlight w:val="none"/>
                <w14:textFill>
                  <w14:solidFill>
                    <w14:schemeClr w14:val="tx1"/>
                  </w14:solidFill>
                </w14:textFill>
              </w:rPr>
              <w:t>年</w:t>
            </w:r>
            <w:r>
              <w:rPr>
                <w:rFonts w:hint="eastAsia"/>
                <w:color w:val="000000" w:themeColor="text1"/>
                <w:sz w:val="24"/>
                <w:highlight w:val="none"/>
                <w:lang w:val="en-US" w:eastAsia="zh-CN"/>
                <w14:textFill>
                  <w14:solidFill>
                    <w14:schemeClr w14:val="tx1"/>
                  </w14:solidFill>
                </w14:textFill>
              </w:rPr>
              <w:t>12</w:t>
            </w:r>
            <w:r>
              <w:rPr>
                <w:rFonts w:ascii="Times New Roman" w:hAnsi="Times New Roman"/>
                <w:color w:val="000000" w:themeColor="text1"/>
                <w:sz w:val="24"/>
                <w:highlight w:val="none"/>
                <w14:textFill>
                  <w14:solidFill>
                    <w14:schemeClr w14:val="tx1"/>
                  </w14:solidFill>
                </w14:textFill>
              </w:rPr>
              <w:t>月</w:t>
            </w:r>
            <w:r>
              <w:rPr>
                <w:rFonts w:hint="eastAsia"/>
                <w:color w:val="000000" w:themeColor="text1"/>
                <w:sz w:val="24"/>
                <w:highlight w:val="none"/>
                <w:lang w:val="en-US" w:eastAsia="zh-CN"/>
                <w14:textFill>
                  <w14:solidFill>
                    <w14:schemeClr w14:val="tx1"/>
                  </w14:solidFill>
                </w14:textFill>
              </w:rPr>
              <w:t>30</w:t>
            </w:r>
            <w:r>
              <w:rPr>
                <w:rFonts w:ascii="Times New Roman" w:hAnsi="Times New Roman"/>
                <w:color w:val="000000" w:themeColor="text1"/>
                <w:sz w:val="24"/>
                <w:highlight w:val="none"/>
                <w14:textFill>
                  <w14:solidFill>
                    <w14:schemeClr w14:val="tx1"/>
                  </w14:solidFill>
                </w14:textFill>
              </w:rPr>
              <w:t>日高邑县</w:t>
            </w:r>
            <w:r>
              <w:rPr>
                <w:rFonts w:hint="eastAsia"/>
                <w:color w:val="000000" w:themeColor="text1"/>
                <w:sz w:val="24"/>
                <w:highlight w:val="none"/>
                <w:lang w:val="en-US" w:eastAsia="zh-CN"/>
                <w14:textFill>
                  <w14:solidFill>
                    <w14:schemeClr w14:val="tx1"/>
                  </w14:solidFill>
                </w14:textFill>
              </w:rPr>
              <w:t>数据和政务服务</w:t>
            </w:r>
            <w:r>
              <w:rPr>
                <w:rFonts w:ascii="Times New Roman" w:hAnsi="Times New Roman"/>
                <w:color w:val="000000" w:themeColor="text1"/>
                <w:sz w:val="24"/>
                <w:highlight w:val="none"/>
                <w14:textFill>
                  <w14:solidFill>
                    <w14:schemeClr w14:val="tx1"/>
                  </w14:solidFill>
                </w14:textFill>
              </w:rPr>
              <w:t>局针</w:t>
            </w:r>
            <w:r>
              <w:rPr>
                <w:rFonts w:ascii="Times New Roman" w:hAnsi="Times New Roman"/>
                <w:color w:val="000000" w:themeColor="text1"/>
                <w:sz w:val="24"/>
                <w:szCs w:val="32"/>
                <w:highlight w:val="none"/>
                <w14:textFill>
                  <w14:solidFill>
                    <w14:schemeClr w14:val="tx1"/>
                  </w14:solidFill>
                </w14:textFill>
              </w:rPr>
              <w:t>对本项目出具了企业投资项目备案信息，备案编号：高</w:t>
            </w:r>
            <w:r>
              <w:rPr>
                <w:rFonts w:hint="eastAsia"/>
                <w:color w:val="000000" w:themeColor="text1"/>
                <w:sz w:val="24"/>
                <w:szCs w:val="32"/>
                <w:highlight w:val="none"/>
                <w:lang w:val="en-US" w:eastAsia="zh-CN"/>
                <w14:textFill>
                  <w14:solidFill>
                    <w14:schemeClr w14:val="tx1"/>
                  </w14:solidFill>
                </w14:textFill>
              </w:rPr>
              <w:t>数政</w:t>
            </w:r>
            <w:r>
              <w:rPr>
                <w:rFonts w:hint="eastAsia" w:ascii="Times New Roman" w:hAnsi="Times New Roman"/>
                <w:color w:val="000000" w:themeColor="text1"/>
                <w:sz w:val="24"/>
                <w:szCs w:val="32"/>
                <w:highlight w:val="none"/>
                <w:lang w:val="en-US" w:eastAsia="zh-CN"/>
                <w14:textFill>
                  <w14:solidFill>
                    <w14:schemeClr w14:val="tx1"/>
                  </w14:solidFill>
                </w14:textFill>
              </w:rPr>
              <w:t>投备</w:t>
            </w:r>
            <w:r>
              <w:rPr>
                <w:rFonts w:ascii="Times New Roman" w:hAnsi="Times New Roman"/>
                <w:color w:val="000000" w:themeColor="text1"/>
                <w:sz w:val="24"/>
                <w:szCs w:val="32"/>
                <w:highlight w:val="none"/>
                <w14:textFill>
                  <w14:solidFill>
                    <w14:schemeClr w14:val="tx1"/>
                  </w14:solidFill>
                </w14:textFill>
              </w:rPr>
              <w:t>〔202</w:t>
            </w:r>
            <w:r>
              <w:rPr>
                <w:rFonts w:hint="eastAsia" w:ascii="Times New Roman" w:hAnsi="Times New Roman"/>
                <w:color w:val="000000" w:themeColor="text1"/>
                <w:sz w:val="24"/>
                <w:szCs w:val="32"/>
                <w:highlight w:val="none"/>
                <w:lang w:val="en-US" w:eastAsia="zh-CN"/>
                <w14:textFill>
                  <w14:solidFill>
                    <w14:schemeClr w14:val="tx1"/>
                  </w14:solidFill>
                </w14:textFill>
              </w:rPr>
              <w:t>4</w:t>
            </w:r>
            <w:r>
              <w:rPr>
                <w:rFonts w:ascii="Times New Roman" w:hAnsi="Times New Roman"/>
                <w:color w:val="000000" w:themeColor="text1"/>
                <w:sz w:val="24"/>
                <w:szCs w:val="32"/>
                <w:highlight w:val="none"/>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98</w:t>
            </w:r>
            <w:r>
              <w:rPr>
                <w:rFonts w:ascii="Times New Roman" w:hAnsi="Times New Roman"/>
                <w:color w:val="000000" w:themeColor="text1"/>
                <w:sz w:val="24"/>
                <w:szCs w:val="32"/>
                <w:highlight w:val="none"/>
                <w14:textFill>
                  <w14:solidFill>
                    <w14:schemeClr w14:val="tx1"/>
                  </w14:solidFill>
                </w14:textFill>
              </w:rPr>
              <w:t>号</w:t>
            </w:r>
            <w:r>
              <w:rPr>
                <w:rFonts w:hint="eastAsia" w:ascii="Times New Roman" w:hAnsi="Times New Roman"/>
                <w:color w:val="000000" w:themeColor="text1"/>
                <w:sz w:val="24"/>
                <w:szCs w:val="32"/>
                <w:highlight w:val="none"/>
                <w:lang w:eastAsia="zh-CN"/>
                <w14:textFill>
                  <w14:solidFill>
                    <w14:schemeClr w14:val="tx1"/>
                  </w14:solidFill>
                </w14:textFill>
              </w:rPr>
              <w:t>。</w:t>
            </w:r>
          </w:p>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综上所述，本项目符合国家和</w:t>
            </w:r>
            <w:r>
              <w:rPr>
                <w:rFonts w:hint="eastAsia"/>
                <w:color w:val="000000" w:themeColor="text1"/>
                <w:sz w:val="24"/>
                <w14:textFill>
                  <w14:solidFill>
                    <w14:schemeClr w14:val="tx1"/>
                  </w14:solidFill>
                </w14:textFill>
              </w:rPr>
              <w:t>河北省</w:t>
            </w:r>
            <w:r>
              <w:rPr>
                <w:color w:val="000000" w:themeColor="text1"/>
                <w:sz w:val="24"/>
                <w14:textFill>
                  <w14:solidFill>
                    <w14:schemeClr w14:val="tx1"/>
                  </w14:solidFill>
                </w14:textFill>
              </w:rPr>
              <w:t>产业政策要求。</w:t>
            </w:r>
          </w:p>
          <w:p>
            <w:pPr>
              <w:numPr>
                <w:ilvl w:val="0"/>
                <w:numId w:val="0"/>
              </w:numPr>
              <w:spacing w:line="480" w:lineRule="exact"/>
              <w:ind w:firstLine="482" w:firstLineChars="200"/>
              <w:rPr>
                <w:b/>
                <w:bCs/>
                <w:color w:val="000000" w:themeColor="text1"/>
                <w:sz w:val="24"/>
                <w14:textFill>
                  <w14:solidFill>
                    <w14:schemeClr w14:val="tx1"/>
                  </w14:solidFill>
                </w14:textFill>
              </w:rPr>
            </w:pPr>
            <w:r>
              <w:rPr>
                <w:rFonts w:ascii="Times New Roman" w:hAnsi="Times New Roman" w:eastAsia="宋体" w:cs="Times New Roman"/>
                <w:b/>
                <w:bCs/>
                <w:color w:val="000000" w:themeColor="text1"/>
                <w:kern w:val="2"/>
                <w:sz w:val="24"/>
                <w:szCs w:val="24"/>
                <w:lang w:val="en-US" w:eastAsia="zh-CN" w:bidi="ar-SA"/>
                <w14:textFill>
                  <w14:solidFill>
                    <w14:schemeClr w14:val="tx1"/>
                  </w14:solidFill>
                </w14:textFill>
              </w:rPr>
              <w:t>3、</w:t>
            </w:r>
            <w:r>
              <w:rPr>
                <w:b/>
                <w:bCs/>
                <w:color w:val="000000" w:themeColor="text1"/>
                <w:sz w:val="24"/>
                <w14:textFill>
                  <w14:solidFill>
                    <w14:schemeClr w14:val="tx1"/>
                  </w14:solidFill>
                </w14:textFill>
              </w:rPr>
              <w:t>与</w:t>
            </w:r>
            <w:r>
              <w:rPr>
                <w:rFonts w:hint="eastAsia"/>
                <w:b/>
                <w:bCs/>
                <w:color w:val="000000" w:themeColor="text1"/>
                <w:sz w:val="24"/>
                <w:lang w:val="en-US" w:eastAsia="zh-CN"/>
                <w14:textFill>
                  <w14:solidFill>
                    <w14:schemeClr w14:val="tx1"/>
                  </w14:solidFill>
                </w14:textFill>
              </w:rPr>
              <w:t>国土空间总体规划符合</w:t>
            </w:r>
            <w:r>
              <w:rPr>
                <w:b/>
                <w:bCs/>
                <w:color w:val="000000" w:themeColor="text1"/>
                <w:sz w:val="24"/>
                <w14:textFill>
                  <w14:solidFill>
                    <w14:schemeClr w14:val="tx1"/>
                  </w14:solidFill>
                </w14:textFill>
              </w:rPr>
              <w:t>性分析</w:t>
            </w:r>
          </w:p>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高邑县国土空间规划（2021-2035年）“三区三线”</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42"/>
              <w:tblW w:w="8608" w:type="dxa"/>
              <w:tblInd w:w="0"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
            <w:tblGrid>
              <w:gridCol w:w="1175"/>
              <w:gridCol w:w="4810"/>
              <w:gridCol w:w="2163"/>
              <w:gridCol w:w="460"/>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5" w:type="dxa"/>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文件要求</w:t>
                  </w:r>
                </w:p>
              </w:tc>
              <w:tc>
                <w:tcPr>
                  <w:tcW w:w="481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2163"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46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5" w:type="dxa"/>
                  <w:vMerge w:val="restart"/>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划定三条控制线</w:t>
                  </w:r>
                </w:p>
              </w:tc>
              <w:tc>
                <w:tcPr>
                  <w:tcW w:w="4810" w:type="dxa"/>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以保障粮食安全为目标划定永久基本农田</w:t>
                  </w:r>
                  <w:r>
                    <w:rPr>
                      <w:rFonts w:hint="eastAsia"/>
                      <w:color w:val="000000" w:themeColor="text1"/>
                      <w:sz w:val="21"/>
                      <w:szCs w:val="21"/>
                      <w:lang w:eastAsia="zh-CN"/>
                      <w14:textFill>
                        <w14:solidFill>
                          <w14:schemeClr w14:val="tx1"/>
                        </w14:solidFill>
                      </w14:textFill>
                    </w:rPr>
                    <w:t>：</w:t>
                  </w:r>
                </w:p>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对纳入永久基本农田的耕地实行特殊保护不得占用</w:t>
                  </w:r>
                </w:p>
              </w:tc>
              <w:tc>
                <w:tcPr>
                  <w:tcW w:w="2163" w:type="dxa"/>
                  <w:vMerge w:val="restart"/>
                  <w:tcBorders>
                    <w:tl2br w:val="nil"/>
                    <w:tr2bl w:val="nil"/>
                  </w:tcBorders>
                  <w:vAlign w:val="center"/>
                </w:tcPr>
                <w:p>
                  <w:pPr>
                    <w:pStyle w:val="12"/>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color w:val="000000" w:themeColor="text1"/>
                      <w:sz w:val="21"/>
                      <w:szCs w:val="21"/>
                      <w14:textFill>
                        <w14:solidFill>
                          <w14:schemeClr w14:val="tx1"/>
                        </w14:solidFill>
                      </w14:textFill>
                    </w:rPr>
                    <w:t>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w:t>
                  </w:r>
                  <w:r>
                    <w:rPr>
                      <w:rFonts w:hint="eastAsia" w:cs="Times New Roman"/>
                      <w:color w:val="000000" w:themeColor="text1"/>
                      <w:sz w:val="21"/>
                      <w:szCs w:val="21"/>
                      <w:lang w:val="en-US" w:eastAsia="zh-CN"/>
                      <w14:textFill>
                        <w14:solidFill>
                          <w14:schemeClr w14:val="tx1"/>
                        </w14:solidFill>
                      </w14:textFill>
                    </w:rPr>
                    <w:t>中韩镇</w:t>
                  </w:r>
                  <w:r>
                    <w:rPr>
                      <w:rFonts w:hint="eastAsia" w:ascii="Times New Roman" w:hAnsi="Times New Roman" w:cs="Times New Roman"/>
                      <w:color w:val="000000" w:themeColor="text1"/>
                      <w:sz w:val="21"/>
                      <w:szCs w:val="21"/>
                      <w:lang w:val="en-US" w:eastAsia="zh-CN"/>
                      <w14:textFill>
                        <w14:solidFill>
                          <w14:schemeClr w14:val="tx1"/>
                        </w14:solidFill>
                      </w14:textFill>
                    </w:rPr>
                    <w:t>107国道与中韩公路交口东南角</w:t>
                  </w:r>
                  <w:r>
                    <w:rPr>
                      <w:rFonts w:hint="eastAsia" w:cs="Times New Roman"/>
                      <w:color w:val="000000" w:themeColor="text1"/>
                      <w:sz w:val="21"/>
                      <w:szCs w:val="21"/>
                      <w:lang w:val="en-US" w:eastAsia="zh-CN"/>
                      <w14:textFill>
                        <w14:solidFill>
                          <w14:schemeClr w14:val="tx1"/>
                        </w14:solidFill>
                      </w14:textFill>
                    </w:rPr>
                    <w:t>现有厂房内，不新增占地</w:t>
                  </w:r>
                </w:p>
              </w:tc>
              <w:tc>
                <w:tcPr>
                  <w:tcW w:w="460"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5" w:type="dxa"/>
                  <w:vMerge w:val="continue"/>
                  <w:tcBorders>
                    <w:tl2br w:val="nil"/>
                    <w:tr2bl w:val="nil"/>
                  </w:tcBorders>
                  <w:vAlign w:val="center"/>
                </w:tcPr>
                <w:p>
                  <w:pPr>
                    <w:widowControl/>
                    <w:jc w:val="center"/>
                    <w:rPr>
                      <w:color w:val="000000" w:themeColor="text1"/>
                      <w:szCs w:val="21"/>
                      <w14:textFill>
                        <w14:solidFill>
                          <w14:schemeClr w14:val="tx1"/>
                        </w14:solidFill>
                      </w14:textFill>
                    </w:rPr>
                  </w:pPr>
                </w:p>
              </w:tc>
              <w:tc>
                <w:tcPr>
                  <w:tcW w:w="4810" w:type="dxa"/>
                  <w:tcBorders>
                    <w:tl2br w:val="nil"/>
                    <w:tr2bl w:val="nil"/>
                  </w:tcBorders>
                  <w:vAlign w:val="center"/>
                </w:tcPr>
                <w:p>
                  <w:pPr>
                    <w:pStyle w:val="12"/>
                    <w:spacing w:before="0" w:after="0" w:line="240" w:lineRule="auto"/>
                    <w:ind w:right="0"/>
                    <w:jc w:val="center"/>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以构建生态安全格局为目标划定生态保护红线</w:t>
                  </w:r>
                  <w:r>
                    <w:rPr>
                      <w:rFonts w:hint="eastAsia"/>
                      <w:color w:val="000000" w:themeColor="text1"/>
                      <w:sz w:val="21"/>
                      <w:szCs w:val="21"/>
                      <w:lang w:eastAsia="zh-CN"/>
                      <w14:textFill>
                        <w14:solidFill>
                          <w14:schemeClr w14:val="tx1"/>
                        </w14:solidFill>
                      </w14:textFill>
                    </w:rPr>
                    <w:t>：</w:t>
                  </w:r>
                </w:p>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对生态功能重要区域及生态环境敏感脆弱区域进行强制性严格保护</w:t>
                  </w:r>
                </w:p>
              </w:tc>
              <w:tc>
                <w:tcPr>
                  <w:tcW w:w="2163"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460"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5"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4810"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14:textFill>
                        <w14:solidFill>
                          <w14:schemeClr w14:val="tx1"/>
                        </w14:solidFill>
                      </w14:textFill>
                    </w:rPr>
                    <w:t>以保障城镇科学发展需要为目标划定城镇开发边界</w:t>
                  </w:r>
                  <w:r>
                    <w:rPr>
                      <w:rFonts w:hint="eastAsia"/>
                      <w:bCs/>
                      <w:color w:val="000000" w:themeColor="text1"/>
                      <w:sz w:val="21"/>
                      <w:szCs w:val="21"/>
                      <w:lang w:eastAsia="zh-CN"/>
                      <w14:textFill>
                        <w14:solidFill>
                          <w14:schemeClr w14:val="tx1"/>
                        </w14:solidFill>
                      </w14:textFill>
                    </w:rPr>
                    <w:t>：</w:t>
                  </w:r>
                </w:p>
                <w:p>
                  <w:pPr>
                    <w:pStyle w:val="12"/>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约束边界内城镇内涵发展、集中建设。</w:t>
                  </w:r>
                </w:p>
              </w:tc>
              <w:tc>
                <w:tcPr>
                  <w:tcW w:w="2163" w:type="dxa"/>
                  <w:vMerge w:val="continue"/>
                  <w:tcBorders>
                    <w:tl2br w:val="nil"/>
                    <w:tr2bl w:val="nil"/>
                  </w:tcBorders>
                  <w:vAlign w:val="center"/>
                </w:tcPr>
                <w:p>
                  <w:pPr>
                    <w:pStyle w:val="12"/>
                    <w:spacing w:before="0" w:after="0" w:line="240" w:lineRule="auto"/>
                    <w:ind w:right="0"/>
                    <w:jc w:val="center"/>
                    <w:rPr>
                      <w:bCs/>
                      <w:color w:val="000000" w:themeColor="text1"/>
                      <w:sz w:val="21"/>
                      <w:szCs w:val="21"/>
                      <w14:textFill>
                        <w14:solidFill>
                          <w14:schemeClr w14:val="tx1"/>
                        </w14:solidFill>
                      </w14:textFill>
                    </w:rPr>
                  </w:pPr>
                </w:p>
              </w:tc>
              <w:tc>
                <w:tcPr>
                  <w:tcW w:w="460"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bl>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中韩镇国土空间规划（2021-2035年）“三区三线”</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42"/>
              <w:tblW w:w="8608" w:type="dxa"/>
              <w:tblInd w:w="0"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
            <w:tblGrid>
              <w:gridCol w:w="1176"/>
              <w:gridCol w:w="4515"/>
              <w:gridCol w:w="2457"/>
              <w:gridCol w:w="460"/>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6" w:type="dxa"/>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文件要求</w:t>
                  </w:r>
                </w:p>
              </w:tc>
              <w:tc>
                <w:tcPr>
                  <w:tcW w:w="4515"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2457"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460" w:type="dxa"/>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28" w:type="dxa"/>
                  <w:bottom w:w="0" w:type="dxa"/>
                  <w:right w:w="28" w:type="dxa"/>
                </w:tblCellMar>
              </w:tblPrEx>
              <w:trPr>
                <w:trHeight w:val="340" w:hRule="atLeast"/>
              </w:trPr>
              <w:tc>
                <w:tcPr>
                  <w:tcW w:w="1176" w:type="dxa"/>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严格落实三条控制线</w:t>
                  </w:r>
                </w:p>
              </w:tc>
              <w:tc>
                <w:tcPr>
                  <w:tcW w:w="4515" w:type="dxa"/>
                  <w:tcBorders>
                    <w:tl2br w:val="nil"/>
                    <w:tr2bl w:val="nil"/>
                  </w:tcBorders>
                  <w:vAlign w:val="center"/>
                </w:tcPr>
                <w:p>
                  <w:pPr>
                    <w:pStyle w:val="12"/>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坚持最严格的耕地保护制度、生态环境保护制度和节约用地制度落实“三条控制线”和主体功能区布局，明确空间管控要求。统筹空间资源要素，构建国土空间开发保护格局</w:t>
                  </w:r>
                </w:p>
              </w:tc>
              <w:tc>
                <w:tcPr>
                  <w:tcW w:w="2457"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color w:val="000000" w:themeColor="text1"/>
                      <w:sz w:val="21"/>
                      <w:szCs w:val="21"/>
                      <w14:textFill>
                        <w14:solidFill>
                          <w14:schemeClr w14:val="tx1"/>
                        </w14:solidFill>
                      </w14:textFill>
                    </w:rPr>
                    <w:t>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w:t>
                  </w:r>
                  <w:r>
                    <w:rPr>
                      <w:rFonts w:hint="eastAsia" w:cs="Times New Roman"/>
                      <w:color w:val="000000" w:themeColor="text1"/>
                      <w:sz w:val="21"/>
                      <w:szCs w:val="21"/>
                      <w:lang w:val="en-US" w:eastAsia="zh-CN"/>
                      <w14:textFill>
                        <w14:solidFill>
                          <w14:schemeClr w14:val="tx1"/>
                        </w14:solidFill>
                      </w14:textFill>
                    </w:rPr>
                    <w:t>中韩镇</w:t>
                  </w:r>
                  <w:r>
                    <w:rPr>
                      <w:rFonts w:hint="eastAsia" w:ascii="Times New Roman" w:hAnsi="Times New Roman" w:cs="Times New Roman"/>
                      <w:color w:val="000000" w:themeColor="text1"/>
                      <w:sz w:val="21"/>
                      <w:szCs w:val="21"/>
                      <w:lang w:val="en-US" w:eastAsia="zh-CN"/>
                      <w14:textFill>
                        <w14:solidFill>
                          <w14:schemeClr w14:val="tx1"/>
                        </w14:solidFill>
                      </w14:textFill>
                    </w:rPr>
                    <w:t>107国道与中韩公路交口东南角</w:t>
                  </w:r>
                  <w:r>
                    <w:rPr>
                      <w:rFonts w:hint="eastAsia" w:cs="Times New Roman"/>
                      <w:color w:val="000000" w:themeColor="text1"/>
                      <w:sz w:val="21"/>
                      <w:szCs w:val="21"/>
                      <w:lang w:val="en-US" w:eastAsia="zh-CN"/>
                      <w14:textFill>
                        <w14:solidFill>
                          <w14:schemeClr w14:val="tx1"/>
                        </w14:solidFill>
                      </w14:textFill>
                    </w:rPr>
                    <w:t>现有厂房内，不新增占地</w:t>
                  </w:r>
                </w:p>
              </w:tc>
              <w:tc>
                <w:tcPr>
                  <w:tcW w:w="460" w:type="dxa"/>
                  <w:tcBorders>
                    <w:tl2br w:val="nil"/>
                    <w:tr2bl w:val="nil"/>
                  </w:tcBorders>
                  <w:vAlign w:val="center"/>
                </w:tcPr>
                <w:p>
                  <w:pPr>
                    <w:pStyle w:val="12"/>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bl>
          <w:p>
            <w:pPr>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同时本项目与中韩镇镇区空间结构分析关系见下图。</w:t>
            </w: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ind w:firstLine="480" w:firstLineChars="200"/>
              <w:rPr>
                <w:rFonts w:hint="eastAsia"/>
                <w:color w:val="000000" w:themeColor="text1"/>
                <w:sz w:val="24"/>
                <w:lang w:val="en-US" w:eastAsia="zh-CN"/>
                <w14:textFill>
                  <w14:solidFill>
                    <w14:schemeClr w14:val="tx1"/>
                  </w14:solidFill>
                </w14:textFill>
              </w:rPr>
            </w:pPr>
          </w:p>
          <w:p>
            <w:pPr>
              <w:spacing w:line="480" w:lineRule="exact"/>
              <w:jc w:val="center"/>
              <w:rPr>
                <w:b/>
                <w:bCs/>
                <w:color w:val="000000" w:themeColor="text1"/>
                <w:sz w:val="24"/>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1357630</wp:posOffset>
                      </wp:positionH>
                      <wp:positionV relativeFrom="paragraph">
                        <wp:posOffset>1582420</wp:posOffset>
                      </wp:positionV>
                      <wp:extent cx="868680" cy="325120"/>
                      <wp:effectExtent l="218440" t="6350" r="10160" b="247650"/>
                      <wp:wrapNone/>
                      <wp:docPr id="25" name="矩形标注 25"/>
                      <wp:cNvGraphicFramePr/>
                      <a:graphic xmlns:a="http://schemas.openxmlformats.org/drawingml/2006/main">
                        <a:graphicData uri="http://schemas.microsoft.com/office/word/2010/wordprocessingShape">
                          <wps:wsp>
                            <wps:cNvSpPr/>
                            <wps:spPr>
                              <a:xfrm>
                                <a:off x="3072130" y="7159625"/>
                                <a:ext cx="868680" cy="325120"/>
                              </a:xfrm>
                              <a:prstGeom prst="wedgeRectCallout">
                                <a:avLst>
                                  <a:gd name="adj1" fmla="val -69956"/>
                                  <a:gd name="adj2" fmla="val 117187"/>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06.9pt;margin-top:124.6pt;height:25.6pt;width:68.4pt;z-index:251670528;v-text-anchor:middle;mso-width-relative:page;mso-height-relative:page;" fillcolor="#FFFFFF [3212]" filled="t" stroked="t" coordsize="21600,21600" o:gfxdata="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TDABNtcAAAALAQAADwAAAAAAAAABACAAAAAiAAAAZHJzL2Rvd25yZXYueG1sUEsBAhQA&#10;FAAAAAgAh07iQDfuF8GeAgAAIwUAAA4AAAAAAAAAAQAgAAAAJgEAAGRycy9lMm9Eb2MueG1sUEsF&#10;BgAAAAAGAAYAWQEAADYGAAAAAA==&#10;" adj="-4310,36112">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953135</wp:posOffset>
                      </wp:positionH>
                      <wp:positionV relativeFrom="paragraph">
                        <wp:posOffset>2108835</wp:posOffset>
                      </wp:positionV>
                      <wp:extent cx="167640" cy="516890"/>
                      <wp:effectExtent l="24765" t="12065" r="36195" b="19685"/>
                      <wp:wrapNone/>
                      <wp:docPr id="24" name="矩形 24"/>
                      <wp:cNvGraphicFramePr/>
                      <a:graphic xmlns:a="http://schemas.openxmlformats.org/drawingml/2006/main">
                        <a:graphicData uri="http://schemas.microsoft.com/office/word/2010/wordprocessingShape">
                          <wps:wsp>
                            <wps:cNvSpPr/>
                            <wps:spPr>
                              <a:xfrm rot="21360000">
                                <a:off x="2371090" y="7144385"/>
                                <a:ext cx="167640" cy="516890"/>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5.05pt;margin-top:166.05pt;height:40.7pt;width:13.2pt;rotation:-262144f;z-index:251669504;v-text-anchor:middle;mso-width-relative:page;mso-height-relative:page;" filled="f" stroked="t" coordsize="21600,21600" o:gfxdata="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Dhp6aB2gAAAAsBAAAPAAAAAAAAAAEAIAAAACIAAABkcnMvZG93bnJldi54bWxQSwEC&#10;FAAUAAAACACHTuJAgx5UkWQCAACZBAAADgAAAAAAAAABACAAAAApAQAAZHJzL2Uyb0RvYy54bWxQ&#10;SwUGAAAAAAYABgBZAQAA/wUAAAAA&#10;">
                      <v:fill on="f" focussize="0,0"/>
                      <v:stroke weight="1pt" color="#FF0000 [2404]" miterlimit="8" joinstyle="miter"/>
                      <v:imagedata o:title=""/>
                      <o:lock v:ext="edit" aspectratio="f"/>
                    </v:rect>
                  </w:pict>
                </mc:Fallback>
              </mc:AlternateContent>
            </w:r>
            <w:r>
              <w:rPr>
                <w:color w:val="000000" w:themeColor="text1"/>
                <w14:textFill>
                  <w14:solidFill>
                    <w14:schemeClr w14:val="tx1"/>
                  </w14:solidFill>
                </w14:textFill>
              </w:rPr>
              <w:drawing>
                <wp:anchor distT="0" distB="0" distL="114300" distR="114300" simplePos="0" relativeHeight="251668480" behindDoc="0" locked="0" layoutInCell="1" allowOverlap="1">
                  <wp:simplePos x="0" y="0"/>
                  <wp:positionH relativeFrom="column">
                    <wp:posOffset>246380</wp:posOffset>
                  </wp:positionH>
                  <wp:positionV relativeFrom="paragraph">
                    <wp:posOffset>74930</wp:posOffset>
                  </wp:positionV>
                  <wp:extent cx="5039995" cy="3362325"/>
                  <wp:effectExtent l="0" t="0" r="4445" b="5715"/>
                  <wp:wrapSquare wrapText="bothSides"/>
                  <wp:docPr id="2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0"/>
                          <pic:cNvPicPr>
                            <a:picLocks noChangeAspect="1"/>
                          </pic:cNvPicPr>
                        </pic:nvPicPr>
                        <pic:blipFill>
                          <a:blip r:embed="rId13"/>
                          <a:stretch>
                            <a:fillRect/>
                          </a:stretch>
                        </pic:blipFill>
                        <pic:spPr>
                          <a:xfrm>
                            <a:off x="0" y="0"/>
                            <a:ext cx="5039995" cy="3362325"/>
                          </a:xfrm>
                          <a:prstGeom prst="rect">
                            <a:avLst/>
                          </a:prstGeom>
                          <a:noFill/>
                          <a:ln>
                            <a:noFill/>
                          </a:ln>
                        </pic:spPr>
                      </pic:pic>
                    </a:graphicData>
                  </a:graphic>
                </wp:anchor>
              </w:drawing>
            </w: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1-3</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中韩镇镇区空间结构分析图</w:t>
            </w:r>
            <w:r>
              <w:rPr>
                <w:rFonts w:hint="eastAsia"/>
                <w:b/>
                <w:bCs/>
                <w:color w:val="000000" w:themeColor="text1"/>
                <w:sz w:val="24"/>
                <w14:textFill>
                  <w14:solidFill>
                    <w14:schemeClr w14:val="tx1"/>
                  </w14:solidFill>
                </w14:textFill>
              </w:rPr>
              <w:t>位置关系图</w:t>
            </w:r>
          </w:p>
          <w:p>
            <w:pPr>
              <w:numPr>
                <w:ilvl w:val="0"/>
                <w:numId w:val="0"/>
              </w:numPr>
              <w:spacing w:line="480" w:lineRule="exact"/>
              <w:ind w:firstLine="482" w:firstLineChars="200"/>
              <w:rPr>
                <w:b/>
                <w:bCs/>
                <w:color w:val="000000" w:themeColor="text1"/>
                <w:sz w:val="24"/>
                <w14:textFill>
                  <w14:solidFill>
                    <w14:schemeClr w14:val="tx1"/>
                  </w14:solidFill>
                </w14:textFill>
              </w:rPr>
            </w:pPr>
            <w:r>
              <w:rPr>
                <w:rFonts w:hint="eastAsia" w:cs="Times New Roman"/>
                <w:b/>
                <w:bCs/>
                <w:color w:val="000000" w:themeColor="text1"/>
                <w:kern w:val="2"/>
                <w:sz w:val="24"/>
                <w:szCs w:val="24"/>
                <w:lang w:val="en-US" w:eastAsia="zh-CN" w:bidi="ar-SA"/>
                <w14:textFill>
                  <w14:solidFill>
                    <w14:schemeClr w14:val="tx1"/>
                  </w14:solidFill>
                </w14:textFill>
              </w:rPr>
              <w:t>4</w:t>
            </w:r>
            <w:r>
              <w:rPr>
                <w:rFonts w:ascii="Times New Roman" w:hAnsi="Times New Roman" w:eastAsia="宋体" w:cs="Times New Roman"/>
                <w:b/>
                <w:bCs/>
                <w:color w:val="000000" w:themeColor="text1"/>
                <w:kern w:val="2"/>
                <w:sz w:val="24"/>
                <w:szCs w:val="24"/>
                <w:lang w:val="en-US" w:eastAsia="zh-CN" w:bidi="ar-SA"/>
                <w14:textFill>
                  <w14:solidFill>
                    <w14:schemeClr w14:val="tx1"/>
                  </w14:solidFill>
                </w14:textFill>
              </w:rPr>
              <w:t>、</w:t>
            </w:r>
            <w:r>
              <w:rPr>
                <w:b/>
                <w:bCs/>
                <w:color w:val="000000" w:themeColor="text1"/>
                <w:sz w:val="24"/>
                <w14:textFill>
                  <w14:solidFill>
                    <w14:schemeClr w14:val="tx1"/>
                  </w14:solidFill>
                </w14:textFill>
              </w:rPr>
              <w:t>与大气污染防治</w:t>
            </w:r>
            <w:r>
              <w:rPr>
                <w:rFonts w:hint="eastAsia"/>
                <w:b/>
                <w:bCs/>
                <w:color w:val="000000" w:themeColor="text1"/>
                <w:sz w:val="24"/>
                <w:lang w:val="en-US" w:eastAsia="zh-CN"/>
                <w14:textFill>
                  <w14:solidFill>
                    <w14:schemeClr w14:val="tx1"/>
                  </w14:solidFill>
                </w14:textFill>
              </w:rPr>
              <w:t>相关政策符合</w:t>
            </w:r>
            <w:r>
              <w:rPr>
                <w:b/>
                <w:bCs/>
                <w:color w:val="000000" w:themeColor="text1"/>
                <w:sz w:val="24"/>
                <w14:textFill>
                  <w14:solidFill>
                    <w14:schemeClr w14:val="tx1"/>
                  </w14:solidFill>
                </w14:textFill>
              </w:rPr>
              <w:t>性分析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本项目与大气污染防治</w:t>
            </w:r>
            <w:r>
              <w:rPr>
                <w:rFonts w:hint="eastAsia"/>
                <w:b/>
                <w:bCs w:val="0"/>
                <w:color w:val="000000" w:themeColor="text1"/>
                <w:lang w:val="en-US" w:eastAsia="zh-CN"/>
                <w14:textFill>
                  <w14:solidFill>
                    <w14:schemeClr w14:val="tx1"/>
                  </w14:solidFill>
                </w14:textFill>
              </w:rPr>
              <w:t>相关政策符合性</w:t>
            </w:r>
            <w:r>
              <w:rPr>
                <w:b/>
                <w:bCs w:val="0"/>
                <w:color w:val="000000" w:themeColor="text1"/>
                <w14:textFill>
                  <w14:solidFill>
                    <w14:schemeClr w14:val="tx1"/>
                  </w14:solidFill>
                </w14:textFill>
              </w:rPr>
              <w:t>分析</w:t>
            </w:r>
          </w:p>
          <w:tbl>
            <w:tblPr>
              <w:tblStyle w:val="42"/>
              <w:tblW w:w="8611" w:type="dxa"/>
              <w:jc w:val="center"/>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
            <w:tblGrid>
              <w:gridCol w:w="1516"/>
              <w:gridCol w:w="4380"/>
              <w:gridCol w:w="1792"/>
              <w:gridCol w:w="923"/>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tblHeader/>
                <w:jc w:val="center"/>
              </w:trPr>
              <w:tc>
                <w:tcPr>
                  <w:tcW w:w="1516" w:type="dxa"/>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文件名称</w:t>
                  </w:r>
                </w:p>
              </w:tc>
              <w:tc>
                <w:tcPr>
                  <w:tcW w:w="4380" w:type="dxa"/>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与项目有关的条例、条文</w:t>
                  </w:r>
                </w:p>
              </w:tc>
              <w:tc>
                <w:tcPr>
                  <w:tcW w:w="1792" w:type="dxa"/>
                  <w:tcMar>
                    <w:top w:w="57" w:type="dxa"/>
                    <w:bottom w:w="57" w:type="dxa"/>
                  </w:tcMar>
                  <w:vAlign w:val="center"/>
                </w:tcPr>
                <w:p>
                  <w:pPr>
                    <w:pStyle w:val="117"/>
                    <w:snapToGrid w:val="0"/>
                    <w:spacing w:line="240" w:lineRule="auto"/>
                    <w:rPr>
                      <w:rFonts w:hint="eastAsia" w:hAnsi="Times New Roman" w:eastAsia="宋体"/>
                      <w:bCs/>
                      <w:color w:val="000000" w:themeColor="text1"/>
                      <w:szCs w:val="21"/>
                      <w:lang w:val="en-US" w:eastAsia="zh-CN"/>
                      <w14:textFill>
                        <w14:solidFill>
                          <w14:schemeClr w14:val="tx1"/>
                        </w14:solidFill>
                      </w14:textFill>
                    </w:rPr>
                  </w:pPr>
                  <w:r>
                    <w:rPr>
                      <w:rFonts w:hAnsi="Times New Roman"/>
                      <w:bCs/>
                      <w:color w:val="000000" w:themeColor="text1"/>
                      <w:szCs w:val="21"/>
                      <w14:textFill>
                        <w14:solidFill>
                          <w14:schemeClr w14:val="tx1"/>
                        </w14:solidFill>
                      </w14:textFill>
                    </w:rPr>
                    <w:t>本项目</w:t>
                  </w:r>
                  <w:r>
                    <w:rPr>
                      <w:rFonts w:hint="eastAsia" w:hAnsi="Times New Roman"/>
                      <w:bCs/>
                      <w:color w:val="000000" w:themeColor="text1"/>
                      <w:szCs w:val="21"/>
                      <w:lang w:val="en-US" w:eastAsia="zh-CN"/>
                      <w14:textFill>
                        <w14:solidFill>
                          <w14:schemeClr w14:val="tx1"/>
                        </w14:solidFill>
                      </w14:textFill>
                    </w:rPr>
                    <w:t>情况</w:t>
                  </w:r>
                </w:p>
              </w:tc>
              <w:tc>
                <w:tcPr>
                  <w:tcW w:w="923" w:type="dxa"/>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政策</w:t>
                  </w:r>
                </w:p>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tblHeader/>
                <w:jc w:val="center"/>
              </w:trPr>
              <w:tc>
                <w:tcPr>
                  <w:tcW w:w="1516" w:type="dxa"/>
                  <w:vMerge w:val="restart"/>
                  <w:vAlign w:val="center"/>
                </w:tcPr>
                <w:p>
                  <w:pPr>
                    <w:pStyle w:val="199"/>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国务院关于印发《空气质量持续改善行动计划》的通知</w:t>
                  </w:r>
                </w:p>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国发〔2023〕24号</w:t>
                  </w: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大力推动氮氧化物和挥发性有机物（VOCs）减排</w:t>
                  </w:r>
                </w:p>
              </w:tc>
              <w:tc>
                <w:tcPr>
                  <w:tcW w:w="1792" w:type="dxa"/>
                  <w:vMerge w:val="restart"/>
                  <w:tcMar>
                    <w:top w:w="57" w:type="dxa"/>
                    <w:bottom w:w="57" w:type="dxa"/>
                  </w:tcMar>
                  <w:vAlign w:val="center"/>
                </w:tcPr>
                <w:p>
                  <w:pPr>
                    <w:pStyle w:val="117"/>
                    <w:snapToGrid w:val="0"/>
                    <w:spacing w:line="240" w:lineRule="auto"/>
                    <w:rPr>
                      <w:rFonts w:hint="default" w:hAnsi="Times New Roman" w:eastAsia="宋体"/>
                      <w:bCs/>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本项目VOCs废气治理采用了二级活性炭吸附，为可行性技术；沥青储罐使用符合要求的呼吸阀、泄压阀，并定期开展密封性检测</w:t>
                  </w:r>
                </w:p>
              </w:tc>
              <w:tc>
                <w:tcPr>
                  <w:tcW w:w="923" w:type="dxa"/>
                  <w:vMerge w:val="restart"/>
                  <w:vAlign w:val="center"/>
                </w:tcPr>
                <w:p>
                  <w:pPr>
                    <w:pStyle w:val="117"/>
                    <w:snapToGrid w:val="0"/>
                    <w:spacing w:line="240" w:lineRule="auto"/>
                    <w:rPr>
                      <w:rFonts w:hint="eastAsia" w:hAnsi="Times New Roman" w:eastAsia="宋体"/>
                      <w:bCs/>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tblHeader/>
                <w:jc w:val="center"/>
              </w:trPr>
              <w:tc>
                <w:tcPr>
                  <w:tcW w:w="1516" w:type="dxa"/>
                  <w:vMerge w:val="continue"/>
                  <w:vAlign w:val="center"/>
                </w:tcPr>
                <w:p>
                  <w:pPr>
                    <w:pStyle w:val="199"/>
                    <w:jc w:val="center"/>
                    <w:rPr>
                      <w:color w:val="000000" w:themeColor="text1"/>
                      <w14:textFill>
                        <w14:solidFill>
                          <w14:schemeClr w14:val="tx1"/>
                        </w14:solidFill>
                      </w14:textFill>
                    </w:rPr>
                  </w:pP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七）优化含VOCs原辅材料和产品结构。严格控制生产和使用高VOCs含量涂料、油墨、胶粘剂、清洗剂等建设项目，提高低（无）VOCs含量产品比重。实施源头替代工程，加大工业涂装、包装印刷和电子行业低（无）VOCs含量原辅材料替代力度。</w:t>
                  </w:r>
                </w:p>
              </w:tc>
              <w:tc>
                <w:tcPr>
                  <w:tcW w:w="1792" w:type="dxa"/>
                  <w:vMerge w:val="continue"/>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c>
                <w:tcPr>
                  <w:tcW w:w="923" w:type="dxa"/>
                  <w:vMerge w:val="continue"/>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tblHeader/>
                <w:jc w:val="center"/>
              </w:trPr>
              <w:tc>
                <w:tcPr>
                  <w:tcW w:w="1516" w:type="dxa"/>
                  <w:vMerge w:val="continue"/>
                  <w:vAlign w:val="center"/>
                </w:tcPr>
                <w:p>
                  <w:pPr>
                    <w:pStyle w:val="199"/>
                    <w:jc w:val="center"/>
                    <w:rPr>
                      <w:color w:val="000000" w:themeColor="text1"/>
                      <w14:textFill>
                        <w14:solidFill>
                          <w14:schemeClr w14:val="tx1"/>
                        </w14:solidFill>
                      </w14:textFill>
                    </w:rPr>
                  </w:pP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（二十一）强化VOCs全流程、全环节综合治理。鼓励储罐使用低泄漏的呼吸阀、紧急泄压阀，定期开展密封性检测。</w:t>
                  </w:r>
                </w:p>
              </w:tc>
              <w:tc>
                <w:tcPr>
                  <w:tcW w:w="1792" w:type="dxa"/>
                  <w:vMerge w:val="continue"/>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c>
                <w:tcPr>
                  <w:tcW w:w="923" w:type="dxa"/>
                  <w:vMerge w:val="continue"/>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olor w:val="000000" w:themeColor="text1"/>
                      <w14:textFill>
                        <w14:solidFill>
                          <w14:schemeClr w14:val="tx1"/>
                        </w14:solidFill>
                      </w14:textFill>
                    </w:rPr>
                    <w:t>《挥发性有机物无组织排放控制标准》（</w:t>
                  </w:r>
                  <w:r>
                    <w:rPr>
                      <w:color w:val="000000" w:themeColor="text1"/>
                      <w14:textFill>
                        <w14:solidFill>
                          <w14:schemeClr w14:val="tx1"/>
                        </w14:solidFill>
                      </w14:textFill>
                    </w:rPr>
                    <w:t>GB 37822—2019</w:t>
                  </w:r>
                  <w:r>
                    <w:rPr>
                      <w:rFonts w:hint="eastAsia"/>
                      <w:color w:val="000000" w:themeColor="text1"/>
                      <w14:textFill>
                        <w14:solidFill>
                          <w14:schemeClr w14:val="tx1"/>
                        </w14:solidFill>
                      </w14:textFill>
                    </w:rPr>
                    <w:t>）</w:t>
                  </w:r>
                </w:p>
              </w:tc>
              <w:tc>
                <w:tcPr>
                  <w:tcW w:w="4380" w:type="dxa"/>
                  <w:tcMar>
                    <w:top w:w="57" w:type="dxa"/>
                    <w:bottom w:w="57" w:type="dxa"/>
                  </w:tcMar>
                  <w:vAlign w:val="top"/>
                </w:tcPr>
                <w:p>
                  <w:pPr>
                    <w:pStyle w:val="199"/>
                    <w:jc w:val="left"/>
                    <w:rPr>
                      <w:rFonts w:ascii="Times New Roman" w:hAnsi="Times New Roman" w:cs="Times New Roman"/>
                      <w:color w:val="000000" w:themeColor="text1"/>
                      <w:szCs w:val="21"/>
                      <w14:textFill>
                        <w14:solidFill>
                          <w14:schemeClr w14:val="tx1"/>
                        </w14:solidFill>
                      </w14:textFill>
                    </w:rPr>
                  </w:pPr>
                  <w:r>
                    <w:rPr>
                      <w:color w:val="000000" w:themeColor="text1"/>
                      <w14:textFill>
                        <w14:solidFill>
                          <w14:schemeClr w14:val="tx1"/>
                        </w14:solidFill>
                      </w14:textFill>
                    </w:rPr>
                    <w:t>7.2.1 VOCs 质量占比大于等于10%的含VOCs 产品，其使用过程应采用密闭设备或在密闭空间内操作，废气应排至 VOCs 废气收集处理系统;无法密闭的，应采取局部气体收集措施，废气应排至VOCs废气收集处理系统</w:t>
                  </w:r>
                </w:p>
              </w:tc>
              <w:tc>
                <w:tcPr>
                  <w:tcW w:w="1792" w:type="dxa"/>
                  <w:tcMar>
                    <w:top w:w="57" w:type="dxa"/>
                    <w:bottom w:w="57" w:type="dxa"/>
                  </w:tcMar>
                  <w:vAlign w:val="center"/>
                </w:tcPr>
                <w:p>
                  <w:pPr>
                    <w:pStyle w:val="199"/>
                    <w:rPr>
                      <w:rFonts w:ascii="Times New Roman" w:hAnsi="Times New Roman" w:cs="Times New Roman"/>
                      <w:color w:val="000000" w:themeColor="text1"/>
                      <w:szCs w:val="21"/>
                      <w14:textFill>
                        <w14:solidFill>
                          <w14:schemeClr w14:val="tx1"/>
                        </w14:solidFill>
                      </w14:textFill>
                    </w:rPr>
                  </w:pPr>
                  <w:r>
                    <w:rPr>
                      <w:rFonts w:hint="eastAsia"/>
                      <w:color w:val="000000" w:themeColor="text1"/>
                      <w14:textFill>
                        <w14:solidFill>
                          <w14:schemeClr w14:val="tx1"/>
                        </w14:solidFill>
                      </w14:textFill>
                    </w:rPr>
                    <w:t>本项目</w:t>
                  </w:r>
                  <w:r>
                    <w:rPr>
                      <w:rFonts w:hint="eastAsia"/>
                      <w:color w:val="000000" w:themeColor="text1"/>
                      <w:lang w:val="en-US" w:eastAsia="zh-CN"/>
                      <w14:textFill>
                        <w14:solidFill>
                          <w14:schemeClr w14:val="tx1"/>
                        </w14:solidFill>
                      </w14:textFill>
                    </w:rPr>
                    <w:t>产品中VOCs质量占比极小</w:t>
                  </w:r>
                  <w:r>
                    <w:rPr>
                      <w:rFonts w:hint="eastAsia"/>
                      <w:color w:val="000000" w:themeColor="text1"/>
                      <w14:textFill>
                        <w14:solidFill>
                          <w14:schemeClr w14:val="tx1"/>
                        </w14:solidFill>
                      </w14:textFill>
                    </w:rPr>
                    <w:t>，不涉及以上情况</w:t>
                  </w:r>
                </w:p>
              </w:tc>
              <w:tc>
                <w:tcPr>
                  <w:tcW w:w="923" w:type="dxa"/>
                  <w:vAlign w:val="center"/>
                </w:tcPr>
                <w:p>
                  <w:pPr>
                    <w:pStyle w:val="117"/>
                    <w:snapToGrid w:val="0"/>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hAnsi="Times New Roman" w:cs="Times New Roman"/>
                      <w:color w:val="000000" w:themeColor="text1"/>
                      <w:szCs w:val="21"/>
                      <w:highlight w:val="yellow"/>
                      <w:lang w:val="en-US" w:eastAsia="zh-CN"/>
                      <w14:textFill>
                        <w14:solidFill>
                          <w14:schemeClr w14:val="tx1"/>
                        </w14:solidFill>
                      </w14:textFill>
                    </w:rPr>
                  </w:pPr>
                </w:p>
              </w:tc>
              <w:tc>
                <w:tcPr>
                  <w:tcW w:w="4380" w:type="dxa"/>
                  <w:tcMar>
                    <w:top w:w="57" w:type="dxa"/>
                    <w:bottom w:w="57" w:type="dxa"/>
                  </w:tcMar>
                  <w:vAlign w:val="top"/>
                </w:tcPr>
                <w:p>
                  <w:pPr>
                    <w:pStyle w:val="199"/>
                    <w:jc w:val="left"/>
                    <w:rPr>
                      <w:rFonts w:ascii="Times New Roman" w:hAnsi="Times New Roman" w:cs="Times New Roman"/>
                      <w:color w:val="000000" w:themeColor="text1"/>
                      <w:szCs w:val="21"/>
                      <w14:textFill>
                        <w14:solidFill>
                          <w14:schemeClr w14:val="tx1"/>
                        </w14:solidFill>
                      </w14:textFill>
                    </w:rPr>
                  </w:pPr>
                  <w:r>
                    <w:rPr>
                      <w:color w:val="000000" w:themeColor="text1"/>
                      <w14:textFill>
                        <w14:solidFill>
                          <w14:schemeClr w14:val="tx1"/>
                        </w14:solidFill>
                      </w14:textFill>
                    </w:rPr>
                    <w:t>10.3.2 收集的废气中NMHC 初始排放速率&gt;3 kgh 时，应配置VOCs 处理设施，处理效率不应低于80%</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对于重点地区，收集的废气中 NMHC初始排放速率&gt;2kgh 时，应配置VOCs 处理设施，处理效率不应低于80%;采用的原辅材料符合国家有关低 VOCs 含量产品规定的除外</w:t>
                  </w:r>
                </w:p>
              </w:tc>
              <w:tc>
                <w:tcPr>
                  <w:tcW w:w="1792" w:type="dxa"/>
                  <w:tcMar>
                    <w:top w:w="57" w:type="dxa"/>
                    <w:bottom w:w="57" w:type="dxa"/>
                  </w:tcMar>
                  <w:vAlign w:val="center"/>
                </w:tcPr>
                <w:p>
                  <w:pPr>
                    <w:pStyle w:val="199"/>
                    <w:rPr>
                      <w:rFonts w:ascii="Times New Roman" w:hAnsi="Times New Roman" w:cs="Times New Roman"/>
                      <w:color w:val="000000" w:themeColor="text1"/>
                      <w:szCs w:val="21"/>
                      <w14:textFill>
                        <w14:solidFill>
                          <w14:schemeClr w14:val="tx1"/>
                        </w14:solidFill>
                      </w14:textFill>
                    </w:rPr>
                  </w:pPr>
                  <w:r>
                    <w:rPr>
                      <w:rFonts w:hint="eastAsia"/>
                      <w:color w:val="000000" w:themeColor="text1"/>
                      <w14:textFill>
                        <w14:solidFill>
                          <w14:schemeClr w14:val="tx1"/>
                        </w14:solidFill>
                      </w14:textFill>
                    </w:rPr>
                    <w:t>本项目</w:t>
                  </w:r>
                  <w:r>
                    <w:rPr>
                      <w:color w:val="000000" w:themeColor="text1"/>
                      <w14:textFill>
                        <w14:solidFill>
                          <w14:schemeClr w14:val="tx1"/>
                        </w14:solidFill>
                      </w14:textFill>
                    </w:rPr>
                    <w:t>废气中 NMHC 初始排放速率</w:t>
                  </w:r>
                  <w:r>
                    <w:rPr>
                      <w:rFonts w:hint="eastAsia"/>
                      <w:color w:val="000000" w:themeColor="text1"/>
                      <w14:textFill>
                        <w14:solidFill>
                          <w14:schemeClr w14:val="tx1"/>
                        </w14:solidFill>
                      </w14:textFill>
                    </w:rPr>
                    <w:t>小于</w:t>
                  </w:r>
                  <w:r>
                    <w:rPr>
                      <w:color w:val="000000" w:themeColor="text1"/>
                      <w14:textFill>
                        <w14:solidFill>
                          <w14:schemeClr w14:val="tx1"/>
                        </w14:solidFill>
                      </w14:textFill>
                    </w:rPr>
                    <w:t>2kgh</w:t>
                  </w:r>
                  <w:r>
                    <w:rPr>
                      <w:rFonts w:hint="eastAsia"/>
                      <w:color w:val="000000" w:themeColor="text1"/>
                      <w14:textFill>
                        <w14:solidFill>
                          <w14:schemeClr w14:val="tx1"/>
                        </w14:solidFill>
                      </w14:textFill>
                    </w:rPr>
                    <w:t>，不涉及以上情况</w:t>
                  </w:r>
                </w:p>
              </w:tc>
              <w:tc>
                <w:tcPr>
                  <w:tcW w:w="923" w:type="dxa"/>
                  <w:vAlign w:val="center"/>
                </w:tcPr>
                <w:p>
                  <w:pPr>
                    <w:pStyle w:val="117"/>
                    <w:snapToGrid w:val="0"/>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石家庄市</w:t>
                  </w:r>
                  <w:r>
                    <w:rPr>
                      <w:rFonts w:ascii="Times New Roman" w:hAnsi="Times New Roman" w:cs="Times New Roman"/>
                      <w:color w:val="000000" w:themeColor="text1"/>
                      <w:szCs w:val="21"/>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关于深入打好污染防治攻坚战的实施意见》</w:t>
                  </w: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lang w:eastAsia="zh-CN"/>
                      <w14:textFill>
                        <w14:solidFill>
                          <w14:schemeClr w14:val="tx1"/>
                        </w14:solidFill>
                      </w14:textFill>
                    </w:rPr>
                    <w:t>（</w:t>
                  </w:r>
                  <w:r>
                    <w:rPr>
                      <w:rFonts w:hint="eastAsia" w:ascii="Times New Roman" w:hAnsi="Times New Roman" w:eastAsia="宋体" w:cs="Times New Roman"/>
                      <w:color w:val="000000" w:themeColor="text1"/>
                      <w:szCs w:val="21"/>
                      <w14:textFill>
                        <w14:solidFill>
                          <w14:schemeClr w14:val="tx1"/>
                        </w14:solidFill>
                      </w14:textFill>
                    </w:rPr>
                    <w:t>四）坚决遏制高耗能高排放项目盲目发展。严把项目准入关口，对不符合规定的项目坚决停批停建</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本项目不属于</w:t>
                  </w:r>
                  <w:r>
                    <w:rPr>
                      <w:rFonts w:hint="eastAsia" w:hAnsi="Times New Roman" w:eastAsia="宋体"/>
                      <w:color w:val="000000" w:themeColor="text1"/>
                      <w:szCs w:val="21"/>
                      <w14:textFill>
                        <w14:solidFill>
                          <w14:schemeClr w14:val="tx1"/>
                        </w14:solidFill>
                      </w14:textFill>
                    </w:rPr>
                    <w:t>高耗能、高排放、低水平项目</w:t>
                  </w:r>
                </w:p>
              </w:tc>
              <w:tc>
                <w:tcPr>
                  <w:tcW w:w="923" w:type="dxa"/>
                  <w:vAlign w:val="center"/>
                </w:tcPr>
                <w:p>
                  <w:pPr>
                    <w:pStyle w:val="117"/>
                    <w:snapToGrid w:val="0"/>
                    <w:spacing w:line="240" w:lineRule="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（六）加强生态环境分区管控。衔接国土空间规划分区和用途管制要求，将生态保护红线、环境质量底线、资源利用上线的硬约束落实到环境管控单元，建立差别化生态环境准入清单。</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本项目位于重点管控区，不涉及生态保护红线等敏感目标，且用地性质为工业用地</w:t>
                  </w:r>
                </w:p>
              </w:tc>
              <w:tc>
                <w:tcPr>
                  <w:tcW w:w="923" w:type="dxa"/>
                  <w:vAlign w:val="center"/>
                </w:tcPr>
                <w:p>
                  <w:pPr>
                    <w:pStyle w:val="117"/>
                    <w:snapToGrid w:val="0"/>
                    <w:spacing w:line="240" w:lineRule="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（八）打好重污染天气消除攻坚战。聚焦秋冬季细颗粒物污染，加强大气污染综合治理</w:t>
                  </w:r>
                  <w:r>
                    <w:rPr>
                      <w:rFonts w:hint="default" w:ascii="Times New Roman" w:hAnsi="Times New Roman" w:eastAsia="宋体" w:cs="Times New Roman"/>
                      <w:color w:val="000000" w:themeColor="text1"/>
                      <w:szCs w:val="21"/>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本项目废气经可行技术处理后达标排放</w:t>
                  </w:r>
                </w:p>
              </w:tc>
              <w:tc>
                <w:tcPr>
                  <w:tcW w:w="923" w:type="dxa"/>
                  <w:vAlign w:val="center"/>
                </w:tcPr>
                <w:p>
                  <w:pPr>
                    <w:pStyle w:val="117"/>
                    <w:snapToGrid w:val="0"/>
                    <w:spacing w:line="240" w:lineRule="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河北省</w:t>
                  </w:r>
                  <w:r>
                    <w:rPr>
                      <w:rFonts w:hint="eastAsia" w:ascii="Times New Roman" w:hAnsi="Times New Roman" w:eastAsia="宋体" w:cs="Times New Roman"/>
                      <w:color w:val="000000" w:themeColor="text1"/>
                      <w:szCs w:val="21"/>
                      <w14:textFill>
                        <w14:solidFill>
                          <w14:schemeClr w14:val="tx1"/>
                        </w14:solidFill>
                      </w14:textFill>
                    </w:rPr>
                    <w:t>空气质量持续改善行动计划</w:t>
                  </w: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r>
                    <w:rPr>
                      <w:rFonts w:hint="eastAsia" w:hAnsi="Times New Roman" w:eastAsia="宋体"/>
                      <w:color w:val="000000" w:themeColor="text1"/>
                      <w:szCs w:val="21"/>
                      <w:lang w:eastAsia="zh-CN"/>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本项目不属于</w:t>
                  </w:r>
                  <w:r>
                    <w:rPr>
                      <w:rFonts w:hint="eastAsia" w:hAnsi="Times New Roman" w:eastAsia="宋体"/>
                      <w:color w:val="000000" w:themeColor="text1"/>
                      <w:szCs w:val="21"/>
                      <w14:textFill>
                        <w14:solidFill>
                          <w14:schemeClr w14:val="tx1"/>
                        </w14:solidFill>
                      </w14:textFill>
                    </w:rPr>
                    <w:t>高耗能、高排放、低水平项目</w:t>
                  </w:r>
                  <w:r>
                    <w:rPr>
                      <w:rFonts w:hint="eastAsia" w:hAnsi="Times New Roman" w:eastAsia="宋体"/>
                      <w:color w:val="000000" w:themeColor="text1"/>
                      <w:szCs w:val="21"/>
                      <w:lang w:eastAsia="zh-CN"/>
                      <w14:textFill>
                        <w14:solidFill>
                          <w14:schemeClr w14:val="tx1"/>
                        </w14:solidFill>
                      </w14:textFill>
                    </w:rPr>
                    <w:t>；</w:t>
                  </w:r>
                  <w:r>
                    <w:rPr>
                      <w:rFonts w:hint="eastAsia" w:hAnsi="Times New Roman" w:eastAsia="宋体"/>
                      <w:color w:val="000000" w:themeColor="text1"/>
                      <w:szCs w:val="21"/>
                      <w:lang w:val="en-US" w:eastAsia="zh-CN"/>
                      <w14:textFill>
                        <w14:solidFill>
                          <w14:schemeClr w14:val="tx1"/>
                        </w14:solidFill>
                      </w14:textFill>
                    </w:rPr>
                    <w:t>本项目严格</w:t>
                  </w:r>
                  <w:r>
                    <w:rPr>
                      <w:rFonts w:hint="eastAsia" w:hAnsi="Times New Roman" w:eastAsia="宋体"/>
                      <w:color w:val="000000" w:themeColor="text1"/>
                      <w:szCs w:val="21"/>
                      <w14:textFill>
                        <w14:solidFill>
                          <w14:schemeClr w14:val="tx1"/>
                        </w14:solidFill>
                      </w14:textFill>
                    </w:rPr>
                    <w:t>落实国家和省产业规划、产业政策、生态环境分区管控方案、重点污染物总量控制</w:t>
                  </w:r>
                  <w:r>
                    <w:rPr>
                      <w:rFonts w:hint="eastAsia" w:hAnsi="Times New Roman" w:eastAsia="宋体"/>
                      <w:color w:val="000000" w:themeColor="text1"/>
                      <w:szCs w:val="21"/>
                      <w:lang w:val="en-US" w:eastAsia="zh-CN"/>
                      <w14:textFill>
                        <w14:solidFill>
                          <w14:schemeClr w14:val="tx1"/>
                        </w14:solidFill>
                      </w14:textFill>
                    </w:rPr>
                    <w:t>等要求</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ascii="Times New Roman" w:hAnsi="Times New Roman" w:eastAsia="宋体" w:cs="Times New Roman"/>
                      <w:color w:val="000000" w:themeColor="text1"/>
                      <w:szCs w:val="21"/>
                      <w:lang w:val="en-US" w:eastAsia="zh-CN"/>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（六）严控煤炭消费总量。到2025年，煤炭消费量较2020年下降10%左右。重点区域新改扩建用煤项目，依法实行煤炭等量或减量替代。原则上不再新增自备燃煤机组</w:t>
                  </w:r>
                  <w:r>
                    <w:rPr>
                      <w:rFonts w:hint="eastAsia" w:hAnsi="Times New Roman" w:eastAsia="宋体"/>
                      <w:color w:val="000000" w:themeColor="text1"/>
                      <w:szCs w:val="21"/>
                      <w:lang w:eastAsia="zh-CN"/>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本项目不使用煤炭</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ascii="Times New Roman" w:hAnsi="Times New Roman" w:eastAsia="宋体" w:cs="Times New Roman"/>
                      <w:color w:val="000000" w:themeColor="text1"/>
                      <w:szCs w:val="21"/>
                      <w:lang w:val="en-US" w:eastAsia="zh-CN"/>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十七）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鼓励储罐使用低泄漏的呼吸阀、紧急泄压阀，定期开展密封性检测。污水处理场所加大有机废气收集处理力度。</w:t>
                  </w:r>
                </w:p>
              </w:tc>
              <w:tc>
                <w:tcPr>
                  <w:tcW w:w="1792" w:type="dxa"/>
                  <w:tcMar>
                    <w:top w:w="57" w:type="dxa"/>
                    <w:bottom w:w="57" w:type="dxa"/>
                  </w:tcMar>
                  <w:vAlign w:val="center"/>
                </w:tcPr>
                <w:p>
                  <w:pPr>
                    <w:pStyle w:val="117"/>
                    <w:snapToGrid w:val="0"/>
                    <w:spacing w:line="240" w:lineRule="auto"/>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color w:val="000000" w:themeColor="text1"/>
                      <w14:textFill>
                        <w14:solidFill>
                          <w14:schemeClr w14:val="tx1"/>
                        </w14:solidFill>
                      </w14:textFill>
                    </w:rPr>
                    <w:t>本项目</w:t>
                  </w:r>
                  <w:r>
                    <w:rPr>
                      <w:rFonts w:hint="eastAsia"/>
                      <w:color w:val="000000" w:themeColor="text1"/>
                      <w:lang w:val="en-US" w:eastAsia="zh-CN"/>
                      <w14:textFill>
                        <w14:solidFill>
                          <w14:schemeClr w14:val="tx1"/>
                        </w14:solidFill>
                      </w14:textFill>
                    </w:rPr>
                    <w:t>产品中VOCs质量占比极小</w:t>
                  </w:r>
                  <w:r>
                    <w:rPr>
                      <w:rFonts w:hint="eastAsia"/>
                      <w:color w:val="000000" w:themeColor="text1"/>
                      <w14:textFill>
                        <w14:solidFill>
                          <w14:schemeClr w14:val="tx1"/>
                        </w14:solidFill>
                      </w14:textFill>
                    </w:rPr>
                    <w:t>，不涉及以上情况</w:t>
                  </w:r>
                  <w:r>
                    <w:rPr>
                      <w:rFonts w:hint="eastAsia"/>
                      <w:color w:val="000000" w:themeColor="text1"/>
                      <w:lang w:eastAsia="zh-CN"/>
                      <w14:textFill>
                        <w14:solidFill>
                          <w14:schemeClr w14:val="tx1"/>
                        </w14:solidFill>
                      </w14:textFill>
                    </w:rPr>
                    <w:t>；</w:t>
                  </w:r>
                  <w:r>
                    <w:rPr>
                      <w:rFonts w:hint="eastAsia" w:hAnsi="Times New Roman"/>
                      <w:bCs/>
                      <w:color w:val="000000" w:themeColor="text1"/>
                      <w:szCs w:val="21"/>
                      <w:lang w:val="en-US" w:eastAsia="zh-CN"/>
                      <w14:textFill>
                        <w14:solidFill>
                          <w14:schemeClr w14:val="tx1"/>
                        </w14:solidFill>
                      </w14:textFill>
                    </w:rPr>
                    <w:t>沥青储罐使用符合要求的呼吸阀、泄压阀，并定期开展密封性检测</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bl>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综上所述，本项目符合</w:t>
            </w:r>
            <w:r>
              <w:rPr>
                <w:rFonts w:hint="eastAsia"/>
                <w:color w:val="000000" w:themeColor="text1"/>
                <w:sz w:val="24"/>
                <w:lang w:val="en-US" w:eastAsia="zh-CN"/>
                <w14:textFill>
                  <w14:solidFill>
                    <w14:schemeClr w14:val="tx1"/>
                  </w14:solidFill>
                </w14:textFill>
              </w:rPr>
              <w:t>大气污染防治相关政策</w:t>
            </w:r>
            <w:r>
              <w:rPr>
                <w:color w:val="000000" w:themeColor="text1"/>
                <w:sz w:val="24"/>
                <w14:textFill>
                  <w14:solidFill>
                    <w14:schemeClr w14:val="tx1"/>
                  </w14:solidFill>
                </w14:textFill>
              </w:rPr>
              <w:t>要求。</w:t>
            </w:r>
          </w:p>
          <w:p>
            <w:pPr>
              <w:spacing w:line="480" w:lineRule="exact"/>
              <w:ind w:firstLine="482" w:firstLineChars="200"/>
              <w:rPr>
                <w:rFonts w:hint="default" w:eastAsia="宋体"/>
                <w:b/>
                <w:bCs/>
                <w:color w:val="000000" w:themeColor="text1"/>
                <w:sz w:val="24"/>
                <w:lang w:val="en-US" w:eastAsia="zh-CN"/>
                <w14:textFill>
                  <w14:solidFill>
                    <w14:schemeClr w14:val="tx1"/>
                  </w14:solidFill>
                </w14:textFill>
              </w:rPr>
            </w:pPr>
            <w:r>
              <w:rPr>
                <w:rFonts w:hint="eastAsia"/>
                <w:b/>
                <w:bCs/>
                <w:color w:val="000000" w:themeColor="text1"/>
                <w:sz w:val="24"/>
                <w:lang w:val="en-US" w:eastAsia="zh-CN"/>
                <w14:textFill>
                  <w14:solidFill>
                    <w14:schemeClr w14:val="tx1"/>
                  </w14:solidFill>
                </w14:textFill>
              </w:rPr>
              <w:t>5</w:t>
            </w:r>
            <w:r>
              <w:rPr>
                <w:rFonts w:hint="eastAsia"/>
                <w:b/>
                <w:bCs/>
                <w:color w:val="000000" w:themeColor="text1"/>
                <w:sz w:val="24"/>
                <w14:textFill>
                  <w14:solidFill>
                    <w14:schemeClr w14:val="tx1"/>
                  </w14:solidFill>
                </w14:textFill>
              </w:rPr>
              <w:t>、</w:t>
            </w:r>
            <w:r>
              <w:rPr>
                <w:b/>
                <w:bCs/>
                <w:color w:val="000000" w:themeColor="text1"/>
                <w:sz w:val="24"/>
                <w14:textFill>
                  <w14:solidFill>
                    <w14:schemeClr w14:val="tx1"/>
                  </w14:solidFill>
                </w14:textFill>
              </w:rPr>
              <w:t>与土壤污染防治</w:t>
            </w:r>
            <w:r>
              <w:rPr>
                <w:rFonts w:hint="eastAsia"/>
                <w:b/>
                <w:bCs/>
                <w:color w:val="000000" w:themeColor="text1"/>
                <w:sz w:val="24"/>
                <w:lang w:val="en-US" w:eastAsia="zh-CN"/>
                <w14:textFill>
                  <w14:solidFill>
                    <w14:schemeClr w14:val="tx1"/>
                  </w14:solidFill>
                </w14:textFill>
              </w:rPr>
              <w:t>政策符合性分析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本项目与土壤污染防治</w:t>
            </w:r>
            <w:r>
              <w:rPr>
                <w:rFonts w:hint="eastAsia"/>
                <w:b/>
                <w:bCs w:val="0"/>
                <w:color w:val="000000" w:themeColor="text1"/>
                <w:lang w:val="en-US" w:eastAsia="zh-CN"/>
                <w14:textFill>
                  <w14:solidFill>
                    <w14:schemeClr w14:val="tx1"/>
                  </w14:solidFill>
                </w14:textFill>
              </w:rPr>
              <w:t>政策符合性分析</w:t>
            </w:r>
          </w:p>
          <w:tbl>
            <w:tblPr>
              <w:tblStyle w:val="42"/>
              <w:tblW w:w="8611" w:type="dxa"/>
              <w:jc w:val="center"/>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705"/>
              <w:gridCol w:w="4323"/>
              <w:gridCol w:w="1544"/>
              <w:gridCol w:w="1039"/>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blHeader/>
                <w:jc w:val="center"/>
              </w:trPr>
              <w:tc>
                <w:tcPr>
                  <w:tcW w:w="1705"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文件名称</w:t>
                  </w:r>
                </w:p>
              </w:tc>
              <w:tc>
                <w:tcPr>
                  <w:tcW w:w="4323"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与项目有关的条例、条文</w:t>
                  </w:r>
                </w:p>
              </w:tc>
              <w:tc>
                <w:tcPr>
                  <w:tcW w:w="1544"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本项目</w:t>
                  </w:r>
                </w:p>
              </w:tc>
              <w:tc>
                <w:tcPr>
                  <w:tcW w:w="1039"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政策符合性</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1705" w:type="dxa"/>
                  <w:vAlign w:val="center"/>
                </w:tcPr>
                <w:p>
                  <w:pPr>
                    <w:pStyle w:val="117"/>
                    <w:spacing w:line="240" w:lineRule="auto"/>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河北省人民政府关于印发河北省“净土行动”土壤污染防治工作方案的通知（冀政发[2017]3号）</w:t>
                  </w:r>
                </w:p>
              </w:tc>
              <w:tc>
                <w:tcPr>
                  <w:tcW w:w="4323" w:type="dxa"/>
                  <w:vAlign w:val="center"/>
                </w:tcPr>
                <w:p>
                  <w:pPr>
                    <w:pStyle w:val="117"/>
                    <w:spacing w:line="240" w:lineRule="auto"/>
                    <w:jc w:val="left"/>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实施重点监管企业土壤污染监测，列入全省土壤环境重点监管企业名单的企业要自行或委托有资质的环境监测机构对其企业用地每年开展至少1次土壤环境监测，编制土壤环境治理报告，监测数据和报告向当地环保部门备案并向社会公开。规范危险废物处置行为，危险废物产生企业和利用处置企业要根据土壤污染防治的相关要求，完善突发环境事件应急预案内容，并向所在地环保部门备案。</w:t>
                  </w:r>
                </w:p>
              </w:tc>
              <w:tc>
                <w:tcPr>
                  <w:tcW w:w="1544" w:type="dxa"/>
                  <w:vAlign w:val="center"/>
                </w:tcPr>
                <w:p>
                  <w:pPr>
                    <w:pStyle w:val="117"/>
                    <w:spacing w:line="240" w:lineRule="auto"/>
                    <w:jc w:val="center"/>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企业目前未列入上述重点名单</w:t>
                  </w:r>
                </w:p>
              </w:tc>
              <w:tc>
                <w:tcPr>
                  <w:tcW w:w="1039" w:type="dxa"/>
                  <w:vAlign w:val="center"/>
                </w:tcPr>
                <w:p>
                  <w:pPr>
                    <w:pStyle w:val="117"/>
                    <w:spacing w:line="240" w:lineRule="auto"/>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1705" w:type="dxa"/>
                  <w:vMerge w:val="restart"/>
                  <w:vAlign w:val="center"/>
                </w:tcPr>
                <w:p>
                  <w:pPr>
                    <w:pStyle w:val="117"/>
                    <w:spacing w:line="240" w:lineRule="auto"/>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河北省土壤污染防治条例</w:t>
                  </w:r>
                  <w:r>
                    <w:rPr>
                      <w:rFonts w:hint="eastAsia"/>
                      <w:color w:val="000000" w:themeColor="text1"/>
                      <w:lang w:eastAsia="zh-CN"/>
                      <w14:textFill>
                        <w14:solidFill>
                          <w14:schemeClr w14:val="tx1"/>
                        </w14:solidFill>
                      </w14:textFill>
                    </w:rPr>
                    <w:t>（河北省第十三届人民代表大会常务委员会公告（第106号））</w:t>
                  </w: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鼓励工业企业集聚发展，提高土地节约集约利用水平，预防和减少土壤污染。</w:t>
                  </w:r>
                </w:p>
                <w:p>
                  <w:pPr>
                    <w:pStyle w:val="117"/>
                    <w:spacing w:line="240" w:lineRule="auto"/>
                    <w:jc w:val="left"/>
                    <w:rPr>
                      <w:rFonts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工业集聚区应当建设相应的污水集中处理设施和配套管网、固体废物收集和处置设施等公共设施，并保障设施正常运行</w:t>
                  </w:r>
                </w:p>
              </w:tc>
              <w:tc>
                <w:tcPr>
                  <w:tcW w:w="1544" w:type="dxa"/>
                  <w:vAlign w:val="center"/>
                </w:tcPr>
                <w:p>
                  <w:pPr>
                    <w:pStyle w:val="117"/>
                    <w:spacing w:line="240" w:lineRule="auto"/>
                    <w:jc w:val="center"/>
                    <w:rPr>
                      <w:rFonts w:hint="default"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本项目利用现有厂房，不新增占地</w:t>
                  </w: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1705" w:type="dxa"/>
                  <w:vMerge w:val="continue"/>
                  <w:vAlign w:val="center"/>
                </w:tcPr>
                <w:p>
                  <w:pPr>
                    <w:pStyle w:val="117"/>
                    <w:spacing w:line="240" w:lineRule="auto"/>
                    <w:rPr>
                      <w:rFonts w:hint="eastAsia"/>
                      <w:color w:val="000000" w:themeColor="text1"/>
                      <w14:textFill>
                        <w14:solidFill>
                          <w14:schemeClr w14:val="tx1"/>
                        </w14:solidFill>
                      </w14:textFill>
                    </w:rPr>
                  </w:pP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各类涉及土地利用的规划和可能造成土壤污染的新建、改建、扩建建设项目，应当依法进行环境影响评价。环境影响评价文件应当包括对土壤可能造成的不良影响以及应当采取的相应预防措施等内容</w:t>
                  </w:r>
                </w:p>
              </w:tc>
              <w:tc>
                <w:tcPr>
                  <w:tcW w:w="1544" w:type="dxa"/>
                  <w:vMerge w:val="restart"/>
                  <w:vAlign w:val="center"/>
                </w:tcPr>
                <w:p>
                  <w:pPr>
                    <w:pStyle w:val="117"/>
                    <w:spacing w:line="240" w:lineRule="auto"/>
                    <w:jc w:val="center"/>
                    <w:rPr>
                      <w:rFonts w:hint="default"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本次环境影响评价要求企业按照相关要求设置一定的防渗防腐措施，并采取了有效的处理措施</w:t>
                  </w: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1705" w:type="dxa"/>
                  <w:vMerge w:val="continue"/>
                  <w:vAlign w:val="center"/>
                </w:tcPr>
                <w:p>
                  <w:pPr>
                    <w:pStyle w:val="117"/>
                    <w:spacing w:line="240" w:lineRule="auto"/>
                    <w:rPr>
                      <w:rFonts w:hint="eastAsia"/>
                      <w:color w:val="000000" w:themeColor="text1"/>
                      <w14:textFill>
                        <w14:solidFill>
                          <w14:schemeClr w14:val="tx1"/>
                        </w14:solidFill>
                      </w14:textFill>
                    </w:rPr>
                  </w:pP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生产、使用、贮存、运输、回收、处置、排放有毒有害物质的单位和个人，应当采取有效措施，防止有毒有害物质渗漏、流失、扬散，避免土壤受到污染</w:t>
                  </w:r>
                </w:p>
              </w:tc>
              <w:tc>
                <w:tcPr>
                  <w:tcW w:w="1544" w:type="dxa"/>
                  <w:vMerge w:val="continue"/>
                  <w:vAlign w:val="center"/>
                </w:tcPr>
                <w:p>
                  <w:pPr>
                    <w:pStyle w:val="117"/>
                    <w:spacing w:line="240" w:lineRule="auto"/>
                    <w:jc w:val="center"/>
                    <w:rPr>
                      <w:rFonts w:hAnsi="Times New Roman"/>
                      <w:color w:val="000000" w:themeColor="text1"/>
                      <w:szCs w:val="21"/>
                      <w14:textFill>
                        <w14:solidFill>
                          <w14:schemeClr w14:val="tx1"/>
                        </w14:solidFill>
                      </w14:textFill>
                    </w:rPr>
                  </w:pP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bl>
          <w:p>
            <w:pPr>
              <w:autoSpaceDE w:val="0"/>
              <w:autoSpaceDN w:val="0"/>
              <w:adjustRightInd w:val="0"/>
              <w:snapToGrid w:val="0"/>
              <w:spacing w:line="480" w:lineRule="exact"/>
              <w:ind w:firstLine="480" w:firstLineChars="200"/>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由上表可知，本项目符合国务院关于印发土壤污染防治</w:t>
            </w:r>
            <w:r>
              <w:rPr>
                <w:rFonts w:hint="eastAsia"/>
                <w:color w:val="000000" w:themeColor="text1"/>
                <w:kern w:val="0"/>
                <w:sz w:val="24"/>
                <w:lang w:val="en-US" w:eastAsia="zh-CN"/>
                <w14:textFill>
                  <w14:solidFill>
                    <w14:schemeClr w14:val="tx1"/>
                  </w14:solidFill>
                </w14:textFill>
              </w:rPr>
              <w:t>相关政策中</w:t>
            </w:r>
            <w:r>
              <w:rPr>
                <w:color w:val="000000" w:themeColor="text1"/>
                <w:kern w:val="0"/>
                <w:sz w:val="24"/>
                <w14:textFill>
                  <w14:solidFill>
                    <w14:schemeClr w14:val="tx1"/>
                  </w14:solidFill>
                </w14:textFill>
              </w:rPr>
              <w:t>要求。</w:t>
            </w:r>
          </w:p>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6</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与《河北省十一个行业重污染天气应急减排措施制定技术指南（试行）》符合性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w:t>
            </w:r>
            <w:r>
              <w:rPr>
                <w:rFonts w:hint="eastAsia" w:ascii="Times New Roman" w:cs="Times New Roman"/>
                <w:b/>
                <w:bCs w:val="0"/>
                <w:color w:val="000000" w:themeColor="text1"/>
                <w:lang w:val="en-US" w:eastAsia="zh-CN"/>
                <w14:textFill>
                  <w14:solidFill>
                    <w14:schemeClr w14:val="tx1"/>
                  </w14:solidFill>
                </w14:textFill>
              </w:rPr>
              <w:t>与《河北省十一个行业重污染天气应急减排措施制定技术指南（试行）》符</w:t>
            </w:r>
            <w:r>
              <w:rPr>
                <w:rFonts w:hint="eastAsia"/>
                <w:b/>
                <w:bCs w:val="0"/>
                <w:color w:val="000000" w:themeColor="text1"/>
                <w:lang w:val="en-US" w:eastAsia="zh-CN"/>
                <w14:textFill>
                  <w14:solidFill>
                    <w14:schemeClr w14:val="tx1"/>
                  </w14:solidFill>
                </w14:textFill>
              </w:rPr>
              <w:t>合性分析</w:t>
            </w:r>
          </w:p>
          <w:tbl>
            <w:tblPr>
              <w:tblStyle w:val="42"/>
              <w:tblW w:w="8611"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115"/>
              <w:gridCol w:w="492"/>
              <w:gridCol w:w="4173"/>
              <w:gridCol w:w="2534"/>
              <w:gridCol w:w="29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rPr>
              <w:tc>
                <w:tcPr>
                  <w:tcW w:w="1115"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492" w:type="dxa"/>
                  <w:tcBorders>
                    <w:tl2br w:val="nil"/>
                    <w:tr2bl w:val="nil"/>
                  </w:tcBorders>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引领性指标</w:t>
                  </w:r>
                </w:p>
              </w:tc>
              <w:tc>
                <w:tcPr>
                  <w:tcW w:w="4173" w:type="dxa"/>
                  <w:tcBorders>
                    <w:tl2br w:val="nil"/>
                    <w:tr2bl w:val="nil"/>
                  </w:tcBorders>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沥青砼搅拌站</w:t>
                  </w:r>
                </w:p>
              </w:tc>
              <w:tc>
                <w:tcPr>
                  <w:tcW w:w="2534"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297"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115"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《河北省十一个行业重污染天气应急减排措施制定技术指南（试行）》</w:t>
                  </w: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能源类型</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使用电、天然气等能源</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使用电、天然气，不使用其他能源</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污染治理技术</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1.沥青烟、颗粒物治理采用静电捕集等沥青烟除油装置、覆膜袋式除尘器等高效除尘技术；</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除尘使用</w:t>
                  </w:r>
                  <w:r>
                    <w:rPr>
                      <w:rFonts w:hint="eastAsia" w:ascii="Times New Roman" w:hAnsi="Times New Roman" w:cs="Times New Roman"/>
                      <w:color w:val="000000" w:themeColor="text1"/>
                      <w:szCs w:val="21"/>
                      <w14:textFill>
                        <w14:solidFill>
                          <w14:schemeClr w14:val="tx1"/>
                        </w14:solidFill>
                      </w14:textFill>
                    </w:rPr>
                    <w:t>覆膜袋式除尘器</w:t>
                  </w:r>
                  <w:r>
                    <w:rPr>
                      <w:rFonts w:hint="eastAsia" w:hAnsi="Times New Roman" w:cs="Times New Roman"/>
                      <w:color w:val="000000" w:themeColor="text1"/>
                      <w:szCs w:val="21"/>
                      <w:lang w:val="en-US" w:eastAsia="zh-CN"/>
                      <w14:textFill>
                        <w14:solidFill>
                          <w14:schemeClr w14:val="tx1"/>
                        </w14:solidFill>
                      </w14:textFill>
                    </w:rPr>
                    <w:t>；沥青烟使用静电捕集+</w:t>
                  </w:r>
                  <w:r>
                    <w:rPr>
                      <w:rFonts w:hint="eastAsia" w:ascii="Times New Roman" w:hAnsi="Times New Roman" w:cs="Times New Roman"/>
                      <w:color w:val="000000" w:themeColor="text1"/>
                      <w:szCs w:val="21"/>
                      <w14:textFill>
                        <w14:solidFill>
                          <w14:schemeClr w14:val="tx1"/>
                        </w14:solidFill>
                      </w14:textFill>
                    </w:rPr>
                    <w:t>覆膜袋式除尘器</w:t>
                  </w:r>
                </w:p>
              </w:tc>
              <w:tc>
                <w:tcPr>
                  <w:tcW w:w="297"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2.对排放的VOCs进行全面收集，经去除PM（沥青烟）后，采用燃烧工艺进行处理或引至锅炉燃烧处理；</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VOCs使用二级活性炭吸附处理；</w:t>
                  </w:r>
                  <w:r>
                    <w:commentReference w:id="1"/>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3.沥青槽及沥青储罐排气经密闭收集后，经去除颗粒物（沥青烟）后，采用燃烧工艺进行处理或引至锅炉燃烧处理；</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FF0000"/>
                      <w:szCs w:val="21"/>
                      <w:lang w:val="en-US" w:eastAsia="zh-CN"/>
                    </w:rPr>
                    <w:t>沥青烟使用静电捕集+</w:t>
                  </w:r>
                  <w:r>
                    <w:rPr>
                      <w:rFonts w:hint="eastAsia" w:ascii="Times New Roman" w:hAnsi="Times New Roman" w:cs="Times New Roman"/>
                      <w:color w:val="FF0000"/>
                      <w:szCs w:val="21"/>
                    </w:rPr>
                    <w:t>覆膜袋式除尘器</w:t>
                  </w:r>
                  <w:r>
                    <w:rPr>
                      <w:rFonts w:hint="eastAsia" w:hAnsi="Times New Roman" w:cs="Times New Roman"/>
                      <w:color w:val="FF0000"/>
                      <w:szCs w:val="21"/>
                      <w:lang w:val="en-US" w:eastAsia="zh-CN"/>
                    </w:rPr>
                    <w:t>处理后，非甲烷总烃、苯并[a]芘再经二级活性炭吸附</w:t>
                  </w:r>
                  <w:r>
                    <w:commentReference w:id="2"/>
                  </w:r>
                  <w:r>
                    <w:rPr>
                      <w:rFonts w:hint="eastAsia"/>
                      <w:lang w:val="en-US" w:eastAsia="zh-CN"/>
                    </w:rPr>
                    <w:t>处理后排放</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4.燃气锅炉（导热油炉）采用低氮燃烧技术</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燃气锅炉使用低氮燃烧器</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无组织管控</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1.所有物料（包括原辅料、半成品、成品）采用料仓、储罐、料库等方式封闭储存；沥青储罐设置在厂房内，呼吸孔安装VOC</w:t>
                  </w:r>
                  <w:r>
                    <w:rPr>
                      <w:rFonts w:hint="eastAsia" w:hAnsi="Times New Roman" w:cs="Times New Roman"/>
                      <w:color w:val="000000" w:themeColor="text1"/>
                      <w:szCs w:val="21"/>
                      <w:lang w:val="en-US" w:eastAsia="zh-CN"/>
                      <w14:textFill>
                        <w14:solidFill>
                          <w14:schemeClr w14:val="tx1"/>
                        </w14:solidFill>
                      </w14:textFill>
                    </w:rPr>
                    <w:t>s</w:t>
                  </w:r>
                  <w:r>
                    <w:rPr>
                      <w:rFonts w:hint="eastAsia" w:ascii="Times New Roman" w:hAnsi="Times New Roman" w:cs="Times New Roman"/>
                      <w:color w:val="000000" w:themeColor="text1"/>
                      <w:szCs w:val="21"/>
                      <w14:textFill>
                        <w14:solidFill>
                          <w14:schemeClr w14:val="tx1"/>
                        </w14:solidFill>
                      </w14:textFill>
                    </w:rPr>
                    <w:t>收集净化设施；</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所有物料采用料仓、储罐、料库等方式封闭储存；沥青储罐设置在厂房内，</w:t>
                  </w:r>
                  <w:r>
                    <w:rPr>
                      <w:rFonts w:hint="eastAsia" w:hAnsi="Times New Roman" w:cs="Times New Roman"/>
                      <w:color w:val="000000" w:themeColor="text1"/>
                      <w:szCs w:val="21"/>
                      <w:lang w:val="en-US" w:eastAsia="zh-CN"/>
                      <w14:textFill>
                        <w14:solidFill>
                          <w14:schemeClr w14:val="tx1"/>
                        </w14:solidFill>
                      </w14:textFill>
                    </w:rPr>
                    <w:t>设置了</w:t>
                  </w:r>
                  <w:r>
                    <w:rPr>
                      <w:rFonts w:hint="eastAsia" w:ascii="Times New Roman" w:hAnsi="Times New Roman" w:cs="Times New Roman"/>
                      <w:color w:val="000000" w:themeColor="text1"/>
                      <w:szCs w:val="21"/>
                      <w14:textFill>
                        <w14:solidFill>
                          <w14:schemeClr w14:val="tx1"/>
                        </w14:solidFill>
                      </w14:textFill>
                    </w:rPr>
                    <w:t>VOC</w:t>
                  </w:r>
                  <w:r>
                    <w:rPr>
                      <w:rFonts w:hint="eastAsia" w:hAnsi="Times New Roman" w:cs="Times New Roman"/>
                      <w:color w:val="000000" w:themeColor="text1"/>
                      <w:szCs w:val="21"/>
                      <w:lang w:val="en-US" w:eastAsia="zh-CN"/>
                      <w14:textFill>
                        <w14:solidFill>
                          <w14:schemeClr w14:val="tx1"/>
                        </w14:solidFill>
                      </w14:textFill>
                    </w:rPr>
                    <w:t>s</w:t>
                  </w:r>
                  <w:r>
                    <w:rPr>
                      <w:rFonts w:hint="eastAsia" w:ascii="Times New Roman" w:hAnsi="Times New Roman" w:cs="Times New Roman"/>
                      <w:color w:val="000000" w:themeColor="text1"/>
                      <w:szCs w:val="21"/>
                      <w14:textFill>
                        <w14:solidFill>
                          <w14:schemeClr w14:val="tx1"/>
                        </w14:solidFill>
                      </w14:textFill>
                    </w:rPr>
                    <w:t>收集净化设施</w:t>
                  </w:r>
                  <w:r>
                    <w:rPr>
                      <w:rFonts w:hint="eastAsia" w:hAnsi="Times New Roman" w:cs="Times New Roman"/>
                      <w:color w:val="000000" w:themeColor="text1"/>
                      <w:szCs w:val="21"/>
                      <w:lang w:eastAsia="zh-CN"/>
                      <w14:textFill>
                        <w14:solidFill>
                          <w14:schemeClr w14:val="tx1"/>
                        </w14:solidFill>
                      </w14:textFill>
                    </w:rPr>
                    <w:t>；</w:t>
                  </w:r>
                </w:p>
              </w:tc>
              <w:tc>
                <w:tcPr>
                  <w:tcW w:w="297"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所有散状物料运输采用封闭皮带、封闭通廊、管状带式输送机或封闭车厢、真空罐车、气力输送等封闭方式；沥青运输、储存、装卸、加热、改性等过程密闭，沥青采用密闭管道输送投加，配备沥青加料自动联锁系统；</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散装物料均密闭输送，沥青运输、储存等过程均密闭，采用密闭管道输送，</w:t>
                  </w:r>
                  <w:r>
                    <w:rPr>
                      <w:rFonts w:hint="eastAsia" w:ascii="Times New Roman" w:hAnsi="Times New Roman" w:cs="Times New Roman"/>
                      <w:color w:val="000000" w:themeColor="text1"/>
                      <w:szCs w:val="21"/>
                      <w14:textFill>
                        <w14:solidFill>
                          <w14:schemeClr w14:val="tx1"/>
                        </w14:solidFill>
                      </w14:textFill>
                    </w:rPr>
                    <w:t>配备沥青加料自动联锁系统</w:t>
                  </w:r>
                  <w:r>
                    <w:rPr>
                      <w:rFonts w:hint="eastAsia" w:hAnsi="Times New Roman" w:cs="Times New Roman"/>
                      <w:color w:val="000000" w:themeColor="text1"/>
                      <w:szCs w:val="21"/>
                      <w:lang w:eastAsia="zh-CN"/>
                      <w14:textFill>
                        <w14:solidFill>
                          <w14:schemeClr w14:val="tx1"/>
                        </w14:solidFill>
                      </w14:textFill>
                    </w:rPr>
                    <w:t>；</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各物料破碎、搅拌、转载、下料口、卸料装车等设置集尘罩并配置袋式除尘器，库顶等泄压口配备袋式除尘器或滤筒除尘器；搅拌机皮带跌落点等产尘点配套抽风收尘及除尘装置，不得有明显粉尘逸散；卸沥青槽密闭，沥青槽及沥青储罐废气负压引至废气收集处理系统；</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FF0000"/>
                      <w:szCs w:val="21"/>
                      <w:lang w:val="en-US" w:eastAsia="zh-CN"/>
                    </w:rPr>
                    <w:t>上料、筛分等工序设置集尘罩并配置覆膜袋式除尘器；除尘器卸灰封闭输送；成品出料口设置集气罩并</w:t>
                  </w:r>
                  <w:r>
                    <w:rPr>
                      <w:rFonts w:hint="eastAsia" w:ascii="Times New Roman" w:hAnsi="Times New Roman" w:cs="Times New Roman"/>
                      <w:color w:val="FF0000"/>
                      <w:szCs w:val="21"/>
                    </w:rPr>
                    <w:t>引至废气收集处理系统</w:t>
                  </w:r>
                  <w:r>
                    <w:rPr>
                      <w:rFonts w:hint="eastAsia" w:hAnsi="Times New Roman" w:cs="Times New Roman"/>
                      <w:color w:val="FF0000"/>
                      <w:szCs w:val="21"/>
                      <w:lang w:val="en-US" w:eastAsia="zh-CN"/>
                    </w:rPr>
                    <w:t>；</w:t>
                  </w:r>
                  <w:r>
                    <w:rPr>
                      <w:rFonts w:hint="eastAsia" w:ascii="Times New Roman" w:hAnsi="Times New Roman" w:cs="Times New Roman"/>
                      <w:color w:val="FF0000"/>
                      <w:szCs w:val="21"/>
                    </w:rPr>
                    <w:t>沥青储罐废气负压引至废气收集处理系统</w:t>
                  </w:r>
                  <w:r>
                    <w:rPr>
                      <w:rFonts w:hint="eastAsia" w:hAnsi="Times New Roman" w:cs="Times New Roman"/>
                      <w:color w:val="FF0000"/>
                      <w:szCs w:val="21"/>
                      <w:lang w:eastAsia="zh-CN"/>
                    </w:rPr>
                    <w:t>；</w:t>
                  </w:r>
                  <w:r>
                    <w:rPr>
                      <w:rFonts w:hint="eastAsia" w:ascii="Times New Roman" w:hAnsi="Times New Roman" w:cs="Times New Roman"/>
                      <w:color w:val="FF0000"/>
                      <w:szCs w:val="21"/>
                    </w:rPr>
                    <w:t>料棚配备喷雾抑尘设施</w:t>
                  </w:r>
                  <w:r>
                    <w:rPr>
                      <w:color w:val="FF0000"/>
                    </w:rPr>
                    <w:commentReference w:id="3"/>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4.沥青砼搅拌（拌和）楼需二次封闭并将粉料储罐封闭在内，沥青砼搅拌机、搅拌楼配套安装沥青烟气收集及处理设施；沥青砼成品装车处封闭，配套安装沥青烟气收集及处理设施；</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搅拌楼全部密封，配套废气收集装置</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5.除尘器卸灰不直接卸落到地面，采用封闭袋或封闭储槽、储罐接或封闭式螺旋输送，卸灰区封闭；</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除尘器不落地，直接回用于生产</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6.料棚配备喷雾抑尘设施或物料全部封闭储存，货物进出大门为自动感应门，在确保安全的情况下，所有门窗保持常闭</w:t>
                  </w: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出入口配自动门。</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原料仓库配备喷淋除尘设备，出入口配自动门</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7.厂区地面全部硬化或绿化，无成片裸露土地。</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厂区地面全部硬化</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8.企业厂口出入口或料场出口处安装运输车辆侧向全覆盖式强制喷淋清洗设施，清洗设施应保证车辆冲洗效果，长度不少于6米、高度不低于2.5米，地面至少设置一排花式喷射喷头。喷淋设施应充分考虑冷冻期结冰问题，合理优化地面基础设计，洗车平台应低于地面（呈斜坡状）；清洗完成后车辆应在洗车槽内短暂停留，避免因车身带水过多造成道路湿滑和冬季积水结冰等安全隐患；冲洗介质可使用温水、添加防冻物质等有效防冻措施；冲洗水循环利用，不外排</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厂区出入口设置了车辆清洗系统，</w:t>
                  </w:r>
                  <w:r>
                    <w:rPr>
                      <w:rFonts w:hint="eastAsia" w:ascii="Times New Roman" w:hAnsi="Times New Roman" w:cs="Times New Roman"/>
                      <w:color w:val="000000" w:themeColor="text1"/>
                      <w:szCs w:val="21"/>
                      <w14:textFill>
                        <w14:solidFill>
                          <w14:schemeClr w14:val="tx1"/>
                        </w14:solidFill>
                      </w14:textFill>
                    </w:rPr>
                    <w:t>冲洗水循环利用，不外排</w:t>
                  </w: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冬季补充防冻剂，避免结冰</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排放限制</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1.颗粒物、非甲烷总烃、沥青烟有组织排放浓度均不高于10mg/m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2.VOCs去除率达到80%；</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3.厂界颗粒物排放浓度不高于1mg/m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4.锅炉（导热油炉）烟气排放要求：PM、SO</w:t>
                  </w:r>
                  <w:r>
                    <w:rPr>
                      <w:rFonts w:hint="eastAsia" w:ascii="Times New Roman" w:hAnsi="Times New Roman" w:cs="Times New Roman"/>
                      <w:color w:val="000000" w:themeColor="text1"/>
                      <w:szCs w:val="21"/>
                      <w:vertAlign w:val="subscript"/>
                      <w14:textFill>
                        <w14:solidFill>
                          <w14:schemeClr w14:val="tx1"/>
                        </w14:solidFill>
                      </w14:textFill>
                    </w:rPr>
                    <w:t>2</w:t>
                  </w:r>
                  <w:r>
                    <w:rPr>
                      <w:rFonts w:hint="eastAsia" w:ascii="Times New Roman" w:hAnsi="Times New Roman" w:cs="Times New Roman"/>
                      <w:color w:val="000000" w:themeColor="text1"/>
                      <w:szCs w:val="21"/>
                      <w14:textFill>
                        <w14:solidFill>
                          <w14:schemeClr w14:val="tx1"/>
                        </w14:solidFill>
                      </w14:textFill>
                    </w:rPr>
                    <w:t>、NOx排放浓度不超过10、10、30mg/m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（基准氧含量3.5%）</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vertAlign w:val="baseline"/>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有组织</w:t>
                  </w:r>
                  <w:r>
                    <w:rPr>
                      <w:rFonts w:hint="eastAsia" w:hAnsi="Times New Roman" w:cs="Times New Roman"/>
                      <w:color w:val="000000" w:themeColor="text1"/>
                      <w:szCs w:val="21"/>
                      <w:lang w:val="en-US" w:eastAsia="zh-CN"/>
                      <w14:textFill>
                        <w14:solidFill>
                          <w14:schemeClr w14:val="tx1"/>
                        </w14:solidFill>
                      </w14:textFill>
                    </w:rPr>
                    <w:t>废气排放限值为</w:t>
                  </w:r>
                  <w:r>
                    <w:rPr>
                      <w:rFonts w:hint="eastAsia" w:ascii="Times New Roman" w:hAnsi="Times New Roman" w:cs="Times New Roman"/>
                      <w:color w:val="000000" w:themeColor="text1"/>
                      <w:szCs w:val="21"/>
                      <w14:textFill>
                        <w14:solidFill>
                          <w14:schemeClr w14:val="tx1"/>
                        </w14:solidFill>
                      </w14:textFill>
                    </w:rPr>
                    <w:t>颗粒物10mg/m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、非甲烷总烃20mg/m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、沥青烟20mg/m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hAnsi="Times New Roman" w:cs="Times New Roman"/>
                      <w:color w:val="000000" w:themeColor="text1"/>
                      <w:szCs w:val="21"/>
                      <w:vertAlign w:val="baseline"/>
                      <w:lang w:eastAsia="zh-CN"/>
                      <w14:textFill>
                        <w14:solidFill>
                          <w14:schemeClr w14:val="tx1"/>
                        </w14:solidFill>
                      </w14:textFill>
                    </w:rPr>
                    <w:t>；</w:t>
                  </w:r>
                  <w:r>
                    <w:rPr>
                      <w:rFonts w:hint="eastAsia" w:hAnsi="Times New Roman" w:cs="Times New Roman"/>
                      <w:color w:val="000000" w:themeColor="text1"/>
                      <w:szCs w:val="21"/>
                      <w:vertAlign w:val="baseline"/>
                      <w:lang w:val="en-US" w:eastAsia="zh-CN"/>
                      <w14:textFill>
                        <w14:solidFill>
                          <w14:schemeClr w14:val="tx1"/>
                        </w14:solidFill>
                      </w14:textFill>
                    </w:rPr>
                    <w:t>导热油炉废气排放限值为</w:t>
                  </w:r>
                  <w:r>
                    <w:rPr>
                      <w:rFonts w:hint="eastAsia" w:ascii="Times New Roman" w:hAnsi="Times New Roman" w:cs="Times New Roman"/>
                      <w:color w:val="000000" w:themeColor="text1"/>
                      <w:szCs w:val="21"/>
                      <w14:textFill>
                        <w14:solidFill>
                          <w14:schemeClr w14:val="tx1"/>
                        </w14:solidFill>
                      </w14:textFill>
                    </w:rPr>
                    <w:t>颗粒物</w:t>
                  </w:r>
                  <w:r>
                    <w:rPr>
                      <w:rFonts w:hint="eastAsia" w:hAnsi="Times New Roman" w:cs="Times New Roman"/>
                      <w:color w:val="000000" w:themeColor="text1"/>
                      <w:szCs w:val="21"/>
                      <w:lang w:val="en-US" w:eastAsia="zh-CN"/>
                      <w14:textFill>
                        <w14:solidFill>
                          <w14:schemeClr w14:val="tx1"/>
                        </w14:solidFill>
                      </w14:textFill>
                    </w:rPr>
                    <w:t>5</w:t>
                  </w:r>
                  <w:r>
                    <w:rPr>
                      <w:rFonts w:hint="eastAsia" w:ascii="Times New Roman" w:hAnsi="Times New Roman" w:cs="Times New Roman"/>
                      <w:color w:val="000000" w:themeColor="text1"/>
                      <w:szCs w:val="21"/>
                      <w14:textFill>
                        <w14:solidFill>
                          <w14:schemeClr w14:val="tx1"/>
                        </w14:solidFill>
                      </w14:textFill>
                    </w:rPr>
                    <w:t>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SO</w:t>
                  </w:r>
                  <w:r>
                    <w:rPr>
                      <w:rFonts w:hint="eastAsia" w:hAnsi="Times New Roman" w:cs="Times New Roman"/>
                      <w:color w:val="000000" w:themeColor="text1"/>
                      <w:szCs w:val="21"/>
                      <w:vertAlign w:val="subscript"/>
                      <w:lang w:val="en-US" w:eastAsia="zh-CN"/>
                      <w14:textFill>
                        <w14:solidFill>
                          <w14:schemeClr w14:val="tx1"/>
                        </w14:solidFill>
                      </w14:textFill>
                    </w:rPr>
                    <w:t>2</w:t>
                  </w:r>
                  <w:r>
                    <w:rPr>
                      <w:rFonts w:hint="eastAsia" w:hAnsi="Times New Roman" w:cs="Times New Roman"/>
                      <w:color w:val="000000" w:themeColor="text1"/>
                      <w:szCs w:val="21"/>
                      <w:lang w:val="en-US" w:eastAsia="zh-CN"/>
                      <w14:textFill>
                        <w14:solidFill>
                          <w14:schemeClr w14:val="tx1"/>
                        </w14:solidFill>
                      </w14:textFill>
                    </w:rPr>
                    <w:t>1</w:t>
                  </w:r>
                  <w:r>
                    <w:rPr>
                      <w:rFonts w:hint="eastAsia" w:ascii="Times New Roman" w:hAnsi="Times New Roman" w:cs="Times New Roman"/>
                      <w:color w:val="000000" w:themeColor="text1"/>
                      <w:szCs w:val="21"/>
                      <w14:textFill>
                        <w14:solidFill>
                          <w14:schemeClr w14:val="tx1"/>
                        </w14:solidFill>
                      </w14:textFill>
                    </w:rPr>
                    <w:t>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NOx3</w:t>
                  </w:r>
                  <w:r>
                    <w:rPr>
                      <w:rFonts w:hint="eastAsia" w:ascii="Times New Roman" w:hAnsi="Times New Roman" w:cs="Times New Roman"/>
                      <w:color w:val="000000" w:themeColor="text1"/>
                      <w:szCs w:val="21"/>
                      <w14:textFill>
                        <w14:solidFill>
                          <w14:schemeClr w14:val="tx1"/>
                        </w14:solidFill>
                      </w14:textFill>
                    </w:rPr>
                    <w:t>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hAnsi="Times New Roman" w:cs="Times New Roman"/>
                      <w:color w:val="000000" w:themeColor="text1"/>
                      <w:szCs w:val="21"/>
                      <w:vertAlign w:val="baseline"/>
                      <w:lang w:eastAsia="zh-CN"/>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厂界颗粒物排放浓度不高于1mg/m</w:t>
                  </w:r>
                  <w:r>
                    <w:rPr>
                      <w:rFonts w:hint="eastAsia" w:ascii="Times New Roman" w:hAnsi="Times New Roman" w:cs="Times New Roman"/>
                      <w:color w:val="000000" w:themeColor="text1"/>
                      <w:szCs w:val="21"/>
                      <w:vertAlign w:val="superscript"/>
                      <w14:textFill>
                        <w14:solidFill>
                          <w14:schemeClr w14:val="tx1"/>
                        </w14:solidFill>
                      </w14:textFill>
                    </w:rPr>
                    <w:t>3</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监测监控水平</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1.有组织排放口按照相关行业《排污许可证申请与核发技术规范》及《排污许可证申请与核发技术规范 总则》相关要求安装CEMS</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2.有组织排放口按照排污许可证要求开展自行监测；</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3.涉气生产工序、生产装置及污染治理设施按生态环境部门要求安装分表计电，并与省、市生态环境部门用电监管平台联网；</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4.厂内未安装在线监控的主要涉气生产环节、料场出入口等易产尘点安装高清视频监控系统，视频保存三个月以上</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已制定自行监测计划；要求企业安装高清视频监控系统</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0" w:firstLineChars="200"/>
              <w:rPr>
                <w:rFonts w:hint="eastAsia" w:ascii="Times New Roman" w:hAnsi="Times New Roman" w:cs="Times New Roman"/>
                <w:color w:val="000000" w:themeColor="text1"/>
                <w:kern w:val="0"/>
                <w:sz w:val="24"/>
                <w:lang w:eastAsia="zh-CN"/>
                <w14:textFill>
                  <w14:solidFill>
                    <w14:schemeClr w14:val="tx1"/>
                  </w14:solidFill>
                </w14:textFill>
              </w:rPr>
            </w:pPr>
            <w:r>
              <w:rPr>
                <w:color w:val="000000" w:themeColor="text1"/>
                <w:kern w:val="0"/>
                <w:sz w:val="24"/>
                <w14:textFill>
                  <w14:solidFill>
                    <w14:schemeClr w14:val="tx1"/>
                  </w14:solidFill>
                </w14:textFill>
              </w:rPr>
              <w:t>由上表可知，本项</w:t>
            </w:r>
            <w:r>
              <w:rPr>
                <w:rFonts w:ascii="Times New Roman" w:hAnsi="Times New Roman" w:cs="Times New Roman"/>
                <w:color w:val="000000" w:themeColor="text1"/>
                <w:kern w:val="0"/>
                <w:sz w:val="24"/>
                <w14:textFill>
                  <w14:solidFill>
                    <w14:schemeClr w14:val="tx1"/>
                  </w14:solidFill>
                </w14:textFill>
              </w:rPr>
              <w:t>目符合</w:t>
            </w:r>
            <w:r>
              <w:rPr>
                <w:rFonts w:hint="eastAsia" w:ascii="Times New Roman" w:hAnsi="Times New Roman" w:cs="Times New Roman"/>
                <w:color w:val="000000" w:themeColor="text1"/>
                <w:kern w:val="0"/>
                <w:sz w:val="24"/>
                <w:lang w:val="en-US" w:eastAsia="zh-CN"/>
                <w14:textFill>
                  <w14:solidFill>
                    <w14:schemeClr w14:val="tx1"/>
                  </w14:solidFill>
                </w14:textFill>
              </w:rPr>
              <w:t>《河北省十一个行业重污染天气应急减排措施制定技术指南（试行）》</w:t>
            </w:r>
            <w:r>
              <w:rPr>
                <w:rFonts w:ascii="Times New Roman" w:hAnsi="Times New Roman" w:cs="Times New Roman"/>
                <w:color w:val="000000" w:themeColor="text1"/>
                <w:kern w:val="0"/>
                <w:sz w:val="24"/>
                <w14:textFill>
                  <w14:solidFill>
                    <w14:schemeClr w14:val="tx1"/>
                  </w14:solidFill>
                </w14:textFill>
              </w:rPr>
              <w:t>中相关要求</w:t>
            </w:r>
            <w:r>
              <w:rPr>
                <w:rFonts w:hint="eastAsia" w:ascii="Times New Roman" w:hAnsi="Times New Roman" w:cs="Times New Roman"/>
                <w:color w:val="000000" w:themeColor="text1"/>
                <w:kern w:val="0"/>
                <w:sz w:val="24"/>
                <w:lang w:eastAsia="zh-CN"/>
                <w14:textFill>
                  <w14:solidFill>
                    <w14:schemeClr w14:val="tx1"/>
                  </w14:solidFill>
                </w14:textFill>
              </w:rPr>
              <w:t>。</w:t>
            </w:r>
          </w:p>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7</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与河北省生态环境保护“十四五”规划符合性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河北省生态环境保护“十四五”规划</w:t>
            </w:r>
            <w:r>
              <w:rPr>
                <w:rFonts w:hint="eastAsia"/>
                <w:b/>
                <w:bCs w:val="0"/>
                <w:color w:val="000000" w:themeColor="text1"/>
                <w:lang w:val="en-US" w:eastAsia="zh-CN"/>
                <w14:textFill>
                  <w14:solidFill>
                    <w14:schemeClr w14:val="tx1"/>
                  </w14:solidFill>
                </w14:textFill>
              </w:rPr>
              <w:t>符合性分析</w:t>
            </w:r>
          </w:p>
          <w:tbl>
            <w:tblPr>
              <w:tblStyle w:val="42"/>
              <w:tblW w:w="8608"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559"/>
              <w:gridCol w:w="4391"/>
              <w:gridCol w:w="1781"/>
              <w:gridCol w:w="87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rPr>
              <w:tc>
                <w:tcPr>
                  <w:tcW w:w="1559"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4391"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1781"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877"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eastAsia="zh-CN"/>
                      <w14:textFill>
                        <w14:solidFill>
                          <w14:schemeClr w14:val="tx1"/>
                        </w14:solidFill>
                      </w14:textFill>
                    </w:rPr>
                  </w:pPr>
                  <w:r>
                    <w:rPr>
                      <w:rFonts w:hint="eastAsia" w:hAnsi="Times New Roman" w:cs="Times New Roman"/>
                      <w:color w:val="000000" w:themeColor="text1"/>
                      <w:szCs w:val="21"/>
                      <w:lang w:eastAsia="zh-CN"/>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河北省生态环境保护“十四五”规划</w:t>
                  </w:r>
                  <w:r>
                    <w:rPr>
                      <w:rFonts w:hint="eastAsia" w:ascii="Times New Roman" w:hAnsi="Times New Roman" w:eastAsia="宋体" w:cs="Times New Roman"/>
                      <w:color w:val="000000" w:themeColor="text1"/>
                      <w:szCs w:val="21"/>
                      <w:lang w:eastAsia="zh-CN"/>
                      <w14:textFill>
                        <w14:solidFill>
                          <w14:schemeClr w14:val="tx1"/>
                        </w14:solidFill>
                      </w14:textFill>
                    </w:rPr>
                    <w:t>》</w:t>
                  </w: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加强宏观治理的环境政策支撑。加强能耗总量和强度双控、煤炭消费和污染物排放总量控制，强化市场准入约束，抑制高碳投资，严格控制高耗能高排放项目盲目发展</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w:t>
                  </w:r>
                  <w:r>
                    <w:rPr>
                      <w:rFonts w:hint="eastAsia" w:ascii="Times New Roman" w:hAnsi="Times New Roman" w:cs="Times New Roman"/>
                      <w:color w:val="000000" w:themeColor="text1"/>
                      <w:szCs w:val="21"/>
                      <w14:textFill>
                        <w14:solidFill>
                          <w14:schemeClr w14:val="tx1"/>
                        </w14:solidFill>
                      </w14:textFill>
                    </w:rPr>
                    <w:t>项目</w:t>
                  </w:r>
                  <w:r>
                    <w:rPr>
                      <w:rFonts w:hint="eastAsia" w:hAnsi="Times New Roman" w:cs="Times New Roman"/>
                      <w:color w:val="000000" w:themeColor="text1"/>
                      <w:szCs w:val="21"/>
                      <w:lang w:val="en-US" w:eastAsia="zh-CN"/>
                      <w14:textFill>
                        <w14:solidFill>
                          <w14:schemeClr w14:val="tx1"/>
                        </w14:solidFill>
                      </w14:textFill>
                    </w:rPr>
                    <w:t>能源消耗较低，不属于高能耗高排放项目，且已办理了污染物排放总量控制相关手续</w:t>
                  </w:r>
                  <w:r>
                    <w:rPr>
                      <w:rFonts w:hint="eastAsia" w:ascii="Times New Roman" w:hAnsi="Times New Roman" w:cs="Times New Roman"/>
                      <w:color w:val="000000" w:themeColor="text1"/>
                      <w:szCs w:val="21"/>
                      <w14:textFill>
                        <w14:solidFill>
                          <w14:schemeClr w14:val="tx1"/>
                        </w14:solidFill>
                      </w14:textFill>
                    </w:rPr>
                    <w:t>。</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控制煤炭消费总量。全面实施煤炭消费总量控制，建设项目严格执行煤炭减量替代</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本项目不使用煤炭</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本项目VOCs废气治理采用了二级活性炭吸附，为可行性技术，且原料及</w:t>
                  </w:r>
                  <w:r>
                    <w:rPr>
                      <w:rFonts w:hint="eastAsia"/>
                      <w:color w:val="000000" w:themeColor="text1"/>
                      <w:lang w:val="en-US" w:eastAsia="zh-CN"/>
                      <w14:textFill>
                        <w14:solidFill>
                          <w14:schemeClr w14:val="tx1"/>
                        </w14:solidFill>
                      </w14:textFill>
                    </w:rPr>
                    <w:t>产品中VOCs质量占比极小</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城市裸露地面、粉料类物料堆放及大型煤炭和矿石码头物料堆场基本完成抑尘设施建设和物料输送系统封闭改造，鼓励有条件的大型煤炭和矿石码头等干散货码头堆场实施全封闭改造</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本项目粉料类原材料在堆放过程中采取洒水抑尘的措施减少污染</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8</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与石家庄市生态环境保护“十四五”规划符合性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石家庄市生态环境保护“十四五”规划</w:t>
            </w:r>
            <w:r>
              <w:rPr>
                <w:rFonts w:hint="eastAsia"/>
                <w:b/>
                <w:bCs w:val="0"/>
                <w:color w:val="000000" w:themeColor="text1"/>
                <w:lang w:val="en-US" w:eastAsia="zh-CN"/>
                <w14:textFill>
                  <w14:solidFill>
                    <w14:schemeClr w14:val="tx1"/>
                  </w14:solidFill>
                </w14:textFill>
              </w:rPr>
              <w:t>符合性分析</w:t>
            </w:r>
          </w:p>
          <w:tbl>
            <w:tblPr>
              <w:tblStyle w:val="42"/>
              <w:tblW w:w="8608"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559"/>
              <w:gridCol w:w="4391"/>
              <w:gridCol w:w="1781"/>
              <w:gridCol w:w="87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rPr>
              <w:tc>
                <w:tcPr>
                  <w:tcW w:w="1559"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4391"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1781"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877"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eastAsia="zh-CN"/>
                      <w14:textFill>
                        <w14:solidFill>
                          <w14:schemeClr w14:val="tx1"/>
                        </w14:solidFill>
                      </w14:textFill>
                    </w:rPr>
                  </w:pP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eastAsia="宋体" w:cs="Times New Roman"/>
                      <w:color w:val="000000" w:themeColor="text1"/>
                      <w:szCs w:val="21"/>
                      <w:lang w:val="en-US" w:eastAsia="zh-CN"/>
                      <w14:textFill>
                        <w14:solidFill>
                          <w14:schemeClr w14:val="tx1"/>
                        </w14:solidFill>
                      </w14:textFill>
                    </w:rPr>
                    <w:t>石家庄市</w:t>
                  </w:r>
                  <w:r>
                    <w:rPr>
                      <w:rFonts w:hint="eastAsia" w:ascii="Times New Roman" w:hAnsi="Times New Roman" w:eastAsia="宋体" w:cs="Times New Roman"/>
                      <w:color w:val="000000" w:themeColor="text1"/>
                      <w:szCs w:val="21"/>
                      <w:lang w:val="en-US" w:eastAsia="zh-CN"/>
                      <w14:textFill>
                        <w14:solidFill>
                          <w14:schemeClr w14:val="tx1"/>
                        </w14:solidFill>
                      </w14:textFill>
                    </w:rPr>
                    <w:t>生态环境保护“十四五”规划</w:t>
                  </w:r>
                  <w:r>
                    <w:rPr>
                      <w:rFonts w:hint="eastAsia" w:ascii="Times New Roman" w:hAnsi="Times New Roman" w:eastAsia="宋体" w:cs="Times New Roman"/>
                      <w:color w:val="000000" w:themeColor="text1"/>
                      <w:szCs w:val="21"/>
                      <w:lang w:eastAsia="zh-CN"/>
                      <w14:textFill>
                        <w14:solidFill>
                          <w14:schemeClr w14:val="tx1"/>
                        </w14:solidFill>
                      </w14:textFill>
                    </w:rPr>
                    <w:t>》</w:t>
                  </w: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鼓励企业采用多种技术的组合工艺，规范工程设计，提高VOCs治理效率。</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w:t>
                  </w:r>
                  <w:r>
                    <w:rPr>
                      <w:rFonts w:hint="eastAsia" w:ascii="Times New Roman" w:hAnsi="Times New Roman" w:cs="Times New Roman"/>
                      <w:color w:val="000000" w:themeColor="text1"/>
                      <w:szCs w:val="21"/>
                      <w14:textFill>
                        <w14:solidFill>
                          <w14:schemeClr w14:val="tx1"/>
                        </w14:solidFill>
                      </w14:textFill>
                    </w:rPr>
                    <w:t>项目</w:t>
                  </w:r>
                  <w:r>
                    <w:rPr>
                      <w:rFonts w:hint="eastAsia" w:hAnsi="Times New Roman"/>
                      <w:bCs/>
                      <w:color w:val="000000" w:themeColor="text1"/>
                      <w:szCs w:val="21"/>
                      <w:lang w:val="en-US" w:eastAsia="zh-CN"/>
                      <w14:textFill>
                        <w14:solidFill>
                          <w14:schemeClr w14:val="tx1"/>
                        </w14:solidFill>
                      </w14:textFill>
                    </w:rPr>
                    <w:t>VOCs废气治理采用了二级活性炭吸附，为可行性技术，能够达标排放</w:t>
                  </w:r>
                  <w:r>
                    <w:rPr>
                      <w:rFonts w:hint="eastAsia" w:ascii="Times New Roman" w:hAnsi="Times New Roman" w:cs="Times New Roman"/>
                      <w:color w:val="000000" w:themeColor="text1"/>
                      <w:szCs w:val="21"/>
                      <w14:textFill>
                        <w14:solidFill>
                          <w14:schemeClr w14:val="tx1"/>
                        </w14:solidFill>
                      </w14:textFill>
                    </w:rPr>
                    <w:t>。</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hAnsi="Times New Roman" w:cs="Times New Roman"/>
                      <w:color w:val="000000" w:themeColor="text1"/>
                      <w:szCs w:val="21"/>
                      <w:lang w:eastAsia="zh-CN"/>
                      <w14:textFill>
                        <w14:solidFill>
                          <w14:schemeClr w14:val="tx1"/>
                        </w14:solidFill>
                      </w14:textFill>
                    </w:rPr>
                  </w:pPr>
                </w:p>
              </w:tc>
              <w:tc>
                <w:tcPr>
                  <w:tcW w:w="4391"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加强堆场及裸露地面扬尘治理。加大各工业企业料场堆场监督检查力度，对工业企业厂区内贮存的各类易扬尘的物料密闭管理，加强厂区内物料运送、倒运、装卸扬尘管理。</w:t>
                  </w:r>
                </w:p>
              </w:tc>
              <w:tc>
                <w:tcPr>
                  <w:tcW w:w="1781"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本项目粉料类原材料在堆放过程中采取洒水抑尘的措施减少污染，上料、筛分过程设置集尘罩</w:t>
                  </w:r>
                </w:p>
              </w:tc>
              <w:tc>
                <w:tcPr>
                  <w:tcW w:w="87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9</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与防沙治沙规划符合性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val="0"/>
                <w:color w:val="000000" w:themeColor="text1"/>
                <w:lang w:val="en-US" w:eastAsia="zh-CN"/>
                <w14:textFill>
                  <w14:solidFill>
                    <w14:schemeClr w14:val="tx1"/>
                  </w14:solidFill>
                </w14:textFill>
              </w:rPr>
              <w:t>防沙治沙规划符合性分析</w:t>
            </w:r>
          </w:p>
          <w:tbl>
            <w:tblPr>
              <w:tblStyle w:val="42"/>
              <w:tblW w:w="8608"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559"/>
              <w:gridCol w:w="4078"/>
              <w:gridCol w:w="2092"/>
              <w:gridCol w:w="87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rPr>
              <w:tc>
                <w:tcPr>
                  <w:tcW w:w="1559"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4078"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2092"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879"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559"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全国防沙治沙规划(2021-2030年)</w:t>
                  </w:r>
                </w:p>
              </w:tc>
              <w:tc>
                <w:tcPr>
                  <w:tcW w:w="4078"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加强国</w:t>
                  </w:r>
                  <w:r>
                    <w:rPr>
                      <w:rFonts w:hint="eastAsia" w:hAnsi="Times New Roman" w:cs="Times New Roman"/>
                      <w:color w:val="000000" w:themeColor="text1"/>
                      <w:szCs w:val="21"/>
                      <w:highlight w:val="none"/>
                      <w:lang w:val="en-US" w:eastAsia="zh-CN"/>
                      <w14:textFill>
                        <w14:solidFill>
                          <w14:schemeClr w14:val="tx1"/>
                        </w14:solidFill>
                      </w14:textFill>
                    </w:rPr>
                    <w:t>土空间用途</w:t>
                  </w:r>
                  <w:r>
                    <w:rPr>
                      <w:rFonts w:hint="eastAsia" w:ascii="Times New Roman" w:hAnsi="Times New Roman" w:cs="Times New Roman"/>
                      <w:color w:val="000000" w:themeColor="text1"/>
                      <w:szCs w:val="21"/>
                      <w:highlight w:val="none"/>
                      <w14:textFill>
                        <w14:solidFill>
                          <w14:schemeClr w14:val="tx1"/>
                        </w14:solidFill>
                      </w14:textFill>
                    </w:rPr>
                    <w:t>管控</w:t>
                  </w:r>
                  <w:r>
                    <w:rPr>
                      <w:rFonts w:hint="eastAsia" w:hAnsi="Times New Roman" w:cs="Times New Roman"/>
                      <w:color w:val="000000" w:themeColor="text1"/>
                      <w:szCs w:val="21"/>
                      <w:highlight w:val="none"/>
                      <w:lang w:eastAsia="zh-CN"/>
                      <w14:textFill>
                        <w14:solidFill>
                          <w14:schemeClr w14:val="tx1"/>
                        </w14:solidFill>
                      </w14:textFill>
                    </w:rPr>
                    <w:t>和</w:t>
                  </w:r>
                  <w:r>
                    <w:rPr>
                      <w:rFonts w:hint="eastAsia" w:ascii="Times New Roman" w:hAnsi="Times New Roman" w:cs="Times New Roman"/>
                      <w:color w:val="000000" w:themeColor="text1"/>
                      <w:szCs w:val="21"/>
                      <w:highlight w:val="none"/>
                      <w14:textFill>
                        <w14:solidFill>
                          <w14:schemeClr w14:val="tx1"/>
                        </w14:solidFill>
                      </w14:textFill>
                    </w:rPr>
                    <w:t>依法保护</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依托国家公园、</w:t>
                  </w:r>
                  <w:r>
                    <w:rPr>
                      <w:rFonts w:hint="eastAsia" w:hAnsi="Times New Roman" w:cs="Times New Roman"/>
                      <w:color w:val="000000" w:themeColor="text1"/>
                      <w:szCs w:val="21"/>
                      <w:highlight w:val="none"/>
                      <w:lang w:val="en-US" w:eastAsia="zh-CN"/>
                      <w14:textFill>
                        <w14:solidFill>
                          <w14:schemeClr w14:val="tx1"/>
                        </w14:solidFill>
                      </w14:textFill>
                    </w:rPr>
                    <w:t>自然</w:t>
                  </w:r>
                  <w:r>
                    <w:rPr>
                      <w:rFonts w:hint="eastAsia" w:ascii="Times New Roman" w:hAnsi="Times New Roman" w:cs="Times New Roman"/>
                      <w:color w:val="000000" w:themeColor="text1"/>
                      <w:szCs w:val="21"/>
                      <w:highlight w:val="none"/>
                      <w14:textFill>
                        <w14:solidFill>
                          <w14:schemeClr w14:val="tx1"/>
                        </w14:solidFill>
                      </w14:textFill>
                    </w:rPr>
                    <w:t>保护区、</w:t>
                  </w:r>
                  <w:r>
                    <w:rPr>
                      <w:rFonts w:hint="eastAsia" w:hAnsi="Times New Roman" w:cs="Times New Roman"/>
                      <w:color w:val="000000" w:themeColor="text1"/>
                      <w:szCs w:val="21"/>
                      <w:highlight w:val="none"/>
                      <w:lang w:val="en-US" w:eastAsia="zh-CN"/>
                      <w14:textFill>
                        <w14:solidFill>
                          <w14:schemeClr w14:val="tx1"/>
                        </w14:solidFill>
                      </w14:textFill>
                    </w:rPr>
                    <w:t>自然公园</w:t>
                  </w:r>
                  <w:r>
                    <w:rPr>
                      <w:rFonts w:hint="eastAsia" w:ascii="Times New Roman" w:hAnsi="Times New Roman" w:cs="Times New Roman"/>
                      <w:color w:val="000000" w:themeColor="text1"/>
                      <w:szCs w:val="21"/>
                      <w:highlight w:val="none"/>
                      <w14:textFill>
                        <w14:solidFill>
                          <w14:schemeClr w14:val="tx1"/>
                        </w14:solidFill>
                      </w14:textFill>
                    </w:rPr>
                    <w:t>，保护重点区域沙化土地</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确</w:t>
                  </w:r>
                  <w:r>
                    <w:rPr>
                      <w:rFonts w:hint="eastAsia" w:ascii="Times New Roman" w:hAnsi="Times New Roman" w:cs="Times New Roman"/>
                      <w:color w:val="000000" w:themeColor="text1"/>
                      <w:szCs w:val="21"/>
                      <w:highlight w:val="none"/>
                      <w14:textFill>
                        <w14:solidFill>
                          <w14:schemeClr w14:val="tx1"/>
                        </w14:solidFill>
                      </w14:textFill>
                    </w:rPr>
                    <w:t>定封禁保护区，严格保护沙化地</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落实森林、草原保护制度，预防土地沙化</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合理利用水资源</w:t>
                  </w:r>
                </w:p>
              </w:tc>
              <w:tc>
                <w:tcPr>
                  <w:tcW w:w="2092"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拟建项目占地不涉及自然保护区、风景名胜区和其他需要特殊保护的地区。项目所在区域不在全国沙化土地防治范围内。</w:t>
                  </w:r>
                </w:p>
              </w:tc>
              <w:tc>
                <w:tcPr>
                  <w:tcW w:w="879"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bl>
          <w:p>
            <w:pPr>
              <w:spacing w:line="480" w:lineRule="exact"/>
              <w:jc w:val="center"/>
              <w:rPr>
                <w:b/>
                <w:bCs/>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1536700</wp:posOffset>
                      </wp:positionH>
                      <wp:positionV relativeFrom="paragraph">
                        <wp:posOffset>2183765</wp:posOffset>
                      </wp:positionV>
                      <wp:extent cx="1009650" cy="295275"/>
                      <wp:effectExtent l="6350" t="6350" r="393700" b="136525"/>
                      <wp:wrapNone/>
                      <wp:docPr id="30" name="矩形标注 30"/>
                      <wp:cNvGraphicFramePr/>
                      <a:graphic xmlns:a="http://schemas.openxmlformats.org/drawingml/2006/main">
                        <a:graphicData uri="http://schemas.microsoft.com/office/word/2010/wordprocessingShape">
                          <wps:wsp>
                            <wps:cNvSpPr/>
                            <wps:spPr>
                              <a:xfrm>
                                <a:off x="3469640" y="6732905"/>
                                <a:ext cx="1009650" cy="295275"/>
                              </a:xfrm>
                              <a:prstGeom prst="wedgeRectCallout">
                                <a:avLst>
                                  <a:gd name="adj1" fmla="val 82955"/>
                                  <a:gd name="adj2" fmla="val 81827"/>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21pt;margin-top:171.95pt;height:23.25pt;width:79.5pt;z-index:251673600;v-text-anchor:middle;mso-width-relative:page;mso-height-relative:page;" fillcolor="#FFFFFF [3212]" filled="t" stroked="t" coordsize="21600,21600" o:gfxdata="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ExPI7TaAAAACwEAAA8AAAAAAAAAAQAgAAAAIgAAAGRycy9kb3ducmV2LnhtbFBLAQIUABQA&#10;AAAIAIdO4kCKBT/KmQIAACIFAAAOAAAAAAAAAAEAIAAAACkBAABkcnMvZTJvRG9jLnhtbFBLBQYA&#10;AAAABgAGAFkBAAA0BgAAAAA=&#10;" adj="28718,28475">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2889250</wp:posOffset>
                      </wp:positionH>
                      <wp:positionV relativeFrom="paragraph">
                        <wp:posOffset>2545715</wp:posOffset>
                      </wp:positionV>
                      <wp:extent cx="123825" cy="114300"/>
                      <wp:effectExtent l="6350" t="6350" r="22225" b="12700"/>
                      <wp:wrapNone/>
                      <wp:docPr id="31" name="矩形 31"/>
                      <wp:cNvGraphicFramePr/>
                      <a:graphic xmlns:a="http://schemas.openxmlformats.org/drawingml/2006/main">
                        <a:graphicData uri="http://schemas.microsoft.com/office/word/2010/wordprocessingShape">
                          <wps:wsp>
                            <wps:cNvSpPr/>
                            <wps:spPr>
                              <a:xfrm>
                                <a:off x="4136390" y="7190105"/>
                                <a:ext cx="123825" cy="114300"/>
                              </a:xfrm>
                              <a:prstGeom prst="rect">
                                <a:avLst/>
                              </a:prstGeom>
                              <a:solidFill>
                                <a:srgbClr val="FF0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5pt;margin-top:200.45pt;height:9pt;width:9.75pt;z-index:251672576;v-text-anchor:middle;mso-width-relative:page;mso-height-relative:page;" fillcolor="#FF0000" filled="t" stroked="t" coordsize="21600,21600" o:gfxdata="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KiiJtXZAAAACwEAAA8AAAAAAAAAAQAgAAAAIgAAAGRycy9k&#10;b3ducmV2LnhtbFBLAQIUABQAAAAIAIdO4kB4BQ/ScwIAANUEAAAOAAAAAAAAAAEAIAAAACgBAABk&#10;cnMvZTJvRG9jLnhtbFBLBQYAAAAABgAGAFkBAAANBgAAAAA=&#10;">
                      <v:fill on="t" focussize="0,0"/>
                      <v:stroke weight="1pt" color="#2F5597 [2404]" miterlimit="8" joinstyle="miter"/>
                      <v:imagedata o:title=""/>
                      <o:lock v:ext="edit" aspectratio="f"/>
                    </v:rect>
                  </w:pict>
                </mc:Fallback>
              </mc:AlternateContent>
            </w:r>
            <w:r>
              <w:rPr>
                <w:rFonts w:hint="eastAsia"/>
                <w:b/>
                <w:bCs/>
                <w:color w:val="000000" w:themeColor="text1"/>
                <w:sz w:val="24"/>
                <w:lang w:val="en-US" w:eastAsia="zh-CN"/>
                <w14:textFill>
                  <w14:solidFill>
                    <w14:schemeClr w14:val="tx1"/>
                  </w14:solidFill>
                </w14:textFill>
              </w:rPr>
              <w:drawing>
                <wp:anchor distT="0" distB="0" distL="114300" distR="114300" simplePos="0" relativeHeight="251671552" behindDoc="0" locked="0" layoutInCell="1" allowOverlap="1">
                  <wp:simplePos x="0" y="0"/>
                  <wp:positionH relativeFrom="column">
                    <wp:posOffset>-6350</wp:posOffset>
                  </wp:positionH>
                  <wp:positionV relativeFrom="paragraph">
                    <wp:posOffset>163830</wp:posOffset>
                  </wp:positionV>
                  <wp:extent cx="5400040" cy="3230245"/>
                  <wp:effectExtent l="0" t="0" r="10160" b="8255"/>
                  <wp:wrapTopAndBottom/>
                  <wp:docPr id="32" name="图片 32" descr="e37ff16bfaf4e37be28a8dfc1d68d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e37ff16bfaf4e37be28a8dfc1d68df4"/>
                          <pic:cNvPicPr>
                            <a:picLocks noChangeAspect="1"/>
                          </pic:cNvPicPr>
                        </pic:nvPicPr>
                        <pic:blipFill>
                          <a:blip r:embed="rId14"/>
                          <a:srcRect r="19767"/>
                          <a:stretch>
                            <a:fillRect/>
                          </a:stretch>
                        </pic:blipFill>
                        <pic:spPr>
                          <a:xfrm>
                            <a:off x="0" y="0"/>
                            <a:ext cx="5400040" cy="3230245"/>
                          </a:xfrm>
                          <a:prstGeom prst="rect">
                            <a:avLst/>
                          </a:prstGeom>
                        </pic:spPr>
                      </pic:pic>
                    </a:graphicData>
                  </a:graphic>
                </wp:anchor>
              </w:drawing>
            </w: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1-3</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沙化土地分布</w:t>
            </w:r>
            <w:r>
              <w:rPr>
                <w:rFonts w:hint="eastAsia"/>
                <w:b/>
                <w:bCs/>
                <w:color w:val="000000" w:themeColor="text1"/>
                <w:sz w:val="24"/>
                <w14:textFill>
                  <w14:solidFill>
                    <w14:schemeClr w14:val="tx1"/>
                  </w14:solidFill>
                </w14:textFill>
              </w:rPr>
              <w:t>关系图</w:t>
            </w:r>
          </w:p>
          <w:p>
            <w:pPr>
              <w:spacing w:line="480" w:lineRule="exact"/>
              <w:ind w:firstLine="480" w:firstLineChars="200"/>
              <w:rPr>
                <w:rFonts w:hint="default" w:eastAsia="宋体"/>
                <w:b/>
                <w:bCs/>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kern w:val="0"/>
                <w:sz w:val="24"/>
                <w:lang w:val="en-US" w:eastAsia="zh-CN"/>
                <w14:textFill>
                  <w14:solidFill>
                    <w14:schemeClr w14:val="tx1"/>
                  </w14:solidFill>
                </w14:textFill>
              </w:rPr>
              <w:t>由上图可知，</w:t>
            </w:r>
            <w:r>
              <w:rPr>
                <w:rFonts w:ascii="Times New Roman" w:hAnsi="Times New Roman" w:cs="Times New Roman"/>
                <w:color w:val="000000" w:themeColor="text1"/>
                <w:kern w:val="0"/>
                <w:sz w:val="24"/>
                <w14:textFill>
                  <w14:solidFill>
                    <w14:schemeClr w14:val="tx1"/>
                  </w14:solidFill>
                </w14:textFill>
              </w:rPr>
              <w:t>本</w:t>
            </w:r>
            <w:r>
              <w:rPr>
                <w:color w:val="000000" w:themeColor="text1"/>
                <w:kern w:val="0"/>
                <w:sz w:val="24"/>
                <w14:textFill>
                  <w14:solidFill>
                    <w14:schemeClr w14:val="tx1"/>
                  </w14:solidFill>
                </w14:textFill>
              </w:rPr>
              <w:t>项</w:t>
            </w:r>
            <w:r>
              <w:rPr>
                <w:rFonts w:ascii="Times New Roman" w:hAnsi="Times New Roman" w:cs="Times New Roman"/>
                <w:color w:val="000000" w:themeColor="text1"/>
                <w:kern w:val="0"/>
                <w:sz w:val="24"/>
                <w14:textFill>
                  <w14:solidFill>
                    <w14:schemeClr w14:val="tx1"/>
                  </w14:solidFill>
                </w14:textFill>
              </w:rPr>
              <w:t>目</w:t>
            </w:r>
            <w:r>
              <w:rPr>
                <w:rFonts w:hint="eastAsia" w:cs="Times New Roman"/>
                <w:color w:val="000000" w:themeColor="text1"/>
                <w:kern w:val="0"/>
                <w:sz w:val="24"/>
                <w:lang w:val="en-US" w:eastAsia="zh-CN"/>
                <w14:textFill>
                  <w14:solidFill>
                    <w14:schemeClr w14:val="tx1"/>
                  </w14:solidFill>
                </w14:textFill>
              </w:rPr>
              <w:t>不在全国沙化土地防治范围内。</w:t>
            </w:r>
          </w:p>
          <w:p>
            <w:pPr>
              <w:spacing w:line="480" w:lineRule="exact"/>
              <w:ind w:firstLine="482" w:firstLineChars="200"/>
              <w:rPr>
                <w:rFonts w:hint="eastAsia" w:eastAsia="宋体"/>
                <w:b/>
                <w:bCs/>
                <w:color w:val="000000" w:themeColor="text1"/>
                <w:sz w:val="24"/>
                <w:lang w:val="en-US" w:eastAsia="zh-CN"/>
                <w14:textFill>
                  <w14:solidFill>
                    <w14:schemeClr w14:val="tx1"/>
                  </w14:solidFill>
                </w14:textFill>
              </w:rPr>
            </w:pPr>
            <w:r>
              <w:rPr>
                <w:rFonts w:hint="eastAsia"/>
                <w:b/>
                <w:bCs/>
                <w:color w:val="000000" w:themeColor="text1"/>
                <w:sz w:val="24"/>
                <w:lang w:val="en-US" w:eastAsia="zh-CN"/>
                <w14:textFill>
                  <w14:solidFill>
                    <w14:schemeClr w14:val="tx1"/>
                  </w14:solidFill>
                </w14:textFill>
              </w:rPr>
              <w:t>10</w:t>
            </w:r>
            <w:r>
              <w:rPr>
                <w:b/>
                <w:bCs/>
                <w:color w:val="000000" w:themeColor="text1"/>
                <w:sz w:val="24"/>
                <w14:textFill>
                  <w14:solidFill>
                    <w14:schemeClr w14:val="tx1"/>
                  </w14:solidFill>
                </w14:textFill>
              </w:rPr>
              <w:t>、选址可行性分析</w:t>
            </w:r>
          </w:p>
          <w:p>
            <w:pPr>
              <w:spacing w:line="480" w:lineRule="exact"/>
              <w:ind w:firstLine="480" w:firstLineChars="200"/>
              <w:rPr>
                <w:color w:val="000000" w:themeColor="text1"/>
                <w:sz w:val="24"/>
                <w14:textFill>
                  <w14:solidFill>
                    <w14:schemeClr w14:val="tx1"/>
                  </w14:solidFill>
                </w14:textFill>
              </w:rPr>
            </w:pPr>
            <w:r>
              <w:rPr>
                <w:rFonts w:ascii="Times New Roman" w:hAnsi="Times New Roman"/>
                <w:snapToGrid w:val="0"/>
                <w:color w:val="000000" w:themeColor="text1"/>
                <w:kern w:val="0"/>
                <w:sz w:val="24"/>
                <w14:textFill>
                  <w14:solidFill>
                    <w14:schemeClr w14:val="tx1"/>
                  </w14:solidFill>
                </w14:textFill>
              </w:rPr>
              <w:t>项目位于</w:t>
            </w:r>
            <w:r>
              <w:rPr>
                <w:color w:val="000000" w:themeColor="text1"/>
                <w:sz w:val="24"/>
                <w:highlight w:val="none"/>
                <w:u w:val="none"/>
                <w14:textFill>
                  <w14:solidFill>
                    <w14:schemeClr w14:val="tx1"/>
                  </w14:solidFill>
                </w14:textFill>
              </w:rPr>
              <w:t>河北省</w:t>
            </w:r>
            <w:r>
              <w:rPr>
                <w:rFonts w:hint="eastAsia"/>
                <w:color w:val="000000" w:themeColor="text1"/>
                <w:sz w:val="24"/>
                <w:highlight w:val="none"/>
                <w:u w:val="none"/>
                <w:lang w:val="en-US" w:eastAsia="zh-CN"/>
                <w14:textFill>
                  <w14:solidFill>
                    <w14:schemeClr w14:val="tx1"/>
                  </w14:solidFill>
                </w14:textFill>
              </w:rPr>
              <w:t>石家庄</w:t>
            </w:r>
            <w:r>
              <w:rPr>
                <w:color w:val="000000" w:themeColor="text1"/>
                <w:sz w:val="24"/>
                <w:highlight w:val="none"/>
                <w:u w:val="none"/>
                <w14:textFill>
                  <w14:solidFill>
                    <w14:schemeClr w14:val="tx1"/>
                  </w14:solidFill>
                </w14:textFill>
              </w:rPr>
              <w:t>市</w:t>
            </w:r>
            <w:r>
              <w:rPr>
                <w:rFonts w:hint="eastAsia"/>
                <w:color w:val="000000" w:themeColor="text1"/>
                <w:sz w:val="24"/>
                <w:highlight w:val="none"/>
                <w:u w:val="none"/>
                <w:lang w:val="en-US" w:eastAsia="zh-CN"/>
                <w14:textFill>
                  <w14:solidFill>
                    <w14:schemeClr w14:val="tx1"/>
                  </w14:solidFill>
                </w14:textFill>
              </w:rPr>
              <w:t>高邑县107国道与中韩公路交口东南角</w:t>
            </w:r>
            <w:r>
              <w:rPr>
                <w:rFonts w:ascii="Times New Roman" w:hAnsi="Times New Roman"/>
                <w:snapToGrid w:val="0"/>
                <w:color w:val="000000" w:themeColor="text1"/>
                <w:kern w:val="0"/>
                <w:sz w:val="24"/>
                <w14:textFill>
                  <w14:solidFill>
                    <w14:schemeClr w14:val="tx1"/>
                  </w14:solidFill>
                </w14:textFill>
              </w:rPr>
              <w:t>，</w:t>
            </w:r>
            <w:r>
              <w:rPr>
                <w:rFonts w:ascii="Times New Roman" w:hAnsi="Times New Roman"/>
                <w:snapToGrid w:val="0"/>
                <w:color w:val="000000" w:themeColor="text1"/>
                <w:kern w:val="0"/>
                <w:sz w:val="24"/>
                <w:highlight w:val="none"/>
                <w14:textFill>
                  <w14:solidFill>
                    <w14:schemeClr w14:val="tx1"/>
                  </w14:solidFill>
                </w14:textFill>
              </w:rPr>
              <w:t>项目</w:t>
            </w:r>
            <w:r>
              <w:rPr>
                <w:rFonts w:hint="eastAsia" w:ascii="Times New Roman" w:hAnsi="Times New Roman"/>
                <w:snapToGrid w:val="0"/>
                <w:color w:val="000000" w:themeColor="text1"/>
                <w:kern w:val="0"/>
                <w:sz w:val="24"/>
                <w:highlight w:val="none"/>
                <w:lang w:val="en-US" w:eastAsia="zh-CN"/>
                <w14:textFill>
                  <w14:solidFill>
                    <w14:schemeClr w14:val="tx1"/>
                  </w14:solidFill>
                </w14:textFill>
              </w:rPr>
              <w:t>占地为工业用地</w:t>
            </w:r>
            <w:r>
              <w:rPr>
                <w:rFonts w:ascii="Times New Roman" w:hAnsi="Times New Roman"/>
                <w:snapToGrid w:val="0"/>
                <w:color w:val="000000" w:themeColor="text1"/>
                <w:kern w:val="0"/>
                <w:sz w:val="24"/>
                <w14:textFill>
                  <w14:solidFill>
                    <w14:schemeClr w14:val="tx1"/>
                  </w14:solidFill>
                </w14:textFill>
              </w:rPr>
              <w:t>，在现有租赁厂房内建设</w:t>
            </w:r>
            <w:r>
              <w:rPr>
                <w:rFonts w:ascii="Times New Roman" w:hAnsi="Times New Roman"/>
                <w:snapToGrid w:val="0"/>
                <w:color w:val="000000" w:themeColor="text1"/>
                <w:kern w:val="0"/>
                <w:sz w:val="24"/>
                <w:u w:val="none"/>
                <w14:textFill>
                  <w14:solidFill>
                    <w14:schemeClr w14:val="tx1"/>
                  </w14:solidFill>
                </w14:textFill>
              </w:rPr>
              <w:t>。厂址中心地理坐标为</w:t>
            </w:r>
            <w:r>
              <w:rPr>
                <w:rFonts w:hint="eastAsia" w:ascii="Times New Roman" w:hAnsi="Times New Roman"/>
                <w:snapToGrid w:val="0"/>
                <w:color w:val="000000" w:themeColor="text1"/>
                <w:kern w:val="0"/>
                <w:sz w:val="24"/>
                <w:u w:val="none"/>
                <w:lang w:val="en-US" w:eastAsia="zh-CN"/>
                <w14:textFill>
                  <w14:solidFill>
                    <w14:schemeClr w14:val="tx1"/>
                  </w14:solidFill>
                </w14:textFill>
              </w:rPr>
              <w:t>东经</w:t>
            </w:r>
            <w:r>
              <w:rPr>
                <w:color w:val="000000" w:themeColor="text1"/>
                <w:sz w:val="24"/>
                <w:highlight w:val="none"/>
                <w:u w:val="none"/>
                <w14:textFill>
                  <w14:solidFill>
                    <w14:schemeClr w14:val="tx1"/>
                  </w14:solidFill>
                </w14:textFill>
              </w:rPr>
              <w:t>114度</w:t>
            </w:r>
            <w:r>
              <w:rPr>
                <w:rFonts w:hint="eastAsia"/>
                <w:color w:val="000000" w:themeColor="text1"/>
                <w:sz w:val="24"/>
                <w:highlight w:val="none"/>
                <w:u w:val="none"/>
                <w:lang w:val="en-US" w:eastAsia="zh-CN"/>
                <w14:textFill>
                  <w14:solidFill>
                    <w14:schemeClr w14:val="tx1"/>
                  </w14:solidFill>
                </w14:textFill>
              </w:rPr>
              <w:t>35</w:t>
            </w:r>
            <w:r>
              <w:rPr>
                <w:color w:val="000000" w:themeColor="text1"/>
                <w:sz w:val="24"/>
                <w:highlight w:val="none"/>
                <w:u w:val="none"/>
                <w14:textFill>
                  <w14:solidFill>
                    <w14:schemeClr w14:val="tx1"/>
                  </w14:solidFill>
                </w14:textFill>
              </w:rPr>
              <w:t>分</w:t>
            </w:r>
            <w:r>
              <w:rPr>
                <w:rFonts w:hint="eastAsia"/>
                <w:color w:val="000000" w:themeColor="text1"/>
                <w:sz w:val="24"/>
                <w:highlight w:val="none"/>
                <w:u w:val="none"/>
                <w:lang w:val="en-US" w:eastAsia="zh-CN"/>
                <w14:textFill>
                  <w14:solidFill>
                    <w14:schemeClr w14:val="tx1"/>
                  </w14:solidFill>
                </w14:textFill>
              </w:rPr>
              <w:t>35.995</w:t>
            </w:r>
            <w:r>
              <w:rPr>
                <w:color w:val="000000" w:themeColor="text1"/>
                <w:sz w:val="24"/>
                <w:highlight w:val="none"/>
                <w:u w:val="none"/>
                <w14:textFill>
                  <w14:solidFill>
                    <w14:schemeClr w14:val="tx1"/>
                  </w14:solidFill>
                </w14:textFill>
              </w:rPr>
              <w:t>秒，</w:t>
            </w:r>
            <w:r>
              <w:rPr>
                <w:rFonts w:hint="eastAsia"/>
                <w:color w:val="000000" w:themeColor="text1"/>
                <w:sz w:val="24"/>
                <w:highlight w:val="none"/>
                <w:u w:val="none"/>
                <w:lang w:val="en-US" w:eastAsia="zh-CN"/>
                <w14:textFill>
                  <w14:solidFill>
                    <w14:schemeClr w14:val="tx1"/>
                  </w14:solidFill>
                </w14:textFill>
              </w:rPr>
              <w:t>北纬</w:t>
            </w:r>
            <w:r>
              <w:rPr>
                <w:color w:val="000000" w:themeColor="text1"/>
                <w:sz w:val="24"/>
                <w:highlight w:val="none"/>
                <w:u w:val="none"/>
                <w14:textFill>
                  <w14:solidFill>
                    <w14:schemeClr w14:val="tx1"/>
                  </w14:solidFill>
                </w14:textFill>
              </w:rPr>
              <w:t>3</w:t>
            </w:r>
            <w:r>
              <w:rPr>
                <w:rFonts w:hint="eastAsia"/>
                <w:color w:val="000000" w:themeColor="text1"/>
                <w:sz w:val="24"/>
                <w:highlight w:val="none"/>
                <w:u w:val="none"/>
                <w:lang w:val="en-US" w:eastAsia="zh-CN"/>
                <w14:textFill>
                  <w14:solidFill>
                    <w14:schemeClr w14:val="tx1"/>
                  </w14:solidFill>
                </w14:textFill>
              </w:rPr>
              <w:t>7</w:t>
            </w:r>
            <w:r>
              <w:rPr>
                <w:color w:val="000000" w:themeColor="text1"/>
                <w:sz w:val="24"/>
                <w:highlight w:val="none"/>
                <w:u w:val="none"/>
                <w14:textFill>
                  <w14:solidFill>
                    <w14:schemeClr w14:val="tx1"/>
                  </w14:solidFill>
                </w14:textFill>
              </w:rPr>
              <w:t>度3</w:t>
            </w:r>
            <w:r>
              <w:rPr>
                <w:rFonts w:hint="eastAsia"/>
                <w:color w:val="000000" w:themeColor="text1"/>
                <w:sz w:val="24"/>
                <w:highlight w:val="none"/>
                <w:u w:val="none"/>
                <w:lang w:val="en-US" w:eastAsia="zh-CN"/>
                <w14:textFill>
                  <w14:solidFill>
                    <w14:schemeClr w14:val="tx1"/>
                  </w14:solidFill>
                </w14:textFill>
              </w:rPr>
              <w:t>9</w:t>
            </w:r>
            <w:r>
              <w:rPr>
                <w:color w:val="000000" w:themeColor="text1"/>
                <w:sz w:val="24"/>
                <w:highlight w:val="none"/>
                <w:u w:val="none"/>
                <w14:textFill>
                  <w14:solidFill>
                    <w14:schemeClr w14:val="tx1"/>
                  </w14:solidFill>
                </w14:textFill>
              </w:rPr>
              <w:t>分</w:t>
            </w:r>
            <w:r>
              <w:rPr>
                <w:rFonts w:hint="eastAsia"/>
                <w:color w:val="000000" w:themeColor="text1"/>
                <w:sz w:val="24"/>
                <w:highlight w:val="none"/>
                <w:u w:val="none"/>
                <w:lang w:val="en-US" w:eastAsia="zh-CN"/>
                <w14:textFill>
                  <w14:solidFill>
                    <w14:schemeClr w14:val="tx1"/>
                  </w14:solidFill>
                </w14:textFill>
              </w:rPr>
              <w:t>31.049</w:t>
            </w:r>
            <w:r>
              <w:rPr>
                <w:color w:val="000000" w:themeColor="text1"/>
                <w:sz w:val="24"/>
                <w:highlight w:val="none"/>
                <w:u w:val="none"/>
                <w14:textFill>
                  <w14:solidFill>
                    <w14:schemeClr w14:val="tx1"/>
                  </w14:solidFill>
                </w14:textFill>
              </w:rPr>
              <w:t>秒</w:t>
            </w:r>
            <w:r>
              <w:rPr>
                <w:rFonts w:ascii="Times New Roman" w:hAnsi="Times New Roman"/>
                <w:snapToGrid w:val="0"/>
                <w:color w:val="000000" w:themeColor="text1"/>
                <w:kern w:val="0"/>
                <w:sz w:val="24"/>
                <w14:textFill>
                  <w14:solidFill>
                    <w14:schemeClr w14:val="tx1"/>
                  </w14:solidFill>
                </w14:textFill>
              </w:rPr>
              <w:t>，</w:t>
            </w:r>
            <w:r>
              <w:rPr>
                <w:rFonts w:ascii="Times New Roman" w:hAnsi="Times New Roman"/>
                <w:bCs/>
                <w:color w:val="000000" w:themeColor="text1"/>
                <w:sz w:val="24"/>
                <w14:textFill>
                  <w14:solidFill>
                    <w14:schemeClr w14:val="tx1"/>
                  </w14:solidFill>
                </w14:textFill>
              </w:rPr>
              <w:t>项目周围无自然保护区、风景名胜区、世界文化和自然遗产地、饮用水源保护区、珍稀濒危动植物保护区等环境敏感区</w:t>
            </w:r>
            <w:r>
              <w:rPr>
                <w:color w:val="000000" w:themeColor="text1"/>
                <w:sz w:val="24"/>
                <w14:textFill>
                  <w14:solidFill>
                    <w14:schemeClr w14:val="tx1"/>
                  </w14:solidFill>
                </w14:textFill>
              </w:rPr>
              <w:t>，本项目</w:t>
            </w:r>
            <w:r>
              <w:rPr>
                <w:rFonts w:hint="eastAsia"/>
                <w:color w:val="000000" w:themeColor="text1"/>
                <w:sz w:val="24"/>
                <w14:textFill>
                  <w14:solidFill>
                    <w14:schemeClr w14:val="tx1"/>
                  </w14:solidFill>
                </w14:textFill>
              </w:rPr>
              <w:t>厂区</w:t>
            </w:r>
            <w:r>
              <w:rPr>
                <w:color w:val="000000" w:themeColor="text1"/>
                <w:sz w:val="24"/>
                <w14:textFill>
                  <w14:solidFill>
                    <w14:schemeClr w14:val="tx1"/>
                  </w14:solidFill>
                </w14:textFill>
              </w:rPr>
              <w:t>距离最近的环境敏感点为</w:t>
            </w:r>
            <w:r>
              <w:rPr>
                <w:rFonts w:hint="eastAsia"/>
                <w:color w:val="000000" w:themeColor="text1"/>
                <w:sz w:val="24"/>
                <w:lang w:val="en-US" w:eastAsia="zh-CN"/>
                <w14:textFill>
                  <w14:solidFill>
                    <w14:schemeClr w14:val="tx1"/>
                  </w14:solidFill>
                </w14:textFill>
              </w:rPr>
              <w:t>东北</w:t>
            </w:r>
            <w:r>
              <w:rPr>
                <w:color w:val="000000" w:themeColor="text1"/>
                <w:sz w:val="24"/>
                <w14:textFill>
                  <w14:solidFill>
                    <w14:schemeClr w14:val="tx1"/>
                  </w14:solidFill>
                </w14:textFill>
              </w:rPr>
              <w:t>侧</w:t>
            </w:r>
            <w:r>
              <w:rPr>
                <w:rFonts w:hint="eastAsia"/>
                <w:color w:val="000000" w:themeColor="text1"/>
                <w:sz w:val="24"/>
                <w:lang w:val="en-US" w:eastAsia="zh-CN"/>
                <w14:textFill>
                  <w14:solidFill>
                    <w14:schemeClr w14:val="tx1"/>
                  </w14:solidFill>
                </w14:textFill>
              </w:rPr>
              <w:t>46</w:t>
            </w:r>
            <w:r>
              <w:rPr>
                <w:rFonts w:hint="eastAsia"/>
                <w:color w:val="000000" w:themeColor="text1"/>
                <w:sz w:val="24"/>
                <w14:textFill>
                  <w14:solidFill>
                    <w14:schemeClr w14:val="tx1"/>
                  </w14:solidFill>
                </w14:textFill>
              </w:rPr>
              <w:t>0</w:t>
            </w:r>
            <w:r>
              <w:rPr>
                <w:color w:val="000000" w:themeColor="text1"/>
                <w:sz w:val="24"/>
                <w14:textFill>
                  <w14:solidFill>
                    <w14:schemeClr w14:val="tx1"/>
                  </w14:solidFill>
                </w14:textFill>
              </w:rPr>
              <w:t>m的</w:t>
            </w:r>
            <w:r>
              <w:rPr>
                <w:rFonts w:hint="eastAsia"/>
                <w:color w:val="000000" w:themeColor="text1"/>
                <w:sz w:val="24"/>
                <w:lang w:val="en-US" w:eastAsia="zh-CN"/>
                <w14:textFill>
                  <w14:solidFill>
                    <w14:schemeClr w14:val="tx1"/>
                  </w14:solidFill>
                </w14:textFill>
              </w:rPr>
              <w:t>中韩村</w:t>
            </w:r>
            <w:r>
              <w:rPr>
                <w:color w:val="000000" w:themeColor="text1"/>
                <w:sz w:val="24"/>
                <w14:textFill>
                  <w14:solidFill>
                    <w14:schemeClr w14:val="tx1"/>
                  </w14:solidFill>
                </w14:textFill>
              </w:rPr>
              <w:t>，且本项目经采取污染防治措施</w:t>
            </w:r>
            <w:r>
              <w:rPr>
                <w:rFonts w:hint="eastAsia"/>
                <w:color w:val="000000" w:themeColor="text1"/>
                <w:sz w:val="24"/>
                <w14:textFill>
                  <w14:solidFill>
                    <w14:schemeClr w14:val="tx1"/>
                  </w14:solidFill>
                </w14:textFill>
              </w:rPr>
              <w:t>和风险防治措施</w:t>
            </w:r>
            <w:r>
              <w:rPr>
                <w:color w:val="000000" w:themeColor="text1"/>
                <w:sz w:val="24"/>
                <w14:textFill>
                  <w14:solidFill>
                    <w14:schemeClr w14:val="tx1"/>
                  </w14:solidFill>
                </w14:textFill>
              </w:rPr>
              <w:t>后，污染物达标排放，不会对周边环境敏感点产生影响。</w:t>
            </w:r>
          </w:p>
          <w:p>
            <w:pPr>
              <w:spacing w:line="480" w:lineRule="exact"/>
              <w:ind w:firstLine="480" w:firstLineChars="200"/>
              <w:rPr>
                <w:rFonts w:hint="eastAsia"/>
                <w:color w:val="000000" w:themeColor="text1"/>
                <w:sz w:val="24"/>
                <w:lang w:eastAsia="zh-CN"/>
                <w14:textFill>
                  <w14:solidFill>
                    <w14:schemeClr w14:val="tx1"/>
                  </w14:solidFill>
                </w14:textFill>
              </w:rPr>
            </w:pPr>
            <w:r>
              <w:rPr>
                <w:color w:val="000000" w:themeColor="text1"/>
                <w:sz w:val="24"/>
                <w14:textFill>
                  <w14:solidFill>
                    <w14:schemeClr w14:val="tx1"/>
                  </w14:solidFill>
                </w14:textFill>
              </w:rPr>
              <w:t>综上所述，本项目选址可行</w:t>
            </w:r>
            <w:r>
              <w:rPr>
                <w:rFonts w:hint="eastAsia"/>
                <w:color w:val="000000" w:themeColor="text1"/>
                <w:sz w:val="24"/>
                <w:lang w:eastAsia="zh-CN"/>
                <w14:textFill>
                  <w14:solidFill>
                    <w14:schemeClr w14:val="tx1"/>
                  </w14:solidFill>
                </w14:textFill>
              </w:rPr>
              <w:t>。</w:t>
            </w: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tc>
      </w:tr>
    </w:tbl>
    <w:p>
      <w:pPr>
        <w:spacing w:line="360" w:lineRule="auto"/>
        <w:outlineLvl w:val="0"/>
        <w:rPr>
          <w:color w:val="000000" w:themeColor="text1"/>
          <w:sz w:val="30"/>
          <w14:textFill>
            <w14:solidFill>
              <w14:schemeClr w14:val="tx1"/>
            </w14:solidFill>
          </w14:textFill>
        </w:rPr>
        <w:sectPr>
          <w:footerReference r:id="rId7" w:type="default"/>
          <w:pgSz w:w="11907" w:h="16840"/>
          <w:pgMar w:top="1701" w:right="1134" w:bottom="1701" w:left="1134"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32"/>
        <w:spacing w:before="120" w:beforeLines="50" w:beforeAutospacing="0" w:after="120" w:afterLines="50" w:afterAutospacing="0"/>
        <w:jc w:val="center"/>
        <w:outlineLvl w:val="0"/>
        <w:rPr>
          <w:snapToGrid w:val="0"/>
          <w:color w:val="000000" w:themeColor="text1"/>
          <w:sz w:val="30"/>
          <w:szCs w:val="30"/>
          <w:highlight w:val="none"/>
          <w14:textFill>
            <w14:solidFill>
              <w14:schemeClr w14:val="tx1"/>
            </w14:solidFill>
          </w14:textFill>
        </w:rPr>
      </w:pPr>
      <w:r>
        <w:rPr>
          <w:snapToGrid w:val="0"/>
          <w:color w:val="000000" w:themeColor="text1"/>
          <w:sz w:val="30"/>
          <w:szCs w:val="30"/>
          <w:highlight w:val="none"/>
          <w14:textFill>
            <w14:solidFill>
              <w14:schemeClr w14:val="tx1"/>
            </w14:solidFill>
          </w14:textFill>
        </w:rPr>
        <w:t>二、建设项目工程分析</w:t>
      </w:r>
    </w:p>
    <w:tbl>
      <w:tblPr>
        <w:tblStyle w:val="42"/>
        <w:tblW w:w="9998"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18"/>
        <w:gridCol w:w="93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618" w:type="dxa"/>
            <w:vAlign w:val="center"/>
          </w:tcPr>
          <w:p>
            <w:pPr>
              <w:pStyle w:val="32"/>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pPr>
            <w:r>
              <w:rPr>
                <w:rFonts w:ascii="Times New Roman" w:hAnsi="Times New Roman"/>
                <w:color w:val="000000" w:themeColor="text1"/>
                <w:szCs w:val="24"/>
                <w14:textFill>
                  <w14:solidFill>
                    <w14:schemeClr w14:val="tx1"/>
                  </w14:solidFill>
                </w14:textFill>
              </w:rPr>
              <w:t>建设内容</w:t>
            </w:r>
          </w:p>
        </w:tc>
        <w:tc>
          <w:tcPr>
            <w:tcW w:w="9380" w:type="dxa"/>
            <w:tcBorders>
              <w:bottom w:val="single" w:color="auto" w:sz="4" w:space="0"/>
            </w:tcBorders>
          </w:tcPr>
          <w:p>
            <w:pPr>
              <w:adjustRightInd w:val="0"/>
              <w:snapToGrid w:val="0"/>
              <w:spacing w:line="480" w:lineRule="exact"/>
              <w:ind w:firstLine="480" w:firstLineChars="200"/>
              <w:rPr>
                <w:rFonts w:hint="default"/>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1、项目基本情况</w:t>
            </w:r>
          </w:p>
          <w:p>
            <w:pPr>
              <w:spacing w:line="480" w:lineRule="exact"/>
              <w:ind w:firstLine="480" w:firstLineChars="200"/>
              <w:rPr>
                <w:rFonts w:hint="eastAsia" w:cs="Times New Roman"/>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沥青路面就地热再生集成式工程列车和水平式全封闭多功能道路工程材料拌合生产线项目由河北坚实基业科技有限公司</w:t>
            </w:r>
            <w:r>
              <w:rPr>
                <w:rFonts w:hint="eastAsia" w:cs="Times New Roman"/>
                <w:color w:val="000000" w:themeColor="text1"/>
                <w:sz w:val="24"/>
                <w:lang w:val="en-US" w:eastAsia="zh-CN"/>
                <w14:textFill>
                  <w14:solidFill>
                    <w14:schemeClr w14:val="tx1"/>
                  </w14:solidFill>
                </w14:textFill>
              </w:rPr>
              <w:t>出资建设</w:t>
            </w:r>
            <w:r>
              <w:rPr>
                <w:rFonts w:hint="eastAsia" w:ascii="Times New Roman" w:hAnsi="Times New Roman" w:cs="Times New Roman"/>
                <w:color w:val="000000" w:themeColor="text1"/>
                <w:sz w:val="24"/>
                <w:lang w:val="en-US" w:eastAsia="zh-CN"/>
                <w14:textFill>
                  <w14:solidFill>
                    <w14:schemeClr w14:val="tx1"/>
                  </w14:solidFill>
                </w14:textFill>
              </w:rPr>
              <w:t>，</w:t>
            </w:r>
            <w:r>
              <w:rPr>
                <w:rFonts w:hint="eastAsia" w:cs="Times New Roman"/>
                <w:color w:val="000000" w:themeColor="text1"/>
                <w:sz w:val="24"/>
                <w:lang w:val="en-US" w:eastAsia="zh-CN"/>
                <w14:textFill>
                  <w14:solidFill>
                    <w14:schemeClr w14:val="tx1"/>
                  </w14:solidFill>
                </w14:textFill>
              </w:rPr>
              <w:t>该项目为新建项目，</w:t>
            </w:r>
            <w:r>
              <w:rPr>
                <w:rFonts w:hint="eastAsia" w:ascii="Times New Roman" w:hAnsi="Times New Roman" w:cs="Times New Roman"/>
                <w:color w:val="000000" w:themeColor="text1"/>
                <w:sz w:val="24"/>
                <w:lang w:val="en-US" w:eastAsia="zh-CN"/>
                <w14:textFill>
                  <w14:solidFill>
                    <w14:schemeClr w14:val="tx1"/>
                  </w14:solidFill>
                </w14:textFill>
              </w:rPr>
              <w:t>租用河北储歌新能源科技有限公司现有厂房</w:t>
            </w:r>
            <w:r>
              <w:rPr>
                <w:rFonts w:hint="eastAsia" w:cs="Times New Roman"/>
                <w:color w:val="000000" w:themeColor="text1"/>
                <w:sz w:val="24"/>
                <w:lang w:val="en-US" w:eastAsia="zh-CN"/>
                <w14:textFill>
                  <w14:solidFill>
                    <w14:schemeClr w14:val="tx1"/>
                  </w14:solidFill>
                </w14:textFill>
              </w:rPr>
              <w:t>进行</w:t>
            </w:r>
            <w:r>
              <w:rPr>
                <w:rFonts w:hint="eastAsia" w:ascii="Times New Roman" w:hAnsi="Times New Roman" w:cs="Times New Roman"/>
                <w:color w:val="000000" w:themeColor="text1"/>
                <w:sz w:val="24"/>
                <w:lang w:val="en-US" w:eastAsia="zh-CN"/>
                <w14:textFill>
                  <w14:solidFill>
                    <w14:schemeClr w14:val="tx1"/>
                  </w14:solidFill>
                </w14:textFill>
              </w:rPr>
              <w:t>建设</w:t>
            </w:r>
            <w:r>
              <w:rPr>
                <w:rFonts w:hint="eastAsia" w:cs="Times New Roman"/>
                <w:color w:val="000000" w:themeColor="text1"/>
                <w:sz w:val="24"/>
                <w:lang w:val="en-US"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项目占地面积11亩，租用现有厂房总建筑面积6750平方米。1、沥青路面就地热再生集成式工程列车组装生产线主要建设内容包括：整车组装车间、半成品</w:t>
            </w:r>
            <w:r>
              <w:rPr>
                <w:rFonts w:hint="eastAsia" w:cs="Times New Roman"/>
                <w:color w:val="000000" w:themeColor="text1"/>
                <w:sz w:val="24"/>
                <w:lang w:val="en-US" w:eastAsia="zh-CN"/>
                <w14:textFill>
                  <w14:solidFill>
                    <w14:schemeClr w14:val="tx1"/>
                  </w14:solidFill>
                </w14:textFill>
              </w:rPr>
              <w:t>及配件仓库</w:t>
            </w:r>
            <w:r>
              <w:rPr>
                <w:rFonts w:hint="eastAsia" w:ascii="Times New Roman" w:hAnsi="Times New Roman" w:cs="Times New Roman"/>
                <w:color w:val="000000" w:themeColor="text1"/>
                <w:sz w:val="24"/>
                <w:lang w:val="en-US" w:eastAsia="zh-CN"/>
                <w14:textFill>
                  <w14:solidFill>
                    <w14:schemeClr w14:val="tx1"/>
                  </w14:solidFill>
                </w14:textFill>
              </w:rPr>
              <w:t>、研发中心、实验室、办公室、购置相关组装机械设备等占地1000平米，主要产品为就地热再生集成式工程列车。2、水平式全封闭多功能道路工程材料拌合生产线主要建设内容包括</w:t>
            </w:r>
            <w:r>
              <w:rPr>
                <w:rFonts w:hint="eastAsia" w:cs="Times New Roman"/>
                <w:color w:val="000000" w:themeColor="text1"/>
                <w:sz w:val="24"/>
                <w:lang w:val="en-US" w:eastAsia="zh-CN"/>
                <w14:textFill>
                  <w14:solidFill>
                    <w14:schemeClr w14:val="tx1"/>
                  </w14:solidFill>
                </w14:textFill>
              </w:rPr>
              <w:t>：</w:t>
            </w:r>
            <w:r>
              <w:rPr>
                <w:rFonts w:hint="eastAsia" w:ascii="Times New Roman" w:hAnsi="Times New Roman" w:cs="Times New Roman"/>
                <w:color w:val="000000" w:themeColor="text1"/>
                <w:sz w:val="24"/>
                <w:lang w:val="en-US" w:eastAsia="zh-CN"/>
                <w14:textFill>
                  <w14:solidFill>
                    <w14:schemeClr w14:val="tx1"/>
                  </w14:solidFill>
                </w14:textFill>
              </w:rPr>
              <w:t>原料暂存</w:t>
            </w:r>
            <w:r>
              <w:rPr>
                <w:rFonts w:hint="eastAsia" w:cs="Times New Roman"/>
                <w:color w:val="000000" w:themeColor="text1"/>
                <w:sz w:val="24"/>
                <w:lang w:val="en-US" w:eastAsia="zh-CN"/>
                <w14:textFill>
                  <w14:solidFill>
                    <w14:schemeClr w14:val="tx1"/>
                  </w14:solidFill>
                </w14:textFill>
              </w:rPr>
              <w:t>仓库</w:t>
            </w:r>
            <w:r>
              <w:rPr>
                <w:rFonts w:hint="eastAsia" w:ascii="Times New Roman" w:hAnsi="Times New Roman" w:cs="Times New Roman"/>
                <w:color w:val="000000" w:themeColor="text1"/>
                <w:sz w:val="24"/>
                <w:lang w:val="en-US" w:eastAsia="zh-CN"/>
                <w14:textFill>
                  <w14:solidFill>
                    <w14:schemeClr w14:val="tx1"/>
                  </w14:solidFill>
                </w14:textFill>
              </w:rPr>
              <w:t>、能源中心、生产区、办公区、购置相关生产设备及辅助设施等5750平米，年生产各种沥青料6万吨。</w:t>
            </w:r>
          </w:p>
          <w:p>
            <w:pPr>
              <w:spacing w:line="480" w:lineRule="exact"/>
              <w:ind w:firstLine="480" w:firstLineChars="200"/>
              <w:rPr>
                <w:rFonts w:hint="default" w:ascii="Times New Roman" w:hAnsi="Times New Roman" w:cs="Times New Roman"/>
                <w:color w:val="FF0000"/>
                <w:sz w:val="24"/>
                <w:lang w:val="en-US" w:eastAsia="zh-CN"/>
              </w:rPr>
            </w:pPr>
            <w:r>
              <w:rPr>
                <w:rFonts w:hint="eastAsia" w:cs="Times New Roman"/>
                <w:color w:val="FF0000"/>
                <w:sz w:val="24"/>
                <w:lang w:val="en-US" w:eastAsia="zh-CN"/>
              </w:rPr>
              <w:t>本项目利用现有厂房，依托现有供水、供电、供气等公用工程，新增生产线生产设施、环保设施及其他辅助工程、储运工程。</w:t>
            </w:r>
            <w:r>
              <w:rPr>
                <w:rFonts w:hint="eastAsia" w:cs="Times New Roman"/>
                <w:color w:val="FF0000"/>
                <w:sz w:val="24"/>
                <w:highlight w:val="yellow"/>
                <w:lang w:val="en-US" w:eastAsia="zh-CN"/>
              </w:rPr>
              <w:t>目前已完成了主要生产设施的安装，环保设施暂未安装，暂未进行试生产；其他辅助工程、储运工程已基本建设完成。</w:t>
            </w:r>
          </w:p>
          <w:p>
            <w:pPr>
              <w:adjustRightInd w:val="0"/>
              <w:snapToGrid w:val="0"/>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2、主要工程内容</w:t>
            </w:r>
          </w:p>
          <w:p>
            <w:pPr>
              <w:spacing w:line="480" w:lineRule="exact"/>
              <w:ind w:firstLine="480" w:firstLineChars="200"/>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本项目主要工程内容见下表。</w:t>
            </w:r>
          </w:p>
          <w:p>
            <w:pPr>
              <w:pStyle w:val="91"/>
              <w:spacing w:line="240" w:lineRule="auto"/>
              <w:ind w:left="0" w:firstLine="0"/>
              <w:rPr>
                <w:b/>
                <w:bCs w:val="0"/>
                <w:color w:val="000000" w:themeColor="text1"/>
                <w:highlight w:val="none"/>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主要工程内容</w:t>
            </w:r>
            <w:r>
              <w:rPr>
                <w:rFonts w:hint="eastAsia"/>
                <w:b/>
                <w:bCs w:val="0"/>
                <w:color w:val="000000" w:themeColor="text1"/>
                <w:highlight w:val="none"/>
                <w14:textFill>
                  <w14:solidFill>
                    <w14:schemeClr w14:val="tx1"/>
                  </w14:solidFill>
                </w14:textFill>
              </w:rPr>
              <w:t>一览表</w:t>
            </w:r>
          </w:p>
          <w:tbl>
            <w:tblPr>
              <w:tblStyle w:val="42"/>
              <w:tblW w:w="9164"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62"/>
              <w:gridCol w:w="513"/>
              <w:gridCol w:w="370"/>
              <w:gridCol w:w="370"/>
              <w:gridCol w:w="6586"/>
              <w:gridCol w:w="96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bookmarkStart w:id="2" w:name="_Hlk67313122"/>
                  <w:bookmarkStart w:id="3" w:name="_Hlk101302456"/>
                  <w:r>
                    <w:rPr>
                      <w:b/>
                      <w:bCs/>
                      <w:color w:val="000000" w:themeColor="text1"/>
                      <w:szCs w:val="21"/>
                      <w14:textFill>
                        <w14:solidFill>
                          <w14:schemeClr w14:val="tx1"/>
                        </w14:solidFill>
                      </w14:textFill>
                    </w:rPr>
                    <w:t>类别</w:t>
                  </w: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项目组成</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建设内容</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b/>
                      <w:bCs/>
                      <w:color w:val="000000" w:themeColor="text1"/>
                      <w:szCs w:val="21"/>
                      <w:lang w:val="en-US" w:eastAsia="zh-CN"/>
                      <w14:textFill>
                        <w14:solidFill>
                          <w14:schemeClr w14:val="tx1"/>
                        </w14:solidFill>
                      </w14:textFill>
                    </w:rPr>
                  </w:pPr>
                  <w:r>
                    <w:rPr>
                      <w:rFonts w:hint="eastAsia"/>
                      <w:b/>
                      <w:bCs/>
                      <w:color w:val="000000" w:themeColor="text1"/>
                      <w:szCs w:val="21"/>
                      <w:lang w:val="en-US" w:eastAsia="zh-CN"/>
                      <w14:textFill>
                        <w14:solidFill>
                          <w14:schemeClr w14:val="tx1"/>
                        </w14:solidFill>
                      </w14:textFill>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主体工程</w:t>
                  </w: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拌合站生产厂房</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拌合站生产厂房为钢框架结构，高度10m，建筑面积为</w:t>
                  </w:r>
                  <w:r>
                    <w:rPr>
                      <w:rFonts w:hint="eastAsia"/>
                      <w:color w:val="000000" w:themeColor="text1"/>
                      <w:lang w:val="en-US" w:eastAsia="zh-CN"/>
                      <w14:textFill>
                        <w14:solidFill>
                          <w14:schemeClr w14:val="tx1"/>
                        </w14:solidFill>
                      </w14:textFill>
                    </w:rPr>
                    <w:t>5750</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拌合站</w:t>
                  </w:r>
                  <w:r>
                    <w:rPr>
                      <w:rFonts w:hint="eastAsia"/>
                      <w:color w:val="000000" w:themeColor="text1"/>
                      <w:lang w:val="en-US" w:eastAsia="zh-CN"/>
                      <w14:textFill>
                        <w14:solidFill>
                          <w14:schemeClr w14:val="tx1"/>
                        </w14:solidFill>
                      </w14:textFill>
                    </w:rPr>
                    <w:t>生产线设备</w:t>
                  </w:r>
                  <w:r>
                    <w:rPr>
                      <w:rFonts w:hint="eastAsia" w:ascii="Times New Roman"/>
                      <w:color w:val="000000" w:themeColor="text1"/>
                      <w:lang w:val="en-US" w:eastAsia="zh-CN"/>
                      <w14:textFill>
                        <w14:solidFill>
                          <w14:schemeClr w14:val="tx1"/>
                        </w14:solidFill>
                      </w14:textFill>
                    </w:rPr>
                    <w:t>占地</w:t>
                  </w:r>
                  <w:r>
                    <w:rPr>
                      <w:rFonts w:ascii="Times New Roman"/>
                      <w:color w:val="000000" w:themeColor="text1"/>
                      <w14:textFill>
                        <w14:solidFill>
                          <w14:schemeClr w14:val="tx1"/>
                        </w14:solidFill>
                      </w14:textFill>
                    </w:rPr>
                    <w:t>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ascii="Times New Roman"/>
                      <w:color w:val="000000" w:themeColor="text1"/>
                      <w:lang w:val="en-US" w:eastAsia="zh-CN"/>
                      <w14:textFill>
                        <w14:solidFill>
                          <w14:schemeClr w14:val="tx1"/>
                        </w14:solidFill>
                      </w14:textFill>
                    </w:rPr>
                    <w:t>11</w:t>
                  </w:r>
                  <w:r>
                    <w:rPr>
                      <w:rFonts w:ascii="Times New Roman"/>
                      <w:color w:val="000000" w:themeColor="text1"/>
                      <w14:textFill>
                        <w14:solidFill>
                          <w14:schemeClr w14:val="tx1"/>
                        </w14:solidFill>
                      </w14:textFill>
                    </w:rPr>
                    <w:t>00m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color w:val="000000" w:themeColor="text1"/>
                      <w:lang w:val="en-US" w:eastAsia="zh-CN"/>
                      <w14:textFill>
                        <w14:solidFill>
                          <w14:schemeClr w14:val="tx1"/>
                        </w14:solidFill>
                      </w14:textFill>
                    </w:rPr>
                    <w:t>生产线</w:t>
                  </w:r>
                  <w:r>
                    <w:rPr>
                      <w:rFonts w:ascii="Times New Roman"/>
                      <w:color w:val="000000" w:themeColor="text1"/>
                      <w14:textFill>
                        <w14:solidFill>
                          <w14:schemeClr w14:val="tx1"/>
                        </w14:solidFill>
                      </w14:textFill>
                    </w:rPr>
                    <w:t>包括</w:t>
                  </w:r>
                  <w:r>
                    <w:rPr>
                      <w:rFonts w:hint="eastAsia" w:ascii="Times New Roman"/>
                      <w:color w:val="000000" w:themeColor="text1"/>
                      <w:lang w:val="en-US" w:eastAsia="zh-CN"/>
                      <w14:textFill>
                        <w14:solidFill>
                          <w14:schemeClr w14:val="tx1"/>
                        </w14:solidFill>
                      </w14:textFill>
                    </w:rPr>
                    <w:t>料斗、提升系统</w:t>
                  </w:r>
                  <w:r>
                    <w:rPr>
                      <w:rFonts w:hint="eastAsia"/>
                      <w:color w:val="000000" w:themeColor="text1"/>
                      <w:lang w:val="en-US" w:eastAsia="zh-CN"/>
                      <w14:textFill>
                        <w14:solidFill>
                          <w14:schemeClr w14:val="tx1"/>
                        </w14:solidFill>
                      </w14:textFill>
                    </w:rPr>
                    <w:t>、</w:t>
                  </w:r>
                  <w:r>
                    <w:rPr>
                      <w:rFonts w:hint="eastAsia" w:ascii="Times New Roman"/>
                      <w:color w:val="000000" w:themeColor="text1"/>
                      <w:lang w:val="en-US" w:eastAsia="zh-CN"/>
                      <w14:textFill>
                        <w14:solidFill>
                          <w14:schemeClr w14:val="tx1"/>
                        </w14:solidFill>
                      </w14:textFill>
                    </w:rPr>
                    <w:t>筛分系统、称量系统、加热系统</w:t>
                  </w:r>
                  <w:r>
                    <w:rPr>
                      <w:rFonts w:hint="eastAsia"/>
                      <w:color w:val="000000" w:themeColor="text1"/>
                      <w:lang w:val="en-US" w:eastAsia="zh-CN"/>
                      <w14:textFill>
                        <w14:solidFill>
                          <w14:schemeClr w14:val="tx1"/>
                        </w14:solidFill>
                      </w14:textFill>
                    </w:rPr>
                    <w:t>（天然气燃烧机、导热油炉）</w:t>
                  </w:r>
                  <w:r>
                    <w:rPr>
                      <w:rFonts w:hint="eastAsia" w:ascii="Times New Roman"/>
                      <w:color w:val="000000" w:themeColor="text1"/>
                      <w:lang w:val="en-US" w:eastAsia="zh-CN"/>
                      <w14:textFill>
                        <w14:solidFill>
                          <w14:schemeClr w14:val="tx1"/>
                        </w14:solidFill>
                      </w14:textFill>
                    </w:rPr>
                    <w:t>、搅拌系统，配套建设矿粉仓、沥青罐。年生产6万吨沥青料</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厂房利用现有，生产线为新建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w:t>
                  </w:r>
                  <w:r>
                    <w:rPr>
                      <w:rFonts w:hint="eastAsia" w:cs="Times New Roman"/>
                      <w:color w:val="000000" w:themeColor="text1"/>
                      <w:szCs w:val="21"/>
                      <w:lang w:val="en-US" w:eastAsia="zh-CN"/>
                      <w14:textFill>
                        <w14:solidFill>
                          <w14:schemeClr w14:val="tx1"/>
                        </w14:solidFill>
                      </w14:textFill>
                    </w:rPr>
                    <w:t>生产厂房</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w:t>
                  </w:r>
                  <w:r>
                    <w:rPr>
                      <w:rFonts w:hint="eastAsia" w:cs="Times New Roman"/>
                      <w:color w:val="000000" w:themeColor="text1"/>
                      <w:szCs w:val="21"/>
                      <w:lang w:val="en-US" w:eastAsia="zh-CN"/>
                      <w14:textFill>
                        <w14:solidFill>
                          <w14:schemeClr w14:val="tx1"/>
                        </w14:solidFill>
                      </w14:textFill>
                    </w:rPr>
                    <w:t>生产厂房为钢框架结构，高度10m，建筑面积为</w:t>
                  </w:r>
                  <w:r>
                    <w:rPr>
                      <w:rFonts w:hint="eastAsia"/>
                      <w:color w:val="000000" w:themeColor="text1"/>
                      <w:lang w:val="en-US" w:eastAsia="zh-CN"/>
                      <w14:textFill>
                        <w14:solidFill>
                          <w14:schemeClr w14:val="tx1"/>
                        </w14:solidFill>
                      </w14:textFill>
                    </w:rPr>
                    <w:t>1000</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工程列车生产线</w:t>
                  </w: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包括整车组装车间，年装配约10套工程列车</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厂房利用现有，生产线为新建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辅助</w:t>
                  </w:r>
                  <w:r>
                    <w:rPr>
                      <w:color w:val="000000" w:themeColor="text1"/>
                      <w:szCs w:val="21"/>
                      <w14:textFill>
                        <w14:solidFill>
                          <w14:schemeClr w14:val="tx1"/>
                        </w14:solidFill>
                      </w14:textFill>
                    </w:rPr>
                    <w:t>工程</w:t>
                  </w: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车辆清洗系统</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2</w:t>
                  </w:r>
                  <w:r>
                    <w:rPr>
                      <w:rFonts w:ascii="Times New Roman"/>
                      <w:color w:val="000000" w:themeColor="text1"/>
                      <w14:textFill>
                        <w14:solidFill>
                          <w14:schemeClr w14:val="tx1"/>
                        </w14:solidFill>
                      </w14:textFill>
                    </w:rPr>
                    <w:t>00m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szCs w:val="21"/>
                      <w:lang w:val="en-US" w:eastAsia="zh-CN"/>
                      <w14:textFill>
                        <w14:solidFill>
                          <w14:schemeClr w14:val="tx1"/>
                        </w14:solidFill>
                      </w14:textFill>
                    </w:rPr>
                    <w:t>设置泵房和清洗系统，用于运输车辆的清洗</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地磅</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24</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用于运输车辆的称量</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办公区</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2层，</w:t>
                  </w:r>
                  <w:r>
                    <w:rPr>
                      <w:rFonts w:ascii="Times New Roman"/>
                      <w:color w:val="000000" w:themeColor="text1"/>
                      <w14:textFill>
                        <w14:solidFill>
                          <w14:schemeClr w14:val="tx1"/>
                        </w14:solidFill>
                      </w14:textFill>
                    </w:rPr>
                    <w:t>建筑面积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ascii="Times New Roman"/>
                      <w:color w:val="000000" w:themeColor="text1"/>
                      <w:lang w:val="en-US" w:eastAsia="zh-CN"/>
                      <w14:textFill>
                        <w14:solidFill>
                          <w14:schemeClr w14:val="tx1"/>
                        </w14:solidFill>
                      </w14:textFill>
                    </w:rPr>
                    <w:t>2</w:t>
                  </w:r>
                  <w:r>
                    <w:rPr>
                      <w:rFonts w:hint="eastAsia"/>
                      <w:color w:val="000000" w:themeColor="text1"/>
                      <w:lang w:val="en-US" w:eastAsia="zh-CN"/>
                      <w14:textFill>
                        <w14:solidFill>
                          <w14:schemeClr w14:val="tx1"/>
                        </w14:solidFill>
                      </w14:textFill>
                    </w:rPr>
                    <w:t>8</w:t>
                  </w:r>
                  <w:r>
                    <w:rPr>
                      <w:rFonts w:ascii="Times New Roman"/>
                      <w:color w:val="000000" w:themeColor="text1"/>
                      <w14:textFill>
                        <w14:solidFill>
                          <w14:schemeClr w14:val="tx1"/>
                        </w14:solidFill>
                      </w14:textFill>
                    </w:rPr>
                    <w:t>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s="Times New Roman"/>
                      <w:color w:val="000000" w:themeColor="text1"/>
                      <w:kern w:val="2"/>
                      <w:sz w:val="21"/>
                      <w:szCs w:val="21"/>
                      <w:lang w:val="en-US" w:eastAsia="zh-CN" w:bidi="ar-SA"/>
                      <w14:textFill>
                        <w14:solidFill>
                          <w14:schemeClr w14:val="tx1"/>
                        </w14:solidFill>
                      </w14:textFill>
                    </w:rPr>
                    <w:t>1层为配件仓库和研发中心、实验室，</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2层为办公室、会议室</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研发中心</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位于办公区1层，主要用于工程列车组装图纸的研发设计</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实验室</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位于办公区1层，主要用于原料及产品的质量检验</w:t>
                  </w:r>
                  <w:r>
                    <w:commentReference w:id="4"/>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储运工程</w:t>
                  </w:r>
                </w:p>
              </w:tc>
              <w:tc>
                <w:tcPr>
                  <w:tcW w:w="51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pacing w:val="1"/>
                      <w:kern w:val="0"/>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拌合站生产线</w:t>
                  </w:r>
                </w:p>
              </w:tc>
              <w:tc>
                <w:tcPr>
                  <w:tcW w:w="74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s="Times New Roman"/>
                      <w:color w:val="000000" w:themeColor="text1"/>
                      <w:spacing w:val="1"/>
                      <w:kern w:val="0"/>
                      <w:sz w:val="21"/>
                      <w:szCs w:val="21"/>
                      <w:lang w:val="en-US" w:eastAsia="zh-CN" w:bidi="ar-SA"/>
                      <w14:textFill>
                        <w14:solidFill>
                          <w14:schemeClr w14:val="tx1"/>
                        </w14:solidFill>
                      </w14:textFill>
                    </w:rPr>
                    <w:t>原料暂存仓库</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设置6个料仓，为混凝土结构，每个占地面积约为336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hint="eastAsia"/>
                      <w:color w:val="000000" w:themeColor="text1"/>
                      <w:szCs w:val="21"/>
                      <w:lang w:val="en-US" w:eastAsia="zh-CN"/>
                      <w14:textFill>
                        <w14:solidFill>
                          <w14:schemeClr w14:val="tx1"/>
                        </w14:solidFill>
                      </w14:textFill>
                    </w:rPr>
                    <w:t>，容积约1000m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，用于贮存机制砂、石子等原材料</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51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74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highlight w:val="none"/>
                      <w:lang w:val="en-US" w:eastAsia="zh-CN" w:bidi="ar-SA"/>
                      <w14:textFill>
                        <w14:solidFill>
                          <w14:schemeClr w14:val="tx1"/>
                        </w14:solidFill>
                      </w14:textFill>
                    </w:rPr>
                  </w:pPr>
                  <w:r>
                    <w:rPr>
                      <w:rFonts w:hint="eastAsia"/>
                      <w:color w:val="000000" w:themeColor="text1"/>
                      <w:spacing w:val="1"/>
                      <w:kern w:val="0"/>
                      <w:szCs w:val="21"/>
                      <w:highlight w:val="none"/>
                      <w:lang w:val="en-US" w:eastAsia="zh-CN"/>
                      <w14:textFill>
                        <w14:solidFill>
                          <w14:schemeClr w14:val="tx1"/>
                        </w14:solidFill>
                      </w14:textFill>
                    </w:rPr>
                    <w:t>原料存放区</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highlight w:val="none"/>
                      <w:vertAlign w:val="baseli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设置封闭原料存放区，占地面积约为350</w:t>
                  </w:r>
                  <w:r>
                    <w:rPr>
                      <w:rFonts w:ascii="Times New Roman"/>
                      <w:color w:val="000000" w:themeColor="text1"/>
                      <w:highlight w:val="none"/>
                      <w14:textFill>
                        <w14:solidFill>
                          <w14:schemeClr w14:val="tx1"/>
                        </w14:solidFill>
                      </w14:textFill>
                    </w:rPr>
                    <w:t>m</w:t>
                  </w:r>
                  <w:r>
                    <w:rPr>
                      <w:rFonts w:ascii="Times New Roman"/>
                      <w:color w:val="000000" w:themeColor="text1"/>
                      <w:highlight w:val="none"/>
                      <w:vertAlign w:val="superscript"/>
                      <w14:textFill>
                        <w14:solidFill>
                          <w14:schemeClr w14:val="tx1"/>
                        </w14:solidFill>
                      </w14:textFill>
                    </w:rPr>
                    <w:t>2</w:t>
                  </w:r>
                  <w:r>
                    <w:rPr>
                      <w:rFonts w:hint="eastAsia"/>
                      <w:color w:val="000000" w:themeColor="text1"/>
                      <w:highlight w:val="none"/>
                      <w:vertAlign w:val="baseline"/>
                      <w:lang w:eastAsia="zh-CN"/>
                      <w14:textFill>
                        <w14:solidFill>
                          <w14:schemeClr w14:val="tx1"/>
                        </w14:solidFill>
                      </w14:textFill>
                    </w:rPr>
                    <w:t>，</w:t>
                  </w:r>
                  <w:r>
                    <w:rPr>
                      <w:rFonts w:hint="eastAsia"/>
                      <w:color w:val="000000" w:themeColor="text1"/>
                      <w:highlight w:val="none"/>
                      <w:vertAlign w:val="baseline"/>
                      <w:lang w:val="en-US" w:eastAsia="zh-CN"/>
                      <w14:textFill>
                        <w14:solidFill>
                          <w14:schemeClr w14:val="tx1"/>
                        </w14:solidFill>
                      </w14:textFill>
                    </w:rPr>
                    <w:t>用于暂存粗配原材料</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highlight w:val="none"/>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51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370"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s="Times New Roman"/>
                      <w:color w:val="000000" w:themeColor="text1"/>
                      <w:spacing w:val="1"/>
                      <w:kern w:val="0"/>
                      <w:sz w:val="21"/>
                      <w:szCs w:val="21"/>
                      <w:lang w:val="en-US" w:eastAsia="zh-CN" w:bidi="ar-SA"/>
                      <w14:textFill>
                        <w14:solidFill>
                          <w14:schemeClr w14:val="tx1"/>
                        </w14:solidFill>
                      </w14:textFill>
                    </w:rPr>
                    <w:t>能源中心</w:t>
                  </w:r>
                </w:p>
              </w:tc>
              <w:tc>
                <w:tcPr>
                  <w:tcW w:w="37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pacing w:val="1"/>
                      <w:kern w:val="0"/>
                      <w:szCs w:val="21"/>
                      <w:lang w:val="en-US" w:eastAsia="zh-CN"/>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矿粉仓</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1个，容积60m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，用于贮存矿粉原材料</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51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37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37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沥青储罐</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1个，容积240m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，用于贮存沥青原材料</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51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37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37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橡胶油罐</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1个，容积15m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，用于贮存橡胶油</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51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工程列车生产线</w:t>
                  </w:r>
                </w:p>
              </w:tc>
              <w:tc>
                <w:tcPr>
                  <w:tcW w:w="74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半成品仓库</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占地面积约为336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hint="eastAsia"/>
                      <w:color w:val="000000" w:themeColor="text1"/>
                      <w:vertAlign w:val="baseline"/>
                      <w:lang w:eastAsia="zh-CN"/>
                      <w14:textFill>
                        <w14:solidFill>
                          <w14:schemeClr w14:val="tx1"/>
                        </w14:solidFill>
                      </w14:textFill>
                    </w:rPr>
                    <w:t>，</w:t>
                  </w:r>
                  <w:r>
                    <w:rPr>
                      <w:rFonts w:hint="eastAsia"/>
                      <w:color w:val="000000" w:themeColor="text1"/>
                      <w:vertAlign w:val="baseline"/>
                      <w:lang w:val="en-US" w:eastAsia="zh-CN"/>
                      <w14:textFill>
                        <w14:solidFill>
                          <w14:schemeClr w14:val="tx1"/>
                        </w14:solidFill>
                      </w14:textFill>
                    </w:rPr>
                    <w:t>暂存用于装配工程列车的各类半成品配件和成套装备</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输送工程</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FF0000"/>
                      <w:kern w:val="2"/>
                      <w:sz w:val="21"/>
                      <w:szCs w:val="21"/>
                      <w:lang w:val="en-US" w:eastAsia="zh-CN" w:bidi="ar-SA"/>
                    </w:rPr>
                    <w:t>机制砂、石子原材料采用铲车进行上料，筛分后采用封闭皮带、封闭通廊方式进行输送；矿粉经密闭管道输送至搅拌机；沥青经密闭管道输送至搅拌机，配备沥青加料自动联锁系统；成品经搅拌机出料口装入罐车外售</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公用工程</w:t>
                  </w: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供水</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生活用水、车辆清洗用水、抑尘用水均由中韩镇市政管网供水</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排水</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车辆清洗系统废水循环使用不外排；职工生活污水经厂区化粪池处理后定期清理</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供电</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napToGrid w:val="0"/>
                      <w:color w:val="000000" w:themeColor="text1"/>
                      <w14:textFill>
                        <w14:solidFill>
                          <w14:schemeClr w14:val="tx1"/>
                        </w14:solidFill>
                      </w14:textFill>
                    </w:rPr>
                  </w:pPr>
                  <w:r>
                    <w:rPr>
                      <w:rFonts w:hint="eastAsia"/>
                      <w:color w:val="000000" w:themeColor="text1"/>
                      <w14:textFill>
                        <w14:solidFill>
                          <w14:schemeClr w14:val="tx1"/>
                        </w14:solidFill>
                      </w14:textFill>
                    </w:rPr>
                    <w:t>电源引自</w:t>
                  </w:r>
                  <w:r>
                    <w:rPr>
                      <w:rFonts w:hint="eastAsia"/>
                      <w:color w:val="000000" w:themeColor="text1"/>
                      <w:lang w:val="en-US" w:eastAsia="zh-CN"/>
                      <w14:textFill>
                        <w14:solidFill>
                          <w14:schemeClr w14:val="tx1"/>
                        </w14:solidFill>
                      </w14:textFill>
                    </w:rPr>
                    <w:t>现有供电设施，年耗电量约为100</w:t>
                  </w:r>
                  <w:r>
                    <w:rPr>
                      <w:rFonts w:hint="default" w:ascii="Times New Roman" w:hAnsi="Times New Roman" w:cs="Times New Roman"/>
                      <w:color w:val="000000" w:themeColor="text1"/>
                      <w:lang w:val="en-US" w:eastAsia="zh-CN"/>
                      <w14:textFill>
                        <w14:solidFill>
                          <w14:schemeClr w14:val="tx1"/>
                        </w14:solidFill>
                      </w14:textFill>
                    </w:rPr>
                    <w:t>×</w:t>
                  </w:r>
                  <w:r>
                    <w:rPr>
                      <w:rFonts w:hint="eastAsia"/>
                      <w:color w:val="000000" w:themeColor="text1"/>
                      <w:lang w:val="en-US" w:eastAsia="zh-CN"/>
                      <w14:textFill>
                        <w14:solidFill>
                          <w14:schemeClr w14:val="tx1"/>
                        </w14:solidFill>
                      </w14:textFill>
                    </w:rPr>
                    <w:t>10</w:t>
                  </w:r>
                  <w:r>
                    <w:rPr>
                      <w:rFonts w:hint="eastAsia"/>
                      <w:color w:val="000000" w:themeColor="text1"/>
                      <w:vertAlign w:val="superscript"/>
                      <w:lang w:val="en-US" w:eastAsia="zh-CN"/>
                      <w14:textFill>
                        <w14:solidFill>
                          <w14:schemeClr w14:val="tx1"/>
                        </w14:solidFill>
                      </w14:textFill>
                    </w:rPr>
                    <w:t>4</w:t>
                  </w:r>
                  <w:r>
                    <w:rPr>
                      <w:rFonts w:hint="eastAsia"/>
                      <w:color w:val="000000" w:themeColor="text1"/>
                      <w:lang w:val="en-US" w:eastAsia="zh-CN"/>
                      <w14:textFill>
                        <w14:solidFill>
                          <w14:schemeClr w14:val="tx1"/>
                        </w14:solidFill>
                      </w14:textFill>
                    </w:rPr>
                    <w:t>kWh，满</w:t>
                  </w:r>
                  <w:r>
                    <w:rPr>
                      <w:rFonts w:hint="eastAsia"/>
                      <w:color w:val="000000" w:themeColor="text1"/>
                      <w14:textFill>
                        <w14:solidFill>
                          <w14:schemeClr w14:val="tx1"/>
                        </w14:solidFill>
                      </w14:textFill>
                    </w:rPr>
                    <w:t>足工程用电需要。</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供气</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本项目天然气由供气管网提供</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707" w:hRule="atLeast"/>
                <w:jc w:val="center"/>
              </w:trPr>
              <w:tc>
                <w:tcPr>
                  <w:tcW w:w="36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环保工程</w:t>
                  </w:r>
                </w:p>
              </w:tc>
              <w:tc>
                <w:tcPr>
                  <w:tcW w:w="1253" w:type="dxa"/>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上料、筛分工序废气经集气罩收集后经覆膜袋式除尘器处理，以上工序共用1套覆膜袋式除尘器，处理后的废气通过共用的15m高排气筒排放（DA001）</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707"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滚筒加热废气经覆膜袋式除尘器处理，天然气燃烧机废气经覆膜袋式除尘器处理，以上工序共用1套覆膜袋式除尘器。处理后的废气通过共用的15m高排气筒排放（DA005）</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搅拌工序产生的废气经集气罩收集后和沥青储罐废气经静电捕集+覆膜袋式除尘器+二级活性炭吸附装置处理，处理后的废气通过15m高排气筒排放（DA003）</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矿粉仓上料废气经仓顶除尘器处理后通过15m高排气筒排放（DA002）</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导热油炉废气经低氮燃烧器处理后通过15m高排气筒排放（DA004）</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无组织废气包</w:t>
                  </w:r>
                  <w:r>
                    <w:rPr>
                      <w:rFonts w:hint="eastAsia" w:ascii="Times New Roman" w:hAnsi="Times New Roman" w:eastAsia="宋体" w:cs="Times New Roman"/>
                      <w:color w:val="000000" w:themeColor="text1"/>
                      <w:lang w:val="en-US" w:eastAsia="zh-CN"/>
                      <w14:textFill>
                        <w14:solidFill>
                          <w14:schemeClr w14:val="tx1"/>
                        </w14:solidFill>
                      </w14:textFill>
                    </w:rPr>
                    <w:t>括</w:t>
                  </w:r>
                  <w:r>
                    <w:rPr>
                      <w:rFonts w:hint="default" w:ascii="Times New Roman" w:hAnsi="Times New Roman" w:eastAsia="宋体" w:cs="Times New Roman"/>
                      <w:color w:val="000000" w:themeColor="text1"/>
                      <w:lang w:val="en-US" w:eastAsia="zh-CN"/>
                      <w14:textFill>
                        <w14:solidFill>
                          <w14:schemeClr w14:val="tx1"/>
                        </w14:solidFill>
                      </w14:textFill>
                    </w:rPr>
                    <w:t>石子、机制砂卸料及贮存粉尘</w:t>
                  </w:r>
                  <w:r>
                    <w:rPr>
                      <w:rFonts w:hint="eastAsia" w:ascii="Times New Roman" w:hAnsi="Times New Roman" w:eastAsia="宋体" w:cs="Times New Roman"/>
                      <w:color w:val="000000" w:themeColor="text1"/>
                      <w:lang w:val="en-US" w:eastAsia="zh-CN"/>
                      <w14:textFill>
                        <w14:solidFill>
                          <w14:schemeClr w14:val="tx1"/>
                        </w14:solidFill>
                      </w14:textFill>
                    </w:rPr>
                    <w:t>、</w:t>
                  </w:r>
                  <w:r>
                    <w:rPr>
                      <w:rFonts w:hint="eastAsia" w:cs="Times New Roman"/>
                      <w:color w:val="000000" w:themeColor="text1"/>
                      <w:lang w:val="en-US" w:eastAsia="zh-CN"/>
                      <w14:textFill>
                        <w14:solidFill>
                          <w14:schemeClr w14:val="tx1"/>
                        </w14:solidFill>
                      </w14:textFill>
                    </w:rPr>
                    <w:t>上料、筛分过程未收集的粉尘以及搅拌过程未收集的废气</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废水</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default"/>
                      <w:color w:val="000000" w:themeColor="text1"/>
                      <w:lang w:val="en-US" w:eastAsia="zh-CN"/>
                      <w14:textFill>
                        <w14:solidFill>
                          <w14:schemeClr w14:val="tx1"/>
                        </w14:solidFill>
                      </w14:textFill>
                    </w:rPr>
                    <w:t>生活污水</w:t>
                  </w:r>
                  <w:r>
                    <w:rPr>
                      <w:rFonts w:hint="eastAsia"/>
                      <w:color w:val="000000" w:themeColor="text1"/>
                      <w:lang w:val="en-US" w:eastAsia="zh-CN"/>
                      <w14:textFill>
                        <w14:solidFill>
                          <w14:schemeClr w14:val="tx1"/>
                        </w14:solidFill>
                      </w14:textFill>
                    </w:rPr>
                    <w:t>水质简单，经厂区化粪池处理后定期清理；车辆清洗系统废水经隔油器和沉淀池处理后循环使用，不外排</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化粪池利用现有；新增车辆清洗系统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噪声</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采用低噪声设备、厂房隔声</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安装减振基础</w:t>
                  </w:r>
                  <w:r>
                    <w:rPr>
                      <w:rFonts w:hint="eastAsia"/>
                      <w:color w:val="000000" w:themeColor="text1"/>
                      <w14:textFill>
                        <w14:solidFill>
                          <w14:schemeClr w14:val="tx1"/>
                        </w14:solidFill>
                      </w14:textFill>
                    </w:rPr>
                    <w:t>等措施</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zCs w:val="21"/>
                      <w:lang w:val="en-US" w:eastAsia="zh-CN"/>
                      <w14:textFill>
                        <w14:solidFill>
                          <w14:schemeClr w14:val="tx1"/>
                        </w14:solidFill>
                      </w14:textFill>
                    </w:rPr>
                  </w:pPr>
                  <w:r>
                    <w:rPr>
                      <w:color w:val="000000" w:themeColor="text1"/>
                      <w:szCs w:val="21"/>
                      <w14:textFill>
                        <w14:solidFill>
                          <w14:schemeClr w14:val="tx1"/>
                        </w14:solidFill>
                      </w14:textFill>
                    </w:rPr>
                    <w:t>固废</w:t>
                  </w: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覆膜袋式除尘器收集的除尘灰回用于生产，产生的废布袋由厂家回收处理；生产过程中产生的不合格骨料外售；车辆冲洗沉淀池沉泥回用于生产；职工生活垃圾由环卫部门收集处理</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6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1253" w:type="dxa"/>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658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废气处理设施产生的废活性炭和生产过程中产生的废油泥、废机油、废机油桶、废导热油及车辆清洗系统隔油器产生的废油在厂区危废间内暂存后由有资质单位回收处置</w:t>
                  </w:r>
                </w:p>
              </w:tc>
              <w:tc>
                <w:tcPr>
                  <w:tcW w:w="96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bookmarkEnd w:id="2"/>
            <w:bookmarkEnd w:id="3"/>
          </w:tbl>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3、厂区平面布置</w:t>
            </w:r>
          </w:p>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总平面布置：本项目厂区呈南北长、东西短的矩形状，其中入厂大门位于厂区北侧，拌合站生产线位于厂区东侧，原料存放区位于厂区东侧南部，工程列车生产线位于厂区西侧中部，各料仓位于厂区西侧南部。车辆清洗系统及地磅位于入厂大门南侧，办公区位于拌合站生产线所在生产车间的西北角处。</w:t>
            </w:r>
          </w:p>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项目东侧、西侧、南侧均为河北储歌新能源科技有限公司，北侧为中韩公路（石磨线），隔公路为农田。</w:t>
            </w:r>
          </w:p>
          <w:p>
            <w:pPr>
              <w:adjustRightInd w:val="0"/>
              <w:snapToGrid w:val="0"/>
              <w:spacing w:line="360" w:lineRule="auto"/>
              <w:ind w:firstLine="480" w:firstLineChars="200"/>
              <w:rPr>
                <w:rFonts w:hint="default"/>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项目厂区平面布置图见附图2，周边关系图见附图3。</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4</w:t>
            </w:r>
            <w:r>
              <w:rPr>
                <w:rFonts w:hint="eastAsia"/>
                <w:color w:val="000000" w:themeColor="text1"/>
                <w:sz w:val="24"/>
                <w14:textFill>
                  <w14:solidFill>
                    <w14:schemeClr w14:val="tx1"/>
                  </w14:solidFill>
                </w14:textFill>
              </w:rPr>
              <w:t>、</w:t>
            </w:r>
            <w:bookmarkStart w:id="4" w:name="_Hlk116290737"/>
            <w:r>
              <w:rPr>
                <w:color w:val="000000" w:themeColor="text1"/>
                <w:sz w:val="24"/>
                <w14:textFill>
                  <w14:solidFill>
                    <w14:schemeClr w14:val="tx1"/>
                  </w14:solidFill>
                </w14:textFill>
              </w:rPr>
              <w:t>主要</w:t>
            </w:r>
            <w:r>
              <w:rPr>
                <w:rFonts w:hint="eastAsia"/>
                <w:color w:val="000000" w:themeColor="text1"/>
                <w:sz w:val="24"/>
                <w:lang w:val="en-US" w:eastAsia="zh-CN"/>
                <w14:textFill>
                  <w14:solidFill>
                    <w14:schemeClr w14:val="tx1"/>
                  </w14:solidFill>
                </w14:textFill>
              </w:rPr>
              <w:t>生产设备</w:t>
            </w:r>
            <w:bookmarkEnd w:id="4"/>
          </w:p>
          <w:p>
            <w:pPr>
              <w:autoSpaceDE w:val="0"/>
              <w:autoSpaceDN w:val="0"/>
              <w:adjustRightInd w:val="0"/>
              <w:snapToGri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本项目主要</w:t>
            </w:r>
            <w:r>
              <w:rPr>
                <w:rFonts w:hint="eastAsia"/>
                <w:color w:val="000000" w:themeColor="text1"/>
                <w:sz w:val="24"/>
                <w:lang w:val="en-US" w:eastAsia="zh-CN"/>
                <w14:textFill>
                  <w14:solidFill>
                    <w14:schemeClr w14:val="tx1"/>
                  </w14:solidFill>
                </w14:textFill>
              </w:rPr>
              <w:t>生产</w:t>
            </w:r>
            <w:r>
              <w:rPr>
                <w:color w:val="000000" w:themeColor="text1"/>
                <w:sz w:val="24"/>
                <w14:textFill>
                  <w14:solidFill>
                    <w14:schemeClr w14:val="tx1"/>
                  </w14:solidFill>
                </w14:textFill>
              </w:rPr>
              <w:t>设备及参数见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91"/>
              <w:spacing w:line="240" w:lineRule="auto"/>
              <w:ind w:left="0" w:firstLine="0"/>
              <w:rPr>
                <w:rFonts w:hAnsi="Times New Roman"/>
                <w:b/>
                <w:color w:val="000000" w:themeColor="text1"/>
                <w:kern w:val="0"/>
                <w:highlight w:val="none"/>
                <w14:textFill>
                  <w14:solidFill>
                    <w14:schemeClr w14:val="tx1"/>
                  </w14:solidFill>
                </w14:textFill>
              </w:rPr>
            </w:pPr>
            <w:bookmarkStart w:id="5" w:name="_Hlk116290807"/>
            <w:bookmarkStart w:id="6" w:name="_Hlk126250216"/>
            <w:r>
              <w:rPr>
                <w:rFonts w:hAnsi="Times New Roman"/>
                <w:b/>
                <w:color w:val="000000" w:themeColor="text1"/>
                <w:kern w:val="0"/>
                <w:highlight w:val="none"/>
                <w14:textFill>
                  <w14:solidFill>
                    <w14:schemeClr w14:val="tx1"/>
                  </w14:solidFill>
                </w14:textFill>
              </w:rPr>
              <w:t>主要设备设施及参数一览表</w:t>
            </w:r>
          </w:p>
          <w:bookmarkEnd w:id="5"/>
          <w:tbl>
            <w:tblPr>
              <w:tblStyle w:val="42"/>
              <w:tblW w:w="9164"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13"/>
              <w:gridCol w:w="2005"/>
              <w:gridCol w:w="3258"/>
              <w:gridCol w:w="1046"/>
              <w:gridCol w:w="1096"/>
              <w:gridCol w:w="104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blHeader/>
                <w:jc w:val="center"/>
              </w:trPr>
              <w:tc>
                <w:tcPr>
                  <w:tcW w:w="713" w:type="dxa"/>
                  <w:shd w:val="clear" w:color="auto" w:fill="auto"/>
                  <w:vAlign w:val="center"/>
                </w:tcPr>
                <w:p>
                  <w:pPr>
                    <w:adjustRightInd w:val="0"/>
                    <w:snapToGrid w:val="0"/>
                    <w:jc w:val="center"/>
                    <w:rPr>
                      <w:color w:val="000000" w:themeColor="text1"/>
                      <w:szCs w:val="21"/>
                      <w14:textFill>
                        <w14:solidFill>
                          <w14:schemeClr w14:val="tx1"/>
                        </w14:solidFill>
                      </w14:textFill>
                    </w:rPr>
                  </w:pPr>
                  <w:bookmarkStart w:id="7" w:name="_Hlk116290755"/>
                  <w:r>
                    <w:rPr>
                      <w:color w:val="000000" w:themeColor="text1"/>
                      <w:szCs w:val="21"/>
                      <w14:textFill>
                        <w14:solidFill>
                          <w14:schemeClr w14:val="tx1"/>
                        </w14:solidFill>
                      </w14:textFill>
                    </w:rPr>
                    <w:t>序号</w:t>
                  </w:r>
                </w:p>
              </w:tc>
              <w:tc>
                <w:tcPr>
                  <w:tcW w:w="2005"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工艺设备名称</w:t>
                  </w:r>
                </w:p>
              </w:tc>
              <w:tc>
                <w:tcPr>
                  <w:tcW w:w="3258"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主要规格参数</w:t>
                  </w:r>
                </w:p>
              </w:tc>
              <w:tc>
                <w:tcPr>
                  <w:tcW w:w="1046" w:type="dxa"/>
                  <w:shd w:val="clear" w:color="auto" w:fill="auto"/>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单位</w:t>
                  </w:r>
                </w:p>
              </w:tc>
              <w:tc>
                <w:tcPr>
                  <w:tcW w:w="1096" w:type="dxa"/>
                  <w:shd w:val="clear" w:color="auto" w:fill="auto"/>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数量</w:t>
                  </w:r>
                </w:p>
              </w:tc>
              <w:tc>
                <w:tcPr>
                  <w:tcW w:w="1046"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135" w:hRule="atLeast"/>
                <w:jc w:val="center"/>
              </w:trPr>
              <w:tc>
                <w:tcPr>
                  <w:tcW w:w="9164" w:type="dxa"/>
                  <w:gridSpan w:val="6"/>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b/>
                      <w:bCs/>
                      <w:color w:val="000000" w:themeColor="text1"/>
                      <w:szCs w:val="21"/>
                      <w:lang w:val="en-US" w:eastAsia="zh-CN"/>
                      <w14:textFill>
                        <w14:solidFill>
                          <w14:schemeClr w14:val="tx1"/>
                        </w14:solidFill>
                      </w14:textFill>
                    </w:rPr>
                    <w:t>拌合站生产线</w:t>
                  </w:r>
                </w:p>
              </w:tc>
            </w:tr>
            <w:bookmarkEnd w:id="7"/>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冷料斗</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10m</w:t>
                  </w:r>
                  <w:r>
                    <w:rPr>
                      <w:rFonts w:hint="eastAsia"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2</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防大料格栅</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6mm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3</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集料皮带</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700mm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2</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4</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干燥筒体</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Φ3.0m×15.7m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5</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骨料提升机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6</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热骨料仓</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15m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7</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计量秤</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480kg-6000kg</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3</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8</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螺旋输送机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5.5kW，Φ3219</w:t>
                  </w:r>
                  <w:r>
                    <w:rPr>
                      <w:rFonts w:hint="eastAsia" w:ascii="Times New Roman" w:hAnsi="Times New Roman" w:cs="Times New Roman"/>
                      <w:color w:val="000000" w:themeColor="text1"/>
                      <w:szCs w:val="21"/>
                      <w:lang w:val="en-US" w:eastAsia="zh-CN"/>
                      <w14:textFill>
                        <w14:solidFill>
                          <w14:schemeClr w14:val="tx1"/>
                        </w14:solidFill>
                      </w14:textFill>
                    </w:rPr>
                    <w:t>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条</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9</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搅拌缸</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双卧轴搅拌，5000型拌缸，搅拌能力5500kg</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10</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空压机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螺杆式空压机，操作室控制。</w:t>
                  </w:r>
                </w:p>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 xml:space="preserve"> 6.0m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r>
                    <w:rPr>
                      <w:rFonts w:hint="default" w:ascii="Times New Roman" w:hAnsi="Times New Roman" w:cs="Times New Roman"/>
                      <w:color w:val="000000" w:themeColor="text1"/>
                      <w:szCs w:val="21"/>
                      <w:lang w:val="en-US" w:eastAsia="zh-CN"/>
                      <w14:textFill>
                        <w14:solidFill>
                          <w14:schemeClr w14:val="tx1"/>
                        </w14:solidFill>
                      </w14:textFill>
                    </w:rPr>
                    <w:t>/min，37kw</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11</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控制系统</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12</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加湿器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13</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导热油炉</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100万大卡</w:t>
                  </w:r>
                  <w:r>
                    <w:rPr>
                      <w:rFonts w:hint="eastAsia" w:cs="Times New Roman"/>
                      <w:color w:val="000000" w:themeColor="text1"/>
                      <w:szCs w:val="21"/>
                      <w:lang w:val="en-US" w:eastAsia="zh-CN"/>
                      <w14:textFill>
                        <w14:solidFill>
                          <w14:schemeClr w14:val="tx1"/>
                        </w14:solidFill>
                      </w14:textFill>
                    </w:rPr>
                    <w:t>/2MW</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14</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矿粉仓</w:t>
                  </w:r>
                </w:p>
              </w:tc>
              <w:tc>
                <w:tcPr>
                  <w:tcW w:w="3258" w:type="dxa"/>
                  <w:shd w:val="clear" w:color="auto" w:fill="auto"/>
                  <w:tcMar>
                    <w:left w:w="0" w:type="dxa"/>
                    <w:right w:w="0" w:type="dxa"/>
                  </w:tcMar>
                  <w:vAlign w:val="center"/>
                </w:tcPr>
                <w:p>
                  <w:pPr>
                    <w:autoSpaceDE w:val="0"/>
                    <w:autoSpaceDN w:val="0"/>
                    <w:jc w:val="center"/>
                    <w:rPr>
                      <w:rFonts w:hint="default" w:ascii="宋体" w:hAnsi="Times New Roman" w:eastAsia="宋体" w:cs="Times New Roman"/>
                      <w:color w:val="000000" w:themeColor="text1"/>
                      <w:kern w:val="0"/>
                      <w:sz w:val="24"/>
                      <w:szCs w:val="24"/>
                      <w:vertAlign w:val="baseline"/>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60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15</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沥青罐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240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16</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橡胶油罐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15m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17</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燃烧器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蒂吉博纳ZZR-YQ 4#</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18</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除尘器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1120条</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4</w:t>
                  </w:r>
                </w:p>
              </w:tc>
              <w:tc>
                <w:tcPr>
                  <w:tcW w:w="1046" w:type="dxa"/>
                  <w:shd w:val="clear" w:color="auto" w:fill="auto"/>
                  <w:tcMar>
                    <w:left w:w="0" w:type="dxa"/>
                    <w:right w:w="0" w:type="dxa"/>
                  </w:tcMar>
                  <w:vAlign w:val="center"/>
                </w:tcPr>
                <w:p>
                  <w:pPr>
                    <w:adjustRightInd w:val="0"/>
                    <w:snapToGrid w:val="0"/>
                    <w:jc w:val="center"/>
                    <w:rPr>
                      <w:rFonts w:hint="eastAsia"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19</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引风机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200KW</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4</w:t>
                  </w:r>
                </w:p>
              </w:tc>
              <w:tc>
                <w:tcPr>
                  <w:tcW w:w="1046" w:type="dxa"/>
                  <w:shd w:val="clear" w:color="auto" w:fill="auto"/>
                  <w:tcMar>
                    <w:left w:w="0" w:type="dxa"/>
                    <w:right w:w="0" w:type="dxa"/>
                  </w:tcMar>
                  <w:vAlign w:val="center"/>
                </w:tcPr>
                <w:p>
                  <w:pPr>
                    <w:adjustRightInd w:val="0"/>
                    <w:snapToGrid w:val="0"/>
                    <w:jc w:val="center"/>
                    <w:rPr>
                      <w:rFonts w:hint="eastAsia"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164" w:type="dxa"/>
                  <w:gridSpan w:val="6"/>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工程列车生产线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14:textFill>
                        <w14:solidFill>
                          <w14:schemeClr w14:val="tx1"/>
                        </w14:solidFill>
                      </w14:textFill>
                    </w:rPr>
                    <w:t>1</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空压机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台</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叉车</w:t>
                  </w:r>
                </w:p>
              </w:tc>
              <w:tc>
                <w:tcPr>
                  <w:tcW w:w="3258"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台</w:t>
                  </w:r>
                </w:p>
              </w:tc>
              <w:tc>
                <w:tcPr>
                  <w:tcW w:w="1096" w:type="dxa"/>
                  <w:shd w:val="clear" w:color="auto" w:fill="auto"/>
                  <w:vAlign w:val="center"/>
                </w:tcPr>
                <w:p>
                  <w:pPr>
                    <w:adjustRightInd w:val="0"/>
                    <w:snapToGrid w:val="0"/>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航标</w:t>
                  </w:r>
                </w:p>
              </w:tc>
              <w:tc>
                <w:tcPr>
                  <w:tcW w:w="3258" w:type="dxa"/>
                  <w:shd w:val="clear" w:color="auto" w:fill="auto"/>
                  <w:tcMar>
                    <w:left w:w="0" w:type="dxa"/>
                    <w:right w:w="0" w:type="dxa"/>
                  </w:tcMar>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5t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bookmarkEnd w:id="6"/>
          </w:tbl>
          <w:p>
            <w:pPr>
              <w:autoSpaceDE w:val="0"/>
              <w:autoSpaceDN w:val="0"/>
              <w:adjustRightInd w:val="0"/>
              <w:snapToGrid w:val="0"/>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5</w:t>
            </w: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原辅材料及能源消耗</w:t>
            </w:r>
          </w:p>
          <w:p>
            <w:pPr>
              <w:spacing w:line="480" w:lineRule="exact"/>
              <w:ind w:firstLine="480" w:firstLineChars="200"/>
              <w:rPr>
                <w:rFonts w:hint="default"/>
                <w:color w:val="000000" w:themeColor="text1"/>
                <w:lang w:val="en-US" w:eastAsia="zh-CN"/>
                <w14:textFill>
                  <w14:solidFill>
                    <w14:schemeClr w14:val="tx1"/>
                  </w14:solidFill>
                </w14:textFill>
              </w:rPr>
            </w:pPr>
            <w:r>
              <w:rPr>
                <w:color w:val="000000" w:themeColor="text1"/>
                <w:sz w:val="24"/>
                <w:szCs w:val="32"/>
                <w14:textFill>
                  <w14:solidFill>
                    <w14:schemeClr w14:val="tx1"/>
                  </w14:solidFill>
                </w14:textFill>
              </w:rPr>
              <w:t>本项目主要原辅材料</w:t>
            </w:r>
            <w:r>
              <w:rPr>
                <w:rFonts w:hint="eastAsia"/>
                <w:color w:val="000000" w:themeColor="text1"/>
                <w:sz w:val="24"/>
                <w:szCs w:val="32"/>
                <w:lang w:val="en-US" w:eastAsia="zh-CN"/>
                <w14:textFill>
                  <w14:solidFill>
                    <w14:schemeClr w14:val="tx1"/>
                  </w14:solidFill>
                </w14:textFill>
              </w:rPr>
              <w:t>及能源</w:t>
            </w:r>
            <w:r>
              <w:rPr>
                <w:color w:val="000000" w:themeColor="text1"/>
                <w:sz w:val="24"/>
                <w:szCs w:val="32"/>
                <w14:textFill>
                  <w14:solidFill>
                    <w14:schemeClr w14:val="tx1"/>
                  </w14:solidFill>
                </w14:textFill>
              </w:rPr>
              <w:t>消耗情况见</w:t>
            </w:r>
            <w:r>
              <w:rPr>
                <w:rFonts w:hint="eastAsia"/>
                <w:color w:val="000000" w:themeColor="text1"/>
                <w:sz w:val="24"/>
                <w:szCs w:val="32"/>
                <w14:textFill>
                  <w14:solidFill>
                    <w14:schemeClr w14:val="tx1"/>
                  </w14:solidFill>
                </w14:textFill>
              </w:rPr>
              <w:t>下表</w:t>
            </w:r>
            <w:r>
              <w:rPr>
                <w:color w:val="000000" w:themeColor="text1"/>
                <w:sz w:val="24"/>
                <w:szCs w:val="32"/>
                <w14:textFill>
                  <w14:solidFill>
                    <w14:schemeClr w14:val="tx1"/>
                  </w14:solidFill>
                </w14:textFill>
              </w:rPr>
              <w:t>。</w:t>
            </w:r>
          </w:p>
          <w:p>
            <w:pPr>
              <w:pStyle w:val="91"/>
              <w:spacing w:line="240" w:lineRule="auto"/>
              <w:ind w:left="0" w:firstLine="0"/>
              <w:rPr>
                <w:b/>
                <w:bCs w:val="0"/>
                <w:color w:val="000000" w:themeColor="text1"/>
                <w:highlight w:val="none"/>
                <w14:textFill>
                  <w14:solidFill>
                    <w14:schemeClr w14:val="tx1"/>
                  </w14:solidFill>
                </w14:textFill>
              </w:rPr>
            </w:pPr>
            <w:r>
              <w:rPr>
                <w:rFonts w:hint="eastAsia"/>
                <w:b/>
                <w:bCs w:val="0"/>
                <w:color w:val="000000" w:themeColor="text1"/>
                <w:highlight w:val="none"/>
                <w:lang w:val="en-US" w:eastAsia="zh-CN"/>
                <w14:textFill>
                  <w14:solidFill>
                    <w14:schemeClr w14:val="tx1"/>
                  </w14:solidFill>
                </w14:textFill>
              </w:rPr>
              <w:t>主要原辅材料及能源消耗</w:t>
            </w:r>
            <w:r>
              <w:rPr>
                <w:b/>
                <w:bCs w:val="0"/>
                <w:color w:val="000000" w:themeColor="text1"/>
                <w:highlight w:val="none"/>
                <w14:textFill>
                  <w14:solidFill>
                    <w14:schemeClr w14:val="tx1"/>
                  </w14:solidFill>
                </w14:textFill>
              </w:rPr>
              <w:t>一览表</w:t>
            </w:r>
          </w:p>
          <w:tbl>
            <w:tblPr>
              <w:tblStyle w:val="42"/>
              <w:tblW w:w="9159"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688"/>
              <w:gridCol w:w="676"/>
              <w:gridCol w:w="1993"/>
              <w:gridCol w:w="1563"/>
              <w:gridCol w:w="1768"/>
              <w:gridCol w:w="1431"/>
              <w:gridCol w:w="1040"/>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tblHeader/>
              </w:trPr>
              <w:tc>
                <w:tcPr>
                  <w:tcW w:w="9159" w:type="dxa"/>
                  <w:gridSpan w:val="7"/>
                  <w:tcBorders>
                    <w:tl2br w:val="nil"/>
                    <w:tr2bl w:val="nil"/>
                  </w:tcBorders>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b/>
                      <w:bCs/>
                      <w:color w:val="000000" w:themeColor="text1"/>
                      <w:szCs w:val="21"/>
                      <w:lang w:val="en-US" w:eastAsia="zh-CN"/>
                      <w14:textFill>
                        <w14:solidFill>
                          <w14:schemeClr w14:val="tx1"/>
                        </w14:solidFill>
                      </w14:textFill>
                    </w:rPr>
                    <w:t>拌合站生产线</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blHeader/>
              </w:trPr>
              <w:tc>
                <w:tcPr>
                  <w:tcW w:w="688"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2669" w:type="dxa"/>
                  <w:gridSpan w:val="2"/>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1563"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lang w:val="en-US" w:eastAsia="zh-CN" w:bidi="ar"/>
                      <w14:textFill>
                        <w14:solidFill>
                          <w14:schemeClr w14:val="tx1"/>
                        </w14:solidFill>
                      </w14:textFill>
                    </w:rPr>
                    <w:t>年用量t/a</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最大储量t/a</w:t>
                  </w:r>
                </w:p>
              </w:tc>
              <w:tc>
                <w:tcPr>
                  <w:tcW w:w="1431"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储存位置</w:t>
                  </w:r>
                </w:p>
              </w:tc>
              <w:tc>
                <w:tcPr>
                  <w:tcW w:w="1040"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cs="Times New Roman"/>
                      <w:color w:val="000000" w:themeColor="text1"/>
                      <w:kern w:val="0"/>
                      <w:sz w:val="21"/>
                      <w:szCs w:val="21"/>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33900</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6700</w:t>
                  </w:r>
                </w:p>
              </w:tc>
              <w:tc>
                <w:tcPr>
                  <w:tcW w:w="1431"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1040"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2400</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720</w:t>
                  </w:r>
                </w:p>
              </w:tc>
              <w:tc>
                <w:tcPr>
                  <w:tcW w:w="1431"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沥青罐</w:t>
                  </w:r>
                </w:p>
              </w:tc>
              <w:tc>
                <w:tcPr>
                  <w:tcW w:w="1040"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机制砂</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19920</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2700</w:t>
                  </w:r>
                </w:p>
              </w:tc>
              <w:tc>
                <w:tcPr>
                  <w:tcW w:w="1431"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1040"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3700</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150</w:t>
                  </w:r>
                </w:p>
              </w:tc>
              <w:tc>
                <w:tcPr>
                  <w:tcW w:w="1431"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矿粉仓</w:t>
                  </w:r>
                </w:p>
              </w:tc>
              <w:tc>
                <w:tcPr>
                  <w:tcW w:w="1040"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橡胶油</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150</w:t>
                  </w:r>
                </w:p>
              </w:tc>
              <w:tc>
                <w:tcPr>
                  <w:tcW w:w="176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15</w:t>
                  </w:r>
                </w:p>
              </w:tc>
              <w:tc>
                <w:tcPr>
                  <w:tcW w:w="1431"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橡胶油罐</w:t>
                  </w:r>
                </w:p>
              </w:tc>
              <w:tc>
                <w:tcPr>
                  <w:tcW w:w="1040"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添加剂</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2669"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导热油</w:t>
                  </w:r>
                </w:p>
              </w:tc>
              <w:tc>
                <w:tcPr>
                  <w:tcW w:w="1563"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5</w:t>
                  </w:r>
                </w:p>
              </w:tc>
              <w:tc>
                <w:tcPr>
                  <w:tcW w:w="1768"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5</w:t>
                  </w:r>
                </w:p>
              </w:tc>
              <w:tc>
                <w:tcPr>
                  <w:tcW w:w="1431"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导热油锅炉</w:t>
                  </w:r>
                </w:p>
              </w:tc>
              <w:tc>
                <w:tcPr>
                  <w:tcW w:w="1040" w:type="dxa"/>
                  <w:tcBorders>
                    <w:tl2br w:val="nil"/>
                    <w:tr2bl w:val="nil"/>
                  </w:tcBorders>
                  <w:vAlign w:val="center"/>
                </w:tcPr>
                <w:p>
                  <w:pPr>
                    <w:widowControl/>
                    <w:jc w:val="center"/>
                    <w:rPr>
                      <w:rFonts w:hint="default"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9159" w:type="dxa"/>
                  <w:gridSpan w:val="7"/>
                  <w:tcBorders>
                    <w:tl2br w:val="nil"/>
                    <w:tr2bl w:val="nil"/>
                  </w:tcBorders>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工程列车生产线</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2669" w:type="dxa"/>
                  <w:gridSpan w:val="2"/>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1563"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lang w:val="en-US" w:eastAsia="zh-CN" w:bidi="ar"/>
                      <w14:textFill>
                        <w14:solidFill>
                          <w14:schemeClr w14:val="tx1"/>
                        </w14:solidFill>
                      </w14:textFill>
                    </w:rPr>
                    <w:t>年用量</w:t>
                  </w:r>
                  <w:r>
                    <w:rPr>
                      <w:rFonts w:hint="eastAsia" w:cs="Times New Roman"/>
                      <w:color w:val="000000" w:themeColor="text1"/>
                      <w:kern w:val="0"/>
                      <w:sz w:val="21"/>
                      <w:szCs w:val="21"/>
                      <w:lang w:val="en-US" w:eastAsia="zh-CN" w:bidi="ar"/>
                      <w14:textFill>
                        <w14:solidFill>
                          <w14:schemeClr w14:val="tx1"/>
                        </w14:solidFill>
                      </w14:textFill>
                    </w:rPr>
                    <w:t>（套/个）</w:t>
                  </w:r>
                </w:p>
              </w:tc>
              <w:tc>
                <w:tcPr>
                  <w:tcW w:w="1768"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最大储量（套/个）</w:t>
                  </w:r>
                </w:p>
              </w:tc>
              <w:tc>
                <w:tcPr>
                  <w:tcW w:w="1431"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储存位置</w:t>
                  </w:r>
                </w:p>
              </w:tc>
              <w:tc>
                <w:tcPr>
                  <w:tcW w:w="1040"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加热系统</w:t>
                  </w: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前工作板</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半成品库</w:t>
                  </w:r>
                </w:p>
              </w:tc>
              <w:tc>
                <w:tcPr>
                  <w:tcW w:w="104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该生产线所有半成品零配件均由外委单位生产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中工作板</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20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收起架</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40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简易驾驶室</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车体、车架、地盘</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轮胎</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60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发电机</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液压泵等总成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减速器总成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燃料罐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加热装置</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操作行走系统总成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restart"/>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电控喷洒系统</w:t>
                  </w: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后工作板</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收起架</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添加剂罐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罐体支架</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电控喷洒系统总成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restart"/>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耙松收料系统</w:t>
                  </w: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铣刨鼓直径50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30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外展拉伸杆</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收料滚铜桶50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外罩直径60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车架底盘</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轮胎</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40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驾驶室</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restart"/>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三级拌合系统</w:t>
                  </w: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新料添加罐</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罐体支架</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三级拌合箱</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搅拌鼓直径50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搅龙直径50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外罩直径60</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整平板及托架</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restart"/>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摊铺整形系统</w:t>
                  </w: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摊铺机</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熨平板</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99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升降杆</w:t>
                  </w:r>
                </w:p>
              </w:tc>
              <w:tc>
                <w:tcPr>
                  <w:tcW w:w="1563"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20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676"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压实系统</w:t>
                  </w:r>
                </w:p>
              </w:tc>
              <w:tc>
                <w:tcPr>
                  <w:tcW w:w="1993"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压路机</w:t>
                  </w:r>
                </w:p>
              </w:tc>
              <w:tc>
                <w:tcPr>
                  <w:tcW w:w="1563" w:type="dxa"/>
                  <w:tcBorders>
                    <w:tl2br w:val="nil"/>
                    <w:tr2bl w:val="nil"/>
                  </w:tcBorders>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1768" w:type="dxa"/>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1431"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40" w:type="dxa"/>
                  <w:vMerge w:val="continue"/>
                  <w:tcBorders>
                    <w:tl2br w:val="nil"/>
                    <w:tr2bl w:val="nil"/>
                  </w:tcBorders>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25" w:hRule="atLeast"/>
              </w:trPr>
              <w:tc>
                <w:tcPr>
                  <w:tcW w:w="9159" w:type="dxa"/>
                  <w:gridSpan w:val="7"/>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b/>
                      <w:bCs/>
                      <w:color w:val="000000" w:themeColor="text1"/>
                      <w:kern w:val="0"/>
                      <w:sz w:val="21"/>
                      <w:szCs w:val="21"/>
                      <w:lang w:val="en-US" w:eastAsia="zh-CN" w:bidi="ar"/>
                      <w14:textFill>
                        <w14:solidFill>
                          <w14:schemeClr w14:val="tx1"/>
                        </w14:solidFill>
                      </w14:textFill>
                    </w:rPr>
                    <w:t>能源</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2669" w:type="dxa"/>
                  <w:gridSpan w:val="2"/>
                  <w:tcBorders>
                    <w:tl2br w:val="nil"/>
                    <w:tr2bl w:val="nil"/>
                  </w:tcBorders>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color w:val="000000" w:themeColor="text1"/>
                      <w:szCs w:val="21"/>
                      <w:highlight w:val="none"/>
                      <w14:textFill>
                        <w14:solidFill>
                          <w14:schemeClr w14:val="tx1"/>
                        </w14:solidFill>
                      </w14:textFill>
                    </w:rPr>
                    <w:t>新鲜水</w:t>
                  </w:r>
                </w:p>
              </w:tc>
              <w:tc>
                <w:tcPr>
                  <w:tcW w:w="1563" w:type="dxa"/>
                  <w:tcBorders>
                    <w:tl2br w:val="nil"/>
                    <w:tr2bl w:val="nil"/>
                  </w:tcBorders>
                  <w:vAlign w:val="center"/>
                </w:tcPr>
                <w:p>
                  <w:pPr>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954</w:t>
                  </w:r>
                  <w:r>
                    <w:rPr>
                      <w:color w:val="000000" w:themeColor="text1"/>
                      <w:szCs w:val="21"/>
                      <w:highlight w:val="none"/>
                      <w14:textFill>
                        <w14:solidFill>
                          <w14:schemeClr w14:val="tx1"/>
                        </w14:solidFill>
                      </w14:textFill>
                    </w:rPr>
                    <w:t>m</w:t>
                  </w:r>
                  <w:r>
                    <w:rPr>
                      <w:color w:val="000000" w:themeColor="text1"/>
                      <w:szCs w:val="21"/>
                      <w:highlight w:val="none"/>
                      <w:vertAlign w:val="superscript"/>
                      <w14:textFill>
                        <w14:solidFill>
                          <w14:schemeClr w14:val="tx1"/>
                        </w14:solidFill>
                      </w14:textFill>
                    </w:rPr>
                    <w:t>3</w:t>
                  </w:r>
                  <w:r>
                    <w:rPr>
                      <w:color w:val="000000" w:themeColor="text1"/>
                      <w:szCs w:val="21"/>
                      <w:highlight w:val="none"/>
                      <w14:textFill>
                        <w14:solidFill>
                          <w14:schemeClr w14:val="tx1"/>
                        </w14:solidFill>
                      </w14:textFill>
                    </w:rPr>
                    <w:t>/a</w:t>
                  </w:r>
                </w:p>
              </w:tc>
              <w:tc>
                <w:tcPr>
                  <w:tcW w:w="4239" w:type="dxa"/>
                  <w:gridSpan w:val="3"/>
                  <w:tcBorders>
                    <w:tl2br w:val="nil"/>
                    <w:tr2bl w:val="nil"/>
                  </w:tcBorders>
                  <w:vAlign w:val="center"/>
                </w:tcPr>
                <w:p>
                  <w:pPr>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由</w:t>
                  </w:r>
                  <w:r>
                    <w:rPr>
                      <w:rFonts w:hint="eastAsia"/>
                      <w:color w:val="000000" w:themeColor="text1"/>
                      <w:szCs w:val="21"/>
                      <w:lang w:val="en-US" w:eastAsia="zh-CN"/>
                      <w14:textFill>
                        <w14:solidFill>
                          <w14:schemeClr w14:val="tx1"/>
                        </w14:solidFill>
                      </w14:textFill>
                    </w:rPr>
                    <w:t>中韩镇市政</w:t>
                  </w:r>
                  <w:r>
                    <w:rPr>
                      <w:color w:val="000000" w:themeColor="text1"/>
                      <w:szCs w:val="21"/>
                      <w14:textFill>
                        <w14:solidFill>
                          <w14:schemeClr w14:val="tx1"/>
                        </w14:solidFill>
                      </w14:textFill>
                    </w:rPr>
                    <w:t>供水管网提供</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2669" w:type="dxa"/>
                  <w:gridSpan w:val="2"/>
                  <w:tcBorders>
                    <w:tl2br w:val="nil"/>
                    <w:tr2bl w:val="nil"/>
                  </w:tcBorders>
                  <w:vAlign w:val="center"/>
                </w:tcPr>
                <w:p>
                  <w:pPr>
                    <w:widowControl/>
                    <w:jc w:val="center"/>
                    <w:textAlignment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电</w:t>
                  </w:r>
                </w:p>
              </w:tc>
              <w:tc>
                <w:tcPr>
                  <w:tcW w:w="1563" w:type="dxa"/>
                  <w:tcBorders>
                    <w:tl2br w:val="nil"/>
                    <w:tr2bl w:val="nil"/>
                  </w:tcBorders>
                  <w:vAlign w:val="center"/>
                </w:tcPr>
                <w:p>
                  <w:pPr>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100</w:t>
                  </w:r>
                  <w:r>
                    <w:rPr>
                      <w:color w:val="000000" w:themeColor="text1"/>
                      <w:szCs w:val="21"/>
                      <w14:textFill>
                        <w14:solidFill>
                          <w14:schemeClr w14:val="tx1"/>
                        </w14:solidFill>
                      </w14:textFill>
                    </w:rPr>
                    <w:t>万kw·h/a</w:t>
                  </w:r>
                </w:p>
              </w:tc>
              <w:tc>
                <w:tcPr>
                  <w:tcW w:w="4239" w:type="dxa"/>
                  <w:gridSpan w:val="3"/>
                  <w:tcBorders>
                    <w:tl2br w:val="nil"/>
                    <w:tr2bl w:val="nil"/>
                  </w:tcBorders>
                  <w:vAlign w:val="center"/>
                </w:tcPr>
                <w:p>
                  <w:pPr>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color w:val="000000" w:themeColor="text1"/>
                      <w:szCs w:val="21"/>
                      <w:lang w:val="en-US" w:eastAsia="zh-CN"/>
                      <w14:textFill>
                        <w14:solidFill>
                          <w14:schemeClr w14:val="tx1"/>
                        </w14:solidFill>
                      </w14:textFill>
                    </w:rPr>
                    <w:t>由现有</w:t>
                  </w:r>
                  <w:r>
                    <w:rPr>
                      <w:color w:val="000000" w:themeColor="text1"/>
                      <w:szCs w:val="21"/>
                      <w14:textFill>
                        <w14:solidFill>
                          <w14:schemeClr w14:val="tx1"/>
                        </w14:solidFill>
                      </w14:textFill>
                    </w:rPr>
                    <w:t>供电</w:t>
                  </w:r>
                  <w:r>
                    <w:rPr>
                      <w:rFonts w:hint="eastAsia"/>
                      <w:color w:val="000000" w:themeColor="text1"/>
                      <w:szCs w:val="21"/>
                      <w:lang w:val="en-US" w:eastAsia="zh-CN"/>
                      <w14:textFill>
                        <w14:solidFill>
                          <w14:schemeClr w14:val="tx1"/>
                        </w14:solidFill>
                      </w14:textFill>
                    </w:rPr>
                    <w:t>设施</w:t>
                  </w:r>
                  <w:r>
                    <w:rPr>
                      <w:color w:val="000000" w:themeColor="text1"/>
                      <w:szCs w:val="21"/>
                      <w14:textFill>
                        <w14:solidFill>
                          <w14:schemeClr w14:val="tx1"/>
                        </w14:solidFill>
                      </w14:textFill>
                    </w:rPr>
                    <w:t>提供</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atLeast"/>
              </w:trPr>
              <w:tc>
                <w:tcPr>
                  <w:tcW w:w="688" w:type="dxa"/>
                  <w:tcBorders>
                    <w:tl2br w:val="nil"/>
                    <w:tr2bl w:val="nil"/>
                  </w:tcBorders>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2669" w:type="dxa"/>
                  <w:gridSpan w:val="2"/>
                  <w:tcBorders>
                    <w:tl2br w:val="nil"/>
                    <w:tr2bl w:val="nil"/>
                  </w:tcBorders>
                  <w:vAlign w:val="center"/>
                </w:tcPr>
                <w:p>
                  <w:pPr>
                    <w:widowControl/>
                    <w:jc w:val="center"/>
                    <w:textAlignment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color w:val="000000" w:themeColor="text1"/>
                      <w:szCs w:val="21"/>
                      <w:lang w:val="en-US" w:eastAsia="zh-CN"/>
                      <w14:textFill>
                        <w14:solidFill>
                          <w14:schemeClr w14:val="tx1"/>
                        </w14:solidFill>
                      </w14:textFill>
                    </w:rPr>
                    <w:t>天然气</w:t>
                  </w:r>
                </w:p>
              </w:tc>
              <w:tc>
                <w:tcPr>
                  <w:tcW w:w="1563" w:type="dxa"/>
                  <w:tcBorders>
                    <w:tl2br w:val="nil"/>
                    <w:tr2bl w:val="nil"/>
                  </w:tcBorders>
                  <w:vAlign w:val="center"/>
                </w:tcPr>
                <w:p>
                  <w:pPr>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73.2万Nm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/a</w:t>
                  </w:r>
                </w:p>
              </w:tc>
              <w:tc>
                <w:tcPr>
                  <w:tcW w:w="4239" w:type="dxa"/>
                  <w:gridSpan w:val="3"/>
                  <w:tcBorders>
                    <w:tl2br w:val="nil"/>
                    <w:tr2bl w:val="nil"/>
                  </w:tcBorders>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由</w:t>
                  </w:r>
                  <w:r>
                    <w:rPr>
                      <w:rFonts w:hint="eastAsia"/>
                      <w:color w:val="000000" w:themeColor="text1"/>
                      <w:szCs w:val="21"/>
                      <w:lang w:val="en-US" w:eastAsia="zh-CN"/>
                      <w14:textFill>
                        <w14:solidFill>
                          <w14:schemeClr w14:val="tx1"/>
                        </w14:solidFill>
                      </w14:textFill>
                    </w:rPr>
                    <w:t>中韩镇市政</w:t>
                  </w:r>
                  <w:r>
                    <w:rPr>
                      <w:color w:val="000000" w:themeColor="text1"/>
                      <w:szCs w:val="21"/>
                      <w14:textFill>
                        <w14:solidFill>
                          <w14:schemeClr w14:val="tx1"/>
                        </w14:solidFill>
                      </w14:textFill>
                    </w:rPr>
                    <w:t>供</w:t>
                  </w:r>
                  <w:r>
                    <w:rPr>
                      <w:rFonts w:hint="eastAsia"/>
                      <w:color w:val="000000" w:themeColor="text1"/>
                      <w:szCs w:val="21"/>
                      <w:lang w:val="en-US" w:eastAsia="zh-CN"/>
                      <w14:textFill>
                        <w14:solidFill>
                          <w14:schemeClr w14:val="tx1"/>
                        </w14:solidFill>
                      </w14:textFill>
                    </w:rPr>
                    <w:t>气</w:t>
                  </w:r>
                  <w:r>
                    <w:rPr>
                      <w:color w:val="000000" w:themeColor="text1"/>
                      <w:szCs w:val="21"/>
                      <w14:textFill>
                        <w14:solidFill>
                          <w14:schemeClr w14:val="tx1"/>
                        </w14:solidFill>
                      </w14:textFill>
                    </w:rPr>
                    <w:t>管网提供</w:t>
                  </w:r>
                </w:p>
              </w:tc>
            </w:tr>
          </w:tbl>
          <w:p>
            <w:pPr>
              <w:pStyle w:val="91"/>
              <w:spacing w:line="240" w:lineRule="auto"/>
              <w:ind w:left="0" w:firstLine="0"/>
              <w:rPr>
                <w:rFonts w:hint="eastAsia"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主要原辅材料及燃料的理化性质</w:t>
            </w:r>
          </w:p>
          <w:tbl>
            <w:tblPr>
              <w:tblStyle w:val="43"/>
              <w:tblW w:w="9160" w:type="dxa"/>
              <w:tblInd w:w="0" w:type="dxa"/>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
            <w:tblGrid>
              <w:gridCol w:w="642"/>
              <w:gridCol w:w="1056"/>
              <w:gridCol w:w="1006"/>
              <w:gridCol w:w="5110"/>
              <w:gridCol w:w="1346"/>
            </w:tblGrid>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642"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类型</w:t>
                  </w:r>
                </w:p>
              </w:tc>
              <w:tc>
                <w:tcPr>
                  <w:tcW w:w="1056"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物质名称</w:t>
                  </w:r>
                </w:p>
              </w:tc>
              <w:tc>
                <w:tcPr>
                  <w:tcW w:w="1006"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分子式</w:t>
                  </w:r>
                </w:p>
              </w:tc>
              <w:tc>
                <w:tcPr>
                  <w:tcW w:w="5110"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理化性质</w:t>
                  </w:r>
                </w:p>
              </w:tc>
              <w:tc>
                <w:tcPr>
                  <w:tcW w:w="1346"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危险特性</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642" w:type="dxa"/>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燃料</w:t>
                  </w:r>
                </w:p>
              </w:tc>
              <w:tc>
                <w:tcPr>
                  <w:tcW w:w="1056"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天然气</w:t>
                  </w:r>
                </w:p>
              </w:tc>
              <w:tc>
                <w:tcPr>
                  <w:tcW w:w="1006"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CH</w:t>
                  </w:r>
                  <w:r>
                    <w:rPr>
                      <w:rFonts w:hint="eastAsia" w:ascii="Times New Roman" w:hAnsi="Times New Roman" w:eastAsia="宋体" w:cs="Times New Roman"/>
                      <w:color w:val="000000" w:themeColor="text1"/>
                      <w:kern w:val="0"/>
                      <w:sz w:val="21"/>
                      <w:szCs w:val="21"/>
                      <w:highlight w:val="none"/>
                      <w:vertAlign w:val="subscript"/>
                      <w:lang w:val="en-US" w:eastAsia="zh-CN"/>
                      <w14:textFill>
                        <w14:solidFill>
                          <w14:schemeClr w14:val="tx1"/>
                        </w14:solidFill>
                      </w14:textFill>
                    </w:rPr>
                    <w:t>4</w:t>
                  </w:r>
                </w:p>
              </w:tc>
              <w:tc>
                <w:tcPr>
                  <w:tcW w:w="5110"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无色、无臭、无毒，熔点</w:t>
                  </w:r>
                  <w:r>
                    <w:rPr>
                      <w:rFonts w:hint="default" w:ascii="Times New Roman" w:hAnsi="Times New Roman" w:eastAsia="宋体" w:cs="Times New Roman"/>
                      <w:color w:val="000000" w:themeColor="text1"/>
                      <w:szCs w:val="21"/>
                      <w:lang w:val="en-US" w:eastAsia="zh-CN"/>
                      <w14:textFill>
                        <w14:solidFill>
                          <w14:schemeClr w14:val="tx1"/>
                        </w14:solidFill>
                      </w14:textFill>
                    </w:rPr>
                    <w:t>：-182.5℃</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沸点：-160℃</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相对密度（水=1）：0.415（液化）</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相对密度（空气=1）：0.55</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Cs w:val="21"/>
                      <w:lang w:val="en-US" w:eastAsia="zh-CN"/>
                      <w14:textFill>
                        <w14:solidFill>
                          <w14:schemeClr w14:val="tx1"/>
                        </w14:solidFill>
                      </w14:textFill>
                    </w:rPr>
                    <w:instrText xml:space="preserve"> HYPERLINK "https://wenku.baidu.com/aggs/f9c2d085b9d528ea81c7798f.html" \t "https://www.so.com/_blank" </w:instrTex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3</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溶解性：微溶于水，溶于乙醇、乙醚</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热值：约38.23 MJ/NM</w:t>
                  </w:r>
                  <w:r>
                    <w:rPr>
                      <w:rFonts w:hint="default" w:ascii="Times New Roman" w:hAnsi="Times New Roman" w:eastAsia="宋体" w:cs="Times New Roman"/>
                      <w:color w:val="000000" w:themeColor="text1"/>
                      <w:szCs w:val="21"/>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Cs w:val="21"/>
                      <w:lang w:val="en-US" w:eastAsia="zh-CN"/>
                      <w14:textFill>
                        <w14:solidFill>
                          <w14:schemeClr w14:val="tx1"/>
                        </w14:solidFill>
                      </w14:textFill>
                    </w:rPr>
                    <w:t>（高热值）</w:t>
                  </w:r>
                </w:p>
              </w:tc>
              <w:tc>
                <w:tcPr>
                  <w:tcW w:w="134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爆炸，极易燃</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642" w:type="dxa"/>
                  <w:vMerge w:val="restart"/>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辅料</w:t>
                  </w:r>
                </w:p>
              </w:tc>
              <w:tc>
                <w:tcPr>
                  <w:tcW w:w="1056"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沥青</w:t>
                  </w:r>
                </w:p>
              </w:tc>
              <w:tc>
                <w:tcPr>
                  <w:tcW w:w="1006"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c>
                <w:tcPr>
                  <w:tcW w:w="5110"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深棕色到黑色无定形渣质，呈粘稠液体、半固体或固体，有臭味，是煤焦汕蒸馏分离后的煤焦油和多核蓄谋烃混合物；不同规格有不同软化点；不溶于水，不溶于丙酮、乙醚、稀乙醇，溶于二硫化碳、四氯化碳等；</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相对密度（水=1）：</w:t>
                  </w:r>
                  <w:r>
                    <w:rPr>
                      <w:rFonts w:hint="eastAsia" w:ascii="Times New Roman" w:hAnsi="Times New Roman" w:eastAsia="宋体" w:cs="Times New Roman"/>
                      <w:color w:val="000000" w:themeColor="text1"/>
                      <w:szCs w:val="21"/>
                      <w:lang w:val="en-US" w:eastAsia="zh-CN"/>
                      <w14:textFill>
                        <w14:solidFill>
                          <w14:schemeClr w14:val="tx1"/>
                        </w14:solidFill>
                      </w14:textFill>
                    </w:rPr>
                    <w:t>1.2</w:t>
                  </w:r>
                </w:p>
              </w:tc>
              <w:tc>
                <w:tcPr>
                  <w:tcW w:w="1346"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可燃，吸入挥发物及皮肤接触有中毒危险。</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642" w:type="dxa"/>
                  <w:vMerge w:val="continue"/>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105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橡胶油</w:t>
                  </w:r>
                </w:p>
              </w:tc>
              <w:tc>
                <w:tcPr>
                  <w:tcW w:w="100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c>
                <w:tcPr>
                  <w:tcW w:w="5110"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软化剂，主要分为</w:t>
                  </w:r>
                  <w:r>
                    <w:rPr>
                      <w:rFonts w:hint="eastAsia"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eastAsia" w:ascii="Times New Roman" w:hAnsi="Times New Roman" w:eastAsia="宋体" w:cs="Times New Roman"/>
                      <w:color w:val="000000" w:themeColor="text1"/>
                      <w:szCs w:val="21"/>
                      <w:lang w:val="en-US" w:eastAsia="zh-CN"/>
                      <w14:textFill>
                        <w14:solidFill>
                          <w14:schemeClr w14:val="tx1"/>
                        </w14:solidFill>
                      </w14:textFill>
                    </w:rPr>
                    <w:instrText xml:space="preserve"> HYPERLINK "https://baike.so.com/doc/658808-697358.html" \t "https://baike.so.com/doc/_blank" </w:instrText>
                  </w:r>
                  <w:r>
                    <w:rPr>
                      <w:rFonts w:hint="eastAsia"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石蜡</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Cs w:val="21"/>
                      <w:lang w:val="en-US" w:eastAsia="zh-CN"/>
                      <w14:textFill>
                        <w14:solidFill>
                          <w14:schemeClr w14:val="tx1"/>
                        </w14:solidFill>
                      </w14:textFill>
                    </w:rPr>
                    <w:t>基、</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Cs w:val="21"/>
                      <w:lang w:val="en-US" w:eastAsia="zh-CN"/>
                      <w14:textFill>
                        <w14:solidFill>
                          <w14:schemeClr w14:val="tx1"/>
                        </w14:solidFill>
                      </w14:textFill>
                    </w:rPr>
                    <w:instrText xml:space="preserve"> HYPERLINK "https://baike.so.com/doc/4889284-5107379.html" \t "https://baike.so.com/doc/_blank" </w:instrTex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环烷基</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Cs w:val="21"/>
                      <w:lang w:val="en-US" w:eastAsia="zh-CN"/>
                      <w14:textFill>
                        <w14:solidFill>
                          <w14:schemeClr w14:val="tx1"/>
                        </w14:solidFill>
                      </w14:textFill>
                    </w:rPr>
                    <w:t>、芳香烃橡胶油</w:t>
                  </w:r>
                </w:p>
              </w:tc>
              <w:tc>
                <w:tcPr>
                  <w:tcW w:w="134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642" w:type="dxa"/>
                  <w:vMerge w:val="continue"/>
                  <w:tcBorders>
                    <w:tl2br w:val="nil"/>
                    <w:tr2bl w:val="nil"/>
                  </w:tcBorders>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1056"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导热油</w:t>
                  </w:r>
                </w:p>
              </w:tc>
              <w:tc>
                <w:tcPr>
                  <w:tcW w:w="100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5110"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低毒无味，常温下琥珀色液体，闪点约216℃，常温下密度约890kg/m</w:t>
                  </w:r>
                  <w:r>
                    <w:rPr>
                      <w:rFonts w:hint="eastAsia" w:ascii="Times New Roman" w:hAnsi="Times New Roman" w:eastAsia="宋体" w:cs="Times New Roman"/>
                      <w:color w:val="000000" w:themeColor="text1"/>
                      <w:szCs w:val="21"/>
                      <w:vertAlign w:val="superscript"/>
                      <w:lang w:val="en-US" w:eastAsia="zh-CN"/>
                      <w14:textFill>
                        <w14:solidFill>
                          <w14:schemeClr w14:val="tx1"/>
                        </w14:solidFill>
                      </w14:textFill>
                    </w:rPr>
                    <w:t>3</w:t>
                  </w:r>
                </w:p>
              </w:tc>
              <w:tc>
                <w:tcPr>
                  <w:tcW w:w="1346" w:type="dxa"/>
                  <w:tcBorders>
                    <w:tl2br w:val="nil"/>
                    <w:tr2bl w:val="nil"/>
                  </w:tcBorders>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r>
          </w:tbl>
          <w:p>
            <w:pPr>
              <w:pStyle w:val="91"/>
              <w:spacing w:line="240" w:lineRule="auto"/>
              <w:ind w:left="0" w:firstLine="0"/>
              <w:rPr>
                <w:rFonts w:hint="eastAsia"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cs="Times New Roman"/>
                <w:b/>
                <w:bCs w:val="0"/>
                <w:color w:val="000000" w:themeColor="text1"/>
                <w:highlight w:val="none"/>
                <w:lang w:val="en-US" w:eastAsia="zh-CN"/>
                <w14:textFill>
                  <w14:solidFill>
                    <w14:schemeClr w14:val="tx1"/>
                  </w14:solidFill>
                </w14:textFill>
              </w:rPr>
              <w:t>天然气成分一览表</w:t>
            </w:r>
          </w:p>
          <w:tbl>
            <w:tblPr>
              <w:tblStyle w:val="43"/>
              <w:tblW w:w="9159" w:type="dxa"/>
              <w:tblInd w:w="0" w:type="dxa"/>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
            <w:tblGrid>
              <w:gridCol w:w="1300"/>
              <w:gridCol w:w="1741"/>
              <w:gridCol w:w="1202"/>
              <w:gridCol w:w="986"/>
              <w:gridCol w:w="986"/>
              <w:gridCol w:w="986"/>
              <w:gridCol w:w="979"/>
              <w:gridCol w:w="979"/>
            </w:tblGrid>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1300" w:type="dxa"/>
                  <w:vMerge w:val="restart"/>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天然气</w:t>
                  </w:r>
                </w:p>
              </w:tc>
              <w:tc>
                <w:tcPr>
                  <w:tcW w:w="1741"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主要成分</w:t>
                  </w:r>
                </w:p>
              </w:tc>
              <w:tc>
                <w:tcPr>
                  <w:tcW w:w="1202"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CH</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4</w:t>
                  </w:r>
                </w:p>
              </w:tc>
              <w:tc>
                <w:tcPr>
                  <w:tcW w:w="986"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He</w:t>
                  </w:r>
                </w:p>
              </w:tc>
              <w:tc>
                <w:tcPr>
                  <w:tcW w:w="986" w:type="dxa"/>
                  <w:tcBorders>
                    <w:tl2br w:val="nil"/>
                    <w:tr2bl w:val="nil"/>
                  </w:tcBorders>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H</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986" w:type="dxa"/>
                  <w:tcBorders>
                    <w:tl2br w:val="nil"/>
                    <w:tr2bl w:val="nil"/>
                  </w:tcBorders>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O</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979" w:type="dxa"/>
                  <w:tcBorders>
                    <w:tl2br w:val="nil"/>
                    <w:tr2bl w:val="nil"/>
                  </w:tcBorders>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CO</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979" w:type="dxa"/>
                  <w:tcBorders>
                    <w:tl2br w:val="nil"/>
                    <w:tr2bl w:val="nil"/>
                  </w:tcBorders>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S</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Ex>
              <w:trPr>
                <w:trHeight w:val="23" w:hRule="atLeast"/>
              </w:trPr>
              <w:tc>
                <w:tcPr>
                  <w:tcW w:w="1300" w:type="dxa"/>
                  <w:vMerge w:val="continue"/>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1741" w:type="dxa"/>
                  <w:tcBorders>
                    <w:tl2br w:val="nil"/>
                    <w:tr2bl w:val="nil"/>
                  </w:tcBorders>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占比（%）</w:t>
                  </w:r>
                </w:p>
              </w:tc>
              <w:tc>
                <w:tcPr>
                  <w:tcW w:w="1202"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95.072</w:t>
                  </w:r>
                </w:p>
              </w:tc>
              <w:tc>
                <w:tcPr>
                  <w:tcW w:w="986" w:type="dxa"/>
                  <w:tcBorders>
                    <w:tl2br w:val="nil"/>
                    <w:tr2bl w:val="nil"/>
                  </w:tcBorders>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0.032</w:t>
                  </w:r>
                </w:p>
              </w:tc>
              <w:tc>
                <w:tcPr>
                  <w:tcW w:w="986" w:type="dxa"/>
                  <w:tcBorders>
                    <w:tl2br w:val="nil"/>
                    <w:tr2bl w:val="nil"/>
                  </w:tcBorders>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0.051</w:t>
                  </w:r>
                </w:p>
              </w:tc>
              <w:tc>
                <w:tcPr>
                  <w:tcW w:w="986" w:type="dxa"/>
                  <w:tcBorders>
                    <w:tl2br w:val="nil"/>
                    <w:tr2bl w:val="nil"/>
                  </w:tcBorders>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0.356</w:t>
                  </w:r>
                </w:p>
              </w:tc>
              <w:tc>
                <w:tcPr>
                  <w:tcW w:w="979" w:type="dxa"/>
                  <w:tcBorders>
                    <w:tl2br w:val="nil"/>
                    <w:tr2bl w:val="nil"/>
                  </w:tcBorders>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1.208</w:t>
                  </w:r>
                </w:p>
              </w:tc>
              <w:tc>
                <w:tcPr>
                  <w:tcW w:w="979" w:type="dxa"/>
                  <w:tcBorders>
                    <w:tl2br w:val="nil"/>
                    <w:tr2bl w:val="nil"/>
                  </w:tcBorders>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20mg/m</w:t>
                  </w:r>
                  <w:r>
                    <w:rPr>
                      <w:rFonts w:hint="eastAsia" w:cs="Times New Roman"/>
                      <w:color w:val="000000" w:themeColor="text1"/>
                      <w:szCs w:val="21"/>
                      <w:vertAlign w:val="superscript"/>
                      <w:lang w:val="en-US" w:eastAsia="zh-CN"/>
                      <w14:textFill>
                        <w14:solidFill>
                          <w14:schemeClr w14:val="tx1"/>
                        </w14:solidFill>
                      </w14:textFill>
                    </w:rPr>
                    <w:t>3</w:t>
                  </w:r>
                </w:p>
              </w:tc>
            </w:tr>
          </w:tbl>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6、主要产品方案</w:t>
            </w:r>
          </w:p>
          <w:p>
            <w:pPr>
              <w:numPr>
                <w:ilvl w:val="0"/>
                <w:numId w:val="0"/>
              </w:numPr>
              <w:spacing w:line="360" w:lineRule="auto"/>
              <w:ind w:firstLine="480" w:firstLineChars="200"/>
              <w:rPr>
                <w:rFonts w:hint="default" w:cs="Times New Roman"/>
                <w:color w:val="000000" w:themeColor="text1"/>
                <w:sz w:val="24"/>
                <w:lang w:val="en-US" w:eastAsia="zh-CN"/>
                <w14:textFill>
                  <w14:solidFill>
                    <w14:schemeClr w14:val="tx1"/>
                  </w14:solidFill>
                </w14:textFill>
              </w:rPr>
            </w:pPr>
          </w:p>
          <w:p>
            <w:pPr>
              <w:pStyle w:val="91"/>
              <w:spacing w:line="240" w:lineRule="auto"/>
              <w:ind w:left="0" w:firstLine="0"/>
              <w:rPr>
                <w:b/>
                <w:bCs w:val="0"/>
                <w:color w:val="000000" w:themeColor="text1"/>
                <w:highlight w:val="none"/>
                <w14:textFill>
                  <w14:solidFill>
                    <w14:schemeClr w14:val="tx1"/>
                  </w14:solidFill>
                </w14:textFill>
              </w:rPr>
            </w:pPr>
            <w:r>
              <w:rPr>
                <w:rFonts w:hint="eastAsia"/>
                <w:b/>
                <w:bCs w:val="0"/>
                <w:color w:val="000000" w:themeColor="text1"/>
                <w:highlight w:val="none"/>
                <w:lang w:val="en-US" w:eastAsia="zh-CN"/>
                <w14:textFill>
                  <w14:solidFill>
                    <w14:schemeClr w14:val="tx1"/>
                  </w14:solidFill>
                </w14:textFill>
              </w:rPr>
              <w:t>主要产品方案</w:t>
            </w:r>
          </w:p>
          <w:tbl>
            <w:tblPr>
              <w:tblStyle w:val="42"/>
              <w:tblW w:w="9162" w:type="dxa"/>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130"/>
              <w:gridCol w:w="3488"/>
              <w:gridCol w:w="1854"/>
              <w:gridCol w:w="2690"/>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exact"/>
                <w:tblHeader/>
              </w:trPr>
              <w:tc>
                <w:tcPr>
                  <w:tcW w:w="1130"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3488" w:type="dxa"/>
                  <w:tcBorders>
                    <w:tl2br w:val="nil"/>
                    <w:tr2bl w:val="nil"/>
                  </w:tcBorders>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产品</w:t>
                  </w: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1854"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产品规模</w:t>
                  </w:r>
                </w:p>
              </w:tc>
              <w:tc>
                <w:tcPr>
                  <w:tcW w:w="2690"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单位</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exact"/>
              </w:trPr>
              <w:tc>
                <w:tcPr>
                  <w:tcW w:w="1130" w:type="dxa"/>
                  <w:tcBorders>
                    <w:tl2br w:val="nil"/>
                    <w:tr2bl w:val="nil"/>
                  </w:tcBorders>
                  <w:vAlign w:val="center"/>
                </w:tcPr>
                <w:p>
                  <w:pPr>
                    <w:widowControl/>
                    <w:numPr>
                      <w:ilvl w:val="0"/>
                      <w:numId w:val="0"/>
                    </w:numPr>
                    <w:ind w:left="425" w:leftChars="0" w:hanging="425"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t>1</w:t>
                  </w:r>
                </w:p>
              </w:tc>
              <w:tc>
                <w:tcPr>
                  <w:tcW w:w="3488"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沥青拌合料</w:t>
                  </w:r>
                </w:p>
              </w:tc>
              <w:tc>
                <w:tcPr>
                  <w:tcW w:w="1854" w:type="dxa"/>
                  <w:tcBorders>
                    <w:tl2br w:val="nil"/>
                    <w:tr2bl w:val="nil"/>
                  </w:tcBorders>
                  <w:vAlign w:val="center"/>
                </w:tcPr>
                <w:p>
                  <w:pPr>
                    <w:widowControl/>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60000</w:t>
                  </w:r>
                </w:p>
              </w:tc>
              <w:tc>
                <w:tcPr>
                  <w:tcW w:w="2690" w:type="dxa"/>
                  <w:tcBorders>
                    <w:tl2br w:val="nil"/>
                    <w:tr2bl w:val="nil"/>
                  </w:tcBorders>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t/a</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340" w:hRule="exact"/>
              </w:trPr>
              <w:tc>
                <w:tcPr>
                  <w:tcW w:w="1130" w:type="dxa"/>
                  <w:tcBorders>
                    <w:tl2br w:val="nil"/>
                    <w:tr2bl w:val="nil"/>
                  </w:tcBorders>
                  <w:vAlign w:val="center"/>
                </w:tcPr>
                <w:p>
                  <w:pPr>
                    <w:widowControl/>
                    <w:numPr>
                      <w:ilvl w:val="0"/>
                      <w:numId w:val="0"/>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2</w:t>
                  </w:r>
                </w:p>
              </w:tc>
              <w:tc>
                <w:tcPr>
                  <w:tcW w:w="3488" w:type="dxa"/>
                  <w:tcBorders>
                    <w:tl2br w:val="nil"/>
                    <w:tr2bl w:val="nil"/>
                  </w:tcBorders>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集成式工程列车</w:t>
                  </w:r>
                </w:p>
              </w:tc>
              <w:tc>
                <w:tcPr>
                  <w:tcW w:w="1854" w:type="dxa"/>
                  <w:tcBorders>
                    <w:tl2br w:val="nil"/>
                    <w:tr2bl w:val="nil"/>
                  </w:tcBorders>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10</w:t>
                  </w:r>
                </w:p>
              </w:tc>
              <w:tc>
                <w:tcPr>
                  <w:tcW w:w="2690" w:type="dxa"/>
                  <w:tcBorders>
                    <w:tl2br w:val="nil"/>
                    <w:tr2bl w:val="nil"/>
                  </w:tcBorders>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套/a</w:t>
                  </w:r>
                </w:p>
              </w:tc>
            </w:tr>
          </w:tbl>
          <w:p>
            <w:pPr>
              <w:numPr>
                <w:ilvl w:val="0"/>
                <w:numId w:val="0"/>
              </w:numPr>
              <w:spacing w:line="360" w:lineRule="auto"/>
              <w:ind w:firstLine="480" w:firstLineChars="200"/>
              <w:rPr>
                <w:rFonts w:hint="default" w:ascii="Times New Roman" w:hAnsi="Times New Roman" w:cs="Times New Roman"/>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7、劳动定员及工作制度：本项目新增员工20人</w:t>
            </w:r>
            <w:bookmarkStart w:id="8" w:name="_Hlk101186025"/>
            <w:r>
              <w:rPr>
                <w:rFonts w:hint="eastAsia" w:ascii="Times New Roman" w:hAnsi="Times New Roman" w:cs="Times New Roman"/>
                <w:color w:val="000000" w:themeColor="text1"/>
                <w:sz w:val="24"/>
                <w:lang w:val="en-US" w:eastAsia="zh-CN"/>
                <w14:textFill>
                  <w14:solidFill>
                    <w14:schemeClr w14:val="tx1"/>
                  </w14:solidFill>
                </w14:textFill>
              </w:rPr>
              <w:t>，年</w:t>
            </w:r>
            <w:r>
              <w:rPr>
                <w:rFonts w:hint="eastAsia" w:cs="Times New Roman"/>
                <w:color w:val="000000" w:themeColor="text1"/>
                <w:sz w:val="24"/>
                <w:lang w:val="en-US" w:eastAsia="zh-CN"/>
                <w14:textFill>
                  <w14:solidFill>
                    <w14:schemeClr w14:val="tx1"/>
                  </w14:solidFill>
                </w14:textFill>
              </w:rPr>
              <w:t>工作180</w:t>
            </w:r>
            <w:r>
              <w:rPr>
                <w:rFonts w:hint="eastAsia" w:ascii="Times New Roman" w:hAnsi="Times New Roman" w:cs="Times New Roman"/>
                <w:color w:val="000000" w:themeColor="text1"/>
                <w:sz w:val="24"/>
                <w:lang w:val="en-US" w:eastAsia="zh-CN"/>
                <w14:textFill>
                  <w14:solidFill>
                    <w14:schemeClr w14:val="tx1"/>
                  </w14:solidFill>
                </w14:textFill>
              </w:rPr>
              <w:t>d</w:t>
            </w:r>
            <w:r>
              <w:rPr>
                <w:rFonts w:hint="eastAsia" w:cs="Times New Roman"/>
                <w:color w:val="000000" w:themeColor="text1"/>
                <w:sz w:val="24"/>
                <w:lang w:val="en-US" w:eastAsia="zh-CN"/>
                <w14:textFill>
                  <w14:solidFill>
                    <w14:schemeClr w14:val="tx1"/>
                  </w14:solidFill>
                </w14:textFill>
              </w:rPr>
              <w:t>/a，每天8h</w:t>
            </w:r>
            <w:r>
              <w:rPr>
                <w:rFonts w:hint="eastAsia" w:ascii="Times New Roman" w:hAnsi="Times New Roman" w:cs="Times New Roman"/>
                <w:color w:val="000000" w:themeColor="text1"/>
                <w:sz w:val="24"/>
                <w:lang w:val="en-US" w:eastAsia="zh-CN"/>
                <w14:textFill>
                  <w14:solidFill>
                    <w14:schemeClr w14:val="tx1"/>
                  </w14:solidFill>
                </w14:textFill>
              </w:rPr>
              <w:t>。</w:t>
            </w:r>
            <w:bookmarkEnd w:id="8"/>
            <w:r>
              <w:rPr>
                <w:rFonts w:hint="eastAsia" w:cs="Times New Roman"/>
                <w:color w:val="000000" w:themeColor="text1"/>
                <w:sz w:val="24"/>
                <w:lang w:val="en-US" w:eastAsia="zh-CN"/>
                <w14:textFill>
                  <w14:solidFill>
                    <w14:schemeClr w14:val="tx1"/>
                  </w14:solidFill>
                </w14:textFill>
              </w:rPr>
              <w:t>沥青储罐废气治理设施年运行时间按4320h/a计。</w:t>
            </w:r>
          </w:p>
          <w:p>
            <w:pPr>
              <w:numPr>
                <w:ilvl w:val="0"/>
                <w:numId w:val="0"/>
              </w:numPr>
              <w:spacing w:line="360" w:lineRule="auto"/>
              <w:ind w:firstLine="480" w:firstLineChars="200"/>
              <w:rPr>
                <w:rFonts w:hint="eastAsia" w:ascii="Times New Roman" w:hAnsi="Times New Roman" w:cs="Times New Roman"/>
                <w:color w:val="000000" w:themeColor="text1"/>
                <w:sz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8、公用工程</w:t>
            </w:r>
          </w:p>
          <w:p>
            <w:pPr>
              <w:numPr>
                <w:ilvl w:val="0"/>
                <w:numId w:val="0"/>
              </w:numPr>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w:t>
            </w:r>
            <w:r>
              <w:rPr>
                <w:rFonts w:hint="eastAsia" w:cs="Times New Roman"/>
                <w:color w:val="000000" w:themeColor="text1"/>
                <w:sz w:val="24"/>
                <w:highlight w:val="none"/>
                <w:lang w:val="en-US" w:eastAsia="zh-CN"/>
                <w14:textFill>
                  <w14:solidFill>
                    <w14:schemeClr w14:val="tx1"/>
                  </w14:solidFill>
                </w14:textFill>
              </w:rPr>
              <w:t>给</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水</w:t>
            </w:r>
          </w:p>
          <w:p>
            <w:pPr>
              <w:spacing w:line="360" w:lineRule="auto"/>
              <w:ind w:firstLine="480" w:firstLineChars="200"/>
              <w:rPr>
                <w:rFonts w:hint="eastAsia"/>
                <w:bCs/>
                <w:color w:val="000000" w:themeColor="text1"/>
                <w:sz w:val="24"/>
                <w:highlight w:val="none"/>
                <w:lang w:val="en-US" w:eastAsia="zh-CN"/>
                <w14:textFill>
                  <w14:solidFill>
                    <w14:schemeClr w14:val="tx1"/>
                  </w14:solidFill>
                </w14:textFill>
              </w:rPr>
            </w:pPr>
            <w:r>
              <w:rPr>
                <w:rFonts w:hint="eastAsia"/>
                <w:bCs/>
                <w:color w:val="000000" w:themeColor="text1"/>
                <w:sz w:val="24"/>
                <w:highlight w:val="none"/>
                <w:lang w:val="en-US" w:eastAsia="zh-CN"/>
                <w14:textFill>
                  <w14:solidFill>
                    <w14:schemeClr w14:val="tx1"/>
                  </w14:solidFill>
                </w14:textFill>
              </w:rPr>
              <w:t>项目运营期用水主要为职工生活用水和车辆清洗用水、抑尘用水。</w:t>
            </w:r>
          </w:p>
          <w:p>
            <w:pPr>
              <w:numPr>
                <w:ilvl w:val="0"/>
                <w:numId w:val="0"/>
              </w:numPr>
              <w:spacing w:line="360" w:lineRule="auto"/>
              <w:ind w:firstLine="480" w:firstLineChars="200"/>
              <w:rPr>
                <w:rFonts w:hint="eastAsia" w:eastAsia="宋体"/>
                <w:color w:val="000000" w:themeColor="text1"/>
                <w:sz w:val="24"/>
                <w:highlight w:val="none"/>
                <w:lang w:eastAsia="zh-CN"/>
                <w14:textFill>
                  <w14:solidFill>
                    <w14:schemeClr w14:val="tx1"/>
                  </w14:solidFill>
                </w14:textFill>
              </w:rPr>
            </w:pPr>
            <w:r>
              <w:rPr>
                <w:rFonts w:hint="eastAsia" w:ascii="Times New Roman" w:hAnsi="Times New Roman" w:cs="Times New Roman"/>
                <w:bCs/>
                <w:color w:val="000000" w:themeColor="text1"/>
                <w:sz w:val="24"/>
                <w:highlight w:val="none"/>
                <w:lang w:val="en-US" w:eastAsia="zh-CN"/>
                <w14:textFill>
                  <w14:solidFill>
                    <w14:schemeClr w14:val="tx1"/>
                  </w14:solidFill>
                </w14:textFill>
              </w:rPr>
              <w:t>本项目用水由</w:t>
            </w:r>
            <w:r>
              <w:rPr>
                <w:rFonts w:hint="eastAsia" w:cs="Times New Roman"/>
                <w:bCs/>
                <w:color w:val="000000" w:themeColor="text1"/>
                <w:sz w:val="24"/>
                <w:highlight w:val="none"/>
                <w:lang w:val="en-US" w:eastAsia="zh-CN"/>
                <w14:textFill>
                  <w14:solidFill>
                    <w14:schemeClr w14:val="tx1"/>
                  </w14:solidFill>
                </w14:textFill>
              </w:rPr>
              <w:t>中韩镇</w:t>
            </w:r>
            <w:r>
              <w:rPr>
                <w:rFonts w:hint="eastAsia" w:ascii="Times New Roman" w:hAnsi="Times New Roman" w:cs="Times New Roman"/>
                <w:bCs/>
                <w:color w:val="000000" w:themeColor="text1"/>
                <w:sz w:val="24"/>
                <w:highlight w:val="none"/>
                <w:lang w:val="en-US" w:eastAsia="zh-CN"/>
                <w14:textFill>
                  <w14:solidFill>
                    <w14:schemeClr w14:val="tx1"/>
                  </w14:solidFill>
                </w14:textFill>
              </w:rPr>
              <w:t>市政供水管网提供，参照河北省地方标准《生活与服务业用水定额  第1部分：居民生活》（DB13/T5450.1-2021），生活用水量按每人用水定额40L/d计，职工共计20人，生活用水量0.8m</w:t>
            </w:r>
            <w:r>
              <w:rPr>
                <w:rFonts w:hint="eastAsia" w:ascii="Times New Roman" w:hAnsi="Times New Roman" w:cs="Times New Roman"/>
                <w:bCs/>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highlight w:val="none"/>
                <w:lang w:val="en-US" w:eastAsia="zh-CN"/>
                <w14:textFill>
                  <w14:solidFill>
                    <w14:schemeClr w14:val="tx1"/>
                  </w14:solidFill>
                </w14:textFill>
              </w:rPr>
              <w:t>/d；车辆清洗用水</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补水量为0.5m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/d；原料贮存过程中的抑尘用水量为2m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w:t>
            </w:r>
            <w:r>
              <w:rPr>
                <w:rFonts w:hint="eastAsia"/>
                <w:color w:val="000000" w:themeColor="text1"/>
                <w:sz w:val="24"/>
                <w:szCs w:val="24"/>
                <w:highlight w:val="none"/>
                <w:lang w:eastAsia="zh-CN"/>
                <w14:textFill>
                  <w14:solidFill>
                    <w14:schemeClr w14:val="tx1"/>
                  </w14:solidFill>
                </w14:textFill>
              </w:rPr>
              <w:t>；</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厂区及生产车间抑尘用水量为2m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p>
          <w:p>
            <w:pPr>
              <w:numPr>
                <w:ilvl w:val="0"/>
                <w:numId w:val="0"/>
              </w:numPr>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排水</w:t>
            </w:r>
          </w:p>
          <w:p>
            <w:pPr>
              <w:widowControl/>
              <w:numPr>
                <w:ilvl w:val="0"/>
                <w:numId w:val="0"/>
              </w:numPr>
              <w:spacing w:line="360" w:lineRule="auto"/>
              <w:ind w:left="0" w:leftChars="0" w:firstLine="480" w:firstLineChars="200"/>
              <w:jc w:val="left"/>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本项目无生产废水；</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生活污水主要为职工盥洗废水，产生量按用水量的80%计算，则生活污水的产生量为0.64m</w:t>
            </w:r>
            <w:r>
              <w:rPr>
                <w:rFonts w:hint="eastAsia" w:ascii="Times New Roman" w:hAnsi="Times New Roman" w:cs="Times New Roman"/>
                <w:bCs/>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highlight w:val="none"/>
                <w:lang w:val="en-US" w:eastAsia="zh-CN"/>
                <w14:textFill>
                  <w14:solidFill>
                    <w14:schemeClr w14:val="tx1"/>
                  </w14:solidFill>
                </w14:textFill>
              </w:rPr>
              <w:t>/d，水量较小且水质简单，</w:t>
            </w:r>
            <w:r>
              <w:rPr>
                <w:rFonts w:hint="eastAsia" w:cs="Times New Roman"/>
                <w:bCs/>
                <w:color w:val="000000" w:themeColor="text1"/>
                <w:sz w:val="24"/>
                <w:highlight w:val="none"/>
                <w:lang w:val="en-US" w:eastAsia="zh-CN"/>
                <w14:textFill>
                  <w14:solidFill>
                    <w14:schemeClr w14:val="tx1"/>
                  </w14:solidFill>
                </w14:textFill>
              </w:rPr>
              <w:t>经厂区内化粪池处理后定期处理</w:t>
            </w:r>
            <w:r>
              <w:rPr>
                <w:rFonts w:hint="eastAsia"/>
                <w:color w:val="000000" w:themeColor="text1"/>
                <w:sz w:val="24"/>
                <w:szCs w:val="32"/>
                <w:highlight w:val="none"/>
                <w:lang w:eastAsia="zh-CN"/>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车辆清洗废水循环使用不外排；抑尘用水全部损耗。</w:t>
            </w:r>
          </w:p>
          <w:p>
            <w:pPr>
              <w:widowControl/>
              <w:spacing w:line="360" w:lineRule="auto"/>
              <w:ind w:firstLine="480" w:firstLineChars="200"/>
              <w:rPr>
                <w:rFonts w:hint="default"/>
                <w:color w:val="000000" w:themeColor="text1"/>
                <w:sz w:val="24"/>
                <w:lang w:val="en-US"/>
                <w14:textFill>
                  <w14:solidFill>
                    <w14:schemeClr w14:val="tx1"/>
                  </w14:solidFill>
                </w14:textFill>
              </w:rPr>
            </w:pPr>
            <w:r>
              <w:rPr>
                <w:color w:val="000000" w:themeColor="text1"/>
                <w:sz w:val="24"/>
                <w14:textFill>
                  <w14:solidFill>
                    <w14:schemeClr w14:val="tx1"/>
                  </w14:solidFill>
                </w14:textFill>
              </w:rPr>
              <w:t>本项目给排水平衡图见</w:t>
            </w:r>
            <w:r>
              <w:rPr>
                <w:rFonts w:hint="eastAsia"/>
                <w:color w:val="000000" w:themeColor="text1"/>
                <w:sz w:val="24"/>
                <w:lang w:val="en-US" w:eastAsia="zh-CN"/>
                <w14:textFill>
                  <w14:solidFill>
                    <w14:schemeClr w14:val="tx1"/>
                  </w14:solidFill>
                </w14:textFill>
              </w:rPr>
              <w:t>下图，水平衡表见下表。</w:t>
            </w:r>
          </w:p>
          <w:p>
            <w:pPr>
              <w:pStyle w:val="5"/>
              <w:jc w:val="center"/>
              <w:rPr>
                <w:rFonts w:hint="eastAsia" w:eastAsia="等线 Light"/>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3715385" cy="2353310"/>
                  <wp:effectExtent l="0" t="0" r="18415" b="8890"/>
                  <wp:docPr id="5" name="F360BE8B-6686-4F3D-AEAF-501FE73E4058-1" descr="C:/Users/ADMIN/AppData/Local/Temp/绘图1(2).png绘图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360BE8B-6686-4F3D-AEAF-501FE73E4058-1" descr="C:/Users/ADMIN/AppData/Local/Temp/绘图1(2).png绘图1(2)"/>
                          <pic:cNvPicPr>
                            <a:picLocks noChangeAspect="1"/>
                          </pic:cNvPicPr>
                        </pic:nvPicPr>
                        <pic:blipFill>
                          <a:blip r:embed="rId15"/>
                          <a:stretch>
                            <a:fillRect/>
                          </a:stretch>
                        </pic:blipFill>
                        <pic:spPr>
                          <a:xfrm>
                            <a:off x="0" y="0"/>
                            <a:ext cx="3715512" cy="2353056"/>
                          </a:xfrm>
                          <a:prstGeom prst="rect">
                            <a:avLst/>
                          </a:prstGeom>
                        </pic:spPr>
                      </pic:pic>
                    </a:graphicData>
                  </a:graphic>
                </wp:inline>
              </w:drawing>
            </w:r>
          </w:p>
          <w:p>
            <w:pPr>
              <w:jc w:val="center"/>
              <w:rPr>
                <w:rFonts w:hint="eastAsia"/>
                <w:b/>
                <w:bCs/>
                <w:color w:val="000000" w:themeColor="text1"/>
                <w:sz w:val="24"/>
                <w:szCs w:val="32"/>
                <w:highlight w:val="none"/>
                <w:lang w:val="en-US" w:eastAsia="zh-CN"/>
                <w14:textFill>
                  <w14:solidFill>
                    <w14:schemeClr w14:val="tx1"/>
                  </w14:solidFill>
                </w14:textFill>
              </w:rPr>
            </w:pPr>
            <w:r>
              <w:rPr>
                <w:rFonts w:hint="eastAsia"/>
                <w:b/>
                <w:bCs/>
                <w:color w:val="000000" w:themeColor="text1"/>
                <w:sz w:val="24"/>
                <w:szCs w:val="32"/>
                <w:highlight w:val="none"/>
                <w:lang w:val="en-US" w:eastAsia="zh-CN"/>
                <w14:textFill>
                  <w14:solidFill>
                    <w14:schemeClr w14:val="tx1"/>
                  </w14:solidFill>
                </w14:textFill>
              </w:rPr>
              <w:t>图2-1   项目水平衡图   m</w:t>
            </w:r>
            <w:r>
              <w:rPr>
                <w:rFonts w:hint="eastAsia"/>
                <w:b/>
                <w:bCs/>
                <w:color w:val="000000" w:themeColor="text1"/>
                <w:sz w:val="24"/>
                <w:szCs w:val="32"/>
                <w:highlight w:val="none"/>
                <w:vertAlign w:val="superscript"/>
                <w:lang w:val="en-US" w:eastAsia="zh-CN"/>
                <w14:textFill>
                  <w14:solidFill>
                    <w14:schemeClr w14:val="tx1"/>
                  </w14:solidFill>
                </w14:textFill>
              </w:rPr>
              <w:t>3</w:t>
            </w:r>
            <w:r>
              <w:rPr>
                <w:rFonts w:hint="eastAsia"/>
                <w:b/>
                <w:bCs/>
                <w:color w:val="000000" w:themeColor="text1"/>
                <w:sz w:val="24"/>
                <w:szCs w:val="32"/>
                <w:highlight w:val="none"/>
                <w:lang w:val="en-US" w:eastAsia="zh-CN"/>
                <w14:textFill>
                  <w14:solidFill>
                    <w14:schemeClr w14:val="tx1"/>
                  </w14:solidFill>
                </w14:textFill>
              </w:rPr>
              <w:t>/d</w:t>
            </w:r>
          </w:p>
          <w:p>
            <w:pPr>
              <w:jc w:val="center"/>
              <w:rPr>
                <w:rFonts w:hint="eastAsia"/>
                <w:b/>
                <w:bCs/>
                <w:color w:val="000000" w:themeColor="text1"/>
                <w:sz w:val="24"/>
                <w:szCs w:val="32"/>
                <w:highlight w:val="none"/>
                <w:lang w:val="en-US" w:eastAsia="zh-CN"/>
                <w14:textFill>
                  <w14:solidFill>
                    <w14:schemeClr w14:val="tx1"/>
                  </w14:solidFill>
                </w14:textFill>
              </w:rPr>
            </w:pPr>
          </w:p>
          <w:p>
            <w:pPr>
              <w:jc w:val="center"/>
              <w:rPr>
                <w:rFonts w:hint="eastAsia"/>
                <w:b/>
                <w:bCs/>
                <w:color w:val="000000" w:themeColor="text1"/>
                <w:sz w:val="24"/>
                <w:szCs w:val="32"/>
                <w:highlight w:val="none"/>
                <w:lang w:val="en-US" w:eastAsia="zh-CN"/>
                <w14:textFill>
                  <w14:solidFill>
                    <w14:schemeClr w14:val="tx1"/>
                  </w14:solidFill>
                </w14:textFill>
              </w:rPr>
            </w:pPr>
          </w:p>
          <w:p>
            <w:pPr>
              <w:pStyle w:val="91"/>
              <w:spacing w:line="240" w:lineRule="auto"/>
              <w:ind w:left="0" w:firstLine="0"/>
              <w:rPr>
                <w:rFonts w:hint="default"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项目水平衡一览表   m</w:t>
            </w:r>
            <w:r>
              <w:rPr>
                <w:rFonts w:hint="eastAsia" w:ascii="Times New Roman" w:hAnsi="宋体" w:eastAsia="宋体" w:cs="Times New Roman"/>
                <w:b/>
                <w:bCs w:val="0"/>
                <w:color w:val="000000" w:themeColor="text1"/>
                <w:highlight w:val="none"/>
                <w:vertAlign w:val="superscript"/>
                <w:lang w:val="en-US" w:eastAsia="zh-CN"/>
                <w14:textFill>
                  <w14:solidFill>
                    <w14:schemeClr w14:val="tx1"/>
                  </w14:solidFill>
                </w14:textFill>
              </w:rPr>
              <w:t>3</w:t>
            </w: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/d</w:t>
            </w:r>
          </w:p>
          <w:tbl>
            <w:tblPr>
              <w:tblStyle w:val="43"/>
              <w:tblW w:w="9160"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72"/>
              <w:gridCol w:w="1563"/>
              <w:gridCol w:w="894"/>
              <w:gridCol w:w="1120"/>
              <w:gridCol w:w="1118"/>
              <w:gridCol w:w="674"/>
              <w:gridCol w:w="311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672" w:type="dxa"/>
                  <w:vMerge w:val="restart"/>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序号</w:t>
                  </w:r>
                </w:p>
              </w:tc>
              <w:tc>
                <w:tcPr>
                  <w:tcW w:w="1563" w:type="dxa"/>
                  <w:vMerge w:val="restart"/>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用水工序</w:t>
                  </w:r>
                </w:p>
              </w:tc>
              <w:tc>
                <w:tcPr>
                  <w:tcW w:w="2014" w:type="dxa"/>
                  <w:gridSpan w:val="2"/>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总用水量</w:t>
                  </w:r>
                </w:p>
              </w:tc>
              <w:tc>
                <w:tcPr>
                  <w:tcW w:w="1792" w:type="dxa"/>
                  <w:gridSpan w:val="2"/>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总排放量</w:t>
                  </w:r>
                </w:p>
              </w:tc>
              <w:tc>
                <w:tcPr>
                  <w:tcW w:w="3119" w:type="dxa"/>
                  <w:vMerge w:val="restart"/>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排水去向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672" w:type="dxa"/>
                  <w:vMerge w:val="continue"/>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c>
                <w:tcPr>
                  <w:tcW w:w="1563" w:type="dxa"/>
                  <w:vMerge w:val="continue"/>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c>
                <w:tcPr>
                  <w:tcW w:w="894"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新鲜水</w:t>
                  </w:r>
                </w:p>
              </w:tc>
              <w:tc>
                <w:tcPr>
                  <w:tcW w:w="1120"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循环水量</w:t>
                  </w:r>
                </w:p>
              </w:tc>
              <w:tc>
                <w:tcPr>
                  <w:tcW w:w="1118"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消耗水量</w:t>
                  </w:r>
                </w:p>
              </w:tc>
              <w:tc>
                <w:tcPr>
                  <w:tcW w:w="674"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排水</w:t>
                  </w:r>
                </w:p>
              </w:tc>
              <w:tc>
                <w:tcPr>
                  <w:tcW w:w="3119" w:type="dxa"/>
                  <w:vMerge w:val="continue"/>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672"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1</w:t>
                  </w:r>
                </w:p>
              </w:tc>
              <w:tc>
                <w:tcPr>
                  <w:tcW w:w="1563"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生活用水</w:t>
                  </w:r>
                </w:p>
              </w:tc>
              <w:tc>
                <w:tcPr>
                  <w:tcW w:w="894"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0.8</w:t>
                  </w:r>
                </w:p>
              </w:tc>
              <w:tc>
                <w:tcPr>
                  <w:tcW w:w="1120"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0</w:t>
                  </w:r>
                </w:p>
              </w:tc>
              <w:tc>
                <w:tcPr>
                  <w:tcW w:w="1118"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0.16</w:t>
                  </w:r>
                </w:p>
              </w:tc>
              <w:tc>
                <w:tcPr>
                  <w:tcW w:w="674" w:type="dxa"/>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0.64</w:t>
                  </w:r>
                </w:p>
              </w:tc>
              <w:tc>
                <w:tcPr>
                  <w:tcW w:w="3119"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厂区内化粪池处理后定期清理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672"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2</w:t>
                  </w:r>
                </w:p>
              </w:tc>
              <w:tc>
                <w:tcPr>
                  <w:tcW w:w="1563"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车辆清洗用水</w:t>
                  </w:r>
                </w:p>
              </w:tc>
              <w:tc>
                <w:tcPr>
                  <w:tcW w:w="894"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0.5</w:t>
                  </w:r>
                </w:p>
              </w:tc>
              <w:tc>
                <w:tcPr>
                  <w:tcW w:w="1120" w:type="dxa"/>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2.5</w:t>
                  </w:r>
                </w:p>
              </w:tc>
              <w:tc>
                <w:tcPr>
                  <w:tcW w:w="1118"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0.5</w:t>
                  </w:r>
                </w:p>
              </w:tc>
              <w:tc>
                <w:tcPr>
                  <w:tcW w:w="674" w:type="dxa"/>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lang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3119" w:type="dxa"/>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672"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3</w:t>
                  </w:r>
                </w:p>
              </w:tc>
              <w:tc>
                <w:tcPr>
                  <w:tcW w:w="1563" w:type="dxa"/>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抑尘用水</w:t>
                  </w:r>
                </w:p>
              </w:tc>
              <w:tc>
                <w:tcPr>
                  <w:tcW w:w="894"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4</w:t>
                  </w:r>
                </w:p>
              </w:tc>
              <w:tc>
                <w:tcPr>
                  <w:tcW w:w="1120"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0</w:t>
                  </w:r>
                </w:p>
              </w:tc>
              <w:tc>
                <w:tcPr>
                  <w:tcW w:w="1118"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4</w:t>
                  </w:r>
                </w:p>
              </w:tc>
              <w:tc>
                <w:tcPr>
                  <w:tcW w:w="674" w:type="dxa"/>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lang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3119" w:type="dxa"/>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2235" w:type="dxa"/>
                  <w:gridSpan w:val="2"/>
                  <w:vMerge w:val="restart"/>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合计</w:t>
                  </w:r>
                </w:p>
              </w:tc>
              <w:tc>
                <w:tcPr>
                  <w:tcW w:w="894" w:type="dxa"/>
                  <w:tcBorders>
                    <w:tl2br w:val="nil"/>
                    <w:tr2bl w:val="nil"/>
                  </w:tcBorders>
                  <w:vAlign w:val="center"/>
                </w:tcPr>
                <w:p>
                  <w:pPr>
                    <w:pStyle w:val="5"/>
                    <w:spacing w:before="0" w:after="0" w:line="240" w:lineRule="auto"/>
                    <w:jc w:val="center"/>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5.3</w:t>
                  </w:r>
                </w:p>
              </w:tc>
              <w:tc>
                <w:tcPr>
                  <w:tcW w:w="1120" w:type="dxa"/>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2.5</w:t>
                  </w:r>
                </w:p>
              </w:tc>
              <w:tc>
                <w:tcPr>
                  <w:tcW w:w="1118" w:type="dxa"/>
                  <w:tcBorders>
                    <w:tl2br w:val="nil"/>
                    <w:tr2bl w:val="nil"/>
                  </w:tcBorders>
                  <w:vAlign w:val="center"/>
                </w:tcPr>
                <w:p>
                  <w:pPr>
                    <w:pStyle w:val="5"/>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4.66</w:t>
                  </w:r>
                </w:p>
              </w:tc>
              <w:tc>
                <w:tcPr>
                  <w:tcW w:w="674" w:type="dxa"/>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0.64</w:t>
                  </w:r>
                </w:p>
              </w:tc>
              <w:tc>
                <w:tcPr>
                  <w:tcW w:w="3119" w:type="dxa"/>
                  <w:tcBorders>
                    <w:tl2br w:val="nil"/>
                    <w:tr2bl w:val="nil"/>
                  </w:tcBorders>
                  <w:vAlign w:val="center"/>
                </w:tcPr>
                <w:p>
                  <w:pPr>
                    <w:pStyle w:val="5"/>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2235" w:type="dxa"/>
                  <w:gridSpan w:val="2"/>
                  <w:vMerge w:val="continue"/>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p>
              </w:tc>
              <w:tc>
                <w:tcPr>
                  <w:tcW w:w="3806" w:type="dxa"/>
                  <w:gridSpan w:val="4"/>
                  <w:tcBorders>
                    <w:tl2br w:val="nil"/>
                    <w:tr2bl w:val="nil"/>
                  </w:tcBorders>
                  <w:vAlign w:val="center"/>
                </w:tcPr>
                <w:p>
                  <w:pPr>
                    <w:pStyle w:val="5"/>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7.8</w:t>
                  </w:r>
                </w:p>
              </w:tc>
              <w:tc>
                <w:tcPr>
                  <w:tcW w:w="3119" w:type="dxa"/>
                  <w:tcBorders>
                    <w:tl2br w:val="nil"/>
                    <w:tr2bl w:val="nil"/>
                  </w:tcBorders>
                  <w:vAlign w:val="center"/>
                </w:tcPr>
                <w:p>
                  <w:pPr>
                    <w:pStyle w:val="5"/>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bl>
          <w:p>
            <w:pPr>
              <w:numPr>
                <w:ilvl w:val="0"/>
                <w:numId w:val="0"/>
              </w:numPr>
              <w:spacing w:line="360" w:lineRule="auto"/>
              <w:ind w:firstLine="480" w:firstLineChars="200"/>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cs="Times New Roman"/>
                <w:color w:val="000000" w:themeColor="text1"/>
                <w:kern w:val="2"/>
                <w:sz w:val="24"/>
                <w:szCs w:val="24"/>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）供电</w:t>
            </w:r>
          </w:p>
          <w:p>
            <w:pPr>
              <w:numPr>
                <w:ilvl w:val="0"/>
                <w:numId w:val="0"/>
              </w:numPr>
              <w:spacing w:line="360" w:lineRule="auto"/>
              <w:ind w:firstLine="480" w:firstLineChars="200"/>
              <w:rPr>
                <w:rFonts w:hint="eastAsia"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本项目所需</w:t>
            </w:r>
            <w:r>
              <w:rPr>
                <w:rFonts w:hint="eastAsia" w:cs="Times New Roman"/>
                <w:color w:val="000000" w:themeColor="text1"/>
                <w:sz w:val="24"/>
                <w:lang w:val="en-US" w:eastAsia="zh-CN"/>
                <w14:textFill>
                  <w14:solidFill>
                    <w14:schemeClr w14:val="tx1"/>
                  </w14:solidFill>
                </w14:textFill>
              </w:rPr>
              <w:t>用电依托</w:t>
            </w:r>
            <w:r>
              <w:rPr>
                <w:rFonts w:hint="eastAsia" w:cs="Times New Roman"/>
                <w:color w:val="000000" w:themeColor="text1"/>
                <w:sz w:val="24"/>
                <w:highlight w:val="none"/>
                <w:lang w:val="en-US" w:eastAsia="zh-CN"/>
                <w14:textFill>
                  <w14:solidFill>
                    <w14:schemeClr w14:val="tx1"/>
                  </w14:solidFill>
                </w14:textFill>
              </w:rPr>
              <w:t>中韩镇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变电站，</w:t>
            </w:r>
            <w:r>
              <w:rPr>
                <w:rFonts w:hint="eastAsia" w:ascii="Times New Roman" w:hAnsi="Times New Roman" w:eastAsia="宋体" w:cs="Times New Roman"/>
                <w:color w:val="000000" w:themeColor="text1"/>
                <w:sz w:val="24"/>
                <w:lang w:val="en-US" w:eastAsia="zh-CN"/>
                <w14:textFill>
                  <w14:solidFill>
                    <w14:schemeClr w14:val="tx1"/>
                  </w14:solidFill>
                </w14:textFill>
              </w:rPr>
              <w:t>目前容量充足，供电可靠性高，可满足本项目需求。</w:t>
            </w:r>
          </w:p>
          <w:p>
            <w:pPr>
              <w:numPr>
                <w:ilvl w:val="0"/>
                <w:numId w:val="0"/>
              </w:numPr>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cs="Times New Roman"/>
                <w:color w:val="000000" w:themeColor="text1"/>
                <w:kern w:val="2"/>
                <w:sz w:val="24"/>
                <w:szCs w:val="24"/>
                <w:lang w:val="en-US" w:eastAsia="zh-CN" w:bidi="ar-SA"/>
                <w14:textFill>
                  <w14:solidFill>
                    <w14:schemeClr w14:val="tx1"/>
                  </w14:solidFill>
                </w14:textFill>
              </w:rPr>
              <w:t>4</w:t>
            </w: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ascii="Times New Roman" w:hAnsi="Times New Roman" w:eastAsia="宋体" w:cs="Times New Roman"/>
                <w:color w:val="000000" w:themeColor="text1"/>
                <w:sz w:val="24"/>
                <w:lang w:val="en-US" w:eastAsia="zh-CN"/>
                <w14:textFill>
                  <w14:solidFill>
                    <w14:schemeClr w14:val="tx1"/>
                  </w14:solidFill>
                </w14:textFill>
              </w:rPr>
              <w:t>供气</w:t>
            </w: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本</w:t>
            </w:r>
            <w:r>
              <w:rPr>
                <w:rFonts w:hint="eastAsia" w:ascii="Times New Roman" w:hAnsi="Times New Roman" w:eastAsia="宋体" w:cs="Times New Roman"/>
                <w:color w:val="000000" w:themeColor="text1"/>
                <w:sz w:val="24"/>
                <w:lang w:val="en-US" w:eastAsia="zh-CN"/>
                <w14:textFill>
                  <w14:solidFill>
                    <w14:schemeClr w14:val="tx1"/>
                  </w14:solidFill>
                </w14:textFill>
              </w:rPr>
              <w:t>项目</w:t>
            </w:r>
            <w:r>
              <w:rPr>
                <w:rFonts w:hint="eastAsia" w:cs="Times New Roman"/>
                <w:color w:val="000000" w:themeColor="text1"/>
                <w:sz w:val="24"/>
                <w:lang w:val="en-US" w:eastAsia="zh-CN"/>
                <w14:textFill>
                  <w14:solidFill>
                    <w14:schemeClr w14:val="tx1"/>
                  </w14:solidFill>
                </w14:textFill>
              </w:rPr>
              <w:t>供气由市政供气管网提供，年使用量为73.2万Nm</w:t>
            </w:r>
            <w:r>
              <w:rPr>
                <w:rFonts w:hint="eastAsia" w:cs="Times New Roman"/>
                <w:color w:val="000000" w:themeColor="text1"/>
                <w:sz w:val="24"/>
                <w:vertAlign w:val="superscript"/>
                <w:lang w:val="en-US" w:eastAsia="zh-CN"/>
                <w14:textFill>
                  <w14:solidFill>
                    <w14:schemeClr w14:val="tx1"/>
                  </w14:solidFill>
                </w14:textFill>
              </w:rPr>
              <w:t>3</w:t>
            </w:r>
            <w:r>
              <w:rPr>
                <w:rFonts w:hint="eastAsia" w:cs="Times New Roman"/>
                <w:color w:val="000000" w:themeColor="text1"/>
                <w:sz w:val="24"/>
                <w:lang w:val="en-US" w:eastAsia="zh-CN"/>
                <w14:textFill>
                  <w14:solidFill>
                    <w14:schemeClr w14:val="tx1"/>
                  </w14:solidFill>
                </w14:textFill>
              </w:rPr>
              <w:t>/a。</w:t>
            </w: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tc>
      </w:tr>
    </w:tbl>
    <w:p>
      <w:pPr>
        <w:pStyle w:val="32"/>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tbl>
      <w:tblPr>
        <w:tblStyle w:val="42"/>
        <w:tblW w:w="10035"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10"/>
        <w:gridCol w:w="952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510" w:type="dxa"/>
            <w:vAlign w:val="center"/>
          </w:tcPr>
          <w:p>
            <w:pPr>
              <w:pStyle w:val="32"/>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pPr>
            <w:r>
              <w:rPr>
                <w:rFonts w:ascii="Times New Roman" w:hAnsi="Times New Roman"/>
                <w:color w:val="000000" w:themeColor="text1"/>
                <w:szCs w:val="24"/>
                <w14:textFill>
                  <w14:solidFill>
                    <w14:schemeClr w14:val="tx1"/>
                  </w14:solidFill>
                </w14:textFill>
              </w:rPr>
              <w:t>工艺流程和产排污环节</w:t>
            </w:r>
          </w:p>
        </w:tc>
        <w:tc>
          <w:tcPr>
            <w:tcW w:w="9525" w:type="dxa"/>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1、拌合站生产线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b/>
                <w:bCs/>
                <w:color w:val="000000" w:themeColor="text1"/>
                <w:sz w:val="28"/>
                <w:szCs w:val="28"/>
                <w:shd w:val="clear" w:color="auto" w:fill="auto"/>
                <w:lang w:val="en-US" w:eastAsia="zh-CN"/>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drawing>
                <wp:inline distT="0" distB="0" distL="114300" distR="114300">
                  <wp:extent cx="5760085" cy="4934585"/>
                  <wp:effectExtent l="0" t="0" r="12065" b="18415"/>
                  <wp:docPr id="46" name="F360BE8B-6686-4F3D-AEAF-501FE73E4058-2" descr="C:/Users/ADMIN/AppData/Local/Temp/绘图1(6).png绘图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360BE8B-6686-4F3D-AEAF-501FE73E4058-2" descr="C:/Users/ADMIN/AppData/Local/Temp/绘图1(6).png绘图1(6)"/>
                          <pic:cNvPicPr>
                            <a:picLocks noChangeAspect="1"/>
                          </pic:cNvPicPr>
                        </pic:nvPicPr>
                        <pic:blipFill>
                          <a:blip r:embed="rId16"/>
                          <a:stretch>
                            <a:fillRect/>
                          </a:stretch>
                        </pic:blipFill>
                        <pic:spPr>
                          <a:xfrm>
                            <a:off x="0" y="0"/>
                            <a:ext cx="5760085" cy="493458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center"/>
              <w:textAlignment w:val="auto"/>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图</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2-2</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 xml:space="preserve">   </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拌合</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生产线工艺流程及产排污节点图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沥青混凝土由沥青、矿粉、石子、机制砂以及其他添加剂混合拌制而成。其一般流程可分为沥青预处理和骨料预处理，而后进入拌缸拌合后即成为成品。</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预处理：沥青由专用沥青运输车将沥青通过密闭沥青管道送至沥青储罐，使用导热油炉将沥青加热，使其保温至150℃-180℃生产时，沥青按一定比例由沥青泵通过管道输入搅拌楼拌合仓内与骨料混合并进行拌合。骨料预处理：为使沥青混凝土产品不至于因过快冷却而带来运输上的不便，骨料在上沥青前需要经过加热处理。</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工艺流程简述：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FF0000"/>
                <w:sz w:val="24"/>
                <w:szCs w:val="24"/>
                <w:highlight w:val="none"/>
                <w:shd w:val="clear" w:color="auto" w:fill="auto"/>
                <w:lang w:val="en-US" w:eastAsia="zh-CN"/>
              </w:rPr>
            </w:pPr>
            <w:r>
              <w:rPr>
                <w:rFonts w:hint="default" w:ascii="Times New Roman" w:hAnsi="Times New Roman" w:eastAsia="宋体" w:cs="Times New Roman"/>
                <w:b w:val="0"/>
                <w:bCs w:val="0"/>
                <w:color w:val="FF0000"/>
                <w:sz w:val="24"/>
                <w:szCs w:val="24"/>
                <w:highlight w:val="none"/>
                <w:shd w:val="clear" w:color="auto" w:fill="auto"/>
                <w:lang w:val="en-US" w:eastAsia="zh-CN"/>
              </w:rPr>
              <w:t>首先用铲车将石子、机制砂分别运到各自储料斗，料斗底部设有振动筛，骨料经筛分后落入出料口，由给料阀控制进料量，并通过料斗下面设置的计量斗进行称量；经密闭皮带输送至烘干滚筒内，</w:t>
            </w:r>
            <w:r>
              <w:rPr>
                <w:rFonts w:hint="eastAsia" w:cs="Times New Roman"/>
                <w:b w:val="0"/>
                <w:bCs w:val="0"/>
                <w:color w:val="FF0000"/>
                <w:sz w:val="24"/>
                <w:szCs w:val="24"/>
                <w:highlight w:val="none"/>
                <w:shd w:val="clear" w:color="auto" w:fill="auto"/>
                <w:lang w:val="en-US" w:eastAsia="zh-CN"/>
              </w:rPr>
              <w:t>筛上的</w:t>
            </w:r>
            <w:r>
              <w:rPr>
                <w:rFonts w:hint="default" w:ascii="Times New Roman" w:hAnsi="Times New Roman" w:eastAsia="宋体" w:cs="Times New Roman"/>
                <w:b w:val="0"/>
                <w:bCs w:val="0"/>
                <w:color w:val="FF0000"/>
                <w:sz w:val="24"/>
                <w:szCs w:val="24"/>
                <w:highlight w:val="none"/>
                <w:shd w:val="clear" w:color="auto" w:fill="auto"/>
                <w:lang w:val="en-US" w:eastAsia="zh-CN"/>
              </w:rPr>
              <w:t>不合规格的骨料被分离后经专门出口排出，</w:t>
            </w:r>
            <w:r>
              <w:rPr>
                <w:rFonts w:hint="eastAsia" w:cs="Times New Roman"/>
                <w:b w:val="0"/>
                <w:bCs w:val="0"/>
                <w:color w:val="FF0000"/>
                <w:sz w:val="24"/>
                <w:szCs w:val="24"/>
                <w:highlight w:val="none"/>
                <w:shd w:val="clear" w:color="auto" w:fill="auto"/>
                <w:lang w:val="en-US" w:eastAsia="zh-CN"/>
              </w:rPr>
              <w:t>收集后外售</w:t>
            </w:r>
            <w:r>
              <w:rPr>
                <w:rFonts w:hint="default" w:ascii="Times New Roman" w:hAnsi="Times New Roman" w:eastAsia="宋体" w:cs="Times New Roman"/>
                <w:b w:val="0"/>
                <w:bCs w:val="0"/>
                <w:color w:val="FF0000"/>
                <w:sz w:val="24"/>
                <w:szCs w:val="24"/>
                <w:highlight w:val="none"/>
                <w:shd w:val="clear" w:color="auto" w:fill="auto"/>
                <w:lang w:val="en-US" w:eastAsia="zh-CN"/>
              </w:rPr>
              <w:t>。随着烘干滚筒不停转动，通过燃烧机燃烧天然气产生的热量直接加热干燥滚筒内的骨料，同时采用电磁加热进行辅助加热，以减少废气污染物的产生和燃料的使用；加热后的骨料通过骨料提升机送入拌合缸；</w:t>
            </w:r>
            <w:r>
              <w:rPr>
                <w:rFonts w:hint="eastAsia" w:cs="Times New Roman"/>
                <w:b w:val="0"/>
                <w:bCs w:val="0"/>
                <w:color w:val="FF0000"/>
                <w:sz w:val="24"/>
                <w:szCs w:val="24"/>
                <w:highlight w:val="none"/>
                <w:shd w:val="clear" w:color="auto" w:fill="auto"/>
                <w:lang w:val="en-US" w:eastAsia="zh-CN"/>
              </w:rPr>
              <w:t>沥青储罐加热采用导热油炉进行加热，</w:t>
            </w:r>
            <w:r>
              <w:rPr>
                <w:rFonts w:ascii="宋体" w:hAnsi="宋体" w:eastAsia="宋体" w:cs="宋体"/>
                <w:color w:val="FF0000"/>
                <w:sz w:val="24"/>
                <w:szCs w:val="24"/>
              </w:rPr>
              <w:t>沥青加料</w:t>
            </w:r>
            <w:r>
              <w:rPr>
                <w:rFonts w:hint="eastAsia" w:ascii="宋体" w:hAnsi="宋体" w:eastAsia="宋体" w:cs="宋体"/>
                <w:color w:val="FF0000"/>
                <w:sz w:val="24"/>
                <w:szCs w:val="24"/>
                <w:lang w:val="en-US" w:eastAsia="zh-CN"/>
              </w:rPr>
              <w:t>设置DCS</w:t>
            </w:r>
            <w:r>
              <w:rPr>
                <w:rFonts w:ascii="宋体" w:hAnsi="宋体" w:eastAsia="宋体" w:cs="宋体"/>
                <w:color w:val="FF0000"/>
                <w:sz w:val="24"/>
                <w:szCs w:val="24"/>
              </w:rPr>
              <w:t>自动联锁系统</w:t>
            </w:r>
            <w:r>
              <w:rPr>
                <w:rFonts w:hint="eastAsia" w:ascii="宋体" w:hAnsi="宋体" w:eastAsia="宋体" w:cs="宋体"/>
                <w:color w:val="FF0000"/>
                <w:sz w:val="24"/>
                <w:szCs w:val="24"/>
                <w:lang w:eastAsia="zh-CN"/>
              </w:rPr>
              <w:t>，</w:t>
            </w:r>
            <w:r>
              <w:rPr>
                <w:rFonts w:hint="eastAsia" w:ascii="宋体" w:hAnsi="宋体" w:eastAsia="宋体" w:cs="宋体"/>
                <w:color w:val="FF0000"/>
                <w:sz w:val="24"/>
                <w:szCs w:val="24"/>
                <w:lang w:val="en-US" w:eastAsia="zh-CN"/>
              </w:rPr>
              <w:t>可自动控制加料</w:t>
            </w:r>
            <w:r>
              <w:rPr>
                <w:rFonts w:hint="eastAsia" w:cs="Times New Roman"/>
                <w:b w:val="0"/>
                <w:bCs w:val="0"/>
                <w:color w:val="FF0000"/>
                <w:sz w:val="24"/>
                <w:szCs w:val="24"/>
                <w:highlight w:val="none"/>
                <w:shd w:val="clear" w:color="auto" w:fill="auto"/>
                <w:lang w:val="en-US" w:eastAsia="zh-CN"/>
              </w:rPr>
              <w:t>。</w:t>
            </w:r>
            <w:r>
              <w:rPr>
                <w:rFonts w:hint="default" w:ascii="Times New Roman" w:hAnsi="Times New Roman" w:eastAsia="宋体" w:cs="Times New Roman"/>
                <w:b w:val="0"/>
                <w:bCs w:val="0"/>
                <w:color w:val="FF0000"/>
                <w:sz w:val="24"/>
                <w:szCs w:val="24"/>
                <w:highlight w:val="none"/>
                <w:shd w:val="clear" w:color="auto" w:fill="auto"/>
                <w:lang w:val="en-US" w:eastAsia="zh-CN"/>
              </w:rPr>
              <w:t>烘干滚筒</w:t>
            </w:r>
            <w:r>
              <w:rPr>
                <w:rFonts w:hint="eastAsia" w:cs="Times New Roman"/>
                <w:b w:val="0"/>
                <w:bCs w:val="0"/>
                <w:color w:val="FF0000"/>
                <w:sz w:val="24"/>
                <w:szCs w:val="24"/>
                <w:highlight w:val="none"/>
                <w:shd w:val="clear" w:color="auto" w:fill="auto"/>
                <w:lang w:val="en-US" w:eastAsia="zh-CN"/>
              </w:rPr>
              <w:t>、沥青储罐均</w:t>
            </w:r>
            <w:r>
              <w:rPr>
                <w:rFonts w:hint="default" w:ascii="Times New Roman" w:hAnsi="Times New Roman" w:eastAsia="宋体" w:cs="Times New Roman"/>
                <w:b w:val="0"/>
                <w:bCs w:val="0"/>
                <w:color w:val="FF0000"/>
                <w:sz w:val="24"/>
                <w:szCs w:val="24"/>
                <w:highlight w:val="none"/>
                <w:shd w:val="clear" w:color="auto" w:fill="auto"/>
                <w:lang w:val="en-US" w:eastAsia="zh-CN"/>
              </w:rPr>
              <w:t>密闭工作。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矿粉储罐底部设有出料口，由给料阀控制进料量，并通过储罐下面设置的计量斗进行称量，称量后送入拌合缸。</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进入拌缸的骨料、矿粉、添加剂等经与加热后的沥青搅拌一定时间成为成品，搅拌过程密闭。生产出料过程为间断式，搅拌均匀后打开搅拌缸门直接卸至运输车辆，直接运往施工现场，进行摊铺、辗压作业。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该生产线排污节点为原料暂存废气（G1）、上料废气（G2）、筛分废气（G3）、加热废气（G4）、搅拌废气（G5）、沥青储罐废气（G6）、燃烧机燃烧废气（G7）、矿粉仓废气（G8）、导热油炉废气（G9）；车辆清洗废水（W1）；各类生产设备及环保设施噪声；</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覆膜袋式除尘器</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除尘灰（S1）、废布袋（S9）、不合格骨料（S2）、废气治理设施产生的废活性炭（S3）、生产过程产生的废机油桶、废油泥、废机油、废导热油（S4-S7）、车辆清洗系统产生的废泥（S8）</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、废油（S10）</w:t>
            </w:r>
            <w:r>
              <w:rPr>
                <w:rFonts w:hint="eastAsia"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2、工程列车生产线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b/>
                <w:bCs/>
                <w:color w:val="000000" w:themeColor="text1"/>
                <w:sz w:val="28"/>
                <w:szCs w:val="28"/>
                <w:shd w:val="clear" w:color="auto" w:fill="auto"/>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1804670" cy="2879725"/>
                  <wp:effectExtent l="0" t="0" r="5080" b="15875"/>
                  <wp:docPr id="13" name="F360BE8B-6686-4F3D-AEAF-501FE73E4058-3" descr="C:/Users/ADMIN/AppData/Local/Temp/绘图1(2).png绘图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360BE8B-6686-4F3D-AEAF-501FE73E4058-3" descr="C:/Users/ADMIN/AppData/Local/Temp/绘图1(2).png绘图1(2)"/>
                          <pic:cNvPicPr>
                            <a:picLocks noChangeAspect="1"/>
                          </pic:cNvPicPr>
                        </pic:nvPicPr>
                        <pic:blipFill>
                          <a:blip r:embed="rId17"/>
                          <a:stretch>
                            <a:fillRect/>
                          </a:stretch>
                        </pic:blipFill>
                        <pic:spPr>
                          <a:xfrm>
                            <a:off x="0" y="0"/>
                            <a:ext cx="1804670" cy="28797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center"/>
              <w:textAlignment w:val="auto"/>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图</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2-3</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 xml:space="preserve">   </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工程列车</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生产线工艺流程及产排污节点图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工艺流程简述：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由研发中心根据需求对该类型的工程列车进行设计，设计完成后委托其他单位对各配件进行生产，生产过程不在本项目厂区进行，全部委外。生产完成后将配件运至厂区半成品库暂</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存，在装配车间进行组装，装配完成后外售</w:t>
            </w:r>
            <w:r>
              <w:rPr>
                <w:rFonts w:hint="eastAsia"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，售出后再进行下一辆工程列车的组装</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该</w:t>
            </w:r>
            <w:r>
              <w:rPr>
                <w:rFonts w:hint="eastAsia"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生产线仅在转运、组装等过程中设备运行产生噪声，无其他污染。</w:t>
            </w:r>
            <w:r>
              <w:commentReference w:id="5"/>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color w:val="000000" w:themeColor="text1"/>
                <w14:textFill>
                  <w14:solidFill>
                    <w14:schemeClr w14:val="tx1"/>
                  </w14:solidFill>
                </w14:textFill>
              </w:rPr>
            </w:pPr>
            <w:r>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本项目主要</w:t>
            </w:r>
            <w:r>
              <w:rPr>
                <w:rFonts w:hint="eastAsia"/>
                <w:color w:val="000000" w:themeColor="text1"/>
                <w:sz w:val="24"/>
                <w14:textFill>
                  <w14:solidFill>
                    <w14:schemeClr w14:val="tx1"/>
                  </w14:solidFill>
                </w14:textFill>
              </w:rPr>
              <w:t>排污节点及治理措施见</w:t>
            </w:r>
            <w:r>
              <w:rPr>
                <w:rFonts w:hint="eastAsia"/>
                <w:color w:val="000000" w:themeColor="text1"/>
                <w:sz w:val="24"/>
                <w:lang w:val="en-US" w:eastAsia="zh-CN"/>
                <w14:textFill>
                  <w14:solidFill>
                    <w14:schemeClr w14:val="tx1"/>
                  </w14:solidFill>
                </w14:textFill>
              </w:rPr>
              <w:t>下表</w:t>
            </w:r>
            <w:r>
              <w:rPr>
                <w:rFonts w:hint="eastAsia"/>
                <w:color w:val="000000" w:themeColor="text1"/>
                <w:sz w:val="24"/>
                <w14:textFill>
                  <w14:solidFill>
                    <w14:schemeClr w14:val="tx1"/>
                  </w14:solidFill>
                </w14:textFill>
              </w:rPr>
              <w:t>。</w:t>
            </w:r>
          </w:p>
          <w:p>
            <w:pPr>
              <w:pStyle w:val="91"/>
              <w:spacing w:line="240" w:lineRule="auto"/>
              <w:ind w:left="0" w:firstLine="0"/>
              <w:rPr>
                <w:rFonts w:hAnsi="Times New Roman"/>
                <w:b/>
                <w:color w:val="000000" w:themeColor="text1"/>
                <w:kern w:val="0"/>
                <w:highlight w:val="none"/>
                <w14:textFill>
                  <w14:solidFill>
                    <w14:schemeClr w14:val="tx1"/>
                  </w14:solidFill>
                </w14:textFill>
              </w:rPr>
            </w:pPr>
            <w:r>
              <w:rPr>
                <w:rFonts w:hint="eastAsia" w:hAnsi="Times New Roman"/>
                <w:b/>
                <w:color w:val="000000" w:themeColor="text1"/>
                <w:kern w:val="0"/>
                <w:highlight w:val="none"/>
                <w14:textFill>
                  <w14:solidFill>
                    <w14:schemeClr w14:val="tx1"/>
                  </w14:solidFill>
                </w14:textFill>
              </w:rPr>
              <w:t>主要</w:t>
            </w:r>
            <w:r>
              <w:rPr>
                <w:rFonts w:hint="eastAsia" w:hAnsi="Times New Roman"/>
                <w:b/>
                <w:color w:val="000000" w:themeColor="text1"/>
                <w:kern w:val="0"/>
                <w:highlight w:val="none"/>
                <w:lang w:val="en-US" w:eastAsia="zh-CN"/>
                <w14:textFill>
                  <w14:solidFill>
                    <w14:schemeClr w14:val="tx1"/>
                  </w14:solidFill>
                </w14:textFill>
              </w:rPr>
              <w:t>产排污节点</w:t>
            </w:r>
            <w:r>
              <w:rPr>
                <w:rFonts w:hint="eastAsia" w:hAnsi="Times New Roman"/>
                <w:b/>
                <w:color w:val="000000" w:themeColor="text1"/>
                <w:kern w:val="0"/>
                <w:highlight w:val="none"/>
                <w14:textFill>
                  <w14:solidFill>
                    <w14:schemeClr w14:val="tx1"/>
                  </w14:solidFill>
                </w14:textFill>
              </w:rPr>
              <w:t>一览表</w:t>
            </w:r>
          </w:p>
          <w:tbl>
            <w:tblPr>
              <w:tblStyle w:val="43"/>
              <w:tblW w:w="9309"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1"/>
              <w:gridCol w:w="796"/>
              <w:gridCol w:w="1599"/>
              <w:gridCol w:w="2439"/>
              <w:gridCol w:w="3408"/>
              <w:gridCol w:w="42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类别</w:t>
                  </w: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序号</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污染源名称</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主要污染物</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治理措施</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排放特征</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废气</w:t>
                  </w:r>
                </w:p>
              </w:tc>
              <w:tc>
                <w:tcPr>
                  <w:tcW w:w="79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G1</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石子、机制砂卸料</w:t>
                  </w:r>
                </w:p>
              </w:tc>
              <w:tc>
                <w:tcPr>
                  <w:tcW w:w="243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厂房密闭、</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喷淋抑尘</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等措施，无组织排放</w:t>
                  </w:r>
                </w:p>
              </w:tc>
              <w:tc>
                <w:tcPr>
                  <w:tcW w:w="42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石子、机制砂贮存车间</w:t>
                  </w:r>
                </w:p>
              </w:tc>
              <w:tc>
                <w:tcPr>
                  <w:tcW w:w="243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G2</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石子、机制砂上料</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+15m排气筒（DA001）</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G3</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石子、机制砂筛分</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G2/G3</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未收集废气无组织排放</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G4</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滚筒加热</w:t>
                  </w:r>
                </w:p>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（转动）</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G7</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燃烧机燃烧废气</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、NOx、烟气黑度</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G5</w:t>
                  </w:r>
                </w:p>
              </w:tc>
              <w:tc>
                <w:tcPr>
                  <w:tcW w:w="159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搅拌</w:t>
                  </w:r>
                </w:p>
              </w:tc>
              <w:tc>
                <w:tcPr>
                  <w:tcW w:w="243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颗粒物、沥青烟、苯并[a]芘、非甲烷总烃</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共用静电</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捕集</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+二级活性炭吸附+15m排气筒（DA003）</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未收集废气无组织排放</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G6</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沥青储罐</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沥青烟、苯并[a]芘、非甲烷总烃</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共用静电</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捕集</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+二级活性炭吸附+15m排气筒（DA003）</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G8</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矿粉仓</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+15m排气筒（DA002）</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G9</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导热油炉废气</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、NOx、烟气黑度</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产生的烟气经低氮燃烧器处理后经1根15m排气筒（DA004）</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废水</w:t>
                  </w: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W1</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车辆清洗装置废水</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default" w:ascii="Times New Roman" w:hAnsi="Times New Roman" w:eastAsia="宋体" w:cs="Times New Roman"/>
                      <w:color w:val="000000" w:themeColor="text1"/>
                      <w:lang w:eastAsia="zh-CN"/>
                      <w14:textFill>
                        <w14:solidFill>
                          <w14:schemeClr w14:val="tx1"/>
                        </w14:solidFill>
                      </w14:textFill>
                    </w:rPr>
                    <w:t>、</w:t>
                  </w:r>
                  <w:r>
                    <w:rPr>
                      <w:rFonts w:hint="default" w:ascii="Times New Roman" w:hAnsi="Times New Roman" w:eastAsia="宋体" w:cs="Times New Roman"/>
                      <w:color w:val="000000" w:themeColor="text1"/>
                      <w:lang w:val="en-US" w:eastAsia="zh-CN"/>
                      <w14:textFill>
                        <w14:solidFill>
                          <w14:schemeClr w14:val="tx1"/>
                        </w14:solidFill>
                      </w14:textFill>
                    </w:rPr>
                    <w:t>石油类</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经</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隔油器和</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沉淀池处理后，循环使用，不外排</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职工盥洗废水</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COD、氨氮、BOD</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、SS、TP</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厂区内化粪池处理后定期清理</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固废</w:t>
                  </w: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S9</w:t>
                  </w:r>
                </w:p>
              </w:tc>
              <w:tc>
                <w:tcPr>
                  <w:tcW w:w="159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除尘器</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废布袋</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厂家回收处理</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S1</w:t>
                  </w: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除尘灰</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作为原料回用于生产线中，不外排</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S2</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生产过程</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不合格骨料</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收集后外售</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S3</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废气处理</w:t>
                  </w:r>
                </w:p>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设施</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废活性炭</w:t>
                  </w:r>
                </w:p>
              </w:tc>
              <w:tc>
                <w:tcPr>
                  <w:tcW w:w="3408"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收集后暂存危废间，定期交由有资质的单位处置</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S4</w:t>
                  </w:r>
                </w:p>
              </w:tc>
              <w:tc>
                <w:tcPr>
                  <w:tcW w:w="159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生产过程</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废机油桶</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S5</w:t>
                  </w: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废油泥</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S6</w:t>
                  </w: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废机油</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S7</w:t>
                  </w: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废导热油</w:t>
                  </w:r>
                </w:p>
              </w:tc>
              <w:tc>
                <w:tcPr>
                  <w:tcW w:w="3408"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S8</w:t>
                  </w:r>
                </w:p>
              </w:tc>
              <w:tc>
                <w:tcPr>
                  <w:tcW w:w="1599"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车辆清洗系统</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沉淀池沉泥</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回用于生产线</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S10</w:t>
                  </w:r>
                </w:p>
              </w:tc>
              <w:tc>
                <w:tcPr>
                  <w:tcW w:w="1599"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隔油器废油</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收集后暂存危废间，定期交由有资质的单位处置</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职工办公</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生活垃圾</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环卫部门统一处理</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4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噪声</w:t>
                  </w:r>
                </w:p>
              </w:tc>
              <w:tc>
                <w:tcPr>
                  <w:tcW w:w="79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59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设备运行</w:t>
                  </w:r>
                </w:p>
              </w:tc>
              <w:tc>
                <w:tcPr>
                  <w:tcW w:w="2439"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Leq</w:t>
                  </w:r>
                </w:p>
              </w:tc>
              <w:tc>
                <w:tcPr>
                  <w:tcW w:w="3408"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基础减振、厂房隔音、距离衰减</w:t>
                  </w:r>
                </w:p>
              </w:tc>
              <w:tc>
                <w:tcPr>
                  <w:tcW w:w="42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bl>
          <w:p>
            <w:pPr>
              <w:autoSpaceDE w:val="0"/>
              <w:autoSpaceDN w:val="0"/>
              <w:adjustRightInd w:val="0"/>
              <w:snapToGrid w:val="0"/>
              <w:spacing w:line="360" w:lineRule="auto"/>
              <w:ind w:firstLine="420" w:firstLineChars="200"/>
              <w:rPr>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510" w:type="dxa"/>
            <w:vAlign w:val="center"/>
          </w:tcPr>
          <w:p>
            <w:pPr>
              <w:pStyle w:val="32"/>
              <w:adjustRightInd w:val="0"/>
              <w:snapToGrid w:val="0"/>
              <w:spacing w:before="0" w:beforeAutospacing="0" w:after="0" w:afterAutospacing="0" w:line="360" w:lineRule="auto"/>
              <w:jc w:val="center"/>
              <w:rPr>
                <w:rFonts w:ascii="Times New Roman" w:hAnsi="Times New Roman"/>
                <w:color w:val="000000" w:themeColor="text1"/>
                <w:szCs w:val="24"/>
                <w14:textFill>
                  <w14:solidFill>
                    <w14:schemeClr w14:val="tx1"/>
                  </w14:solidFill>
                </w14:textFill>
              </w:rPr>
            </w:pPr>
            <w:r>
              <w:rPr>
                <w:rFonts w:ascii="Times New Roman" w:hAnsi="Times New Roman"/>
                <w:bCs/>
                <w:color w:val="000000" w:themeColor="text1"/>
                <w:kern w:val="2"/>
                <w:szCs w:val="24"/>
                <w14:textFill>
                  <w14:solidFill>
                    <w14:schemeClr w14:val="tx1"/>
                  </w14:solidFill>
                </w14:textFill>
              </w:rPr>
              <w:t>与项目有关的原有环境污染问题</w:t>
            </w:r>
          </w:p>
        </w:tc>
        <w:tc>
          <w:tcPr>
            <w:tcW w:w="9525" w:type="dxa"/>
          </w:tcPr>
          <w:p>
            <w:pPr>
              <w:pStyle w:val="15"/>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本项目为新建项目，租赁河北储歌新能源科技有限公司位于河北省石家庄市高邑县107国道中韩段335公里处路东由西往东数第一、第二栋钢结构场地厂房，在现有厂房进行建设，不存在原有环境污染问题</w:t>
            </w:r>
            <w:r>
              <w:rPr>
                <w:rFonts w:hint="eastAsia"/>
                <w:color w:val="000000" w:themeColor="text1"/>
                <w14:textFill>
                  <w14:solidFill>
                    <w14:schemeClr w14:val="tx1"/>
                  </w14:solidFill>
                </w14:textFill>
              </w:rPr>
              <w:t>。</w:t>
            </w: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p>
            <w:pPr>
              <w:pStyle w:val="60"/>
              <w:ind w:left="0" w:leftChars="0" w:firstLine="0" w:firstLineChars="0"/>
              <w:rPr>
                <w:rFonts w:hint="default"/>
                <w:color w:val="000000" w:themeColor="text1"/>
                <w:lang w:val="en-US" w:eastAsia="zh-CN"/>
                <w14:textFill>
                  <w14:solidFill>
                    <w14:schemeClr w14:val="tx1"/>
                  </w14:solidFill>
                </w14:textFill>
              </w:rPr>
            </w:pPr>
          </w:p>
        </w:tc>
      </w:tr>
    </w:tbl>
    <w:p>
      <w:pPr>
        <w:pStyle w:val="32"/>
        <w:jc w:val="center"/>
        <w:rPr>
          <w:rFonts w:ascii="Times New Roman" w:hAnsi="Times New Roman"/>
          <w:snapToGrid w:val="0"/>
          <w:color w:val="000000" w:themeColor="text1"/>
          <w:sz w:val="36"/>
          <w:szCs w:val="36"/>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三、区域环境质量现状、环境保护目标及评价标准</w:t>
      </w:r>
    </w:p>
    <w:tbl>
      <w:tblPr>
        <w:tblStyle w:val="42"/>
        <w:tblW w:w="10042"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95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区域</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环境</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质量</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现状</w:t>
            </w:r>
          </w:p>
        </w:tc>
        <w:tc>
          <w:tcPr>
            <w:tcW w:w="9586" w:type="dxa"/>
            <w:vAlign w:val="center"/>
          </w:tcPr>
          <w:p>
            <w:pPr>
              <w:pStyle w:val="45"/>
              <w:numPr>
                <w:ilvl w:val="0"/>
                <w:numId w:val="0"/>
              </w:numPr>
              <w:autoSpaceDE w:val="0"/>
              <w:autoSpaceDN w:val="0"/>
              <w:adjustRightInd w:val="0"/>
              <w:snapToGrid w:val="0"/>
              <w:spacing w:line="480" w:lineRule="exact"/>
              <w:ind w:left="480" w:leftChars="0"/>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1、</w:t>
            </w:r>
            <w:r>
              <w:rPr>
                <w:color w:val="000000" w:themeColor="text1"/>
                <w:sz w:val="24"/>
                <w14:textFill>
                  <w14:solidFill>
                    <w14:schemeClr w14:val="tx1"/>
                  </w14:solidFill>
                </w14:textFill>
              </w:rPr>
              <w:t>大气环境</w:t>
            </w:r>
            <w:r>
              <w:rPr>
                <w:rFonts w:hint="eastAsia"/>
                <w:color w:val="000000" w:themeColor="text1"/>
                <w:sz w:val="24"/>
                <w14:textFill>
                  <w14:solidFill>
                    <w14:schemeClr w14:val="tx1"/>
                  </w14:solidFill>
                </w14:textFill>
              </w:rPr>
              <w:t>现状</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本项目所在区域环境空气功能区分类为二类区。区域环境空气</w:t>
            </w:r>
            <w:r>
              <w:rPr>
                <w:rFonts w:hint="eastAsia"/>
                <w:bCs/>
                <w:color w:val="000000" w:themeColor="text1"/>
                <w:sz w:val="24"/>
                <w14:textFill>
                  <w14:solidFill>
                    <w14:schemeClr w14:val="tx1"/>
                  </w14:solidFill>
                </w14:textFill>
              </w:rPr>
              <w:t>PM</w:t>
            </w:r>
            <w:r>
              <w:rPr>
                <w:rFonts w:hint="eastAsia"/>
                <w:bCs/>
                <w:color w:val="000000" w:themeColor="text1"/>
                <w:sz w:val="24"/>
                <w:vertAlign w:val="subscript"/>
                <w14:textFill>
                  <w14:solidFill>
                    <w14:schemeClr w14:val="tx1"/>
                  </w14:solidFill>
                </w14:textFill>
              </w:rPr>
              <w:t>10</w:t>
            </w:r>
            <w:r>
              <w:rPr>
                <w:rFonts w:hint="eastAsia"/>
                <w:bCs/>
                <w:color w:val="000000" w:themeColor="text1"/>
                <w:sz w:val="24"/>
                <w14:textFill>
                  <w14:solidFill>
                    <w14:schemeClr w14:val="tx1"/>
                  </w14:solidFill>
                </w14:textFill>
              </w:rPr>
              <w:t>、PM</w:t>
            </w:r>
            <w:r>
              <w:rPr>
                <w:rFonts w:hint="eastAsia"/>
                <w:bCs/>
                <w:color w:val="000000" w:themeColor="text1"/>
                <w:sz w:val="24"/>
                <w:vertAlign w:val="subscript"/>
                <w14:textFill>
                  <w14:solidFill>
                    <w14:schemeClr w14:val="tx1"/>
                  </w14:solidFill>
                </w14:textFill>
              </w:rPr>
              <w:t>2.5</w:t>
            </w:r>
            <w:r>
              <w:rPr>
                <w:rFonts w:hint="eastAsia"/>
                <w:bCs/>
                <w:color w:val="000000" w:themeColor="text1"/>
                <w:sz w:val="24"/>
                <w14:textFill>
                  <w14:solidFill>
                    <w14:schemeClr w14:val="tx1"/>
                  </w14:solidFill>
                </w14:textFill>
              </w:rPr>
              <w:t>、SO</w:t>
            </w:r>
            <w:r>
              <w:rPr>
                <w:rFonts w:hint="eastAsia"/>
                <w:bCs/>
                <w:color w:val="000000" w:themeColor="text1"/>
                <w:sz w:val="24"/>
                <w:vertAlign w:val="subscript"/>
                <w14:textFill>
                  <w14:solidFill>
                    <w14:schemeClr w14:val="tx1"/>
                  </w14:solidFill>
                </w14:textFill>
              </w:rPr>
              <w:t>2</w:t>
            </w:r>
            <w:r>
              <w:rPr>
                <w:rFonts w:hint="eastAsia"/>
                <w:bCs/>
                <w:color w:val="000000" w:themeColor="text1"/>
                <w:sz w:val="24"/>
                <w14:textFill>
                  <w14:solidFill>
                    <w14:schemeClr w14:val="tx1"/>
                  </w14:solidFill>
                </w14:textFill>
              </w:rPr>
              <w:t>、NO</w:t>
            </w:r>
            <w:r>
              <w:rPr>
                <w:rFonts w:hint="eastAsia"/>
                <w:bCs/>
                <w:color w:val="000000" w:themeColor="text1"/>
                <w:sz w:val="24"/>
                <w:vertAlign w:val="subscript"/>
                <w14:textFill>
                  <w14:solidFill>
                    <w14:schemeClr w14:val="tx1"/>
                  </w14:solidFill>
                </w14:textFill>
              </w:rPr>
              <w:t>2</w:t>
            </w:r>
            <w:r>
              <w:rPr>
                <w:rFonts w:hint="eastAsia"/>
                <w:bCs/>
                <w:color w:val="000000" w:themeColor="text1"/>
                <w:sz w:val="24"/>
                <w14:textFill>
                  <w14:solidFill>
                    <w14:schemeClr w14:val="tx1"/>
                  </w14:solidFill>
                </w14:textFill>
              </w:rPr>
              <w:t>、CO、O</w:t>
            </w:r>
            <w:r>
              <w:rPr>
                <w:rFonts w:hint="eastAsia"/>
                <w:bCs/>
                <w:color w:val="000000" w:themeColor="text1"/>
                <w:sz w:val="24"/>
                <w:vertAlign w:val="subscript"/>
                <w14:textFill>
                  <w14:solidFill>
                    <w14:schemeClr w14:val="tx1"/>
                  </w14:solidFill>
                </w14:textFill>
              </w:rPr>
              <w:t>3</w:t>
            </w:r>
            <w:r>
              <w:rPr>
                <w:rFonts w:hint="eastAsia"/>
                <w:color w:val="000000" w:themeColor="text1"/>
                <w:sz w:val="24"/>
                <w14:textFill>
                  <w14:solidFill>
                    <w14:schemeClr w14:val="tx1"/>
                  </w14:solidFill>
                </w14:textFill>
              </w:rPr>
              <w:t>执行《环境空气质量标准》(GB3095-2012)及修改单（生态环境</w:t>
            </w:r>
            <w:bookmarkStart w:id="16" w:name="_GoBack"/>
            <w:bookmarkEnd w:id="16"/>
            <w:r>
              <w:rPr>
                <w:rFonts w:hint="eastAsia"/>
                <w:color w:val="000000" w:themeColor="text1"/>
                <w:sz w:val="24"/>
                <w14:textFill>
                  <w14:solidFill>
                    <w14:schemeClr w14:val="tx1"/>
                  </w14:solidFill>
                </w14:textFill>
              </w:rPr>
              <w:t>部公告2018年第29号）中二级标准。</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（1）基本污染物环境空气质量现状监测与评价</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bCs/>
                <w:color w:val="000000" w:themeColor="text1"/>
                <w:sz w:val="24"/>
                <w:lang w:val="en-US"/>
                <w14:textFill>
                  <w14:solidFill>
                    <w14:schemeClr w14:val="tx1"/>
                  </w14:solidFill>
                </w14:textFill>
              </w:rPr>
              <w:t>根据</w:t>
            </w:r>
            <w:r>
              <w:rPr>
                <w:rFonts w:hint="eastAsia"/>
                <w:bCs/>
                <w:color w:val="000000" w:themeColor="text1"/>
                <w:sz w:val="24"/>
                <w:lang w:val="en-US" w:eastAsia="zh-CN"/>
                <w14:textFill>
                  <w14:solidFill>
                    <w14:schemeClr w14:val="tx1"/>
                  </w14:solidFill>
                </w14:textFill>
              </w:rPr>
              <w:t>2024年6月6日公布的</w:t>
            </w:r>
            <w:r>
              <w:rPr>
                <w:rFonts w:hint="eastAsia"/>
                <w:bCs/>
                <w:color w:val="000000" w:themeColor="text1"/>
                <w:sz w:val="24"/>
                <w:lang w:val="en-US"/>
                <w14:textFill>
                  <w14:solidFill>
                    <w14:schemeClr w14:val="tx1"/>
                  </w14:solidFill>
                </w14:textFill>
              </w:rPr>
              <w:t>《</w:t>
            </w:r>
            <w:r>
              <w:rPr>
                <w:rFonts w:hint="eastAsia"/>
                <w:bCs/>
                <w:color w:val="000000" w:themeColor="text1"/>
                <w:sz w:val="24"/>
                <w:lang w:val="en-US" w:eastAsia="zh-CN"/>
                <w14:textFill>
                  <w14:solidFill>
                    <w14:schemeClr w14:val="tx1"/>
                  </w14:solidFill>
                </w14:textFill>
              </w:rPr>
              <w:t>2023年石家庄市生态环境状况公报</w:t>
            </w:r>
            <w:r>
              <w:rPr>
                <w:rFonts w:hint="default"/>
                <w:bCs/>
                <w:color w:val="000000" w:themeColor="text1"/>
                <w:sz w:val="24"/>
                <w:lang w:val="en-US" w:eastAsia="zh-CN"/>
                <w14:textFill>
                  <w14:solidFill>
                    <w14:schemeClr w14:val="tx1"/>
                  </w14:solidFill>
                </w14:textFill>
              </w:rPr>
              <w:t>》</w:t>
            </w:r>
            <w:r>
              <w:rPr>
                <w:rFonts w:hint="eastAsia"/>
                <w:bCs/>
                <w:color w:val="000000" w:themeColor="text1"/>
                <w:sz w:val="24"/>
                <w:lang w:val="en-US" w:eastAsia="zh-CN"/>
                <w14:textFill>
                  <w14:solidFill>
                    <w14:schemeClr w14:val="tx1"/>
                  </w14:solidFill>
                </w14:textFill>
              </w:rPr>
              <w:t>中相</w:t>
            </w:r>
            <w:r>
              <w:rPr>
                <w:rFonts w:hint="eastAsia" w:cs="Times New Roman"/>
                <w:color w:val="000000" w:themeColor="text1"/>
                <w:kern w:val="2"/>
                <w:sz w:val="24"/>
                <w:szCs w:val="24"/>
                <w:lang w:val="en-US" w:eastAsia="zh-CN" w:bidi="ar-SA"/>
                <w14:textFill>
                  <w14:solidFill>
                    <w14:schemeClr w14:val="tx1"/>
                  </w14:solidFill>
                </w14:textFill>
              </w:rPr>
              <w:t>关</w:t>
            </w:r>
            <w:r>
              <w:rPr>
                <w:rFonts w:hint="eastAsia"/>
                <w:color w:val="000000" w:themeColor="text1"/>
                <w:sz w:val="24"/>
                <w14:textFill>
                  <w14:solidFill>
                    <w14:schemeClr w14:val="tx1"/>
                  </w14:solidFill>
                </w14:textFill>
              </w:rPr>
              <w:t>数据，PM</w:t>
            </w:r>
            <w:r>
              <w:rPr>
                <w:rFonts w:hint="eastAsia"/>
                <w:color w:val="000000" w:themeColor="text1"/>
                <w:sz w:val="24"/>
                <w:vertAlign w:val="subscript"/>
                <w14:textFill>
                  <w14:solidFill>
                    <w14:schemeClr w14:val="tx1"/>
                  </w14:solidFill>
                </w14:textFill>
              </w:rPr>
              <w:t>10</w:t>
            </w:r>
            <w:r>
              <w:rPr>
                <w:rFonts w:hint="eastAsia"/>
                <w:color w:val="000000" w:themeColor="text1"/>
                <w:sz w:val="24"/>
                <w14:textFill>
                  <w14:solidFill>
                    <w14:schemeClr w14:val="tx1"/>
                  </w14:solidFill>
                </w14:textFill>
              </w:rPr>
              <w:t>、PM</w:t>
            </w:r>
            <w:r>
              <w:rPr>
                <w:rFonts w:hint="eastAsia"/>
                <w:color w:val="000000" w:themeColor="text1"/>
                <w:sz w:val="24"/>
                <w:vertAlign w:val="subscript"/>
                <w14:textFill>
                  <w14:solidFill>
                    <w14:schemeClr w14:val="tx1"/>
                  </w14:solidFill>
                </w14:textFill>
              </w:rPr>
              <w:t>2.5</w:t>
            </w:r>
            <w:r>
              <w:rPr>
                <w:rFonts w:hint="eastAsia"/>
                <w:color w:val="000000" w:themeColor="text1"/>
                <w:sz w:val="24"/>
                <w14:textFill>
                  <w14:solidFill>
                    <w14:schemeClr w14:val="tx1"/>
                  </w14:solidFill>
                </w14:textFill>
              </w:rPr>
              <w:t>、SO</w:t>
            </w:r>
            <w:r>
              <w:rPr>
                <w:rFonts w:hint="eastAsia"/>
                <w:color w:val="000000" w:themeColor="text1"/>
                <w:sz w:val="24"/>
                <w:vertAlign w:val="subscript"/>
                <w14:textFill>
                  <w14:solidFill>
                    <w14:schemeClr w14:val="tx1"/>
                  </w14:solidFill>
                </w14:textFill>
              </w:rPr>
              <w:t>2</w:t>
            </w:r>
            <w:r>
              <w:rPr>
                <w:rFonts w:hint="eastAsia"/>
                <w:color w:val="000000" w:themeColor="text1"/>
                <w:sz w:val="24"/>
                <w14:textFill>
                  <w14:solidFill>
                    <w14:schemeClr w14:val="tx1"/>
                  </w14:solidFill>
                </w14:textFill>
              </w:rPr>
              <w:t>、NO</w:t>
            </w:r>
            <w:r>
              <w:rPr>
                <w:rFonts w:hint="eastAsia"/>
                <w:color w:val="000000" w:themeColor="text1"/>
                <w:sz w:val="24"/>
                <w:vertAlign w:val="subscript"/>
                <w14:textFill>
                  <w14:solidFill>
                    <w14:schemeClr w14:val="tx1"/>
                  </w14:solidFill>
                </w14:textFill>
              </w:rPr>
              <w:t>2</w:t>
            </w:r>
            <w:r>
              <w:rPr>
                <w:rFonts w:hint="eastAsia"/>
                <w:color w:val="000000" w:themeColor="text1"/>
                <w:sz w:val="24"/>
                <w14:textFill>
                  <w14:solidFill>
                    <w14:schemeClr w14:val="tx1"/>
                  </w14:solidFill>
                </w14:textFill>
              </w:rPr>
              <w:t>、CO、O</w:t>
            </w:r>
            <w:r>
              <w:rPr>
                <w:rFonts w:hint="eastAsia"/>
                <w:color w:val="000000" w:themeColor="text1"/>
                <w:sz w:val="24"/>
                <w:vertAlign w:val="subscript"/>
                <w14:textFill>
                  <w14:solidFill>
                    <w14:schemeClr w14:val="tx1"/>
                  </w14:solidFill>
                </w14:textFill>
              </w:rPr>
              <w:t>3</w:t>
            </w:r>
            <w:r>
              <w:rPr>
                <w:rFonts w:hint="eastAsia"/>
                <w:color w:val="000000" w:themeColor="text1"/>
                <w:sz w:val="24"/>
                <w14:textFill>
                  <w14:solidFill>
                    <w14:schemeClr w14:val="tx1"/>
                  </w14:solidFill>
                </w14:textFill>
              </w:rPr>
              <w:t>年评价指标及达标判定结果见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区域空气质量现状评价表</w:t>
            </w:r>
          </w:p>
          <w:tbl>
            <w:tblPr>
              <w:tblStyle w:val="42"/>
              <w:tblW w:w="9363"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1"/>
              <w:gridCol w:w="3405"/>
              <w:gridCol w:w="1611"/>
              <w:gridCol w:w="1344"/>
              <w:gridCol w:w="1173"/>
              <w:gridCol w:w="90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污染物</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年评价指标</w:t>
                  </w:r>
                </w:p>
              </w:tc>
              <w:tc>
                <w:tcPr>
                  <w:tcW w:w="161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现状浓度/（μg/m</w:t>
                  </w:r>
                  <w:r>
                    <w:rPr>
                      <w:color w:val="000000" w:themeColor="text1"/>
                      <w:szCs w:val="21"/>
                      <w:vertAlign w:val="superscript"/>
                      <w14:textFill>
                        <w14:solidFill>
                          <w14:schemeClr w14:val="tx1"/>
                        </w14:solidFill>
                      </w14:textFill>
                    </w:rPr>
                    <w:t>3</w:t>
                  </w:r>
                  <w:r>
                    <w:rPr>
                      <w:color w:val="000000" w:themeColor="text1"/>
                      <w:szCs w:val="21"/>
                      <w14:textFill>
                        <w14:solidFill>
                          <w14:schemeClr w14:val="tx1"/>
                        </w14:solidFill>
                      </w14:textFill>
                    </w:rPr>
                    <w:t>）</w:t>
                  </w:r>
                </w:p>
              </w:tc>
              <w:tc>
                <w:tcPr>
                  <w:tcW w:w="1344"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标准值/（μg/m</w:t>
                  </w:r>
                  <w:r>
                    <w:rPr>
                      <w:color w:val="000000" w:themeColor="text1"/>
                      <w:szCs w:val="21"/>
                      <w:vertAlign w:val="superscript"/>
                      <w14:textFill>
                        <w14:solidFill>
                          <w14:schemeClr w14:val="tx1"/>
                        </w14:solidFill>
                      </w14:textFill>
                    </w:rPr>
                    <w:t>3</w:t>
                  </w:r>
                  <w:r>
                    <w:rPr>
                      <w:color w:val="000000" w:themeColor="text1"/>
                      <w:szCs w:val="21"/>
                      <w14:textFill>
                        <w14:solidFill>
                          <w14:schemeClr w14:val="tx1"/>
                        </w14:solidFill>
                      </w14:textFill>
                    </w:rPr>
                    <w:t>）</w:t>
                  </w:r>
                </w:p>
              </w:tc>
              <w:tc>
                <w:tcPr>
                  <w:tcW w:w="1173" w:type="dxa"/>
                  <w:vAlign w:val="center"/>
                </w:tcPr>
                <w:p>
                  <w:pPr>
                    <w:pStyle w:val="81"/>
                    <w:rPr>
                      <w:color w:val="000000" w:themeColor="text1"/>
                      <w:szCs w:val="21"/>
                      <w14:textFill>
                        <w14:solidFill>
                          <w14:schemeClr w14:val="tx1"/>
                        </w14:solidFill>
                      </w14:textFill>
                    </w:rPr>
                  </w:pPr>
                  <w:r>
                    <w:rPr>
                      <w:color w:val="000000" w:themeColor="text1"/>
                      <w:szCs w:val="21"/>
                      <w:highlight w:val="none"/>
                      <w14:textFill>
                        <w14:solidFill>
                          <w14:schemeClr w14:val="tx1"/>
                        </w14:solidFill>
                      </w14:textFill>
                    </w:rPr>
                    <w:t>占标率/（%）</w:t>
                  </w:r>
                </w:p>
              </w:tc>
              <w:tc>
                <w:tcPr>
                  <w:tcW w:w="909"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达标</w:t>
                  </w:r>
                </w:p>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PM</w:t>
                  </w:r>
                  <w:r>
                    <w:rPr>
                      <w:color w:val="000000" w:themeColor="text1"/>
                      <w:szCs w:val="21"/>
                      <w:vertAlign w:val="subscript"/>
                      <w14:textFill>
                        <w14:solidFill>
                          <w14:schemeClr w14:val="tx1"/>
                        </w14:solidFill>
                      </w14:textFill>
                    </w:rPr>
                    <w:t>10</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78</w:t>
                  </w:r>
                </w:p>
              </w:tc>
              <w:tc>
                <w:tcPr>
                  <w:tcW w:w="1344"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70</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111.4</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PM</w:t>
                  </w:r>
                  <w:r>
                    <w:rPr>
                      <w:color w:val="000000" w:themeColor="text1"/>
                      <w:szCs w:val="21"/>
                      <w:vertAlign w:val="subscript"/>
                      <w14:textFill>
                        <w14:solidFill>
                          <w14:schemeClr w14:val="tx1"/>
                        </w14:solidFill>
                      </w14:textFill>
                    </w:rPr>
                    <w:t>2.5</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44</w:t>
                  </w:r>
                </w:p>
              </w:tc>
              <w:tc>
                <w:tcPr>
                  <w:tcW w:w="1344"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35</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125.7</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SO</w:t>
                  </w:r>
                  <w:r>
                    <w:rPr>
                      <w:color w:val="000000" w:themeColor="text1"/>
                      <w:szCs w:val="21"/>
                      <w:vertAlign w:val="subscript"/>
                      <w14:textFill>
                        <w14:solidFill>
                          <w14:schemeClr w14:val="tx1"/>
                        </w14:solidFill>
                      </w14:textFill>
                    </w:rPr>
                    <w:t>2</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7</w:t>
                  </w:r>
                </w:p>
              </w:tc>
              <w:tc>
                <w:tcPr>
                  <w:tcW w:w="1344"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60</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11.7</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NO</w:t>
                  </w:r>
                  <w:r>
                    <w:rPr>
                      <w:color w:val="000000" w:themeColor="text1"/>
                      <w:szCs w:val="21"/>
                      <w:vertAlign w:val="subscript"/>
                      <w14:textFill>
                        <w14:solidFill>
                          <w14:schemeClr w14:val="tx1"/>
                        </w14:solidFill>
                      </w14:textFill>
                    </w:rPr>
                    <w:t>2</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32</w:t>
                  </w:r>
                </w:p>
              </w:tc>
              <w:tc>
                <w:tcPr>
                  <w:tcW w:w="1344"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40</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80.0</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CO</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24小时平均第95百分位数</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1400</w:t>
                  </w:r>
                </w:p>
              </w:tc>
              <w:tc>
                <w:tcPr>
                  <w:tcW w:w="1344" w:type="dxa"/>
                  <w:vAlign w:val="center"/>
                </w:tcPr>
                <w:p>
                  <w:pPr>
                    <w:pStyle w:val="81"/>
                    <w:rPr>
                      <w:rFonts w:hint="default" w:eastAsia="宋体"/>
                      <w:color w:val="000000" w:themeColor="text1"/>
                      <w:szCs w:val="21"/>
                      <w:lang w:val="en-US" w:eastAsia="zh-CN"/>
                      <w14:textFill>
                        <w14:solidFill>
                          <w14:schemeClr w14:val="tx1"/>
                        </w14:solidFill>
                      </w14:textFill>
                    </w:rPr>
                  </w:pPr>
                  <w:r>
                    <w:rPr>
                      <w:color w:val="000000" w:themeColor="text1"/>
                      <w:spacing w:val="-10"/>
                      <w:szCs w:val="21"/>
                      <w14:textFill>
                        <w14:solidFill>
                          <w14:schemeClr w14:val="tx1"/>
                        </w14:solidFill>
                      </w14:textFill>
                    </w:rPr>
                    <w:t>4</w:t>
                  </w:r>
                  <w:r>
                    <w:rPr>
                      <w:rFonts w:hint="eastAsia"/>
                      <w:color w:val="000000" w:themeColor="text1"/>
                      <w:spacing w:val="-10"/>
                      <w:szCs w:val="21"/>
                      <w:lang w:val="en-US" w:eastAsia="zh-CN"/>
                      <w14:textFill>
                        <w14:solidFill>
                          <w14:schemeClr w14:val="tx1"/>
                        </w14:solidFill>
                      </w14:textFill>
                    </w:rPr>
                    <w:t>000</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35.0</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21"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O</w:t>
                  </w:r>
                  <w:r>
                    <w:rPr>
                      <w:color w:val="000000" w:themeColor="text1"/>
                      <w:szCs w:val="21"/>
                      <w:vertAlign w:val="subscript"/>
                      <w14:textFill>
                        <w14:solidFill>
                          <w14:schemeClr w14:val="tx1"/>
                        </w14:solidFill>
                      </w14:textFill>
                    </w:rPr>
                    <w:t>3</w:t>
                  </w:r>
                </w:p>
              </w:tc>
              <w:tc>
                <w:tcPr>
                  <w:tcW w:w="340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日最大8h平均第90百分位数</w:t>
                  </w:r>
                </w:p>
              </w:tc>
              <w:tc>
                <w:tcPr>
                  <w:tcW w:w="161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184</w:t>
                  </w:r>
                </w:p>
              </w:tc>
              <w:tc>
                <w:tcPr>
                  <w:tcW w:w="1344"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160</w:t>
                  </w:r>
                </w:p>
              </w:tc>
              <w:tc>
                <w:tcPr>
                  <w:tcW w:w="1173"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115.0</w:t>
                  </w:r>
                </w:p>
              </w:tc>
              <w:tc>
                <w:tcPr>
                  <w:tcW w:w="909" w:type="dxa"/>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bl>
          <w:p>
            <w:pPr>
              <w:pStyle w:val="83"/>
              <w:adjustRightInd w:val="0"/>
              <w:snapToGrid w:val="0"/>
              <w:spacing w:line="480" w:lineRule="exact"/>
              <w:rPr>
                <w:color w:val="000000" w:themeColor="text1"/>
                <w14:textFill>
                  <w14:solidFill>
                    <w14:schemeClr w14:val="tx1"/>
                  </w14:solidFill>
                </w14:textFill>
              </w:rPr>
            </w:pPr>
            <w:bookmarkStart w:id="9" w:name="_Hlk535003212"/>
            <w:r>
              <w:rPr>
                <w:color w:val="000000" w:themeColor="text1"/>
                <w14:textFill>
                  <w14:solidFill>
                    <w14:schemeClr w14:val="tx1"/>
                  </w14:solidFill>
                </w14:textFill>
              </w:rPr>
              <w:t>由上表可知，</w:t>
            </w:r>
            <w:bookmarkEnd w:id="9"/>
            <w:r>
              <w:rPr>
                <w:rFonts w:hint="eastAsia"/>
                <w:color w:val="000000" w:themeColor="text1"/>
                <w:lang w:val="en-US" w:eastAsia="zh-CN"/>
                <w14:textFill>
                  <w14:solidFill>
                    <w14:schemeClr w14:val="tx1"/>
                  </w14:solidFill>
                </w14:textFill>
              </w:rPr>
              <w:t>2023</w:t>
            </w:r>
            <w:r>
              <w:rPr>
                <w:color w:val="000000" w:themeColor="text1"/>
                <w14:textFill>
                  <w14:solidFill>
                    <w14:schemeClr w14:val="tx1"/>
                  </w14:solidFill>
                </w14:textFill>
              </w:rPr>
              <w:t>年</w:t>
            </w:r>
            <w:r>
              <w:rPr>
                <w:rFonts w:hint="eastAsia"/>
                <w:color w:val="000000" w:themeColor="text1"/>
                <w:lang w:val="en-US" w:eastAsia="zh-CN"/>
                <w14:textFill>
                  <w14:solidFill>
                    <w14:schemeClr w14:val="tx1"/>
                  </w14:solidFill>
                </w14:textFill>
              </w:rPr>
              <w:t>石家庄市</w:t>
            </w:r>
            <w:r>
              <w:rPr>
                <w:rFonts w:hint="eastAsia"/>
                <w:color w:val="000000" w:themeColor="text1"/>
                <w14:textFill>
                  <w14:solidFill>
                    <w14:schemeClr w14:val="tx1"/>
                  </w14:solidFill>
                </w14:textFill>
              </w:rPr>
              <w:t>PM</w:t>
            </w:r>
            <w:r>
              <w:rPr>
                <w:rFonts w:hint="eastAsia"/>
                <w:color w:val="000000" w:themeColor="text1"/>
                <w:vertAlign w:val="subscript"/>
                <w14:textFill>
                  <w14:solidFill>
                    <w14:schemeClr w14:val="tx1"/>
                  </w14:solidFill>
                </w14:textFill>
              </w:rPr>
              <w:t>10</w:t>
            </w:r>
            <w:r>
              <w:rPr>
                <w:rFonts w:hint="eastAsia"/>
                <w:color w:val="000000" w:themeColor="text1"/>
                <w14:textFill>
                  <w14:solidFill>
                    <w14:schemeClr w14:val="tx1"/>
                  </w14:solidFill>
                </w14:textFill>
              </w:rPr>
              <w:t>、PM</w:t>
            </w:r>
            <w:r>
              <w:rPr>
                <w:rFonts w:hint="eastAsia"/>
                <w:color w:val="000000" w:themeColor="text1"/>
                <w:vertAlign w:val="subscript"/>
                <w14:textFill>
                  <w14:solidFill>
                    <w14:schemeClr w14:val="tx1"/>
                  </w14:solidFill>
                </w14:textFill>
              </w:rPr>
              <w:t>2.5</w:t>
            </w:r>
            <w:r>
              <w:rPr>
                <w:rFonts w:hint="eastAsia"/>
                <w:color w:val="000000" w:themeColor="text1"/>
                <w:vertAlign w:val="baseline"/>
                <w:lang w:eastAsia="zh-CN"/>
                <w14:textFill>
                  <w14:solidFill>
                    <w14:schemeClr w14:val="tx1"/>
                  </w14:solidFill>
                </w14:textFill>
              </w:rPr>
              <w:t>、</w:t>
            </w:r>
            <w:r>
              <w:rPr>
                <w:rFonts w:hint="eastAsia"/>
                <w:color w:val="000000" w:themeColor="text1"/>
                <w14:textFill>
                  <w14:solidFill>
                    <w14:schemeClr w14:val="tx1"/>
                  </w14:solidFill>
                </w14:textFill>
              </w:rPr>
              <w:t>O</w:t>
            </w:r>
            <w:r>
              <w:rPr>
                <w:rFonts w:hint="eastAsia"/>
                <w:color w:val="000000" w:themeColor="text1"/>
                <w:vertAlign w:val="subscript"/>
                <w14:textFill>
                  <w14:solidFill>
                    <w14:schemeClr w14:val="tx1"/>
                  </w14:solidFill>
                </w14:textFill>
              </w:rPr>
              <w:t>3</w:t>
            </w:r>
            <w:r>
              <w:rPr>
                <w:rFonts w:hint="eastAsia"/>
                <w:color w:val="000000" w:themeColor="text1"/>
                <w14:textFill>
                  <w14:solidFill>
                    <w14:schemeClr w14:val="tx1"/>
                  </w14:solidFill>
                </w14:textFill>
              </w:rPr>
              <w:t>污染物年评价指标不满足标准要求，CO、SO</w:t>
            </w:r>
            <w:r>
              <w:rPr>
                <w:rFonts w:hint="eastAsia"/>
                <w:color w:val="000000" w:themeColor="text1"/>
                <w:vertAlign w:val="subscript"/>
                <w14:textFill>
                  <w14:solidFill>
                    <w14:schemeClr w14:val="tx1"/>
                  </w14:solidFill>
                </w14:textFill>
              </w:rPr>
              <w:t>2</w:t>
            </w:r>
            <w:r>
              <w:rPr>
                <w:rFonts w:hint="eastAsia"/>
                <w:color w:val="000000" w:themeColor="text1"/>
                <w14:textFill>
                  <w14:solidFill>
                    <w14:schemeClr w14:val="tx1"/>
                  </w14:solidFill>
                </w14:textFill>
              </w:rPr>
              <w:t>、NO</w:t>
            </w:r>
            <w:r>
              <w:rPr>
                <w:rFonts w:hint="eastAsia"/>
                <w:color w:val="000000" w:themeColor="text1"/>
                <w:vertAlign w:val="subscript"/>
                <w14:textFill>
                  <w14:solidFill>
                    <w14:schemeClr w14:val="tx1"/>
                  </w14:solidFill>
                </w14:textFill>
              </w:rPr>
              <w:t>2</w:t>
            </w:r>
            <w:r>
              <w:rPr>
                <w:rFonts w:hint="eastAsia"/>
                <w:color w:val="000000" w:themeColor="text1"/>
                <w14:textFill>
                  <w14:solidFill>
                    <w14:schemeClr w14:val="tx1"/>
                  </w14:solidFill>
                </w14:textFill>
              </w:rPr>
              <w:t>污染物年评价指标满足标准要求，综合判定项目所在区域为不达标区。</w:t>
            </w:r>
          </w:p>
          <w:p>
            <w:pPr>
              <w:pStyle w:val="83"/>
              <w:adjustRightInd w:val="0"/>
              <w:snapToGrid w:val="0"/>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（2）其他污染物环境空气质量现状监测与评价</w:t>
            </w:r>
          </w:p>
          <w:p>
            <w:pPr>
              <w:pStyle w:val="83"/>
              <w:adjustRightInd w:val="0"/>
              <w:snapToGrid w:val="0"/>
              <w:spacing w:line="480" w:lineRule="exact"/>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本项目运营过程产生的废气主要是</w:t>
            </w:r>
            <w:r>
              <w:rPr>
                <w:rFonts w:hint="eastAsia"/>
                <w:color w:val="000000" w:themeColor="text1"/>
                <w:lang w:val="en-US" w:eastAsia="zh-CN"/>
                <w14:textFill>
                  <w14:solidFill>
                    <w14:schemeClr w14:val="tx1"/>
                  </w14:solidFill>
                </w14:textFill>
              </w:rPr>
              <w:t>上料、筛分、搅拌过程和沥青储罐产生的TSP、苯并[a]芘、非甲烷总烃</w:t>
            </w:r>
            <w:r>
              <w:rPr>
                <w:rFonts w:hint="eastAsia"/>
                <w:color w:val="000000" w:themeColor="text1"/>
                <w14:textFill>
                  <w14:solidFill>
                    <w14:schemeClr w14:val="tx1"/>
                  </w14:solidFill>
                </w14:textFill>
              </w:rPr>
              <w:t>。</w:t>
            </w:r>
            <w:r>
              <w:rPr>
                <w:rFonts w:hint="eastAsia" w:cs="Times New Roman"/>
                <w:color w:val="FF0000"/>
                <w:highlight w:val="none"/>
                <w:lang w:val="en-US" w:eastAsia="zh-CN"/>
              </w:rPr>
              <w:t>根据收集的相关资料</w:t>
            </w:r>
            <w:r>
              <w:rPr>
                <w:rFonts w:hint="default" w:ascii="Times New Roman" w:hAnsi="Times New Roman" w:eastAsia="宋体" w:cs="Times New Roman"/>
                <w:color w:val="FF0000"/>
                <w:highlight w:val="none"/>
              </w:rPr>
              <w:t>，该地区近20年风频最大的方向为</w:t>
            </w:r>
            <w:r>
              <w:rPr>
                <w:rFonts w:hint="eastAsia" w:cs="Times New Roman"/>
                <w:color w:val="FF0000"/>
                <w:highlight w:val="none"/>
                <w:lang w:val="en-US" w:eastAsia="zh-CN"/>
              </w:rPr>
              <w:t>N</w:t>
            </w:r>
            <w:r>
              <w:rPr>
                <w:rFonts w:hint="default" w:ascii="Times New Roman" w:hAnsi="Times New Roman" w:eastAsia="宋体" w:cs="Times New Roman"/>
                <w:color w:val="FF0000"/>
                <w:highlight w:val="none"/>
              </w:rPr>
              <w:t>风向（风频</w:t>
            </w:r>
            <w:r>
              <w:rPr>
                <w:rFonts w:hint="default" w:ascii="Times New Roman" w:hAnsi="Times New Roman" w:eastAsia="宋体" w:cs="Times New Roman"/>
                <w:color w:val="FF0000"/>
                <w:highlight w:val="none"/>
                <w:lang w:val="en-US" w:eastAsia="zh-CN"/>
              </w:rPr>
              <w:t>1</w:t>
            </w:r>
            <w:r>
              <w:rPr>
                <w:rFonts w:hint="eastAsia" w:cs="Times New Roman"/>
                <w:color w:val="FF0000"/>
                <w:highlight w:val="none"/>
                <w:lang w:val="en-US" w:eastAsia="zh-CN"/>
              </w:rPr>
              <w:t xml:space="preserve">0.2 </w:t>
            </w:r>
            <w:r>
              <w:rPr>
                <w:rFonts w:hint="default" w:ascii="Times New Roman" w:hAnsi="Times New Roman" w:eastAsia="宋体" w:cs="Times New Roman"/>
                <w:color w:val="FF0000"/>
                <w:highlight w:val="none"/>
              </w:rPr>
              <w:t>%）</w:t>
            </w:r>
            <w:r>
              <w:rPr>
                <w:rFonts w:hint="eastAsia" w:cs="Times New Roman"/>
                <w:color w:val="FF0000"/>
                <w:highlight w:val="none"/>
                <w:lang w:val="en-US" w:eastAsia="zh-CN"/>
              </w:rPr>
              <w:t>,</w:t>
            </w:r>
            <w:r>
              <w:rPr>
                <w:rFonts w:hint="default" w:ascii="Times New Roman" w:hAnsi="Times New Roman" w:eastAsia="宋体" w:cs="Times New Roman"/>
                <w:color w:val="FF0000"/>
                <w:highlight w:val="none"/>
              </w:rPr>
              <w:t>第二大风频的方向为SE风向</w:t>
            </w:r>
            <w:r>
              <w:rPr>
                <w:rFonts w:hint="eastAsia" w:cs="Times New Roman"/>
                <w:color w:val="FF0000"/>
                <w:highlight w:val="none"/>
                <w:lang w:eastAsia="zh-CN"/>
              </w:rPr>
              <w:t>（</w:t>
            </w:r>
            <w:r>
              <w:rPr>
                <w:rFonts w:hint="default" w:ascii="Times New Roman" w:hAnsi="Times New Roman" w:eastAsia="宋体" w:cs="Times New Roman"/>
                <w:color w:val="FF0000"/>
                <w:highlight w:val="none"/>
              </w:rPr>
              <w:t>风频9.7%</w:t>
            </w:r>
            <w:r>
              <w:rPr>
                <w:rFonts w:hint="eastAsia" w:cs="Times New Roman"/>
                <w:color w:val="FF0000"/>
                <w:highlight w:val="none"/>
                <w:lang w:eastAsia="zh-CN"/>
              </w:rPr>
              <w:t>）</w:t>
            </w:r>
            <w:r>
              <w:rPr>
                <w:rFonts w:hint="default" w:ascii="Times New Roman" w:hAnsi="Times New Roman" w:eastAsia="宋体" w:cs="Times New Roman"/>
                <w:color w:val="FF0000"/>
                <w:highlight w:val="none"/>
              </w:rPr>
              <w:t>，第三大风频的方向为SSE风向</w:t>
            </w:r>
            <w:r>
              <w:rPr>
                <w:rFonts w:hint="eastAsia" w:cs="Times New Roman"/>
                <w:color w:val="FF0000"/>
                <w:highlight w:val="none"/>
                <w:lang w:eastAsia="zh-CN"/>
              </w:rPr>
              <w:t>（</w:t>
            </w:r>
            <w:r>
              <w:rPr>
                <w:rFonts w:hint="default" w:ascii="Times New Roman" w:hAnsi="Times New Roman" w:eastAsia="宋体" w:cs="Times New Roman"/>
                <w:color w:val="FF0000"/>
                <w:highlight w:val="none"/>
              </w:rPr>
              <w:t>风频 9.3%</w:t>
            </w:r>
            <w:r>
              <w:rPr>
                <w:rFonts w:hint="eastAsia" w:cs="Times New Roman"/>
                <w:color w:val="FF0000"/>
                <w:highlight w:val="none"/>
                <w:lang w:eastAsia="zh-CN"/>
              </w:rPr>
              <w:t>）</w:t>
            </w:r>
            <w:r>
              <w:rPr>
                <w:rFonts w:hint="default" w:ascii="Times New Roman" w:hAnsi="Times New Roman" w:eastAsia="宋体" w:cs="Times New Roman"/>
                <w:color w:val="FF0000"/>
                <w:highlight w:val="none"/>
              </w:rPr>
              <w:t>，最小风频的方向为WSW风向</w:t>
            </w:r>
            <w:r>
              <w:rPr>
                <w:rFonts w:hint="eastAsia" w:cs="Times New Roman"/>
                <w:color w:val="FF0000"/>
                <w:highlight w:val="none"/>
                <w:lang w:eastAsia="zh-CN"/>
              </w:rPr>
              <w:t>（</w:t>
            </w:r>
            <w:r>
              <w:rPr>
                <w:rFonts w:hint="default" w:ascii="Times New Roman" w:hAnsi="Times New Roman" w:eastAsia="宋体" w:cs="Times New Roman"/>
                <w:color w:val="FF0000"/>
                <w:highlight w:val="none"/>
              </w:rPr>
              <w:t>风频 2.3%</w:t>
            </w:r>
            <w:r>
              <w:rPr>
                <w:rFonts w:hint="eastAsia" w:cs="Times New Roman"/>
                <w:color w:val="FF0000"/>
                <w:highlight w:val="none"/>
                <w:lang w:eastAsia="zh-CN"/>
              </w:rPr>
              <w:t>）。</w:t>
            </w:r>
            <w:r>
              <w:rPr>
                <w:rFonts w:hint="eastAsia"/>
                <w:color w:val="FF0000"/>
              </w:rPr>
              <w:t>为进一步了解项目区域的现状情况，本</w:t>
            </w:r>
            <w:r>
              <w:rPr>
                <w:rFonts w:hint="eastAsia"/>
                <w:color w:val="FF0000"/>
                <w:lang w:val="en-US" w:eastAsia="zh-CN"/>
              </w:rPr>
              <w:t>次对环境空气质量进行了监测，</w:t>
            </w:r>
            <w:r>
              <w:rPr>
                <w:rFonts w:hint="eastAsia"/>
                <w:color w:val="FF0000"/>
                <w:highlight w:val="none"/>
              </w:rPr>
              <w:t>监测点位为</w:t>
            </w:r>
            <w:r>
              <w:rPr>
                <w:rFonts w:hint="eastAsia"/>
                <w:color w:val="FF0000"/>
                <w:highlight w:val="none"/>
                <w:lang w:val="en-US" w:eastAsia="zh-CN"/>
              </w:rPr>
              <w:t>中韩镇</w:t>
            </w:r>
            <w:r>
              <w:rPr>
                <w:rFonts w:hint="eastAsia"/>
                <w:color w:val="FF0000"/>
                <w:highlight w:val="none"/>
              </w:rPr>
              <w:t>（</w:t>
            </w:r>
            <w:r>
              <w:rPr>
                <w:rFonts w:hint="eastAsia"/>
                <w:color w:val="FF0000"/>
                <w:highlight w:val="none"/>
                <w:lang w:val="en-US" w:eastAsia="zh-CN"/>
              </w:rPr>
              <w:t>为最近的敏感点，</w:t>
            </w:r>
            <w:r>
              <w:rPr>
                <w:rFonts w:hint="default" w:ascii="Times New Roman" w:hAnsi="Times New Roman" w:eastAsia="宋体" w:cs="Times New Roman"/>
                <w:color w:val="FF0000"/>
                <w:lang w:val="en-US" w:eastAsia="zh-CN"/>
              </w:rPr>
              <w:t>位于本项目厂区下风向，</w:t>
            </w:r>
            <w:r>
              <w:rPr>
                <w:rFonts w:hint="default" w:ascii="Times New Roman" w:hAnsi="Times New Roman" w:eastAsia="宋体" w:cs="Times New Roman"/>
                <w:color w:val="FF0000"/>
              </w:rPr>
              <w:t>距离本项目</w:t>
            </w:r>
            <w:r>
              <w:rPr>
                <w:rFonts w:hint="default" w:ascii="Times New Roman" w:hAnsi="Times New Roman" w:eastAsia="宋体" w:cs="Times New Roman"/>
                <w:color w:val="FF0000"/>
                <w:lang w:val="en-US" w:eastAsia="zh-CN"/>
              </w:rPr>
              <w:t>4</w:t>
            </w:r>
            <w:r>
              <w:rPr>
                <w:rFonts w:hint="default" w:ascii="Times New Roman" w:hAnsi="Times New Roman" w:eastAsia="宋体" w:cs="Times New Roman"/>
                <w:color w:val="FF0000"/>
              </w:rPr>
              <w:t>0</w:t>
            </w:r>
            <w:r>
              <w:rPr>
                <w:rFonts w:hint="default" w:ascii="Times New Roman" w:hAnsi="Times New Roman" w:eastAsia="宋体" w:cs="Times New Roman"/>
                <w:color w:val="FF0000"/>
                <w:lang w:val="en-US" w:eastAsia="zh-CN"/>
              </w:rPr>
              <w:t>0</w:t>
            </w:r>
            <w:r>
              <w:rPr>
                <w:rFonts w:hint="default" w:ascii="Times New Roman" w:hAnsi="Times New Roman" w:eastAsia="宋体" w:cs="Times New Roman"/>
                <w:color w:val="FF0000"/>
              </w:rPr>
              <w:t>m</w:t>
            </w:r>
            <w:r>
              <w:rPr>
                <w:rFonts w:hint="eastAsia"/>
                <w:color w:val="FF0000"/>
                <w:highlight w:val="none"/>
              </w:rPr>
              <w:t>）</w:t>
            </w:r>
            <w:r>
              <w:rPr>
                <w:rFonts w:hint="eastAsia"/>
                <w:color w:val="000000" w:themeColor="text1"/>
                <w:highlight w:val="none"/>
                <w14:textFill>
                  <w14:solidFill>
                    <w14:schemeClr w14:val="tx1"/>
                  </w14:solidFill>
                </w14:textFill>
              </w:rPr>
              <w:t>，监测时间为202</w:t>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14:textFill>
                  <w14:solidFill>
                    <w14:schemeClr w14:val="tx1"/>
                  </w14:solidFill>
                </w14:textFill>
              </w:rPr>
              <w:t>日至202</w:t>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14:textFill>
                  <w14:solidFill>
                    <w14:schemeClr w14:val="tx1"/>
                  </w14:solidFill>
                </w14:textFill>
              </w:rPr>
              <w:t>日</w:t>
            </w:r>
            <w:r>
              <w:rPr>
                <w:rFonts w:hint="eastAsia"/>
                <w:color w:val="000000" w:themeColor="text1"/>
                <w:kern w:val="24"/>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以上</w:t>
            </w:r>
            <w:r>
              <w:rPr>
                <w:rFonts w:hint="eastAsia"/>
                <w:color w:val="000000" w:themeColor="text1"/>
                <w:kern w:val="24"/>
                <w14:textFill>
                  <w14:solidFill>
                    <w14:schemeClr w14:val="tx1"/>
                  </w14:solidFill>
                </w14:textFill>
              </w:rPr>
              <w:t>监测点位符合本项目要求</w:t>
            </w:r>
            <w:r>
              <w:rPr>
                <w:rFonts w:hint="eastAsia"/>
                <w:color w:val="000000" w:themeColor="text1"/>
                <w14:textFill>
                  <w14:solidFill>
                    <w14:schemeClr w14:val="tx1"/>
                  </w14:solidFill>
                </w14:textFill>
              </w:rPr>
              <w:t>。环境质量现状评价结果见下表：</w:t>
            </w:r>
          </w:p>
          <w:p>
            <w:pPr>
              <w:pStyle w:val="120"/>
              <w:numPr>
                <w:ilvl w:val="0"/>
                <w:numId w:val="14"/>
              </w:numPr>
              <w:spacing w:line="240" w:lineRule="auto"/>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环境质量现状评价一览表</w:t>
            </w:r>
          </w:p>
          <w:tbl>
            <w:tblPr>
              <w:tblStyle w:val="42"/>
              <w:tblW w:w="9363"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3"/>
              <w:gridCol w:w="1308"/>
              <w:gridCol w:w="1370"/>
              <w:gridCol w:w="1814"/>
              <w:gridCol w:w="1555"/>
              <w:gridCol w:w="1091"/>
              <w:gridCol w:w="845"/>
              <w:gridCol w:w="56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813"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监测</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点位</w:t>
                  </w:r>
                </w:p>
              </w:tc>
              <w:tc>
                <w:tcPr>
                  <w:tcW w:w="1308" w:type="dxa"/>
                  <w:vAlign w:val="center"/>
                </w:tcPr>
                <w:p>
                  <w:pPr>
                    <w:topLinePunct/>
                    <w:jc w:val="center"/>
                    <w:rPr>
                      <w:snapToGrid w:val="0"/>
                      <w:color w:val="000000" w:themeColor="text1"/>
                      <w:spacing w:val="-10"/>
                      <w:kern w:val="0"/>
                      <w:szCs w:val="21"/>
                      <w14:textFill>
                        <w14:solidFill>
                          <w14:schemeClr w14:val="tx1"/>
                        </w14:solidFill>
                      </w14:textFill>
                    </w:rPr>
                  </w:pPr>
                  <w:r>
                    <w:rPr>
                      <w:snapToGrid w:val="0"/>
                      <w:color w:val="000000" w:themeColor="text1"/>
                      <w:spacing w:val="-10"/>
                      <w:kern w:val="0"/>
                      <w:szCs w:val="21"/>
                      <w14:textFill>
                        <w14:solidFill>
                          <w14:schemeClr w14:val="tx1"/>
                        </w14:solidFill>
                      </w14:textFill>
                    </w:rPr>
                    <w:t>污染物</w:t>
                  </w:r>
                </w:p>
              </w:tc>
              <w:tc>
                <w:tcPr>
                  <w:tcW w:w="1370"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平均时间</w:t>
                  </w:r>
                </w:p>
              </w:tc>
              <w:tc>
                <w:tcPr>
                  <w:tcW w:w="1814"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评价标准(μg/m</w:t>
                  </w:r>
                  <w:r>
                    <w:rPr>
                      <w:color w:val="000000" w:themeColor="text1"/>
                      <w:spacing w:val="-10"/>
                      <w:szCs w:val="21"/>
                      <w:vertAlign w:val="superscript"/>
                      <w14:textFill>
                        <w14:solidFill>
                          <w14:schemeClr w14:val="tx1"/>
                        </w14:solidFill>
                      </w14:textFill>
                    </w:rPr>
                    <w:t>3</w:t>
                  </w:r>
                  <w:r>
                    <w:rPr>
                      <w:color w:val="000000" w:themeColor="text1"/>
                      <w:spacing w:val="-10"/>
                      <w:szCs w:val="21"/>
                      <w14:textFill>
                        <w14:solidFill>
                          <w14:schemeClr w14:val="tx1"/>
                        </w14:solidFill>
                      </w14:textFill>
                    </w:rPr>
                    <w:t>)</w:t>
                  </w:r>
                </w:p>
              </w:tc>
              <w:tc>
                <w:tcPr>
                  <w:tcW w:w="1555"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监测浓度范围</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(μg/m</w:t>
                  </w:r>
                  <w:r>
                    <w:rPr>
                      <w:color w:val="000000" w:themeColor="text1"/>
                      <w:spacing w:val="-10"/>
                      <w:szCs w:val="21"/>
                      <w:vertAlign w:val="superscript"/>
                      <w14:textFill>
                        <w14:solidFill>
                          <w14:schemeClr w14:val="tx1"/>
                        </w14:solidFill>
                      </w14:textFill>
                    </w:rPr>
                    <w:t>3</w:t>
                  </w:r>
                  <w:r>
                    <w:rPr>
                      <w:color w:val="000000" w:themeColor="text1"/>
                      <w:spacing w:val="-10"/>
                      <w:szCs w:val="21"/>
                      <w14:textFill>
                        <w14:solidFill>
                          <w14:schemeClr w14:val="tx1"/>
                        </w14:solidFill>
                      </w14:textFill>
                    </w:rPr>
                    <w:t>)</w:t>
                  </w:r>
                </w:p>
              </w:tc>
              <w:tc>
                <w:tcPr>
                  <w:tcW w:w="1091"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最大浓度</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占标率/%</w:t>
                  </w:r>
                </w:p>
              </w:tc>
              <w:tc>
                <w:tcPr>
                  <w:tcW w:w="845"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超标</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频率/%</w:t>
                  </w:r>
                </w:p>
              </w:tc>
              <w:tc>
                <w:tcPr>
                  <w:tcW w:w="567" w:type="dxa"/>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达标</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813" w:type="dxa"/>
                  <w:vMerge w:val="restart"/>
                  <w:vAlign w:val="center"/>
                </w:tcPr>
                <w:p>
                  <w:pPr>
                    <w:topLinePunct/>
                    <w:jc w:val="center"/>
                    <w:rPr>
                      <w:rFonts w:hint="eastAsia" w:eastAsia="宋体"/>
                      <w:color w:val="000000" w:themeColor="text1"/>
                      <w:spacing w:val="-10"/>
                      <w:szCs w:val="21"/>
                      <w:lang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中韩镇</w:t>
                  </w:r>
                </w:p>
              </w:tc>
              <w:tc>
                <w:tcPr>
                  <w:tcW w:w="1308" w:type="dxa"/>
                  <w:vAlign w:val="center"/>
                </w:tcPr>
                <w:p>
                  <w:pPr>
                    <w:topLinePunct/>
                    <w:jc w:val="center"/>
                    <w:rPr>
                      <w:rFonts w:hint="default" w:eastAsia="宋体"/>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苯并[a]芘</w:t>
                  </w:r>
                </w:p>
              </w:tc>
              <w:tc>
                <w:tcPr>
                  <w:tcW w:w="1370" w:type="dxa"/>
                  <w:vAlign w:val="center"/>
                </w:tcPr>
                <w:p>
                  <w:pPr>
                    <w:widowControl/>
                    <w:jc w:val="center"/>
                    <w:rPr>
                      <w:color w:val="000000" w:themeColor="text1"/>
                      <w:spacing w:val="-10"/>
                      <w:szCs w:val="21"/>
                      <w14:textFill>
                        <w14:solidFill>
                          <w14:schemeClr w14:val="tx1"/>
                        </w14:solidFill>
                      </w14:textFill>
                    </w:rPr>
                  </w:pPr>
                  <w:r>
                    <w:rPr>
                      <w:snapToGrid w:val="0"/>
                      <w:color w:val="000000" w:themeColor="text1"/>
                      <w:spacing w:val="-10"/>
                      <w:kern w:val="0"/>
                      <w:szCs w:val="21"/>
                      <w14:textFill>
                        <w14:solidFill>
                          <w14:schemeClr w14:val="tx1"/>
                        </w14:solidFill>
                      </w14:textFill>
                    </w:rPr>
                    <w:t>24小时平均</w:t>
                  </w:r>
                </w:p>
              </w:tc>
              <w:tc>
                <w:tcPr>
                  <w:tcW w:w="1814" w:type="dxa"/>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0.0025</w:t>
                  </w:r>
                </w:p>
              </w:tc>
              <w:tc>
                <w:tcPr>
                  <w:tcW w:w="1555" w:type="dxa"/>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ND</w:t>
                  </w:r>
                </w:p>
              </w:tc>
              <w:tc>
                <w:tcPr>
                  <w:tcW w:w="1091" w:type="dxa"/>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w:t>
                  </w:r>
                </w:p>
              </w:tc>
              <w:tc>
                <w:tcPr>
                  <w:tcW w:w="845" w:type="dxa"/>
                  <w:vAlign w:val="center"/>
                </w:tcPr>
                <w:p>
                  <w:pPr>
                    <w:widowControl/>
                    <w:jc w:val="center"/>
                    <w:rPr>
                      <w:rFonts w:hint="eastAsia"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567" w:type="dxa"/>
                  <w:vMerge w:val="restar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813" w:type="dxa"/>
                  <w:vMerge w:val="continue"/>
                  <w:vAlign w:val="center"/>
                </w:tcPr>
                <w:p>
                  <w:pPr>
                    <w:topLinePunct/>
                    <w:jc w:val="center"/>
                    <w:rPr>
                      <w:snapToGrid w:val="0"/>
                      <w:color w:val="000000" w:themeColor="text1"/>
                      <w:spacing w:val="-10"/>
                      <w:kern w:val="0"/>
                      <w:szCs w:val="21"/>
                      <w14:textFill>
                        <w14:solidFill>
                          <w14:schemeClr w14:val="tx1"/>
                        </w14:solidFill>
                      </w14:textFill>
                    </w:rPr>
                  </w:pPr>
                </w:p>
              </w:tc>
              <w:tc>
                <w:tcPr>
                  <w:tcW w:w="1308" w:type="dxa"/>
                  <w:vAlign w:val="center"/>
                </w:tcPr>
                <w:p>
                  <w:pPr>
                    <w:topLinePunct/>
                    <w:jc w:val="center"/>
                    <w:rPr>
                      <w:rFonts w:hint="default"/>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TSP</w:t>
                  </w:r>
                </w:p>
              </w:tc>
              <w:tc>
                <w:tcPr>
                  <w:tcW w:w="1370" w:type="dxa"/>
                  <w:vAlign w:val="center"/>
                </w:tcPr>
                <w:p>
                  <w:pPr>
                    <w:widowControl/>
                    <w:jc w:val="center"/>
                    <w:rPr>
                      <w:rFonts w:hint="eastAsia"/>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24小时平均</w:t>
                  </w:r>
                </w:p>
              </w:tc>
              <w:tc>
                <w:tcPr>
                  <w:tcW w:w="1814"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300</w:t>
                  </w:r>
                </w:p>
              </w:tc>
              <w:tc>
                <w:tcPr>
                  <w:tcW w:w="1555"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89-136</w:t>
                  </w:r>
                </w:p>
              </w:tc>
              <w:tc>
                <w:tcPr>
                  <w:tcW w:w="1091"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45.3</w:t>
                  </w:r>
                </w:p>
              </w:tc>
              <w:tc>
                <w:tcPr>
                  <w:tcW w:w="845"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567" w:type="dxa"/>
                  <w:vMerge w:val="continue"/>
                  <w:vAlign w:val="center"/>
                </w:tcPr>
                <w:p>
                  <w:pPr>
                    <w:widowControl/>
                    <w:jc w:val="center"/>
                    <w:rPr>
                      <w:color w:val="000000" w:themeColor="text1"/>
                      <w:spacing w:val="-1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813" w:type="dxa"/>
                  <w:vMerge w:val="continue"/>
                  <w:vAlign w:val="center"/>
                </w:tcPr>
                <w:p>
                  <w:pPr>
                    <w:topLinePunct/>
                    <w:jc w:val="center"/>
                    <w:rPr>
                      <w:snapToGrid w:val="0"/>
                      <w:color w:val="000000" w:themeColor="text1"/>
                      <w:spacing w:val="-10"/>
                      <w:kern w:val="0"/>
                      <w:szCs w:val="21"/>
                      <w14:textFill>
                        <w14:solidFill>
                          <w14:schemeClr w14:val="tx1"/>
                        </w14:solidFill>
                      </w14:textFill>
                    </w:rPr>
                  </w:pPr>
                </w:p>
              </w:tc>
              <w:tc>
                <w:tcPr>
                  <w:tcW w:w="1308" w:type="dxa"/>
                  <w:vAlign w:val="center"/>
                </w:tcPr>
                <w:p>
                  <w:pPr>
                    <w:topLinePunct/>
                    <w:jc w:val="center"/>
                    <w:rPr>
                      <w:rFonts w:hint="default"/>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非甲烷总烃</w:t>
                  </w:r>
                </w:p>
              </w:tc>
              <w:tc>
                <w:tcPr>
                  <w:tcW w:w="1370" w:type="dxa"/>
                  <w:vAlign w:val="center"/>
                </w:tcPr>
                <w:p>
                  <w:pPr>
                    <w:widowControl/>
                    <w:jc w:val="center"/>
                    <w:rPr>
                      <w:rFonts w:hint="eastAsia"/>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1小时平均</w:t>
                  </w:r>
                </w:p>
              </w:tc>
              <w:tc>
                <w:tcPr>
                  <w:tcW w:w="1814"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2000</w:t>
                  </w:r>
                </w:p>
              </w:tc>
              <w:tc>
                <w:tcPr>
                  <w:tcW w:w="1555"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310-540</w:t>
                  </w:r>
                </w:p>
              </w:tc>
              <w:tc>
                <w:tcPr>
                  <w:tcW w:w="1091"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27.0</w:t>
                  </w:r>
                </w:p>
              </w:tc>
              <w:tc>
                <w:tcPr>
                  <w:tcW w:w="845" w:type="dxa"/>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567" w:type="dxa"/>
                  <w:vMerge w:val="continue"/>
                  <w:vAlign w:val="center"/>
                </w:tcPr>
                <w:p>
                  <w:pPr>
                    <w:widowControl/>
                    <w:jc w:val="center"/>
                    <w:rPr>
                      <w:color w:val="000000" w:themeColor="text1"/>
                      <w:spacing w:val="-10"/>
                      <w:szCs w:val="21"/>
                      <w14:textFill>
                        <w14:solidFill>
                          <w14:schemeClr w14:val="tx1"/>
                        </w14:solidFill>
                      </w14:textFill>
                    </w:rPr>
                  </w:pPr>
                </w:p>
              </w:tc>
            </w:tr>
          </w:tbl>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由上可知，区域</w:t>
            </w:r>
            <w:r>
              <w:rPr>
                <w:rFonts w:hint="eastAsia"/>
                <w:color w:val="000000" w:themeColor="text1"/>
                <w:sz w:val="24"/>
                <w:lang w:val="en-US" w:eastAsia="zh-CN"/>
                <w14:textFill>
                  <w14:solidFill>
                    <w14:schemeClr w14:val="tx1"/>
                  </w14:solidFill>
                </w14:textFill>
              </w:rPr>
              <w:t>TSP、苯并[a]芘24小时平均浓度监测值满足《环境空气质量标准》（GB3095-2012）中二级标准；非甲烷总烃1小时平均浓度监测值满足《环境空气质量 非甲烷总烃限值》（DB13/1577-2012）中二级标准</w:t>
            </w:r>
            <w:r>
              <w:rPr>
                <w:rFonts w:hint="eastAsia"/>
                <w:color w:val="000000" w:themeColor="text1"/>
                <w:sz w:val="24"/>
                <w14:textFill>
                  <w14:solidFill>
                    <w14:schemeClr w14:val="tx1"/>
                  </w14:solidFill>
                </w14:textFill>
              </w:rPr>
              <w:t>。</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2、地表水环境</w:t>
            </w:r>
          </w:p>
          <w:p>
            <w:pPr>
              <w:spacing w:line="480" w:lineRule="exact"/>
              <w:ind w:firstLine="480" w:firstLineChars="200"/>
              <w:rPr>
                <w:rFonts w:hint="default" w:ascii="Times New Roman" w:hAnsi="Times New Roman" w:cs="Times New Roman"/>
                <w:color w:val="000000" w:themeColor="text1"/>
                <w:sz w:val="24"/>
                <w:szCs w:val="32"/>
                <w:highlight w:val="none"/>
                <w:lang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根据《</w:t>
            </w:r>
            <w:r>
              <w:rPr>
                <w:rFonts w:hint="default" w:ascii="Times New Roman" w:hAnsi="Times New Roman" w:cs="Times New Roman"/>
                <w:color w:val="000000" w:themeColor="text1"/>
                <w:sz w:val="24"/>
                <w:szCs w:val="32"/>
                <w:highlight w:val="none"/>
                <w:lang w:val="en-US" w:eastAsia="zh-CN"/>
                <w14:textFill>
                  <w14:solidFill>
                    <w14:schemeClr w14:val="tx1"/>
                  </w14:solidFill>
                </w14:textFill>
              </w:rPr>
              <w:t>2023年</w:t>
            </w:r>
            <w:r>
              <w:rPr>
                <w:rFonts w:hint="default" w:ascii="Times New Roman" w:hAnsi="Times New Roman" w:cs="Times New Roman"/>
                <w:color w:val="000000" w:themeColor="text1"/>
                <w:sz w:val="24"/>
                <w:szCs w:val="32"/>
                <w:highlight w:val="none"/>
                <w14:textFill>
                  <w14:solidFill>
                    <w14:schemeClr w14:val="tx1"/>
                  </w14:solidFill>
                </w14:textFill>
              </w:rPr>
              <w:t>石家庄市生态环境状况公报》可知，全市12个地表水国省考断面中（1个监测断面长期断流无数据，1个监测断面数据不足不做评价），Ⅰ～Ⅲ类水质断面共计 8 个，占比80.0%，Ⅳ类水质断面共计2个，占比20.0%，无Ⅴ类、劣Ⅴ类水。全市28个地表水监测断面（含国省考、市控断面）中，Ⅰ～Ⅲ类水质断面共计16个，占比61.5%，Ⅳ、Ⅴ类水质断面共计10个，占比38.5%，无劣Ⅴ类水</w:t>
            </w:r>
            <w:r>
              <w:rPr>
                <w:rFonts w:hint="default" w:ascii="Times New Roman" w:hAnsi="Times New Roman" w:cs="Times New Roman"/>
                <w:color w:val="000000" w:themeColor="text1"/>
                <w:sz w:val="24"/>
                <w:szCs w:val="32"/>
                <w:highlight w:val="none"/>
                <w:lang w:eastAsia="zh-CN"/>
                <w14:textFill>
                  <w14:solidFill>
                    <w14:schemeClr w14:val="tx1"/>
                  </w14:solidFill>
                </w14:textFill>
              </w:rPr>
              <w:t>。</w:t>
            </w:r>
          </w:p>
          <w:p>
            <w:pPr>
              <w:spacing w:line="480" w:lineRule="exact"/>
              <w:ind w:firstLine="480" w:firstLineChars="200"/>
              <w:rPr>
                <w:rFonts w:hint="eastAsia" w:ascii="Times New Roman" w:hAnsi="Times New Roman" w:eastAsia="宋体" w:cs="Times New Roman"/>
                <w:color w:val="000000" w:themeColor="text1"/>
                <w:sz w:val="24"/>
                <w:szCs w:val="32"/>
                <w:highlight w:val="none"/>
                <w:lang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2个地表水饮用水源水质类别均为Ⅱ类，达标率为100%；15个地下水饮用水源地达标率为93.3%，其中8个水质类别为Ⅱ类，6个水质类别为Ⅲ类，1个水质类别为Ⅴ类</w:t>
            </w:r>
            <w:r>
              <w:rPr>
                <w:rFonts w:hint="eastAsia" w:ascii="Times New Roman" w:hAnsi="Times New Roman" w:cs="Times New Roman"/>
                <w:color w:val="000000" w:themeColor="text1"/>
                <w:sz w:val="24"/>
                <w:szCs w:val="32"/>
                <w:highlight w:val="none"/>
                <w:lang w:eastAsia="zh-CN"/>
                <w14:textFill>
                  <w14:solidFill>
                    <w14:schemeClr w14:val="tx1"/>
                  </w14:solidFill>
                </w14:textFill>
              </w:rPr>
              <w:t>。</w:t>
            </w:r>
          </w:p>
          <w:p>
            <w:pPr>
              <w:pStyle w:val="83"/>
              <w:adjustRightInd w:val="0"/>
              <w:snapToGrid w:val="0"/>
              <w:spacing w:line="480" w:lineRule="exact"/>
              <w:rPr>
                <w:rFonts w:hint="eastAsia"/>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项目周围500m内无地</w:t>
            </w:r>
            <w:r>
              <w:rPr>
                <w:rFonts w:hint="eastAsia"/>
                <w:color w:val="000000" w:themeColor="text1"/>
                <w:sz w:val="24"/>
                <w:szCs w:val="32"/>
                <w:highlight w:val="none"/>
                <w14:textFill>
                  <w14:solidFill>
                    <w14:schemeClr w14:val="tx1"/>
                  </w14:solidFill>
                </w14:textFill>
              </w:rPr>
              <w:t>表水体（无水体功能要求），无需进行现状调查</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lang w:val="en-US"/>
                <w14:textFill>
                  <w14:solidFill>
                    <w14:schemeClr w14:val="tx1"/>
                  </w14:solidFill>
                </w14:textFill>
              </w:rPr>
              <w:t>3、声环境</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sz w:val="24"/>
                <w:szCs w:val="32"/>
                <w14:textFill>
                  <w14:solidFill>
                    <w14:schemeClr w14:val="tx1"/>
                  </w14:solidFill>
                </w14:textFill>
              </w:rPr>
              <w:t>评价区域声环境质量较好，满足《声环境质量标准》（GB3096-2008）</w:t>
            </w:r>
            <w:r>
              <w:rPr>
                <w:rFonts w:hint="eastAsia"/>
                <w:color w:val="000000" w:themeColor="text1"/>
                <w:sz w:val="24"/>
                <w:szCs w:val="32"/>
                <w:lang w:val="en-US" w:eastAsia="zh-CN"/>
                <w14:textFill>
                  <w14:solidFill>
                    <w14:schemeClr w14:val="tx1"/>
                  </w14:solidFill>
                </w14:textFill>
              </w:rPr>
              <w:t>2</w:t>
            </w:r>
            <w:r>
              <w:rPr>
                <w:color w:val="000000" w:themeColor="text1"/>
                <w:sz w:val="24"/>
                <w:szCs w:val="32"/>
                <w14:textFill>
                  <w14:solidFill>
                    <w14:schemeClr w14:val="tx1"/>
                  </w14:solidFill>
                </w14:textFill>
              </w:rPr>
              <w:t>类标准要求</w:t>
            </w:r>
            <w:r>
              <w:rPr>
                <w:color w:val="000000" w:themeColor="text1"/>
                <w:lang w:val="en-US"/>
                <w14:textFill>
                  <w14:solidFill>
                    <w14:schemeClr w14:val="tx1"/>
                  </w14:solidFill>
                </w14:textFill>
              </w:rPr>
              <w:t>。</w:t>
            </w:r>
            <w:r>
              <w:rPr>
                <w:rFonts w:hint="eastAsia"/>
                <w:color w:val="000000" w:themeColor="text1"/>
                <w:sz w:val="24"/>
                <w:szCs w:val="32"/>
                <w14:textFill>
                  <w14:solidFill>
                    <w14:schemeClr w14:val="tx1"/>
                  </w14:solidFill>
                </w14:textFill>
              </w:rPr>
              <w:t>本项目厂界外周边5</w:t>
            </w:r>
            <w:r>
              <w:rPr>
                <w:color w:val="000000" w:themeColor="text1"/>
                <w:sz w:val="24"/>
                <w:szCs w:val="32"/>
                <w14:textFill>
                  <w14:solidFill>
                    <w14:schemeClr w14:val="tx1"/>
                  </w14:solidFill>
                </w14:textFill>
              </w:rPr>
              <w:t>0</w:t>
            </w:r>
            <w:r>
              <w:rPr>
                <w:rFonts w:hint="eastAsia"/>
                <w:color w:val="000000" w:themeColor="text1"/>
                <w:sz w:val="24"/>
                <w:szCs w:val="32"/>
                <w14:textFill>
                  <w14:solidFill>
                    <w14:schemeClr w14:val="tx1"/>
                  </w14:solidFill>
                </w14:textFill>
              </w:rPr>
              <w:t>米范围内无声环境保护目标，因此无需对环境保护目标进行声环境质量现状监测。</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lang w:val="en-US"/>
                <w14:textFill>
                  <w14:solidFill>
                    <w14:schemeClr w14:val="tx1"/>
                  </w14:solidFill>
                </w14:textFill>
              </w:rPr>
              <w:t>4、生态环境</w:t>
            </w:r>
          </w:p>
          <w:p>
            <w:pPr>
              <w:pStyle w:val="83"/>
              <w:adjustRightInd w:val="0"/>
              <w:snapToGrid w:val="0"/>
              <w:spacing w:line="480" w:lineRule="exact"/>
              <w:rPr>
                <w:rFonts w:hint="eastAsia" w:eastAsia="宋体"/>
                <w:color w:val="000000" w:themeColor="text1"/>
                <w:lang w:val="en-US" w:eastAsia="zh-CN"/>
                <w14:textFill>
                  <w14:solidFill>
                    <w14:schemeClr w14:val="tx1"/>
                  </w14:solidFill>
                </w14:textFill>
              </w:rPr>
            </w:pPr>
            <w:r>
              <w:rPr>
                <w:rFonts w:hint="eastAsia"/>
                <w:color w:val="000000" w:themeColor="text1"/>
                <w:u w:val="none"/>
                <w:lang w:val="en-US"/>
                <w14:textFill>
                  <w14:solidFill>
                    <w14:schemeClr w14:val="tx1"/>
                  </w14:solidFill>
                </w14:textFill>
              </w:rPr>
              <w:t>本</w:t>
            </w:r>
            <w:r>
              <w:rPr>
                <w:color w:val="000000" w:themeColor="text1"/>
                <w:u w:val="none"/>
                <w:lang w:val="en-US"/>
                <w14:textFill>
                  <w14:solidFill>
                    <w14:schemeClr w14:val="tx1"/>
                  </w14:solidFill>
                </w14:textFill>
              </w:rPr>
              <w:t>项目</w:t>
            </w:r>
            <w:r>
              <w:rPr>
                <w:rFonts w:hint="eastAsia"/>
                <w:color w:val="000000" w:themeColor="text1"/>
                <w:u w:val="none"/>
                <w:lang w:val="en-US"/>
                <w14:textFill>
                  <w14:solidFill>
                    <w14:schemeClr w14:val="tx1"/>
                  </w14:solidFill>
                </w14:textFill>
              </w:rPr>
              <w:t>位于</w:t>
            </w:r>
            <w:r>
              <w:rPr>
                <w:rFonts w:hint="eastAsia"/>
                <w:color w:val="000000" w:themeColor="text1"/>
                <w:sz w:val="24"/>
                <w:highlight w:val="none"/>
                <w:u w:val="none"/>
                <w:lang w:val="en-US" w:eastAsia="zh-CN"/>
                <w14:textFill>
                  <w14:solidFill>
                    <w14:schemeClr w14:val="tx1"/>
                  </w14:solidFill>
                </w14:textFill>
              </w:rPr>
              <w:t>高邑县107国道与中韩公路交口东南角现有厂房内</w:t>
            </w:r>
            <w:r>
              <w:rPr>
                <w:color w:val="000000" w:themeColor="text1"/>
                <w:lang w:val="en-US"/>
                <w14:textFill>
                  <w14:solidFill>
                    <w14:schemeClr w14:val="tx1"/>
                  </w14:solidFill>
                </w14:textFill>
              </w:rPr>
              <w:t>，</w:t>
            </w:r>
            <w:r>
              <w:rPr>
                <w:rFonts w:hint="eastAsia"/>
                <w:color w:val="000000" w:themeColor="text1"/>
                <w:lang w:val="en-US"/>
                <w14:textFill>
                  <w14:solidFill>
                    <w14:schemeClr w14:val="tx1"/>
                  </w14:solidFill>
                </w14:textFill>
              </w:rPr>
              <w:t>不新增占地，厂区周围无生态环境保护目标，无需</w:t>
            </w:r>
            <w:r>
              <w:rPr>
                <w:color w:val="000000" w:themeColor="text1"/>
                <w:lang w:val="en-US"/>
                <w14:textFill>
                  <w14:solidFill>
                    <w14:schemeClr w14:val="tx1"/>
                  </w14:solidFill>
                </w14:textFill>
              </w:rPr>
              <w:t>进行生态现状调查</w:t>
            </w:r>
            <w:r>
              <w:rPr>
                <w:rFonts w:hint="eastAsia"/>
                <w:color w:val="000000" w:themeColor="text1"/>
                <w:lang w:val="en-US" w:eastAsia="zh-CN"/>
                <w14:textFill>
                  <w14:solidFill>
                    <w14:schemeClr w14:val="tx1"/>
                  </w14:solidFill>
                </w14:textFill>
              </w:rPr>
              <w:t>。</w:t>
            </w:r>
          </w:p>
          <w:p>
            <w:pPr>
              <w:pStyle w:val="83"/>
              <w:numPr>
                <w:ilvl w:val="0"/>
                <w:numId w:val="15"/>
              </w:numPr>
              <w:adjustRightInd w:val="0"/>
              <w:snapToGrid w:val="0"/>
              <w:spacing w:line="480" w:lineRule="exact"/>
              <w:ind w:firstLine="480" w:firstLineChars="200"/>
              <w:rPr>
                <w:rFonts w:hint="eastAsia"/>
                <w:color w:val="000000" w:themeColor="text1"/>
                <w:lang w:val="en-US"/>
                <w14:textFill>
                  <w14:solidFill>
                    <w14:schemeClr w14:val="tx1"/>
                  </w14:solidFill>
                </w14:textFill>
              </w:rPr>
            </w:pPr>
            <w:r>
              <w:rPr>
                <w:rFonts w:hint="eastAsia"/>
                <w:color w:val="000000" w:themeColor="text1"/>
                <w:lang w:val="en-US"/>
                <w14:textFill>
                  <w14:solidFill>
                    <w14:schemeClr w14:val="tx1"/>
                  </w14:solidFill>
                </w14:textFill>
              </w:rPr>
              <w:t>地下水</w:t>
            </w:r>
            <w:r>
              <w:rPr>
                <w:rFonts w:hint="eastAsia"/>
                <w:color w:val="000000" w:themeColor="text1"/>
                <w:lang w:val="en-US" w:eastAsia="zh-CN"/>
                <w14:textFill>
                  <w14:solidFill>
                    <w14:schemeClr w14:val="tx1"/>
                  </w14:solidFill>
                </w14:textFill>
              </w:rPr>
              <w:t>、土壤</w:t>
            </w:r>
          </w:p>
          <w:p>
            <w:pPr>
              <w:pStyle w:val="83"/>
              <w:numPr>
                <w:ilvl w:val="0"/>
                <w:numId w:val="0"/>
              </w:numPr>
              <w:adjustRightInd w:val="0"/>
              <w:snapToGrid w:val="0"/>
              <w:spacing w:line="480" w:lineRule="exact"/>
              <w:ind w:firstLine="480" w:firstLineChars="200"/>
              <w:rPr>
                <w:rFonts w:hint="default" w:ascii="Times New Roman" w:hAnsi="Times New Roman" w:cs="Times New Roman"/>
                <w:color w:val="000000" w:themeColor="text1"/>
                <w:lang w:val="en-US"/>
                <w14:textFill>
                  <w14:solidFill>
                    <w14:schemeClr w14:val="tx1"/>
                  </w14:solidFill>
                </w14:textFill>
              </w:rPr>
            </w:pPr>
            <w:r>
              <w:rPr>
                <w:rFonts w:hint="eastAsia"/>
                <w:color w:val="000000" w:themeColor="text1"/>
                <w:sz w:val="24"/>
                <w:szCs w:val="32"/>
                <w14:textFill>
                  <w14:solidFill>
                    <w14:schemeClr w14:val="tx1"/>
                  </w14:solidFill>
                </w14:textFill>
              </w:rPr>
              <w:t>项目厂界外500米范围内无地下水集中式饮用水水源和热水、矿泉水、温泉等特殊地下水资源，而且项目不存在土壤、地下水环境污染途径，因此不再对地下水、土壤环境质量现状进行调查</w:t>
            </w:r>
            <w:r>
              <w:rPr>
                <w:rFonts w:hint="default" w:ascii="Times New Roman" w:hAnsi="Times New Roman" w:eastAsia="宋体" w:cs="Times New Roman"/>
                <w:color w:val="000000" w:themeColor="text1"/>
                <w:sz w:val="24"/>
                <w:szCs w:val="32"/>
                <w:lang w:val="en-US"/>
                <w14:textFill>
                  <w14:solidFill>
                    <w14:schemeClr w14:val="tx1"/>
                  </w14:solidFill>
                </w14:textFill>
              </w:rPr>
              <w:t>。</w:t>
            </w:r>
          </w:p>
          <w:p>
            <w:pPr>
              <w:pStyle w:val="83"/>
              <w:adjustRightInd w:val="0"/>
              <w:snapToGrid w:val="0"/>
              <w:spacing w:line="480" w:lineRule="exact"/>
              <w:ind w:left="0" w:leftChars="0" w:firstLine="0" w:firstLineChars="0"/>
              <w:rPr>
                <w:rFonts w:hint="default"/>
                <w:color w:val="000000" w:themeColor="text1"/>
                <w:sz w:val="24"/>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99"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环境</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保护</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目标</w:t>
            </w:r>
          </w:p>
        </w:tc>
        <w:tc>
          <w:tcPr>
            <w:tcW w:w="9586" w:type="dxa"/>
            <w:vAlign w:val="center"/>
          </w:tcPr>
          <w:p>
            <w:pPr>
              <w:spacing w:line="480" w:lineRule="exact"/>
              <w:ind w:firstLine="480" w:firstLineChars="200"/>
              <w:rPr>
                <w:color w:val="000000" w:themeColor="text1"/>
                <w:kern w:val="1"/>
                <w:sz w:val="24"/>
                <w14:textFill>
                  <w14:solidFill>
                    <w14:schemeClr w14:val="tx1"/>
                  </w14:solidFill>
                </w14:textFill>
              </w:rPr>
            </w:pPr>
            <w:r>
              <w:rPr>
                <w:color w:val="000000" w:themeColor="text1"/>
                <w:sz w:val="24"/>
                <w14:textFill>
                  <w14:solidFill>
                    <w14:schemeClr w14:val="tx1"/>
                  </w14:solidFill>
                </w14:textFill>
              </w:rPr>
              <w:t>由现场调查可知，本项目区域内没有珍稀动植物资源、重点文物、饮用水源保护区、自然保护区等重点保护目标；根据工程性质及周围环境特征，确定本项目主要环境保护目标及保护级别</w:t>
            </w:r>
            <w:r>
              <w:rPr>
                <w:rFonts w:hint="eastAsia"/>
                <w:color w:val="000000" w:themeColor="text1"/>
                <w:sz w:val="24"/>
                <w14:textFill>
                  <w14:solidFill>
                    <w14:schemeClr w14:val="tx1"/>
                  </w14:solidFill>
                </w14:textFill>
              </w:rPr>
              <w:t>如下</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环境保护目标一览表</w:t>
            </w:r>
          </w:p>
          <w:tbl>
            <w:tblPr>
              <w:tblStyle w:val="42"/>
              <w:tblW w:w="9370"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38"/>
              <w:gridCol w:w="1266"/>
              <w:gridCol w:w="1037"/>
              <w:gridCol w:w="1290"/>
              <w:gridCol w:w="1161"/>
              <w:gridCol w:w="905"/>
              <w:gridCol w:w="1121"/>
              <w:gridCol w:w="905"/>
              <w:gridCol w:w="84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环境要素</w:t>
                  </w:r>
                </w:p>
              </w:tc>
              <w:tc>
                <w:tcPr>
                  <w:tcW w:w="1266" w:type="dxa"/>
                  <w:vMerge w:val="restart"/>
                  <w:tcBorders>
                    <w:tl2br w:val="nil"/>
                    <w:tr2bl w:val="nil"/>
                  </w:tcBorders>
                  <w:vAlign w:val="center"/>
                </w:tcPr>
                <w:p>
                  <w:pPr>
                    <w:spacing w:line="240" w:lineRule="auto"/>
                    <w:jc w:val="center"/>
                    <w:rPr>
                      <w:rFonts w:hint="eastAsia" w:eastAsia="宋体"/>
                      <w:b w:val="0"/>
                      <w:bCs/>
                      <w:color w:val="000000" w:themeColor="text1"/>
                      <w:kern w:val="0"/>
                      <w:szCs w:val="21"/>
                      <w:lang w:val="en-US" w:eastAsia="zh-CN"/>
                      <w14:textFill>
                        <w14:solidFill>
                          <w14:schemeClr w14:val="tx1"/>
                        </w14:solidFill>
                      </w14:textFill>
                    </w:rPr>
                  </w:pPr>
                  <w:r>
                    <w:rPr>
                      <w:rFonts w:hint="eastAsia"/>
                      <w:b w:val="0"/>
                      <w:bCs/>
                      <w:color w:val="000000" w:themeColor="text1"/>
                      <w:kern w:val="0"/>
                      <w:szCs w:val="21"/>
                      <w:lang w:val="en-US" w:eastAsia="zh-CN"/>
                      <w14:textFill>
                        <w14:solidFill>
                          <w14:schemeClr w14:val="tx1"/>
                        </w14:solidFill>
                      </w14:textFill>
                    </w:rPr>
                    <w:t>名称</w:t>
                  </w:r>
                </w:p>
              </w:tc>
              <w:tc>
                <w:tcPr>
                  <w:tcW w:w="1037" w:type="dxa"/>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保护</w:t>
                  </w:r>
                </w:p>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对象</w:t>
                  </w:r>
                </w:p>
              </w:tc>
              <w:tc>
                <w:tcPr>
                  <w:tcW w:w="2451" w:type="dxa"/>
                  <w:gridSpan w:val="2"/>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经纬度坐标/°</w:t>
                  </w:r>
                </w:p>
              </w:tc>
              <w:tc>
                <w:tcPr>
                  <w:tcW w:w="905" w:type="dxa"/>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保护</w:t>
                  </w:r>
                </w:p>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内容</w:t>
                  </w:r>
                </w:p>
              </w:tc>
              <w:tc>
                <w:tcPr>
                  <w:tcW w:w="1121" w:type="dxa"/>
                  <w:vMerge w:val="restart"/>
                  <w:tcBorders>
                    <w:tl2br w:val="nil"/>
                    <w:tr2bl w:val="nil"/>
                  </w:tcBorders>
                  <w:vAlign w:val="center"/>
                </w:tcPr>
                <w:p>
                  <w:pPr>
                    <w:spacing w:line="240" w:lineRule="auto"/>
                    <w:jc w:val="center"/>
                    <w:rPr>
                      <w:rFonts w:hint="default" w:eastAsia="宋体"/>
                      <w:b w:val="0"/>
                      <w:bCs/>
                      <w:color w:val="000000" w:themeColor="text1"/>
                      <w:kern w:val="0"/>
                      <w:szCs w:val="21"/>
                      <w:lang w:val="en-US" w:eastAsia="zh-CN"/>
                      <w14:textFill>
                        <w14:solidFill>
                          <w14:schemeClr w14:val="tx1"/>
                        </w14:solidFill>
                      </w14:textFill>
                    </w:rPr>
                  </w:pPr>
                  <w:r>
                    <w:rPr>
                      <w:b w:val="0"/>
                      <w:bCs/>
                      <w:color w:val="000000" w:themeColor="text1"/>
                      <w:kern w:val="0"/>
                      <w:szCs w:val="21"/>
                      <w14:textFill>
                        <w14:solidFill>
                          <w14:schemeClr w14:val="tx1"/>
                        </w14:solidFill>
                      </w14:textFill>
                    </w:rPr>
                    <w:t>相对厂区</w:t>
                  </w:r>
                  <w:r>
                    <w:rPr>
                      <w:rFonts w:hint="eastAsia"/>
                      <w:b w:val="0"/>
                      <w:bCs/>
                      <w:color w:val="000000" w:themeColor="text1"/>
                      <w:kern w:val="0"/>
                      <w:szCs w:val="21"/>
                      <w14:textFill>
                        <w14:solidFill>
                          <w14:schemeClr w14:val="tx1"/>
                        </w14:solidFill>
                      </w14:textFill>
                    </w:rPr>
                    <w:t>距离</w:t>
                  </w:r>
                  <w:r>
                    <w:rPr>
                      <w:rFonts w:hint="eastAsia"/>
                      <w:b w:val="0"/>
                      <w:bCs/>
                      <w:color w:val="000000" w:themeColor="text1"/>
                      <w:kern w:val="0"/>
                      <w:szCs w:val="21"/>
                      <w:lang w:val="en-US" w:eastAsia="zh-CN"/>
                      <w14:textFill>
                        <w14:solidFill>
                          <w14:schemeClr w14:val="tx1"/>
                        </w14:solidFill>
                      </w14:textFill>
                    </w:rPr>
                    <w:t>/m</w:t>
                  </w:r>
                </w:p>
              </w:tc>
              <w:tc>
                <w:tcPr>
                  <w:tcW w:w="905" w:type="dxa"/>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相对厂区方位</w:t>
                  </w:r>
                </w:p>
              </w:tc>
              <w:tc>
                <w:tcPr>
                  <w:tcW w:w="847" w:type="dxa"/>
                  <w:vMerge w:val="restart"/>
                  <w:tcBorders>
                    <w:tl2br w:val="nil"/>
                    <w:tr2bl w:val="nil"/>
                  </w:tcBorders>
                  <w:vAlign w:val="center"/>
                </w:tcPr>
                <w:p>
                  <w:pPr>
                    <w:spacing w:line="240" w:lineRule="auto"/>
                    <w:jc w:val="center"/>
                    <w:rPr>
                      <w:rFonts w:hint="default" w:eastAsia="宋体"/>
                      <w:b w:val="0"/>
                      <w:bCs/>
                      <w:color w:val="000000" w:themeColor="text1"/>
                      <w:kern w:val="0"/>
                      <w:szCs w:val="21"/>
                      <w:lang w:val="en-US" w:eastAsia="zh-CN"/>
                      <w14:textFill>
                        <w14:solidFill>
                          <w14:schemeClr w14:val="tx1"/>
                        </w14:solidFill>
                      </w14:textFill>
                    </w:rPr>
                  </w:pPr>
                  <w:r>
                    <w:rPr>
                      <w:rFonts w:hint="eastAsia"/>
                      <w:b w:val="0"/>
                      <w:bCs/>
                      <w:color w:val="000000" w:themeColor="text1"/>
                      <w:kern w:val="0"/>
                      <w:szCs w:val="21"/>
                      <w:lang w:val="en-US" w:eastAsia="zh-CN"/>
                      <w14:textFill>
                        <w14:solidFill>
                          <w14:schemeClr w14:val="tx1"/>
                        </w14:solidFill>
                      </w14:textFill>
                    </w:rPr>
                    <w:t>环境功能区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1266" w:type="dxa"/>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1037" w:type="dxa"/>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1290" w:type="dxa"/>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东经</w:t>
                  </w:r>
                </w:p>
              </w:tc>
              <w:tc>
                <w:tcPr>
                  <w:tcW w:w="1161" w:type="dxa"/>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北纬</w:t>
                  </w:r>
                </w:p>
              </w:tc>
              <w:tc>
                <w:tcPr>
                  <w:tcW w:w="905"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121"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905"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847"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restart"/>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环境空气</w:t>
                  </w:r>
                </w:p>
              </w:tc>
              <w:tc>
                <w:tcPr>
                  <w:tcW w:w="1266"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东西韩村</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114.588832</w:t>
                  </w:r>
                </w:p>
              </w:tc>
              <w:tc>
                <w:tcPr>
                  <w:tcW w:w="1161"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37.673694</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eastAsia"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t>
                  </w:r>
                </w:p>
              </w:tc>
              <w:tc>
                <w:tcPr>
                  <w:tcW w:w="847" w:type="dxa"/>
                  <w:vMerge w:val="restart"/>
                  <w:tcBorders>
                    <w:tl2br w:val="nil"/>
                    <w:tr2bl w:val="nil"/>
                  </w:tcBorders>
                  <w:vAlign w:val="center"/>
                </w:tcPr>
                <w:p>
                  <w:pPr>
                    <w:adjustRightInd w:val="0"/>
                    <w:snapToGrid w:val="0"/>
                    <w:spacing w:line="240" w:lineRule="auto"/>
                    <w:jc w:val="center"/>
                    <w:rPr>
                      <w:rFonts w:hint="eastAsia" w:eastAsia="宋体"/>
                      <w:color w:val="000000" w:themeColor="text1"/>
                      <w:kern w:val="0"/>
                      <w:szCs w:val="21"/>
                      <w:lang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二类区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西西韩村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114.584856</w:t>
                  </w:r>
                </w:p>
              </w:tc>
              <w:tc>
                <w:tcPr>
                  <w:tcW w:w="1161"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37.672135</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寺马闲村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114..564049</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37.674029</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2800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东马闲村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114.574229</w:t>
                  </w:r>
                </w:p>
              </w:tc>
              <w:tc>
                <w:tcPr>
                  <w:tcW w:w="1161"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37.671942</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2100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东马闲中心小学</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114.567198</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37.668622</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2300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东南岩村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114.580740</w:t>
                  </w:r>
                </w:p>
              </w:tc>
              <w:tc>
                <w:tcPr>
                  <w:tcW w:w="1161"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37.651176</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900人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西南岩村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114.575009</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37.652117</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1700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西南岩中心学校</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114.567756</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37.651453</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王同庄村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114.568970</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37.641307</w:t>
                  </w:r>
                </w:p>
              </w:tc>
              <w:tc>
                <w:tcPr>
                  <w:tcW w:w="905" w:type="dxa"/>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1800人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2240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王同庄学校</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114.559012</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37.644740</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2540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石良庄村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114.578113</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37.635377</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2000人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2717</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岗头村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114.608067</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37.651471</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1150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岗头中心小学</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114.601206</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37.647291</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马村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114.621077</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37.657474</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1400人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2200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中韩村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114.598822</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37.663159</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2000人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460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高邑县第五中学</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114.599562</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37.664052</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北陈庄村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114.611911</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37.667372</w:t>
                  </w:r>
                </w:p>
              </w:tc>
              <w:tc>
                <w:tcPr>
                  <w:tcW w:w="905"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1700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北陈庄学校</w:t>
                  </w:r>
                </w:p>
              </w:tc>
              <w:tc>
                <w:tcPr>
                  <w:tcW w:w="1037"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114.610787</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37.669.102</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徐家庄村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114.605731</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37.675201</w:t>
                  </w:r>
                </w:p>
              </w:tc>
              <w:tc>
                <w:tcPr>
                  <w:tcW w:w="905"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838" w:type="dxa"/>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1266"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东韩庄村</w:t>
                  </w:r>
                </w:p>
              </w:tc>
              <w:tc>
                <w:tcPr>
                  <w:tcW w:w="1037" w:type="dxa"/>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1290"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114.621766</w:t>
                  </w:r>
                </w:p>
              </w:tc>
              <w:tc>
                <w:tcPr>
                  <w:tcW w:w="1161"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37.681542</w:t>
                  </w:r>
                </w:p>
              </w:tc>
              <w:tc>
                <w:tcPr>
                  <w:tcW w:w="905" w:type="dxa"/>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2500人</w:t>
                  </w:r>
                </w:p>
              </w:tc>
              <w:tc>
                <w:tcPr>
                  <w:tcW w:w="1121"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3250</w:t>
                  </w:r>
                </w:p>
              </w:tc>
              <w:tc>
                <w:tcPr>
                  <w:tcW w:w="905" w:type="dxa"/>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847" w:type="dxa"/>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bl>
          <w:p>
            <w:pPr>
              <w:pStyle w:val="83"/>
              <w:spacing w:line="240" w:lineRule="auto"/>
              <w:ind w:firstLine="0" w:firstLineChars="0"/>
              <w:rPr>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691" w:hRule="atLeast"/>
          <w:jc w:val="center"/>
        </w:trPr>
        <w:tc>
          <w:tcPr>
            <w:tcW w:w="456" w:type="dxa"/>
            <w:tcMar>
              <w:left w:w="28" w:type="dxa"/>
              <w:right w:w="28" w:type="dxa"/>
            </w:tcMar>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污染</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物排</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放控</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制标</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准</w:t>
            </w:r>
          </w:p>
        </w:tc>
        <w:tc>
          <w:tcPr>
            <w:tcW w:w="9586" w:type="dxa"/>
            <w:vAlign w:val="center"/>
          </w:tcPr>
          <w:p>
            <w:pPr>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r>
              <w:rPr>
                <w:color w:val="000000" w:themeColor="text1"/>
                <w:sz w:val="24"/>
                <w14:textFill>
                  <w14:solidFill>
                    <w14:schemeClr w14:val="tx1"/>
                  </w14:solidFill>
                </w14:textFill>
              </w:rPr>
              <w:t>废气</w:t>
            </w:r>
          </w:p>
          <w:p>
            <w:pPr>
              <w:spacing w:line="480" w:lineRule="exact"/>
              <w:ind w:firstLine="482"/>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本项目运营期废气</w:t>
            </w:r>
            <w:r>
              <w:rPr>
                <w:color w:val="000000" w:themeColor="text1"/>
                <w:sz w:val="24"/>
                <w14:textFill>
                  <w14:solidFill>
                    <w14:schemeClr w14:val="tx1"/>
                  </w14:solidFill>
                </w14:textFill>
              </w:rPr>
              <w:t>执行</w:t>
            </w:r>
            <w:r>
              <w:rPr>
                <w:rFonts w:hint="eastAsia"/>
                <w:color w:val="000000" w:themeColor="text1"/>
                <w:sz w:val="24"/>
                <w:lang w:val="en-US" w:eastAsia="zh-CN"/>
                <w14:textFill>
                  <w14:solidFill>
                    <w14:schemeClr w14:val="tx1"/>
                  </w14:solidFill>
                </w14:textFill>
              </w:rPr>
              <w:t>排放标准及</w:t>
            </w:r>
            <w:r>
              <w:rPr>
                <w:color w:val="000000" w:themeColor="text1"/>
                <w:sz w:val="24"/>
                <w14:textFill>
                  <w14:solidFill>
                    <w14:schemeClr w14:val="tx1"/>
                  </w14:solidFill>
                </w14:textFill>
              </w:rPr>
              <w:t>限值见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大气污染物排放限值</w:t>
            </w:r>
          </w:p>
          <w:tbl>
            <w:tblPr>
              <w:tblStyle w:val="43"/>
              <w:tblW w:w="9370"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83"/>
              <w:gridCol w:w="1182"/>
              <w:gridCol w:w="701"/>
              <w:gridCol w:w="2277"/>
              <w:gridCol w:w="412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94" w:hRule="atLeast"/>
                <w:jc w:val="center"/>
              </w:trPr>
              <w:tc>
                <w:tcPr>
                  <w:tcW w:w="108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排放口</w:t>
                  </w:r>
                </w:p>
              </w:tc>
              <w:tc>
                <w:tcPr>
                  <w:tcW w:w="118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污染源</w:t>
                  </w: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污染物</w:t>
                  </w:r>
                </w:p>
              </w:tc>
              <w:tc>
                <w:tcPr>
                  <w:tcW w:w="640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37" w:hRule="atLeast"/>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DA001（15m）</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上料和筛分废气</w:t>
                  </w:r>
                </w:p>
              </w:tc>
              <w:tc>
                <w:tcPr>
                  <w:tcW w:w="70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37" w:hRule="atLeast"/>
                <w:jc w:val="center"/>
              </w:trPr>
              <w:tc>
                <w:tcPr>
                  <w:tcW w:w="1083" w:type="dxa"/>
                  <w:vMerge w:val="continue"/>
                  <w:tcBorders>
                    <w:tl2br w:val="nil"/>
                    <w:tr2bl w:val="nil"/>
                  </w:tcBorders>
                  <w:vAlign w:val="center"/>
                </w:tcPr>
                <w:p>
                  <w:pPr>
                    <w:ind w:left="0" w:leftChars="0" w:firstLine="0" w:firstLineChars="0"/>
                    <w:jc w:val="center"/>
                    <w:rPr>
                      <w:color w:val="000000" w:themeColor="text1"/>
                      <w14:textFill>
                        <w14:solidFill>
                          <w14:schemeClr w14:val="tx1"/>
                        </w14:solidFill>
                      </w14:textFill>
                    </w:rPr>
                  </w:pPr>
                </w:p>
              </w:tc>
              <w:tc>
                <w:tcPr>
                  <w:tcW w:w="1182" w:type="dxa"/>
                  <w:vMerge w:val="continue"/>
                  <w:tcBorders>
                    <w:tl2br w:val="nil"/>
                    <w:tr2bl w:val="nil"/>
                  </w:tcBorders>
                  <w:vAlign w:val="center"/>
                </w:tcPr>
                <w:p>
                  <w:pPr>
                    <w:ind w:left="0" w:leftChars="0" w:firstLine="0" w:firstLineChars="0"/>
                    <w:jc w:val="center"/>
                    <w:rPr>
                      <w:color w:val="000000" w:themeColor="text1"/>
                      <w14:textFill>
                        <w14:solidFill>
                          <w14:schemeClr w14:val="tx1"/>
                        </w14:solidFill>
                      </w14:textFill>
                    </w:rPr>
                  </w:pPr>
                </w:p>
              </w:tc>
              <w:tc>
                <w:tcPr>
                  <w:tcW w:w="701" w:type="dxa"/>
                  <w:vMerge w:val="continue"/>
                  <w:tcBorders>
                    <w:tl2br w:val="nil"/>
                    <w:tr2bl w:val="nil"/>
                  </w:tcBorders>
                  <w:vAlign w:val="center"/>
                </w:tcPr>
                <w:p>
                  <w:pPr>
                    <w:ind w:left="0" w:leftChars="0" w:firstLine="0" w:firstLineChars="0"/>
                    <w:jc w:val="center"/>
                    <w:rPr>
                      <w:color w:val="000000" w:themeColor="text1"/>
                      <w14:textFill>
                        <w14:solidFill>
                          <w14:schemeClr w14:val="tx1"/>
                        </w14:solidFill>
                      </w14:textFill>
                    </w:rPr>
                  </w:pP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3.5kg/h</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DA003（15m）</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搅拌废气、沥青储罐废气</w:t>
                  </w:r>
                </w:p>
              </w:tc>
              <w:tc>
                <w:tcPr>
                  <w:tcW w:w="70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0.18kg/h</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0.3×10</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，0.050×10</w:t>
                  </w:r>
                  <w:r>
                    <w:rPr>
                      <w:rFonts w:hint="default" w:ascii="Times New Roman" w:hAnsi="Times New Roman" w:eastAsia="宋体" w:cs="Times New Roman"/>
                      <w:b w:val="0"/>
                      <w:bCs w:val="0"/>
                      <w:color w:val="000000" w:themeColor="text1"/>
                      <w:sz w:val="21"/>
                      <w:szCs w:val="21"/>
                      <w:highlight w:val="none"/>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kg/h</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DA002（15m）</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矿粉仓废气</w:t>
                  </w:r>
                </w:p>
              </w:tc>
              <w:tc>
                <w:tcPr>
                  <w:tcW w:w="70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3.5kg/h</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DA004（15m）</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导热油炉废气</w:t>
                  </w: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77" w:type="dxa"/>
                  <w:tcBorders>
                    <w:tl2br w:val="nil"/>
                    <w:tr2bl w:val="nil"/>
                  </w:tcBorders>
                  <w:vAlign w:val="center"/>
                </w:tcPr>
                <w:p>
                  <w:pPr>
                    <w:adjustRightInd w:val="0"/>
                    <w:snapToGrid w:val="0"/>
                    <w:spacing w:line="260" w:lineRule="exact"/>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≤5mg/m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4127"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《锅炉大气污染物排放标准》（DB13/5161-2020）表1燃气锅炉排放限值及</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p>
              </w:tc>
              <w:tc>
                <w:tcPr>
                  <w:tcW w:w="2277" w:type="dxa"/>
                  <w:tcBorders>
                    <w:tl2br w:val="nil"/>
                    <w:tr2bl w:val="nil"/>
                  </w:tcBorders>
                  <w:vAlign w:val="center"/>
                </w:tcPr>
                <w:p>
                  <w:pPr>
                    <w:adjustRightInd w:val="0"/>
                    <w:snapToGrid w:val="0"/>
                    <w:spacing w:line="260" w:lineRule="exact"/>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烟气黑度</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&lt;1级</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w:t>
                  </w:r>
                </w:p>
              </w:tc>
              <w:tc>
                <w:tcPr>
                  <w:tcW w:w="2277" w:type="dxa"/>
                  <w:tcBorders>
                    <w:tl2br w:val="nil"/>
                    <w:tr2bl w:val="nil"/>
                  </w:tcBorders>
                  <w:vAlign w:val="center"/>
                </w:tcPr>
                <w:p>
                  <w:pPr>
                    <w:adjustRightInd w:val="0"/>
                    <w:snapToGrid w:val="0"/>
                    <w:spacing w:line="260" w:lineRule="exact"/>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14:textFill>
                        <w14:solidFill>
                          <w14:schemeClr w14:val="tx1"/>
                        </w14:solidFill>
                      </w14:textFill>
                    </w:rPr>
                    <w:t>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《河北省十一个行业重污染天气应急减排措施制定技术指南(试行)》中商砼、沥青搅拌站排放限值要求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w:t>
                  </w:r>
                  <w:r>
                    <w:rPr>
                      <w:rFonts w:hint="eastAsia"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加热废气、燃烧机燃烧废气</w:t>
                  </w:r>
                </w:p>
              </w:tc>
              <w:tc>
                <w:tcPr>
                  <w:tcW w:w="701"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3.5kg/h</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《工业炉窑大气污染物排放标准》(DB13/1640-2012)要求，同时执行《工业炉窑大气污染综合治理方案》（环大气[2019]56号）的要求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烟气黑度</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&lt;1级</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18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无组织排放</w:t>
                  </w: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《大气污染物综合排放标准》(GB16297-1996)中表2无组织排放标准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生产设备不得有明显的无组织排放存在</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0.008μg/m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《工业企业挥发性有机物排放控制标准》(DB13/2322-2016)表2限值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08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18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70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27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监控点处1h平均浓度值6mg/m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；监控点处任意一次浓度值20mg/m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12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《挥发性有机物无组织排放控制标准》(GB37822-2019)表A.1厂区内VOCs无组织排放特别限值</w:t>
                  </w:r>
                </w:p>
              </w:tc>
            </w:tr>
          </w:tbl>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2</w:t>
            </w:r>
            <w:r>
              <w:rPr>
                <w:color w:val="000000" w:themeColor="text1"/>
                <w:sz w:val="24"/>
                <w14:textFill>
                  <w14:solidFill>
                    <w14:schemeClr w14:val="tx1"/>
                  </w14:solidFill>
                </w14:textFill>
              </w:rPr>
              <w:t>）噪声</w:t>
            </w:r>
          </w:p>
          <w:p>
            <w:pPr>
              <w:adjustRightInd w:val="0"/>
              <w:snapToGrid w:val="0"/>
              <w:spacing w:line="480" w:lineRule="exact"/>
              <w:ind w:firstLine="480" w:firstLineChars="200"/>
              <w:rPr>
                <w:color w:val="000000" w:themeColor="text1"/>
                <w:sz w:val="24"/>
                <w14:textFill>
                  <w14:solidFill>
                    <w14:schemeClr w14:val="tx1"/>
                  </w14:solidFill>
                </w14:textFill>
              </w:rPr>
            </w:pPr>
            <w:bookmarkStart w:id="10" w:name="_Hlk95131042"/>
            <w:r>
              <w:rPr>
                <w:rFonts w:hint="eastAsia"/>
                <w:color w:val="000000" w:themeColor="text1"/>
                <w:sz w:val="24"/>
                <w14:textFill>
                  <w14:solidFill>
                    <w14:schemeClr w14:val="tx1"/>
                  </w14:solidFill>
                </w14:textFill>
              </w:rPr>
              <w:t>运营期项目厂界噪声值执行《工业企业厂界环境噪声排放标准》(GB12348-2008)</w:t>
            </w:r>
            <w:r>
              <w:rPr>
                <w:rFonts w:hint="eastAsia"/>
                <w:color w:val="000000" w:themeColor="text1"/>
                <w:sz w:val="24"/>
                <w:lang w:val="en-US" w:eastAsia="zh-CN"/>
                <w14:textFill>
                  <w14:solidFill>
                    <w14:schemeClr w14:val="tx1"/>
                  </w14:solidFill>
                </w14:textFill>
              </w:rPr>
              <w:t>2</w:t>
            </w:r>
            <w:r>
              <w:rPr>
                <w:rFonts w:hint="eastAsia"/>
                <w:color w:val="000000" w:themeColor="text1"/>
                <w:sz w:val="24"/>
                <w14:textFill>
                  <w14:solidFill>
                    <w14:schemeClr w14:val="tx1"/>
                  </w14:solidFill>
                </w14:textFill>
              </w:rPr>
              <w:t>类标准要求</w:t>
            </w:r>
            <w:bookmarkEnd w:id="10"/>
            <w:r>
              <w:rPr>
                <w:color w:val="000000" w:themeColor="text1"/>
                <w:sz w:val="24"/>
                <w14:textFill>
                  <w14:solidFill>
                    <w14:schemeClr w14:val="tx1"/>
                  </w14:solidFill>
                </w14:textFill>
              </w:rPr>
              <w:t>，具体标准值见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噪声排放标准</w:t>
            </w:r>
          </w:p>
          <w:tbl>
            <w:tblPr>
              <w:tblStyle w:val="42"/>
              <w:tblW w:w="9363"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1317"/>
              <w:gridCol w:w="1055"/>
              <w:gridCol w:w="871"/>
              <w:gridCol w:w="1130"/>
              <w:gridCol w:w="352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462"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环境要素</w:t>
                  </w:r>
                </w:p>
              </w:tc>
              <w:tc>
                <w:tcPr>
                  <w:tcW w:w="1317"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污染物名称</w:t>
                  </w:r>
                </w:p>
              </w:tc>
              <w:tc>
                <w:tcPr>
                  <w:tcW w:w="1926" w:type="dxa"/>
                  <w:gridSpan w:val="2"/>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标准值</w:t>
                  </w:r>
                </w:p>
              </w:tc>
              <w:tc>
                <w:tcPr>
                  <w:tcW w:w="1130"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单位</w:t>
                  </w:r>
                </w:p>
              </w:tc>
              <w:tc>
                <w:tcPr>
                  <w:tcW w:w="3528"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462" w:type="dxa"/>
                  <w:vMerge w:val="restart"/>
                  <w:vAlign w:val="center"/>
                </w:tcPr>
                <w:p>
                  <w:pPr>
                    <w:pStyle w:val="81"/>
                    <w:rPr>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四厂界</w:t>
                  </w:r>
                </w:p>
              </w:tc>
              <w:tc>
                <w:tcPr>
                  <w:tcW w:w="1317" w:type="dxa"/>
                  <w:vMerge w:val="restart"/>
                  <w:vAlign w:val="center"/>
                </w:tcPr>
                <w:p>
                  <w:pPr>
                    <w:pStyle w:val="81"/>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噪声</w:t>
                  </w:r>
                </w:p>
              </w:tc>
              <w:tc>
                <w:tcPr>
                  <w:tcW w:w="105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昼间</w:t>
                  </w:r>
                </w:p>
              </w:tc>
              <w:tc>
                <w:tcPr>
                  <w:tcW w:w="87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60</w:t>
                  </w:r>
                </w:p>
              </w:tc>
              <w:tc>
                <w:tcPr>
                  <w:tcW w:w="1130" w:type="dxa"/>
                  <w:vMerge w:val="restar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dB（A）</w:t>
                  </w:r>
                </w:p>
              </w:tc>
              <w:tc>
                <w:tcPr>
                  <w:tcW w:w="3528" w:type="dxa"/>
                  <w:vMerge w:val="restar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《工业企业厂界环境噪声排放标准》（GB12348-2008）</w:t>
                  </w:r>
                  <w:r>
                    <w:rPr>
                      <w:rFonts w:hint="eastAsia"/>
                      <w:color w:val="000000" w:themeColor="text1"/>
                      <w:szCs w:val="21"/>
                      <w:lang w:val="en-US" w:eastAsia="zh-CN"/>
                      <w14:textFill>
                        <w14:solidFill>
                          <w14:schemeClr w14:val="tx1"/>
                        </w14:solidFill>
                      </w14:textFill>
                    </w:rPr>
                    <w:t>2</w:t>
                  </w:r>
                  <w:r>
                    <w:rPr>
                      <w:color w:val="000000" w:themeColor="text1"/>
                      <w:szCs w:val="21"/>
                      <w14:textFill>
                        <w14:solidFill>
                          <w14:schemeClr w14:val="tx1"/>
                        </w14:solidFill>
                      </w14:textFill>
                    </w:rPr>
                    <w:t>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462" w:type="dxa"/>
                  <w:vMerge w:val="continue"/>
                  <w:vAlign w:val="center"/>
                </w:tcPr>
                <w:p>
                  <w:pPr>
                    <w:pStyle w:val="81"/>
                    <w:rPr>
                      <w:color w:val="000000" w:themeColor="text1"/>
                      <w:szCs w:val="21"/>
                      <w14:textFill>
                        <w14:solidFill>
                          <w14:schemeClr w14:val="tx1"/>
                        </w14:solidFill>
                      </w14:textFill>
                    </w:rPr>
                  </w:pPr>
                </w:p>
              </w:tc>
              <w:tc>
                <w:tcPr>
                  <w:tcW w:w="1317" w:type="dxa"/>
                  <w:vMerge w:val="continue"/>
                  <w:vAlign w:val="center"/>
                </w:tcPr>
                <w:p>
                  <w:pPr>
                    <w:pStyle w:val="81"/>
                    <w:rPr>
                      <w:color w:val="000000" w:themeColor="text1"/>
                      <w:szCs w:val="21"/>
                      <w14:textFill>
                        <w14:solidFill>
                          <w14:schemeClr w14:val="tx1"/>
                        </w14:solidFill>
                      </w14:textFill>
                    </w:rPr>
                  </w:pPr>
                </w:p>
              </w:tc>
              <w:tc>
                <w:tcPr>
                  <w:tcW w:w="1055" w:type="dxa"/>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夜间</w:t>
                  </w:r>
                </w:p>
              </w:tc>
              <w:tc>
                <w:tcPr>
                  <w:tcW w:w="871" w:type="dxa"/>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50</w:t>
                  </w:r>
                </w:p>
              </w:tc>
              <w:tc>
                <w:tcPr>
                  <w:tcW w:w="1130" w:type="dxa"/>
                  <w:vMerge w:val="continue"/>
                  <w:vAlign w:val="center"/>
                </w:tcPr>
                <w:p>
                  <w:pPr>
                    <w:pStyle w:val="81"/>
                    <w:rPr>
                      <w:color w:val="000000" w:themeColor="text1"/>
                      <w:szCs w:val="21"/>
                      <w14:textFill>
                        <w14:solidFill>
                          <w14:schemeClr w14:val="tx1"/>
                        </w14:solidFill>
                      </w14:textFill>
                    </w:rPr>
                  </w:pPr>
                </w:p>
              </w:tc>
              <w:tc>
                <w:tcPr>
                  <w:tcW w:w="3528" w:type="dxa"/>
                  <w:vMerge w:val="continue"/>
                  <w:vAlign w:val="center"/>
                </w:tcPr>
                <w:p>
                  <w:pPr>
                    <w:pStyle w:val="81"/>
                    <w:rPr>
                      <w:color w:val="000000" w:themeColor="text1"/>
                      <w:szCs w:val="21"/>
                      <w14:textFill>
                        <w14:solidFill>
                          <w14:schemeClr w14:val="tx1"/>
                        </w14:solidFill>
                      </w14:textFill>
                    </w:rPr>
                  </w:pPr>
                </w:p>
              </w:tc>
            </w:tr>
          </w:tbl>
          <w:p>
            <w:pPr>
              <w:adjustRightInd w:val="0"/>
              <w:snapToGrid w:val="0"/>
              <w:spacing w:line="480" w:lineRule="exact"/>
              <w:ind w:firstLine="480" w:firstLineChars="200"/>
              <w:rPr>
                <w:rFonts w:hint="default"/>
                <w:color w:val="000000" w:themeColor="text1"/>
                <w:sz w:val="24"/>
                <w:lang w:val="en-US" w:eastAsia="zh-CN"/>
                <w14:textFill>
                  <w14:solidFill>
                    <w14:schemeClr w14:val="tx1"/>
                  </w14:solidFill>
                </w14:textFill>
              </w:rPr>
            </w:pP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3</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固废</w:t>
            </w:r>
          </w:p>
          <w:p>
            <w:pPr>
              <w:adjustRightInd w:val="0"/>
              <w:snapToGrid w:val="0"/>
              <w:spacing w:line="480" w:lineRule="exact"/>
              <w:ind w:firstLine="480" w:firstLineChars="200"/>
              <w:rPr>
                <w:rFonts w:hint="eastAsia" w:eastAsia="宋体"/>
                <w:color w:val="000000" w:themeColor="text1"/>
                <w:sz w:val="24"/>
                <w:lang w:eastAsia="zh-CN"/>
                <w14:textFill>
                  <w14:solidFill>
                    <w14:schemeClr w14:val="tx1"/>
                  </w14:solidFill>
                </w14:textFill>
              </w:rPr>
            </w:pPr>
            <w:r>
              <w:rPr>
                <w:color w:val="000000" w:themeColor="text1"/>
                <w:sz w:val="24"/>
                <w14:textFill>
                  <w14:solidFill>
                    <w14:schemeClr w14:val="tx1"/>
                  </w14:solidFill>
                </w14:textFill>
              </w:rPr>
              <w:t>一般固体废物执行《中华人民共和国固体废物污染环境防治法》（2020年9月1日实施）中的相关规定及《一般工业固体废物贮存和填埋污染控制标准》（GB18599-2020）要求</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危险废物执行《危险废物贮存污染控制标准》（GB18597-2023）</w:t>
            </w:r>
            <w:r>
              <w:rPr>
                <w:color w:val="000000" w:themeColor="text1"/>
                <w:sz w:val="24"/>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总量</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控制</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指标</w:t>
            </w:r>
          </w:p>
        </w:tc>
        <w:tc>
          <w:tcPr>
            <w:tcW w:w="9586" w:type="dxa"/>
            <w:vAlign w:val="center"/>
          </w:tcPr>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根据《关于印发&lt;建设项目主要污染物排放总量指标审核及管理暂行办法&gt;的通知》（环发[2014]197号），总量控制因子确定为：SO</w:t>
            </w:r>
            <w:r>
              <w:rPr>
                <w:color w:val="000000" w:themeColor="text1"/>
                <w:sz w:val="24"/>
                <w:vertAlign w:val="subscript"/>
                <w14:textFill>
                  <w14:solidFill>
                    <w14:schemeClr w14:val="tx1"/>
                  </w14:solidFill>
                </w14:textFill>
              </w:rPr>
              <w:t>2</w:t>
            </w:r>
            <w:r>
              <w:rPr>
                <w:color w:val="000000" w:themeColor="text1"/>
                <w:sz w:val="24"/>
                <w14:textFill>
                  <w14:solidFill>
                    <w14:schemeClr w14:val="tx1"/>
                  </w14:solidFill>
                </w14:textFill>
              </w:rPr>
              <w:t>、NO</w:t>
            </w:r>
            <w:r>
              <w:rPr>
                <w:color w:val="000000" w:themeColor="text1"/>
                <w:sz w:val="24"/>
                <w:vertAlign w:val="subscript"/>
                <w14:textFill>
                  <w14:solidFill>
                    <w14:schemeClr w14:val="tx1"/>
                  </w14:solidFill>
                </w14:textFill>
              </w:rPr>
              <w:t>X</w:t>
            </w:r>
            <w:r>
              <w:rPr>
                <w:color w:val="000000" w:themeColor="text1"/>
                <w:sz w:val="24"/>
                <w14:textFill>
                  <w14:solidFill>
                    <w14:schemeClr w14:val="tx1"/>
                  </w14:solidFill>
                </w14:textFill>
              </w:rPr>
              <w:t>、COD、NH</w:t>
            </w:r>
            <w:r>
              <w:rPr>
                <w:color w:val="000000" w:themeColor="text1"/>
                <w:sz w:val="24"/>
                <w:vertAlign w:val="subscript"/>
                <w14:textFill>
                  <w14:solidFill>
                    <w14:schemeClr w14:val="tx1"/>
                  </w14:solidFill>
                </w14:textFill>
              </w:rPr>
              <w:t>3</w:t>
            </w:r>
            <w:r>
              <w:rPr>
                <w:color w:val="000000" w:themeColor="text1"/>
                <w:sz w:val="24"/>
                <w14:textFill>
                  <w14:solidFill>
                    <w14:schemeClr w14:val="tx1"/>
                  </w14:solidFill>
                </w14:textFill>
              </w:rPr>
              <w:t>-N。</w:t>
            </w:r>
          </w:p>
          <w:p>
            <w:pPr>
              <w:pStyle w:val="45"/>
              <w:numPr>
                <w:ilvl w:val="0"/>
                <w:numId w:val="16"/>
              </w:numPr>
              <w:adjustRightInd w:val="0"/>
              <w:snapToGrid w:val="0"/>
              <w:spacing w:line="480" w:lineRule="exact"/>
              <w:ind w:firstLineChars="0"/>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废水</w:t>
            </w:r>
            <w:r>
              <w:rPr>
                <w:color w:val="000000" w:themeColor="text1"/>
                <w:sz w:val="24"/>
                <w14:textFill>
                  <w14:solidFill>
                    <w14:schemeClr w14:val="tx1"/>
                  </w14:solidFill>
                </w14:textFill>
              </w:rPr>
              <w:t>污染物总量控制目标值的确定</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本项目运营期</w:t>
            </w:r>
            <w:r>
              <w:rPr>
                <w:rFonts w:hint="eastAsia"/>
                <w:color w:val="000000" w:themeColor="text1"/>
                <w:sz w:val="24"/>
                <w:lang w:val="en-US" w:eastAsia="zh-CN"/>
                <w14:textFill>
                  <w14:solidFill>
                    <w14:schemeClr w14:val="tx1"/>
                  </w14:solidFill>
                </w14:textFill>
              </w:rPr>
              <w:t>不涉及COD、氨氮</w:t>
            </w:r>
            <w:r>
              <w:rPr>
                <w:rFonts w:hint="eastAsia"/>
                <w:color w:val="000000" w:themeColor="text1"/>
                <w:sz w:val="24"/>
                <w:vertAlign w:val="baseline"/>
                <w:lang w:val="en-US" w:eastAsia="zh-CN"/>
                <w14:textFill>
                  <w14:solidFill>
                    <w14:schemeClr w14:val="tx1"/>
                  </w14:solidFill>
                </w14:textFill>
              </w:rPr>
              <w:t>的排放，</w:t>
            </w:r>
            <w:r>
              <w:rPr>
                <w:rFonts w:hint="eastAsia"/>
                <w:color w:val="000000" w:themeColor="text1"/>
                <w:sz w:val="24"/>
                <w14:textFill>
                  <w14:solidFill>
                    <w14:schemeClr w14:val="tx1"/>
                  </w14:solidFill>
                </w14:textFill>
              </w:rPr>
              <w:t>不设</w:t>
            </w:r>
            <w:r>
              <w:rPr>
                <w:rFonts w:hint="eastAsia"/>
                <w:color w:val="000000" w:themeColor="text1"/>
                <w:sz w:val="24"/>
                <w:lang w:val="en-US" w:eastAsia="zh-CN"/>
                <w14:textFill>
                  <w14:solidFill>
                    <w14:schemeClr w14:val="tx1"/>
                  </w14:solidFill>
                </w14:textFill>
              </w:rPr>
              <w:t>废水</w:t>
            </w:r>
            <w:r>
              <w:rPr>
                <w:rFonts w:hint="eastAsia"/>
                <w:color w:val="000000" w:themeColor="text1"/>
                <w:sz w:val="24"/>
                <w14:textFill>
                  <w14:solidFill>
                    <w14:schemeClr w14:val="tx1"/>
                  </w14:solidFill>
                </w14:textFill>
              </w:rPr>
              <w:t>总量控制指标。</w:t>
            </w:r>
          </w:p>
          <w:p>
            <w:pPr>
              <w:pStyle w:val="45"/>
              <w:numPr>
                <w:ilvl w:val="0"/>
                <w:numId w:val="16"/>
              </w:numPr>
              <w:adjustRightInd w:val="0"/>
              <w:snapToGrid w:val="0"/>
              <w:spacing w:line="480" w:lineRule="exact"/>
              <w:ind w:firstLineChars="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废</w:t>
            </w:r>
            <w:r>
              <w:rPr>
                <w:rFonts w:hint="eastAsia"/>
                <w:color w:val="000000" w:themeColor="text1"/>
                <w:sz w:val="24"/>
                <w:highlight w:val="none"/>
                <w:lang w:val="en-US" w:eastAsia="zh-CN"/>
                <w14:textFill>
                  <w14:solidFill>
                    <w14:schemeClr w14:val="tx1"/>
                  </w14:solidFill>
                </w14:textFill>
              </w:rPr>
              <w:t>气</w:t>
            </w:r>
            <w:r>
              <w:rPr>
                <w:color w:val="000000" w:themeColor="text1"/>
                <w:sz w:val="24"/>
                <w:highlight w:val="none"/>
                <w14:textFill>
                  <w14:solidFill>
                    <w14:schemeClr w14:val="tx1"/>
                  </w14:solidFill>
                </w14:textFill>
              </w:rPr>
              <w:t>污染物总量控制目标值的确定</w:t>
            </w:r>
          </w:p>
          <w:p>
            <w:pPr>
              <w:adjustRightInd w:val="0"/>
              <w:snapToGrid w:val="0"/>
              <w:spacing w:line="480" w:lineRule="exact"/>
              <w:ind w:firstLine="480" w:firstLineChars="200"/>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根据国家环境保护部关于印发《建设项目主要污染物排放总量指标审核及管理暂行办法》的通知（环发[2014]197 号）的要求，核定允许排放总量控制指标。总量控制因子确定为：</w:t>
            </w:r>
            <w:r>
              <w:rPr>
                <w:rFonts w:hint="eastAsia"/>
                <w:color w:val="000000" w:themeColor="text1"/>
                <w:sz w:val="24"/>
                <w:lang w:val="en-US" w:eastAsia="zh-CN"/>
                <w14:textFill>
                  <w14:solidFill>
                    <w14:schemeClr w14:val="tx1"/>
                  </w14:solidFill>
                </w14:textFill>
              </w:rPr>
              <w:t>SO</w:t>
            </w:r>
            <w:r>
              <w:rPr>
                <w:rFonts w:hint="eastAsia"/>
                <w:color w:val="000000" w:themeColor="text1"/>
                <w:sz w:val="24"/>
                <w:vertAlign w:val="subscript"/>
                <w:lang w:val="en-US" w:eastAsia="zh-CN"/>
                <w14:textFill>
                  <w14:solidFill>
                    <w14:schemeClr w14:val="tx1"/>
                  </w14:solidFill>
                </w14:textFill>
              </w:rPr>
              <w:t>2</w:t>
            </w:r>
            <w:r>
              <w:rPr>
                <w:rFonts w:hint="eastAsia"/>
                <w:color w:val="000000" w:themeColor="text1"/>
                <w:sz w:val="24"/>
                <w:lang w:val="en-US" w:eastAsia="zh-CN"/>
                <w14:textFill>
                  <w14:solidFill>
                    <w14:schemeClr w14:val="tx1"/>
                  </w14:solidFill>
                </w14:textFill>
              </w:rPr>
              <w:t>、NOx、VOCs、颗粒物</w:t>
            </w:r>
            <w:r>
              <w:rPr>
                <w:rFonts w:hint="eastAsia"/>
                <w:color w:val="000000" w:themeColor="text1"/>
                <w:sz w:val="24"/>
                <w14:textFill>
                  <w14:solidFill>
                    <w14:schemeClr w14:val="tx1"/>
                  </w14:solidFill>
                </w14:textFill>
              </w:rPr>
              <w:t>。</w:t>
            </w:r>
          </w:p>
          <w:p>
            <w:pPr>
              <w:pStyle w:val="2"/>
              <w:ind w:left="433" w:leftChars="202" w:hanging="9" w:hangingChars="4"/>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拟建项目</w:t>
            </w:r>
            <w:r>
              <w:rPr>
                <w:rFonts w:hint="eastAsia" w:eastAsia="宋体" w:cs="Times New Roman"/>
                <w:b w:val="0"/>
                <w:bCs w:val="0"/>
                <w:color w:val="000000" w:themeColor="text1"/>
                <w:kern w:val="2"/>
                <w:sz w:val="24"/>
                <w:szCs w:val="24"/>
                <w:lang w:val="en-US" w:eastAsia="zh-CN" w:bidi="ar-SA"/>
                <w14:textFill>
                  <w14:solidFill>
                    <w14:schemeClr w14:val="tx1"/>
                  </w14:solidFill>
                </w14:textFill>
              </w:rPr>
              <w:t>废气污染物</w:t>
            </w: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总量建议值</w:t>
            </w:r>
            <w:r>
              <w:rPr>
                <w:rFonts w:hint="eastAsia" w:eastAsia="宋体" w:cs="Times New Roman"/>
                <w:b w:val="0"/>
                <w:bCs w:val="0"/>
                <w:color w:val="000000" w:themeColor="text1"/>
                <w:kern w:val="2"/>
                <w:sz w:val="24"/>
                <w:szCs w:val="24"/>
                <w:lang w:val="en-US" w:eastAsia="zh-CN" w:bidi="ar-SA"/>
                <w14:textFill>
                  <w14:solidFill>
                    <w14:schemeClr w14:val="tx1"/>
                  </w14:solidFill>
                </w14:textFill>
              </w:rPr>
              <w:t>核算</w:t>
            </w: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见下表。</w:t>
            </w:r>
          </w:p>
          <w:p>
            <w:pPr>
              <w:pStyle w:val="120"/>
              <w:numPr>
                <w:ilvl w:val="0"/>
                <w:numId w:val="14"/>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总量控制指标核算一览表 单位：t/a</w:t>
            </w:r>
          </w:p>
          <w:tbl>
            <w:tblPr>
              <w:tblStyle w:val="43"/>
              <w:tblW w:w="9370"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26"/>
              <w:gridCol w:w="1304"/>
              <w:gridCol w:w="888"/>
              <w:gridCol w:w="1352"/>
              <w:gridCol w:w="1156"/>
              <w:gridCol w:w="1360"/>
              <w:gridCol w:w="288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1730" w:type="dxa"/>
                  <w:gridSpan w:val="2"/>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项目</w:t>
                  </w: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污染因子</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标准值/排放浓度</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废气量（m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/a）</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总量建议值（t/a）</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536" w:hRule="atLeast"/>
              </w:trPr>
              <w:tc>
                <w:tcPr>
                  <w:tcW w:w="426"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w:t>
                  </w: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加热、</w:t>
                  </w:r>
                  <w:r>
                    <w:rPr>
                      <w:rFonts w:hint="eastAsia" w:cs="Times New Roman"/>
                      <w:color w:val="000000" w:themeColor="text1"/>
                      <w:szCs w:val="21"/>
                      <w:highlight w:val="none"/>
                      <w:lang w:val="en-US" w:eastAsia="zh-CN"/>
                      <w14:textFill>
                        <w14:solidFill>
                          <w14:schemeClr w14:val="tx1"/>
                        </w14:solidFill>
                      </w14:textFill>
                    </w:rPr>
                    <w:t>燃烧机燃烧废气</w:t>
                  </w: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200mg/m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restart"/>
                  <w:tcBorders>
                    <w:tl2br w:val="nil"/>
                    <w:tr2bl w:val="nil"/>
                  </w:tcBorders>
                  <w:vAlign w:val="center"/>
                </w:tcPr>
                <w:p>
                  <w:pPr>
                    <w:pStyle w:val="81"/>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8704000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1.7408</w:t>
                  </w:r>
                </w:p>
              </w:tc>
              <w:tc>
                <w:tcPr>
                  <w:tcW w:w="288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default"/>
                      <w:color w:val="000000" w:themeColor="text1"/>
                      <w:szCs w:val="21"/>
                      <w:lang w:val="en-US" w:eastAsia="zh-CN"/>
                      <w14:textFill>
                        <w14:solidFill>
                          <w14:schemeClr w14:val="tx1"/>
                        </w14:solidFill>
                      </w14:textFill>
                    </w:rPr>
                    <w:t>《工业炉窑大气污染物排放标准》(DB13/1640-2012)要求及《工业炉窑大气污染综合治理方案》（环大气[2019]56号）的要求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300mg/m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2.6112</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241" w:hRule="atLeast"/>
              </w:trPr>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导热油炉</w:t>
                  </w:r>
                </w:p>
              </w:tc>
              <w:tc>
                <w:tcPr>
                  <w:tcW w:w="888" w:type="dxa"/>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991200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0.010</w:t>
                  </w:r>
                </w:p>
              </w:tc>
              <w:tc>
                <w:tcPr>
                  <w:tcW w:w="288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r>
                    <w:rPr>
                      <w:rFonts w:hint="default"/>
                      <w:color w:val="000000" w:themeColor="text1"/>
                      <w:szCs w:val="21"/>
                      <w:lang w:val="en-US" w:eastAsia="zh-CN"/>
                      <w14:textFill>
                        <w14:solidFill>
                          <w14:schemeClr w14:val="tx1"/>
                        </w14:solidFill>
                      </w14:textFill>
                    </w:rPr>
                    <w:t>锅炉大气污染物排放标准》（DB13/5161-2020）表1燃气锅炉排放限值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888" w:type="dxa"/>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0.030</w:t>
                  </w:r>
                </w:p>
              </w:tc>
              <w:tc>
                <w:tcPr>
                  <w:tcW w:w="288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546" w:hRule="atLeast"/>
              </w:trPr>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搅拌、沥青储罐废气</w:t>
                  </w: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VOCs</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0.4056mg/m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51840000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0.0211</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上料和筛分</w:t>
                  </w:r>
                  <w:r>
                    <w:rPr>
                      <w:rFonts w:hint="eastAsia" w:cs="Times New Roman"/>
                      <w:color w:val="000000" w:themeColor="text1"/>
                      <w:kern w:val="0"/>
                      <w:szCs w:val="21"/>
                      <w:highlight w:val="none"/>
                      <w:lang w:val="en-US" w:eastAsia="zh-CN"/>
                      <w14:textFill>
                        <w14:solidFill>
                          <w14:schemeClr w14:val="tx1"/>
                        </w14:solidFill>
                      </w14:textFill>
                    </w:rPr>
                    <w:t>废气</w:t>
                  </w:r>
                </w:p>
              </w:tc>
              <w:tc>
                <w:tcPr>
                  <w:tcW w:w="888" w:type="dxa"/>
                  <w:vMerge w:val="restart"/>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颗粒物</w:t>
                  </w:r>
                </w:p>
              </w:tc>
              <w:tc>
                <w:tcPr>
                  <w:tcW w:w="1352"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2.933mg/m</w:t>
                  </w:r>
                  <w:r>
                    <w:rPr>
                      <w:rFonts w:hint="eastAsia"/>
                      <w:color w:val="000000" w:themeColor="text1"/>
                      <w:szCs w:val="21"/>
                      <w:highlight w:val="none"/>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21600000</w:t>
                  </w:r>
                </w:p>
              </w:tc>
              <w:tc>
                <w:tcPr>
                  <w:tcW w:w="1360"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0.064</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81"/>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加热、</w:t>
                  </w:r>
                  <w:r>
                    <w:rPr>
                      <w:rFonts w:hint="eastAsia" w:cs="Times New Roman"/>
                      <w:color w:val="000000" w:themeColor="text1"/>
                      <w:szCs w:val="21"/>
                      <w:highlight w:val="none"/>
                      <w:lang w:val="en-US" w:eastAsia="zh-CN"/>
                      <w14:textFill>
                        <w14:solidFill>
                          <w14:schemeClr w14:val="tx1"/>
                        </w14:solidFill>
                      </w14:textFill>
                    </w:rPr>
                    <w:t>燃烧机燃烧废气</w:t>
                  </w:r>
                </w:p>
              </w:tc>
              <w:tc>
                <w:tcPr>
                  <w:tcW w:w="888" w:type="dxa"/>
                  <w:vMerge w:val="continue"/>
                  <w:tcBorders>
                    <w:tl2br w:val="nil"/>
                    <w:tr2bl w:val="nil"/>
                  </w:tcBorders>
                  <w:vAlign w:val="center"/>
                </w:tcPr>
                <w:p>
                  <w:pPr>
                    <w:pStyle w:val="81"/>
                    <w:rPr>
                      <w:rFonts w:hint="eastAsia"/>
                      <w:color w:val="000000" w:themeColor="text1"/>
                      <w:szCs w:val="21"/>
                      <w:highlight w:val="none"/>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4.136</w:t>
                  </w:r>
                </w:p>
              </w:tc>
              <w:tc>
                <w:tcPr>
                  <w:tcW w:w="1156" w:type="dxa"/>
                  <w:tcBorders>
                    <w:tl2br w:val="nil"/>
                    <w:tr2bl w:val="nil"/>
                  </w:tcBorders>
                  <w:vAlign w:val="center"/>
                </w:tcPr>
                <w:p>
                  <w:pPr>
                    <w:pStyle w:val="81"/>
                    <w:rPr>
                      <w:rFonts w:hint="eastAsia"/>
                      <w:color w:val="000000" w:themeColor="text1"/>
                      <w:szCs w:val="21"/>
                      <w:highlight w:val="yellow"/>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8704000</w:t>
                  </w:r>
                </w:p>
              </w:tc>
              <w:tc>
                <w:tcPr>
                  <w:tcW w:w="1360"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0.036</w:t>
                  </w:r>
                </w:p>
              </w:tc>
              <w:tc>
                <w:tcPr>
                  <w:tcW w:w="2884"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199"/>
                    <w:rPr>
                      <w:rFonts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矿粉</w:t>
                  </w:r>
                  <w:r>
                    <w:rPr>
                      <w:rFonts w:cs="Times New Roman"/>
                      <w:color w:val="000000" w:themeColor="text1"/>
                      <w:szCs w:val="21"/>
                      <w14:textFill>
                        <w14:solidFill>
                          <w14:schemeClr w14:val="tx1"/>
                        </w14:solidFill>
                      </w14:textFill>
                    </w:rPr>
                    <w:t>仓</w:t>
                  </w:r>
                </w:p>
                <w:p>
                  <w:pPr>
                    <w:pStyle w:val="199"/>
                    <w:rPr>
                      <w:rFonts w:hint="eastAsia"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color w:val="000000" w:themeColor="text1"/>
                      <w:szCs w:val="23"/>
                      <w:lang w:val="en-US" w:eastAsia="zh-CN"/>
                      <w14:textFill>
                        <w14:solidFill>
                          <w14:schemeClr w14:val="tx1"/>
                        </w14:solidFill>
                      </w14:textFill>
                    </w:rPr>
                    <w:t>废气</w:t>
                  </w: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46250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0.000185</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199"/>
                    <w:rPr>
                      <w:rFonts w:hint="eastAsia"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导热油炉废气</w:t>
                  </w: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3.3mg/m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991200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0.0033</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合计</w:t>
                  </w:r>
                </w:p>
              </w:tc>
              <w:tc>
                <w:tcPr>
                  <w:tcW w:w="3396" w:type="dxa"/>
                  <w:gridSpan w:val="3"/>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1.7508</w:t>
                  </w:r>
                </w:p>
              </w:tc>
              <w:tc>
                <w:tcPr>
                  <w:tcW w:w="288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2.6412</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VOCs</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0.0211</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颗粒物</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0.103485</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bl>
          <w:p>
            <w:pPr>
              <w:spacing w:line="480" w:lineRule="exact"/>
              <w:ind w:firstLine="480" w:firstLineChars="200"/>
              <w:rPr>
                <w:rFonts w:hint="eastAsia"/>
                <w:color w:val="000000" w:themeColor="text1"/>
                <w:sz w:val="24"/>
                <w:lang w:eastAsia="zh-CN"/>
                <w14:textFill>
                  <w14:solidFill>
                    <w14:schemeClr w14:val="tx1"/>
                  </w14:solidFill>
                </w14:textFill>
              </w:rPr>
            </w:pPr>
            <w:r>
              <w:rPr>
                <w:rFonts w:hint="eastAsia"/>
                <w:color w:val="000000" w:themeColor="text1"/>
                <w:sz w:val="24"/>
                <w:lang w:eastAsia="zh-CN"/>
                <w14:textFill>
                  <w14:solidFill>
                    <w14:schemeClr w14:val="tx1"/>
                  </w14:solidFill>
                </w14:textFill>
              </w:rPr>
              <w:t>因此，拟建项目</w:t>
            </w:r>
            <w:r>
              <w:rPr>
                <w:rFonts w:hint="eastAsia"/>
                <w:color w:val="000000" w:themeColor="text1"/>
                <w:sz w:val="24"/>
                <w:lang w:val="en-US" w:eastAsia="zh-CN"/>
                <w14:textFill>
                  <w14:solidFill>
                    <w14:schemeClr w14:val="tx1"/>
                  </w14:solidFill>
                </w14:textFill>
              </w:rPr>
              <w:t>新增</w:t>
            </w:r>
            <w:r>
              <w:rPr>
                <w:rFonts w:hint="eastAsia"/>
                <w:color w:val="000000" w:themeColor="text1"/>
                <w:sz w:val="24"/>
                <w:lang w:eastAsia="zh-CN"/>
                <w14:textFill>
                  <w14:solidFill>
                    <w14:schemeClr w14:val="tx1"/>
                  </w14:solidFill>
                </w14:textFill>
              </w:rPr>
              <w:t>总量控制建议值为：</w:t>
            </w:r>
            <w:r>
              <w:rPr>
                <w:rFonts w:hint="eastAsia"/>
                <w:color w:val="000000" w:themeColor="text1"/>
                <w:sz w:val="24"/>
                <w:lang w:val="en-US" w:eastAsia="zh-CN"/>
                <w14:textFill>
                  <w14:solidFill>
                    <w14:schemeClr w14:val="tx1"/>
                  </w14:solidFill>
                </w14:textFill>
              </w:rPr>
              <w:t>SO</w:t>
            </w:r>
            <w:r>
              <w:rPr>
                <w:rFonts w:hint="eastAsia"/>
                <w:color w:val="000000" w:themeColor="text1"/>
                <w:sz w:val="24"/>
                <w:vertAlign w:val="subscript"/>
                <w:lang w:val="en-US" w:eastAsia="zh-CN"/>
                <w14:textFill>
                  <w14:solidFill>
                    <w14:schemeClr w14:val="tx1"/>
                  </w14:solidFill>
                </w14:textFill>
              </w:rPr>
              <w:t>2</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1.7508</w:t>
            </w:r>
            <w:r>
              <w:rPr>
                <w:rFonts w:hint="eastAsia"/>
                <w:color w:val="000000" w:themeColor="text1"/>
                <w:sz w:val="24"/>
                <w:lang w:eastAsia="zh-CN"/>
                <w14:textFill>
                  <w14:solidFill>
                    <w14:schemeClr w14:val="tx1"/>
                  </w14:solidFill>
                </w14:textFill>
              </w:rPr>
              <w:t>t/a、</w:t>
            </w:r>
            <w:r>
              <w:rPr>
                <w:rFonts w:hint="eastAsia"/>
                <w:color w:val="000000" w:themeColor="text1"/>
                <w:sz w:val="24"/>
                <w:lang w:val="en-US" w:eastAsia="zh-CN"/>
                <w14:textFill>
                  <w14:solidFill>
                    <w14:schemeClr w14:val="tx1"/>
                  </w14:solidFill>
                </w14:textFill>
              </w:rPr>
              <w:t>NOx</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2.6412</w:t>
            </w:r>
            <w:r>
              <w:rPr>
                <w:rFonts w:hint="eastAsia"/>
                <w:color w:val="000000" w:themeColor="text1"/>
                <w:sz w:val="24"/>
                <w:lang w:eastAsia="zh-CN"/>
                <w14:textFill>
                  <w14:solidFill>
                    <w14:schemeClr w14:val="tx1"/>
                  </w14:solidFill>
                </w14:textFill>
              </w:rPr>
              <w:t>t/a、</w:t>
            </w:r>
            <w:r>
              <w:rPr>
                <w:rFonts w:hint="eastAsia"/>
                <w:color w:val="000000" w:themeColor="text1"/>
                <w:sz w:val="24"/>
                <w:lang w:val="en-US" w:eastAsia="zh-CN"/>
                <w14:textFill>
                  <w14:solidFill>
                    <w14:schemeClr w14:val="tx1"/>
                  </w14:solidFill>
                </w14:textFill>
              </w:rPr>
              <w:t>VOCs：0.0211t/a、颗粒物：0.103485t/a</w:t>
            </w:r>
            <w:r>
              <w:rPr>
                <w:rFonts w:hint="eastAsia"/>
                <w:color w:val="000000" w:themeColor="text1"/>
                <w:sz w:val="24"/>
                <w:lang w:eastAsia="zh-CN"/>
                <w14:textFill>
                  <w14:solidFill>
                    <w14:schemeClr w14:val="tx1"/>
                  </w14:solidFill>
                </w14:textFill>
              </w:rPr>
              <w:t>。</w:t>
            </w:r>
          </w:p>
          <w:p>
            <w:pPr>
              <w:adjustRightInd w:val="0"/>
              <w:snapToGrid w:val="0"/>
              <w:spacing w:line="480" w:lineRule="exact"/>
              <w:ind w:firstLine="480" w:firstLineChars="200"/>
              <w:rPr>
                <w:rFonts w:hint="eastAsia" w:eastAsia="宋体"/>
                <w:color w:val="000000" w:themeColor="text1"/>
                <w:sz w:val="24"/>
                <w:lang w:eastAsia="zh-CN"/>
                <w14:textFill>
                  <w14:solidFill>
                    <w14:schemeClr w14:val="tx1"/>
                  </w14:solidFill>
                </w14:textFill>
              </w:rPr>
            </w:pPr>
          </w:p>
          <w:p>
            <w:pPr>
              <w:pStyle w:val="15"/>
              <w:rPr>
                <w:rFonts w:hint="eastAsia" w:eastAsia="宋体"/>
                <w:color w:val="000000" w:themeColor="text1"/>
                <w:sz w:val="24"/>
                <w:lang w:eastAsia="zh-CN"/>
                <w14:textFill>
                  <w14:solidFill>
                    <w14:schemeClr w14:val="tx1"/>
                  </w14:solidFill>
                </w14:textFill>
              </w:rPr>
            </w:pPr>
          </w:p>
          <w:p>
            <w:pPr>
              <w:pStyle w:val="52"/>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tc>
      </w:tr>
    </w:tbl>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四、主要环境影响和保护措施</w:t>
      </w:r>
    </w:p>
    <w:tbl>
      <w:tblPr>
        <w:tblStyle w:val="42"/>
        <w:tblpPr w:leftFromText="180" w:rightFromText="180" w:vertAnchor="text" w:tblpXSpec="center" w:tblpY="1"/>
        <w:tblOverlap w:val="never"/>
        <w:tblW w:w="1004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04"/>
        <w:gridCol w:w="96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619" w:hRule="atLeast"/>
          <w:jc w:val="center"/>
        </w:trPr>
        <w:tc>
          <w:tcPr>
            <w:tcW w:w="404" w:type="dxa"/>
            <w:tcMar>
              <w:left w:w="28" w:type="dxa"/>
              <w:right w:w="28" w:type="dxa"/>
            </w:tcMar>
            <w:vAlign w:val="center"/>
          </w:tcPr>
          <w:p>
            <w:pPr>
              <w:pStyle w:val="32"/>
              <w:adjustRightInd w:val="0"/>
              <w:snapToGrid w:val="0"/>
              <w:spacing w:before="0" w:beforeAutospacing="0" w:after="0" w:afterAutospacing="0" w:line="480" w:lineRule="exact"/>
              <w:jc w:val="center"/>
              <w:rPr>
                <w:rFonts w:ascii="Times New Roman" w:hAnsi="Times New Roman"/>
                <w:bCs/>
                <w:color w:val="000000" w:themeColor="text1"/>
                <w:kern w:val="2"/>
                <w:szCs w:val="24"/>
                <w14:textFill>
                  <w14:solidFill>
                    <w14:schemeClr w14:val="tx1"/>
                  </w14:solidFill>
                </w14:textFill>
              </w:rPr>
            </w:pPr>
            <w:r>
              <w:rPr>
                <w:rFonts w:ascii="Times New Roman" w:hAnsi="Times New Roman"/>
                <w:color w:val="000000" w:themeColor="text1"/>
                <w:kern w:val="2"/>
                <w:szCs w:val="24"/>
                <w14:textFill>
                  <w14:solidFill>
                    <w14:schemeClr w14:val="tx1"/>
                  </w14:solidFill>
                </w14:textFill>
              </w:rPr>
              <w:t>施工期环境保护措施</w:t>
            </w:r>
          </w:p>
        </w:tc>
        <w:tc>
          <w:tcPr>
            <w:tcW w:w="9636" w:type="dxa"/>
            <w:vAlign w:val="center"/>
          </w:tcPr>
          <w:p>
            <w:pPr>
              <w:autoSpaceDE w:val="0"/>
              <w:autoSpaceDN w:val="0"/>
              <w:adjustRightInd w:val="0"/>
              <w:snapToGrid w:val="0"/>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w:t>本项目位于</w:t>
            </w:r>
            <w:r>
              <w:rPr>
                <w:rFonts w:hint="eastAsia"/>
                <w:color w:val="000000" w:themeColor="text1"/>
                <w:sz w:val="24"/>
                <w:highlight w:val="none"/>
                <w:u w:val="none"/>
                <w:lang w:val="en-US" w:eastAsia="zh-CN"/>
                <w14:textFill>
                  <w14:solidFill>
                    <w14:schemeClr w14:val="tx1"/>
                  </w14:solidFill>
                </w14:textFill>
              </w:rPr>
              <w:t>石家庄</w:t>
            </w:r>
            <w:r>
              <w:rPr>
                <w:color w:val="000000" w:themeColor="text1"/>
                <w:sz w:val="24"/>
                <w:highlight w:val="none"/>
                <w:u w:val="none"/>
                <w14:textFill>
                  <w14:solidFill>
                    <w14:schemeClr w14:val="tx1"/>
                  </w14:solidFill>
                </w14:textFill>
              </w:rPr>
              <w:t>市</w:t>
            </w:r>
            <w:r>
              <w:rPr>
                <w:rFonts w:hint="eastAsia"/>
                <w:color w:val="000000" w:themeColor="text1"/>
                <w:sz w:val="24"/>
                <w:highlight w:val="none"/>
                <w:u w:val="none"/>
                <w:lang w:val="en-US" w:eastAsia="zh-CN"/>
                <w14:textFill>
                  <w14:solidFill>
                    <w14:schemeClr w14:val="tx1"/>
                  </w14:solidFill>
                </w14:textFill>
              </w:rPr>
              <w:t>高邑县107国道与中韩公路交口东南角</w:t>
            </w:r>
            <w:r>
              <w:rPr>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河北储歌新能源科技</w:t>
            </w:r>
            <w:r>
              <w:rPr>
                <w:color w:val="000000" w:themeColor="text1"/>
                <w:sz w:val="24"/>
                <w:highlight w:val="none"/>
                <w14:textFill>
                  <w14:solidFill>
                    <w14:schemeClr w14:val="tx1"/>
                  </w14:solidFill>
                </w14:textFill>
              </w:rPr>
              <w:t>有限公司现有</w:t>
            </w:r>
            <w:r>
              <w:rPr>
                <w:rFonts w:hint="eastAsia"/>
                <w:color w:val="000000" w:themeColor="text1"/>
                <w:sz w:val="24"/>
                <w:highlight w:val="none"/>
                <w:lang w:val="en-US" w:eastAsia="zh-CN"/>
                <w14:textFill>
                  <w14:solidFill>
                    <w14:schemeClr w14:val="tx1"/>
                  </w14:solidFill>
                </w14:textFill>
              </w:rPr>
              <w:t>车间</w:t>
            </w:r>
            <w:r>
              <w:rPr>
                <w:color w:val="000000" w:themeColor="text1"/>
                <w:sz w:val="24"/>
                <w:highlight w:val="none"/>
                <w14:textFill>
                  <w14:solidFill>
                    <w14:schemeClr w14:val="tx1"/>
                  </w14:solidFill>
                </w14:textFill>
              </w:rPr>
              <w:t>内，主体建构筑物已建成，</w:t>
            </w:r>
            <w:r>
              <w:rPr>
                <w:rFonts w:hint="eastAsia"/>
                <w:color w:val="000000" w:themeColor="text1"/>
                <w:sz w:val="24"/>
                <w:highlight w:val="none"/>
                <w14:textFill>
                  <w14:solidFill>
                    <w14:schemeClr w14:val="tx1"/>
                  </w14:solidFill>
                </w14:textFill>
              </w:rPr>
              <w:t>本项目</w:t>
            </w:r>
            <w:r>
              <w:rPr>
                <w:color w:val="000000" w:themeColor="text1"/>
                <w:sz w:val="24"/>
                <w:highlight w:val="none"/>
                <w14:textFill>
                  <w14:solidFill>
                    <w14:schemeClr w14:val="tx1"/>
                  </w14:solidFill>
                </w14:textFill>
              </w:rPr>
              <w:t>施工期</w:t>
            </w:r>
            <w:r>
              <w:rPr>
                <w:rFonts w:hint="eastAsia"/>
                <w:color w:val="000000" w:themeColor="text1"/>
                <w:sz w:val="24"/>
                <w:highlight w:val="none"/>
                <w14:textFill>
                  <w14:solidFill>
                    <w14:schemeClr w14:val="tx1"/>
                  </w14:solidFill>
                </w14:textFill>
              </w:rPr>
              <w:t>仅涉及</w:t>
            </w:r>
            <w:r>
              <w:rPr>
                <w:rFonts w:hint="eastAsia"/>
                <w:color w:val="000000" w:themeColor="text1"/>
                <w:sz w:val="24"/>
                <w:highlight w:val="none"/>
                <w:lang w:val="en-US" w:eastAsia="zh-CN"/>
                <w14:textFill>
                  <w14:solidFill>
                    <w14:schemeClr w14:val="tx1"/>
                  </w14:solidFill>
                </w14:textFill>
              </w:rPr>
              <w:t>办公区</w:t>
            </w:r>
            <w:r>
              <w:rPr>
                <w:color w:val="000000" w:themeColor="text1"/>
                <w:sz w:val="24"/>
                <w:highlight w:val="none"/>
                <w14:textFill>
                  <w14:solidFill>
                    <w14:schemeClr w14:val="tx1"/>
                  </w14:solidFill>
                </w14:textFill>
              </w:rPr>
              <w:t>内部装修、</w:t>
            </w:r>
            <w:r>
              <w:rPr>
                <w:rFonts w:hint="eastAsia"/>
                <w:color w:val="000000" w:themeColor="text1"/>
                <w:sz w:val="24"/>
                <w:highlight w:val="none"/>
                <w:lang w:val="en-US" w:eastAsia="zh-CN"/>
                <w14:textFill>
                  <w14:solidFill>
                    <w14:schemeClr w14:val="tx1"/>
                  </w14:solidFill>
                </w14:textFill>
              </w:rPr>
              <w:t>生产</w:t>
            </w:r>
            <w:r>
              <w:rPr>
                <w:color w:val="000000" w:themeColor="text1"/>
                <w:sz w:val="24"/>
                <w:highlight w:val="none"/>
                <w14:textFill>
                  <w14:solidFill>
                    <w14:schemeClr w14:val="tx1"/>
                  </w14:solidFill>
                </w14:textFill>
              </w:rPr>
              <w:t>设备</w:t>
            </w:r>
            <w:r>
              <w:rPr>
                <w:rFonts w:hint="eastAsia"/>
                <w:color w:val="000000" w:themeColor="text1"/>
                <w:sz w:val="24"/>
                <w:highlight w:val="none"/>
                <w:lang w:val="en-US" w:eastAsia="zh-CN"/>
                <w14:textFill>
                  <w14:solidFill>
                    <w14:schemeClr w14:val="tx1"/>
                  </w14:solidFill>
                </w14:textFill>
              </w:rPr>
              <w:t>及辅助设备的</w:t>
            </w:r>
            <w:r>
              <w:rPr>
                <w:color w:val="000000" w:themeColor="text1"/>
                <w:sz w:val="24"/>
                <w:highlight w:val="none"/>
                <w14:textFill>
                  <w14:solidFill>
                    <w14:schemeClr w14:val="tx1"/>
                  </w14:solidFill>
                </w14:textFill>
              </w:rPr>
              <w:t>安装和调试</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因此</w:t>
            </w:r>
            <w:r>
              <w:rPr>
                <w:rFonts w:hint="eastAsia"/>
                <w:color w:val="000000" w:themeColor="text1"/>
                <w:sz w:val="24"/>
                <w:highlight w:val="none"/>
                <w14:textFill>
                  <w14:solidFill>
                    <w14:schemeClr w14:val="tx1"/>
                  </w14:solidFill>
                </w14:textFill>
              </w:rPr>
              <w:t>对环境产生影响</w:t>
            </w:r>
            <w:r>
              <w:rPr>
                <w:rFonts w:hint="eastAsia"/>
                <w:color w:val="000000" w:themeColor="text1"/>
                <w:sz w:val="24"/>
                <w:highlight w:val="none"/>
                <w:lang w:val="en-US" w:eastAsia="zh-CN"/>
                <w14:textFill>
                  <w14:solidFill>
                    <w14:schemeClr w14:val="tx1"/>
                  </w14:solidFill>
                </w14:textFill>
              </w:rPr>
              <w:t>较</w:t>
            </w:r>
            <w:r>
              <w:rPr>
                <w:rFonts w:hint="eastAsia"/>
                <w:color w:val="000000" w:themeColor="text1"/>
                <w:sz w:val="24"/>
                <w:highlight w:val="none"/>
                <w14:textFill>
                  <w14:solidFill>
                    <w14:schemeClr w14:val="tx1"/>
                  </w14:solidFill>
                </w14:textFill>
              </w:rPr>
              <w:t>小</w:t>
            </w:r>
            <w:r>
              <w:rPr>
                <w:rFonts w:hint="eastAsia"/>
                <w:color w:val="000000" w:themeColor="text1"/>
                <w14:textFill>
                  <w14:solidFill>
                    <w14:schemeClr w14:val="tx1"/>
                  </w14:solidFill>
                </w14:textFill>
              </w:rPr>
              <w:t>。</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1、大气环境保护措施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为降低施工扬尘对空气环境质量的影响，本项目在施工过程应采取以下防治措施：</w:t>
            </w: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施工期扬尘污染防治措施</w:t>
            </w:r>
            <w:r>
              <w:rPr>
                <w:color w:val="000000" w:themeColor="text1"/>
                <w14:textFill>
                  <w14:solidFill>
                    <w14:schemeClr w14:val="tx1"/>
                  </w14:solidFill>
                </w14:textFill>
              </w:rPr>
              <w:t>一览表</w:t>
            </w:r>
          </w:p>
          <w:tbl>
            <w:tblPr>
              <w:tblStyle w:val="43"/>
              <w:tblW w:w="9411"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23"/>
              <w:gridCol w:w="1125"/>
              <w:gridCol w:w="776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23"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序号</w:t>
                  </w:r>
                </w:p>
              </w:tc>
              <w:tc>
                <w:tcPr>
                  <w:tcW w:w="1125"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防治措施</w:t>
                  </w:r>
                </w:p>
              </w:tc>
              <w:tc>
                <w:tcPr>
                  <w:tcW w:w="7763"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具体要求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23" w:type="dxa"/>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w:t>
                  </w:r>
                </w:p>
              </w:tc>
              <w:tc>
                <w:tcPr>
                  <w:tcW w:w="1125"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密闭苫盖措施</w:t>
                  </w:r>
                </w:p>
              </w:tc>
              <w:tc>
                <w:tcPr>
                  <w:tcW w:w="7763"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①建筑材料采用密闭存储、设置围挡或堆砌围墙、采用防尘布苫盖等措施；②施工现场易飞扬的细颗粒建筑材料必须密闭存放或严密覆盖，严禁露天放置；搬运时应有降尘措施，余料及时回收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23" w:type="dxa"/>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w:t>
                  </w:r>
                </w:p>
              </w:tc>
              <w:tc>
                <w:tcPr>
                  <w:tcW w:w="1125"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洒水抑尘措施</w:t>
                  </w:r>
                </w:p>
              </w:tc>
              <w:tc>
                <w:tcPr>
                  <w:tcW w:w="7763"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洒水压尘，尽量缩短起尘操作时间，遇到四级及四级以上大风天气，应停止作业</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23" w:type="dxa"/>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w:t>
                  </w:r>
                </w:p>
              </w:tc>
              <w:tc>
                <w:tcPr>
                  <w:tcW w:w="1125"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建筑垃圾</w:t>
                  </w:r>
                </w:p>
              </w:tc>
              <w:tc>
                <w:tcPr>
                  <w:tcW w:w="7763" w:type="dxa"/>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①建筑物内地面清扫垃圾进行洒水抑尘，保持干净整洁；②施工现场的建筑垃圾设置垃圾存放点，集中堆放并严密覆盖，及时清运。生活垃圾应用封闭式容器存放，日产日清，严禁随意丢弃、焚烧</w:t>
                  </w:r>
                </w:p>
              </w:tc>
            </w:tr>
          </w:tbl>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通过以上措施治理后，可有效控制施工扬尘，对环境的影响将会大大降低，扬尘对环境的影响将随施工的结束而消失。</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施工机械、运输车辆短时间内将造成局部环境空气中污染物浓度升高，在大气的稀释扩散作用下不会对周边造成影响，并且此类废气为间断排放，随施工期的结束而消失。</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2、水环境影响保护措施</w:t>
            </w:r>
          </w:p>
          <w:p>
            <w:pPr>
              <w:autoSpaceDE w:val="0"/>
              <w:autoSpaceDN w:val="0"/>
              <w:adjustRightInd w:val="0"/>
              <w:snapToGrid w:val="0"/>
              <w:spacing w:line="480" w:lineRule="exact"/>
              <w:ind w:firstLine="480" w:firstLineChars="200"/>
              <w:rPr>
                <w:color w:val="FF0000"/>
                <w:sz w:val="24"/>
              </w:rPr>
            </w:pPr>
            <w:r>
              <w:rPr>
                <w:rFonts w:hint="eastAsia"/>
                <w:color w:val="FF0000"/>
                <w:sz w:val="24"/>
              </w:rPr>
              <w:t>施工期废水来源主要为施工人员的生活废水</w:t>
            </w:r>
            <w:r>
              <w:rPr>
                <w:rFonts w:hint="eastAsia"/>
                <w:color w:val="FF0000"/>
                <w:sz w:val="24"/>
                <w:lang w:eastAsia="zh-CN"/>
              </w:rPr>
              <w:t>，</w:t>
            </w:r>
            <w:r>
              <w:rPr>
                <w:rFonts w:hint="eastAsia"/>
                <w:color w:val="FF0000"/>
                <w:sz w:val="24"/>
                <w:lang w:val="en-US" w:eastAsia="zh-CN"/>
              </w:rPr>
              <w:t>通过利用现有的化粪池进行处理</w:t>
            </w:r>
            <w:r>
              <w:rPr>
                <w:rFonts w:hint="eastAsia"/>
                <w:color w:val="FF0000"/>
                <w:sz w:val="24"/>
              </w:rPr>
              <w:t>，定期清理用做周边农田用肥</w:t>
            </w:r>
            <w:r>
              <w:rPr>
                <w:rFonts w:hint="eastAsia"/>
                <w:color w:val="FF0000"/>
                <w:sz w:val="24"/>
                <w:lang w:eastAsia="zh-CN"/>
              </w:rPr>
              <w:t>，</w:t>
            </w:r>
            <w:r>
              <w:rPr>
                <w:rFonts w:hint="eastAsia"/>
                <w:color w:val="FF0000"/>
                <w:sz w:val="24"/>
              </w:rPr>
              <w:t>施工期废水排放对项目所在区域的水环境影响很小。</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3、声环境影响保护措施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施工现场的各类机械设备包括</w:t>
            </w:r>
            <w:r>
              <w:rPr>
                <w:rFonts w:hint="eastAsia"/>
                <w:color w:val="000000" w:themeColor="text1"/>
                <w:sz w:val="24"/>
                <w:lang w:val="en-US" w:eastAsia="zh-CN"/>
                <w14:textFill>
                  <w14:solidFill>
                    <w14:schemeClr w14:val="tx1"/>
                  </w14:solidFill>
                </w14:textFill>
              </w:rPr>
              <w:t>起重机、吊装机、 运输车辆</w:t>
            </w:r>
            <w:r>
              <w:rPr>
                <w:rFonts w:hint="eastAsia"/>
                <w:color w:val="000000" w:themeColor="text1"/>
                <w:sz w:val="24"/>
                <w14:textFill>
                  <w14:solidFill>
                    <w14:schemeClr w14:val="tx1"/>
                  </w14:solidFill>
                </w14:textFill>
              </w:rPr>
              <w:t>等，是最主要的施工噪声源。由于施工机械噪声源强较大，为降低施工噪声对环境的影响，在施工期应采取以下措施：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为确保厂界施工噪声达标，减轻对声环境的影响，建设单位应采取以下措施：①尽量采用低噪声设备，可固定的机械设备安置在施工场地临时房间内降低噪声；施工机械要注意保养、合理操作，尽量使机械噪声降低至最低水平；②施工期间应通过各种手段要求工程施工队伍文明施工，加强管理，以缓解噪声对环境的影响；③合理制定施工计划，严格控制和管理产生噪声的设备的使用时间，尽可能避免在同一区段安排大量强噪声设备同时施工；尽量使噪声高的设备在白天运行，禁止夜间施工；④建设与施工单位应与周围单位、居民建立良好关系，及时使其了解施工进度及采取的降噪措施，取得居民的理解；⑤工程夜间施工须向当地环保部门申报，获得批准后方可施工。</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在采取环保措施可行性分析中提出的声源控制、施工时间安排等施工期噪声防治措施后，可有效降低施工噪声对居民的影响。</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4、固体废物环境影响保护措施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施工中产生的固体废物主要是</w:t>
            </w:r>
            <w:r>
              <w:rPr>
                <w:rFonts w:hint="eastAsia"/>
                <w:color w:val="000000" w:themeColor="text1"/>
                <w:sz w:val="24"/>
                <w:lang w:val="en-US" w:eastAsia="zh-CN"/>
                <w14:textFill>
                  <w14:solidFill>
                    <w14:schemeClr w14:val="tx1"/>
                  </w14:solidFill>
                </w14:textFill>
              </w:rPr>
              <w:t>现有厂房拆除产生的少量</w:t>
            </w:r>
            <w:r>
              <w:rPr>
                <w:rFonts w:hint="eastAsia"/>
                <w:color w:val="000000" w:themeColor="text1"/>
                <w:sz w:val="24"/>
                <w14:textFill>
                  <w14:solidFill>
                    <w14:schemeClr w14:val="tx1"/>
                  </w14:solidFill>
                </w14:textFill>
              </w:rPr>
              <w:t>建筑垃圾和生活垃圾。</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施工过程中产生的固体废物均为一般固体废物。工程中产生的建筑垃圾送市政部门指定地点堆存，不会对环境产生明显影响；生活垃圾收集后统一交环卫部门处理。</w:t>
            </w:r>
          </w:p>
          <w:p>
            <w:pPr>
              <w:pStyle w:val="83"/>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采取以上措施后，本项目施工期采取的固废处置措施可行</w:t>
            </w:r>
            <w:r>
              <w:rPr>
                <w:color w:val="000000" w:themeColor="text1"/>
                <w14:textFill>
                  <w14:solidFill>
                    <w14:schemeClr w14:val="tx1"/>
                  </w14:solidFill>
                </w14:textFill>
              </w:rPr>
              <w:t>。</w:t>
            </w:r>
          </w:p>
          <w:p>
            <w:pPr>
              <w:pStyle w:val="83"/>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以上影响为短期影响，将会随施工期的结束而消除，在落实以上污染防治措施后不会对周围环境产生明显影响。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774" w:hRule="atLeast"/>
          <w:jc w:val="center"/>
        </w:trPr>
        <w:tc>
          <w:tcPr>
            <w:tcW w:w="404" w:type="dxa"/>
            <w:vMerge w:val="restart"/>
            <w:tcMar>
              <w:left w:w="28" w:type="dxa"/>
              <w:right w:w="28" w:type="dxa"/>
            </w:tcMar>
            <w:vAlign w:val="center"/>
          </w:tcPr>
          <w:p>
            <w:pPr>
              <w:adjustRightInd w:val="0"/>
              <w:snapToGrid w:val="0"/>
              <w:spacing w:line="480" w:lineRule="exact"/>
              <w:jc w:val="center"/>
              <w:rPr>
                <w:color w:val="000000" w:themeColor="text1"/>
                <w14:textFill>
                  <w14:solidFill>
                    <w14:schemeClr w14:val="tx1"/>
                  </w14:solidFill>
                </w14:textFill>
              </w:rPr>
            </w:pPr>
            <w:r>
              <w:rPr>
                <w:bCs/>
                <w:color w:val="000000" w:themeColor="text1"/>
                <w:szCs w:val="21"/>
                <w14:textFill>
                  <w14:solidFill>
                    <w14:schemeClr w14:val="tx1"/>
                  </w14:solidFill>
                </w14:textFill>
              </w:rPr>
              <w:tab/>
            </w:r>
            <w:r>
              <w:rPr>
                <w:bCs/>
                <w:color w:val="000000" w:themeColor="text1"/>
                <w:sz w:val="24"/>
                <w14:textFill>
                  <w14:solidFill>
                    <w14:schemeClr w14:val="tx1"/>
                  </w14:solidFill>
                </w14:textFill>
              </w:rPr>
              <w:t>运营期环境影响和保护措施</w:t>
            </w:r>
          </w:p>
        </w:tc>
        <w:tc>
          <w:tcPr>
            <w:tcW w:w="9636" w:type="dxa"/>
            <w:vAlign w:val="center"/>
          </w:tcPr>
          <w:p>
            <w:pPr>
              <w:pStyle w:val="27"/>
              <w:numPr>
                <w:ilvl w:val="0"/>
                <w:numId w:val="0"/>
              </w:numPr>
              <w:ind w:firstLine="480" w:firstLineChars="200"/>
              <w:rPr>
                <w:rFonts w:hint="default"/>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kern w:val="0"/>
                <w:sz w:val="24"/>
                <w:szCs w:val="20"/>
                <w:lang w:val="en-US" w:eastAsia="zh-CN" w:bidi="ar-SA"/>
                <w14:textFill>
                  <w14:solidFill>
                    <w14:schemeClr w14:val="tx1"/>
                  </w14:solidFill>
                </w14:textFill>
              </w:rPr>
              <w:t>1、</w:t>
            </w:r>
            <w:r>
              <w:rPr>
                <w:rFonts w:hint="eastAsia"/>
                <w:color w:val="000000" w:themeColor="text1"/>
                <w:lang w:val="en-US" w:eastAsia="zh-CN"/>
                <w14:textFill>
                  <w14:solidFill>
                    <w14:schemeClr w14:val="tx1"/>
                  </w14:solidFill>
                </w14:textFill>
              </w:rPr>
              <w:t>废气</w:t>
            </w:r>
          </w:p>
          <w:p>
            <w:pPr>
              <w:spacing w:line="360" w:lineRule="auto"/>
              <w:ind w:firstLine="480" w:firstLineChars="200"/>
              <w:rPr>
                <w:rFonts w:hint="default" w:eastAsia="宋体" w:cs="Times New Roman"/>
                <w:color w:val="000000" w:themeColor="text1"/>
                <w:kern w:val="0"/>
                <w:sz w:val="24"/>
                <w:szCs w:val="24"/>
                <w:highlight w:val="none"/>
                <w:lang w:val="en-US" w:eastAsia="zh-CN" w:bidi="ar-SA"/>
                <w14:textFill>
                  <w14:solidFill>
                    <w14:schemeClr w14:val="tx1"/>
                  </w14:solidFill>
                </w14:textFill>
              </w:rPr>
            </w:pPr>
            <w:r>
              <w:rPr>
                <w:rFonts w:hint="default" w:ascii="Times New Roman" w:hAnsi="Times New Roman" w:eastAsia="宋体" w:cs="Times New Roman"/>
                <w:bCs/>
                <w:color w:val="000000" w:themeColor="text1"/>
                <w:kern w:val="0"/>
                <w:sz w:val="24"/>
                <w:szCs w:val="20"/>
                <w:lang w:val="zh-CN" w:eastAsia="zh-CN"/>
                <w14:textFill>
                  <w14:solidFill>
                    <w14:schemeClr w14:val="tx1"/>
                  </w14:solidFill>
                </w14:textFill>
              </w:rPr>
              <w:t>本项</w:t>
            </w:r>
            <w:r>
              <w:rPr>
                <w:rFonts w:hint="default" w:ascii="Times New Roman" w:hAnsi="Times New Roman" w:eastAsia="宋体" w:cs="Times New Roman"/>
                <w:color w:val="000000" w:themeColor="text1"/>
                <w:kern w:val="0"/>
                <w:sz w:val="24"/>
                <w:szCs w:val="24"/>
                <w:highlight w:val="none"/>
                <w:lang w:val="zh-CN" w:eastAsia="zh-CN" w:bidi="ar-SA"/>
                <w14:textFill>
                  <w14:solidFill>
                    <w14:schemeClr w14:val="tx1"/>
                  </w14:solidFill>
                </w14:textFill>
              </w:rPr>
              <w:t>目</w:t>
            </w:r>
            <w:r>
              <w:rPr>
                <w:rFonts w:hint="eastAsia" w:cs="Times New Roman"/>
                <w:color w:val="000000" w:themeColor="text1"/>
                <w:kern w:val="0"/>
                <w:sz w:val="24"/>
                <w:szCs w:val="24"/>
                <w:highlight w:val="none"/>
                <w:lang w:val="en-US" w:eastAsia="zh-CN" w:bidi="ar-SA"/>
                <w14:textFill>
                  <w14:solidFill>
                    <w14:schemeClr w14:val="tx1"/>
                  </w14:solidFill>
                </w14:textFill>
              </w:rPr>
              <w:t>有组织</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废气排放源主要为</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上料</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和</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筛分</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废气、矿粉仓废气、搅拌废气</w:t>
            </w:r>
            <w:r>
              <w:rPr>
                <w:rFonts w:hint="eastAsia" w:cs="Times New Roman"/>
                <w:color w:val="000000" w:themeColor="text1"/>
                <w:kern w:val="0"/>
                <w:sz w:val="24"/>
                <w:szCs w:val="24"/>
                <w:highlight w:val="none"/>
                <w:lang w:val="en-US" w:eastAsia="zh-CN" w:bidi="ar-SA"/>
                <w14:textFill>
                  <w14:solidFill>
                    <w14:schemeClr w14:val="tx1"/>
                  </w14:solidFill>
                </w14:textFill>
              </w:rPr>
              <w:t>和</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沥青储罐废气、导热油炉废气</w:t>
            </w:r>
            <w:r>
              <w:rPr>
                <w:rFonts w:hint="eastAsia" w:cs="Times New Roman"/>
                <w:color w:val="000000" w:themeColor="text1"/>
                <w:kern w:val="0"/>
                <w:sz w:val="24"/>
                <w:szCs w:val="24"/>
                <w:highlight w:val="none"/>
                <w:lang w:val="en-US" w:eastAsia="zh-CN" w:bidi="ar-SA"/>
                <w14:textFill>
                  <w14:solidFill>
                    <w14:schemeClr w14:val="tx1"/>
                  </w14:solidFill>
                </w14:textFill>
              </w:rPr>
              <w:t>、</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加热废气</w:t>
            </w:r>
            <w:r>
              <w:rPr>
                <w:rFonts w:hint="eastAsia" w:cs="Times New Roman"/>
                <w:color w:val="000000" w:themeColor="text1"/>
                <w:kern w:val="0"/>
                <w:sz w:val="24"/>
                <w:szCs w:val="24"/>
                <w:highlight w:val="none"/>
                <w:lang w:val="en-US" w:eastAsia="zh-CN" w:bidi="ar-SA"/>
                <w14:textFill>
                  <w14:solidFill>
                    <w14:schemeClr w14:val="tx1"/>
                  </w14:solidFill>
                </w14:textFill>
              </w:rPr>
              <w:t>和</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燃烧机燃烧废气，以及料仓生产车间和</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拌合站生产线生产车间</w:t>
            </w:r>
            <w:r>
              <w:rPr>
                <w:rFonts w:hint="eastAsia" w:cs="Times New Roman"/>
                <w:color w:val="000000" w:themeColor="text1"/>
                <w:sz w:val="24"/>
                <w:szCs w:val="24"/>
                <w:lang w:val="en-US" w:eastAsia="zh-CN"/>
                <w14:textFill>
                  <w14:solidFill>
                    <w14:schemeClr w14:val="tx1"/>
                  </w14:solidFill>
                </w14:textFill>
              </w:rPr>
              <w:t>的无组织废气。</w:t>
            </w:r>
          </w:p>
          <w:p>
            <w:pPr>
              <w:spacing w:line="360" w:lineRule="auto"/>
              <w:ind w:firstLine="480" w:firstLineChars="200"/>
              <w:rPr>
                <w:rFonts w:hint="eastAsia"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有组织废气：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上料和筛分废气经共用的废气治理设施（</w:t>
            </w:r>
            <w:r>
              <w:rPr>
                <w:rFonts w:hint="eastAsia"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1根</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15m高排气筒排放（DA001），该废气治理设施风机风量为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矿粉仓废气经废气治理设施（</w:t>
            </w:r>
            <w:r>
              <w:rPr>
                <w:rFonts w:hint="eastAsia"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）处理后通过15m高排气筒排放（DA002），该废气治理设施风机风量为500m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搅拌废气、沥青储罐废气经共用的废气治理设施（静电</w:t>
            </w:r>
            <w:r>
              <w:rPr>
                <w:rFonts w:hint="eastAsia"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+二级活性炭吸附）处理后通过15m高排气筒排放（DA003），该废气治理设施风机风量为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导热油炉废气经废气治理设施（低氮燃烧器）处理后通过15m高排气筒排放（DA004）</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；加热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和燃烧机燃烧废气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经共用的废气治理设施（</w:t>
            </w:r>
            <w:r>
              <w:rPr>
                <w:rFonts w:hint="eastAsia"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1根</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15m高排气筒排放（DA00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w:t>
            </w:r>
          </w:p>
          <w:p>
            <w:pPr>
              <w:pStyle w:val="120"/>
              <w:numPr>
                <w:ilvl w:val="0"/>
                <w:numId w:val="17"/>
              </w:numPr>
              <w:spacing w:line="240" w:lineRule="auto"/>
              <w:rPr>
                <w:color w:val="FF0000"/>
              </w:rPr>
            </w:pPr>
            <w:r>
              <w:rPr>
                <w:rFonts w:hint="default" w:ascii="Times New Roman" w:hAnsi="Times New Roman" w:eastAsia="宋体" w:cs="Times New Roman"/>
                <w:color w:val="FF0000"/>
                <w:lang w:val="en-US" w:eastAsia="zh-CN"/>
              </w:rPr>
              <w:t>有组织废气治理设施情况</w:t>
            </w:r>
            <w:r>
              <w:rPr>
                <w:rFonts w:hint="default" w:ascii="Times New Roman" w:hAnsi="Times New Roman" w:eastAsia="宋体" w:cs="Times New Roman"/>
                <w:color w:val="FF0000"/>
              </w:rPr>
              <w:t>一览表</w:t>
            </w:r>
          </w:p>
          <w:tbl>
            <w:tblPr>
              <w:tblStyle w:val="42"/>
              <w:tblW w:w="9570" w:type="dxa"/>
              <w:jc w:val="center"/>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376"/>
              <w:gridCol w:w="965"/>
              <w:gridCol w:w="1136"/>
              <w:gridCol w:w="660"/>
              <w:gridCol w:w="660"/>
              <w:gridCol w:w="838"/>
              <w:gridCol w:w="1137"/>
              <w:gridCol w:w="660"/>
              <w:gridCol w:w="660"/>
              <w:gridCol w:w="660"/>
              <w:gridCol w:w="579"/>
              <w:gridCol w:w="660"/>
              <w:gridCol w:w="579"/>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1341"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产排污环节</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rPr>
                  </w:pPr>
                  <w:r>
                    <w:rPr>
                      <w:rFonts w:hint="default" w:ascii="Times New Roman" w:hAnsi="Times New Roman" w:eastAsia="宋体" w:cs="Times New Roman"/>
                      <w:color w:val="FF0000"/>
                      <w:kern w:val="0"/>
                      <w:szCs w:val="21"/>
                      <w:lang w:val="en-US" w:eastAsia="zh-CN"/>
                    </w:rPr>
                    <w:t>上料和筛分</w:t>
                  </w:r>
                  <w:r>
                    <w:rPr>
                      <w:rFonts w:hint="eastAsia" w:ascii="Times New Roman" w:hAnsi="Times New Roman" w:eastAsia="宋体" w:cs="Times New Roman"/>
                      <w:color w:val="FF0000"/>
                      <w:kern w:val="0"/>
                      <w:szCs w:val="21"/>
                      <w:lang w:val="en-US" w:eastAsia="zh-CN"/>
                    </w:rPr>
                    <w:t>废气</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rPr>
                  </w:pPr>
                  <w:r>
                    <w:rPr>
                      <w:rFonts w:hint="default" w:ascii="Times New Roman" w:hAnsi="Times New Roman" w:eastAsia="宋体" w:cs="Times New Roman"/>
                      <w:color w:val="FF0000"/>
                      <w:kern w:val="0"/>
                      <w:szCs w:val="21"/>
                      <w:lang w:val="en-US" w:eastAsia="zh-CN"/>
                    </w:rPr>
                    <w:t>搅拌、沥青储罐废气</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rPr>
                  </w:pPr>
                  <w:r>
                    <w:rPr>
                      <w:rFonts w:hint="default" w:ascii="Times New Roman" w:hAnsi="Times New Roman" w:eastAsia="宋体" w:cs="Times New Roman"/>
                      <w:color w:val="FF0000"/>
                      <w:kern w:val="0"/>
                      <w:szCs w:val="21"/>
                      <w:highlight w:val="none"/>
                      <w:lang w:val="en-US" w:eastAsia="zh-CN"/>
                    </w:rPr>
                    <w:t>矿粉仓废气</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rPr>
                  </w:pPr>
                  <w:r>
                    <w:rPr>
                      <w:rFonts w:hint="default" w:ascii="Times New Roman" w:hAnsi="Times New Roman" w:eastAsia="宋体" w:cs="Times New Roman"/>
                      <w:color w:val="FF0000"/>
                      <w:kern w:val="0"/>
                      <w:szCs w:val="21"/>
                      <w:highlight w:val="none"/>
                      <w:lang w:val="en-US" w:eastAsia="zh-CN"/>
                    </w:rPr>
                    <w:t>导热油炉废气</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rPr>
                  </w:pPr>
                  <w:r>
                    <w:rPr>
                      <w:rFonts w:hint="default" w:ascii="Times New Roman" w:hAnsi="Times New Roman" w:eastAsia="宋体" w:cs="Times New Roman"/>
                      <w:color w:val="FF0000"/>
                      <w:kern w:val="0"/>
                      <w:szCs w:val="21"/>
                      <w:lang w:val="en-US" w:eastAsia="zh-CN"/>
                    </w:rPr>
                    <w:t>加热、燃烧机燃烧废气</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1341"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污染物种类</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rPr>
                  </w:pPr>
                  <w:r>
                    <w:rPr>
                      <w:rFonts w:hint="default" w:ascii="Times New Roman" w:hAnsi="Times New Roman" w:eastAsia="宋体" w:cs="Times New Roman"/>
                      <w:color w:val="FF0000"/>
                      <w:kern w:val="0"/>
                      <w:szCs w:val="21"/>
                      <w:lang w:val="en-US" w:eastAsia="zh-CN"/>
                    </w:rPr>
                    <w:t>颗粒物</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SA"/>
                    </w:rPr>
                  </w:pPr>
                  <w:r>
                    <w:rPr>
                      <w:rFonts w:hint="default" w:ascii="Times New Roman" w:hAnsi="Times New Roman" w:eastAsia="宋体" w:cs="Times New Roman"/>
                      <w:color w:val="FF0000"/>
                      <w:kern w:val="0"/>
                      <w:szCs w:val="21"/>
                      <w:lang w:val="en-US" w:eastAsia="zh-CN"/>
                    </w:rPr>
                    <w:t>沥青烟</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SA"/>
                    </w:rPr>
                  </w:pPr>
                  <w:r>
                    <w:rPr>
                      <w:rFonts w:hint="default" w:ascii="Times New Roman" w:hAnsi="Times New Roman" w:eastAsia="宋体" w:cs="Times New Roman"/>
                      <w:color w:val="FF0000"/>
                      <w:kern w:val="0"/>
                      <w:szCs w:val="21"/>
                      <w:lang w:val="en-US" w:eastAsia="zh-CN"/>
                    </w:rPr>
                    <w:t>非甲烷总烃</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SA"/>
                    </w:rPr>
                  </w:pPr>
                  <w:r>
                    <w:rPr>
                      <w:rFonts w:hint="default" w:ascii="Times New Roman" w:hAnsi="Times New Roman" w:eastAsia="宋体" w:cs="Times New Roman"/>
                      <w:color w:val="FF0000"/>
                      <w:kern w:val="0"/>
                      <w:szCs w:val="21"/>
                      <w:lang w:val="en-US" w:eastAsia="zh-CN"/>
                    </w:rPr>
                    <w:t>苯并[a]芘</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颗粒物</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lang w:val="en-US" w:eastAsia="zh-CN" w:bidi="ar"/>
                    </w:rPr>
                    <w:t>颗粒物</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bidi="ar"/>
                    </w:rPr>
                  </w:pPr>
                  <w:r>
                    <w:rPr>
                      <w:rFonts w:hint="default" w:ascii="Times New Roman" w:hAnsi="Times New Roman" w:eastAsia="宋体" w:cs="Times New Roman"/>
                      <w:color w:val="FF0000"/>
                      <w:kern w:val="0"/>
                      <w:szCs w:val="21"/>
                      <w:lang w:val="en-US" w:eastAsia="zh-CN" w:bidi="ar"/>
                    </w:rPr>
                    <w:t>SO</w:t>
                  </w:r>
                  <w:r>
                    <w:rPr>
                      <w:rFonts w:hint="default" w:ascii="Times New Roman" w:hAnsi="Times New Roman" w:eastAsia="宋体" w:cs="Times New Roman"/>
                      <w:color w:val="FF0000"/>
                      <w:kern w:val="0"/>
                      <w:szCs w:val="21"/>
                      <w:vertAlign w:val="subscript"/>
                      <w:lang w:val="en-US" w:eastAsia="zh-CN" w:bidi="ar"/>
                    </w:rPr>
                    <w:t>2</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bidi="ar"/>
                    </w:rPr>
                  </w:pPr>
                  <w:r>
                    <w:rPr>
                      <w:rFonts w:hint="default" w:ascii="Times New Roman" w:hAnsi="Times New Roman" w:eastAsia="宋体" w:cs="Times New Roman"/>
                      <w:color w:val="FF0000"/>
                      <w:kern w:val="0"/>
                      <w:szCs w:val="21"/>
                      <w:lang w:val="en-US" w:eastAsia="zh-CN" w:bidi="ar"/>
                    </w:rPr>
                    <w:t>NOx</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lang w:val="en-US" w:eastAsia="zh-CN" w:bidi="ar"/>
                    </w:rPr>
                    <w:t>颗粒物</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Cs w:val="21"/>
                      <w:lang w:val="en-US" w:eastAsia="zh-CN" w:bidi="ar"/>
                    </w:rPr>
                    <w:t>SO</w:t>
                  </w:r>
                  <w:r>
                    <w:rPr>
                      <w:rFonts w:hint="default" w:ascii="Times New Roman" w:hAnsi="Times New Roman" w:eastAsia="宋体" w:cs="Times New Roman"/>
                      <w:color w:val="FF0000"/>
                      <w:kern w:val="0"/>
                      <w:szCs w:val="21"/>
                      <w:vertAlign w:val="subscript"/>
                      <w:lang w:val="en-US" w:eastAsia="zh-CN" w:bidi="ar"/>
                    </w:rPr>
                    <w:t>2</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Cs w:val="21"/>
                      <w:lang w:val="en-US" w:eastAsia="zh-CN" w:bidi="ar"/>
                    </w:rPr>
                    <w:t>NOx</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污染物产生情况</w:t>
                  </w: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污染物</w:t>
                  </w:r>
                  <w:r>
                    <w:rPr>
                      <w:rFonts w:hint="default" w:ascii="Times New Roman" w:hAnsi="Times New Roman" w:eastAsia="宋体" w:cs="Times New Roman"/>
                      <w:color w:val="FF0000"/>
                      <w:kern w:val="0"/>
                      <w:lang w:val="en-US" w:eastAsia="zh-CN" w:bidi="ar"/>
                    </w:rPr>
                    <w:t>产生</w:t>
                  </w:r>
                  <w:r>
                    <w:rPr>
                      <w:rFonts w:hint="default" w:ascii="Times New Roman" w:hAnsi="Times New Roman" w:eastAsia="宋体" w:cs="Times New Roman"/>
                      <w:color w:val="FF0000"/>
                      <w:kern w:val="0"/>
                      <w:lang w:bidi="ar"/>
                    </w:rPr>
                    <w:t>量（t/a）</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szCs w:val="21"/>
                      <w:lang w:val="en-US" w:eastAsia="zh-CN"/>
                    </w:rPr>
                  </w:pPr>
                  <w:r>
                    <w:rPr>
                      <w:rFonts w:hint="eastAsia" w:ascii="Times New Roman" w:hAnsi="Times New Roman" w:eastAsia="宋体" w:cs="Times New Roman"/>
                      <w:color w:val="FF0000"/>
                      <w:szCs w:val="21"/>
                      <w:lang w:val="en-US" w:eastAsia="zh-CN"/>
                    </w:rPr>
                    <w:t>13.4584</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0.2</w:t>
                  </w:r>
                  <w:r>
                    <w:rPr>
                      <w:rFonts w:hint="eastAsia" w:ascii="Times New Roman" w:hAnsi="Times New Roman" w:eastAsia="宋体" w:cs="Times New Roman"/>
                      <w:color w:val="FF0000"/>
                      <w:kern w:val="0"/>
                      <w:sz w:val="21"/>
                      <w:szCs w:val="21"/>
                      <w:lang w:val="en-US" w:eastAsia="zh-CN" w:bidi="ar"/>
                    </w:rPr>
                    <w:t>88</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w:t>
                  </w:r>
                  <w:r>
                    <w:rPr>
                      <w:rFonts w:hint="eastAsia" w:ascii="Times New Roman" w:hAnsi="Times New Roman" w:eastAsia="宋体" w:cs="Times New Roman"/>
                      <w:color w:val="FF0000"/>
                      <w:kern w:val="0"/>
                      <w:sz w:val="21"/>
                      <w:szCs w:val="21"/>
                      <w:lang w:val="en-US" w:eastAsia="zh-CN" w:bidi="ar"/>
                    </w:rPr>
                    <w:t>3335</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eastAsia" w:ascii="Times New Roman" w:hAnsi="Times New Roman" w:eastAsia="宋体" w:cs="Times New Roman"/>
                      <w:color w:val="FF0000"/>
                      <w:kern w:val="0"/>
                      <w:sz w:val="21"/>
                      <w:szCs w:val="21"/>
                      <w:lang w:val="en-US" w:eastAsia="zh-CN" w:bidi="ar"/>
                    </w:rPr>
                    <w:t>3.18</w:t>
                  </w:r>
                  <w:r>
                    <w:rPr>
                      <w:rFonts w:hint="default" w:ascii="Times New Roman" w:hAnsi="Times New Roman" w:eastAsia="宋体" w:cs="Times New Roman"/>
                      <w:color w:val="FF0000"/>
                      <w:kern w:val="0"/>
                      <w:sz w:val="21"/>
                      <w:szCs w:val="21"/>
                      <w:lang w:val="en-US" w:eastAsia="zh-CN" w:bidi="ar"/>
                    </w:rPr>
                    <w:t>×10</w:t>
                  </w:r>
                  <w:r>
                    <w:rPr>
                      <w:rFonts w:hint="default" w:ascii="Times New Roman" w:hAnsi="Times New Roman" w:eastAsia="宋体" w:cs="Times New Roman"/>
                      <w:color w:val="FF0000"/>
                      <w:kern w:val="0"/>
                      <w:sz w:val="21"/>
                      <w:szCs w:val="21"/>
                      <w:vertAlign w:val="superscript"/>
                      <w:lang w:val="en-US" w:eastAsia="zh-CN" w:bidi="ar"/>
                    </w:rPr>
                    <w:t>-</w:t>
                  </w:r>
                  <w:r>
                    <w:rPr>
                      <w:rFonts w:hint="eastAsia" w:ascii="Times New Roman" w:hAnsi="Times New Roman" w:eastAsia="宋体" w:cs="Times New Roman"/>
                      <w:color w:val="FF0000"/>
                      <w:kern w:val="0"/>
                      <w:sz w:val="21"/>
                      <w:szCs w:val="21"/>
                      <w:vertAlign w:val="superscript"/>
                      <w:lang w:val="en-US" w:eastAsia="zh-CN" w:bidi="ar"/>
                    </w:rPr>
                    <w:t>6</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szCs w:val="21"/>
                      <w:highlight w:val="none"/>
                      <w:lang w:val="en-US" w:eastAsia="zh-CN"/>
                    </w:rPr>
                  </w:pPr>
                  <w:r>
                    <w:rPr>
                      <w:rFonts w:hint="default" w:ascii="Times New Roman" w:hAnsi="Times New Roman" w:eastAsia="宋体" w:cs="Times New Roman"/>
                      <w:color w:val="FF0000"/>
                      <w:szCs w:val="21"/>
                      <w:highlight w:val="none"/>
                      <w:lang w:val="en-US" w:eastAsia="zh-CN"/>
                    </w:rPr>
                    <w:t>0.037</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0.0033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0.0037</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0.064</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7.183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2"/>
                      <w:highlight w:val="none"/>
                      <w:lang w:val="en-US" w:eastAsia="zh-CN" w:bidi="ar"/>
                    </w:rPr>
                  </w:pPr>
                  <w:r>
                    <w:rPr>
                      <w:rFonts w:hint="eastAsia" w:ascii="Times New Roman" w:hAnsi="Times New Roman" w:eastAsia="宋体" w:cs="Times New Roman"/>
                      <w:color w:val="FF0000"/>
                      <w:kern w:val="0"/>
                      <w:highlight w:val="none"/>
                      <w:lang w:val="en-US" w:eastAsia="zh-CN" w:bidi="ar"/>
                    </w:rPr>
                    <w:t>0.0256</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2"/>
                      <w:highlight w:val="none"/>
                      <w:lang w:val="en-US" w:eastAsia="zh-CN" w:bidi="ar"/>
                    </w:rPr>
                  </w:pPr>
                  <w:r>
                    <w:rPr>
                      <w:rFonts w:hint="eastAsia" w:ascii="Times New Roman" w:hAnsi="Times New Roman" w:eastAsia="宋体" w:cs="Times New Roman"/>
                      <w:color w:val="FF0000"/>
                      <w:kern w:val="0"/>
                      <w:highlight w:val="none"/>
                      <w:lang w:val="en-US" w:eastAsia="zh-CN" w:bidi="ar"/>
                    </w:rPr>
                    <w:t>1.197</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val="en-US" w:eastAsia="zh-CN" w:bidi="ar"/>
                    </w:rPr>
                    <w:t>产生</w:t>
                  </w:r>
                  <w:r>
                    <w:rPr>
                      <w:rFonts w:hint="default" w:ascii="Times New Roman" w:hAnsi="Times New Roman" w:eastAsia="宋体" w:cs="Times New Roman"/>
                      <w:color w:val="FF0000"/>
                      <w:kern w:val="0"/>
                      <w:lang w:bidi="ar"/>
                    </w:rPr>
                    <w:t>浓度（mg/m</w:t>
                  </w:r>
                  <w:r>
                    <w:rPr>
                      <w:rFonts w:hint="default" w:ascii="Times New Roman" w:hAnsi="Times New Roman" w:eastAsia="宋体" w:cs="Times New Roman"/>
                      <w:color w:val="FF0000"/>
                      <w:kern w:val="0"/>
                      <w:vertAlign w:val="superscript"/>
                      <w:lang w:bidi="ar"/>
                    </w:rPr>
                    <w:t>3</w:t>
                  </w:r>
                  <w:r>
                    <w:rPr>
                      <w:rFonts w:hint="default" w:ascii="Times New Roman" w:hAnsi="Times New Roman" w:eastAsia="宋体" w:cs="Times New Roman"/>
                      <w:color w:val="FF0000"/>
                      <w:kern w:val="0"/>
                      <w:lang w:bidi="ar"/>
                    </w:rPr>
                    <w:t>）</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szCs w:val="21"/>
                      <w:lang w:val="en-US" w:eastAsia="zh-CN"/>
                    </w:rPr>
                  </w:pPr>
                  <w:r>
                    <w:rPr>
                      <w:rFonts w:hint="eastAsia" w:ascii="Times New Roman" w:hAnsi="Times New Roman" w:eastAsia="宋体" w:cs="Times New Roman"/>
                      <w:color w:val="FF0000"/>
                      <w:szCs w:val="21"/>
                      <w:lang w:val="en-US" w:eastAsia="zh-CN"/>
                    </w:rPr>
                    <w:t>586.6</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eastAsia" w:ascii="Times New Roman" w:hAnsi="Times New Roman" w:eastAsia="宋体" w:cs="Times New Roman"/>
                      <w:color w:val="FF0000"/>
                      <w:kern w:val="2"/>
                      <w:sz w:val="21"/>
                      <w:szCs w:val="21"/>
                      <w:lang w:val="en-US" w:eastAsia="zh-CN" w:bidi="ar-SA"/>
                    </w:rPr>
                    <w:t>5.4</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eastAsia" w:ascii="Times New Roman" w:hAnsi="Times New Roman" w:eastAsia="宋体" w:cs="Times New Roman"/>
                      <w:color w:val="FF0000"/>
                      <w:kern w:val="2"/>
                      <w:sz w:val="21"/>
                      <w:szCs w:val="21"/>
                      <w:lang w:val="en-US" w:eastAsia="zh-CN" w:bidi="ar-SA"/>
                    </w:rPr>
                    <w:t>6.337</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eastAsia" w:ascii="Times New Roman" w:hAnsi="Times New Roman" w:eastAsia="宋体" w:cs="Times New Roman"/>
                      <w:color w:val="FF0000"/>
                      <w:kern w:val="2"/>
                      <w:sz w:val="21"/>
                      <w:szCs w:val="21"/>
                      <w:lang w:val="en-US" w:eastAsia="zh-CN" w:bidi="ar-SA"/>
                    </w:rPr>
                    <w:t>0.06</w:t>
                  </w:r>
                  <w:r>
                    <w:rPr>
                      <w:rFonts w:hint="default" w:ascii="Times New Roman" w:hAnsi="Times New Roman" w:eastAsia="宋体" w:cs="Times New Roman"/>
                      <w:color w:val="FF0000"/>
                      <w:kern w:val="0"/>
                      <w:sz w:val="21"/>
                      <w:szCs w:val="21"/>
                      <w:lang w:val="en-US" w:eastAsia="zh-CN" w:bidi="ar"/>
                    </w:rPr>
                    <w:t>×10</w:t>
                  </w:r>
                  <w:r>
                    <w:rPr>
                      <w:rFonts w:hint="default" w:ascii="Times New Roman" w:hAnsi="Times New Roman" w:eastAsia="宋体" w:cs="Times New Roman"/>
                      <w:color w:val="FF0000"/>
                      <w:kern w:val="0"/>
                      <w:sz w:val="21"/>
                      <w:szCs w:val="21"/>
                      <w:vertAlign w:val="superscript"/>
                      <w:lang w:val="en-US" w:eastAsia="zh-CN" w:bidi="ar"/>
                    </w:rPr>
                    <w:t>-</w:t>
                  </w:r>
                  <w:r>
                    <w:rPr>
                      <w:rFonts w:hint="eastAsia" w:ascii="Times New Roman" w:hAnsi="Times New Roman" w:eastAsia="宋体" w:cs="Times New Roman"/>
                      <w:color w:val="FF0000"/>
                      <w:kern w:val="0"/>
                      <w:sz w:val="21"/>
                      <w:szCs w:val="21"/>
                      <w:vertAlign w:val="superscript"/>
                      <w:lang w:val="en-US" w:eastAsia="zh-CN" w:bidi="ar"/>
                    </w:rPr>
                    <w:t>3</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szCs w:val="21"/>
                      <w:highlight w:val="none"/>
                      <w:lang w:val="en-US" w:eastAsia="zh-CN"/>
                    </w:rPr>
                  </w:pPr>
                  <w:r>
                    <w:rPr>
                      <w:rFonts w:hint="default" w:ascii="Times New Roman" w:hAnsi="Times New Roman" w:eastAsia="宋体" w:cs="Times New Roman"/>
                      <w:color w:val="FF0000"/>
                      <w:szCs w:val="21"/>
                      <w:highlight w:val="none"/>
                      <w:lang w:val="en-US" w:eastAsia="zh-CN"/>
                    </w:rPr>
                    <w:t>800</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3.3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3.737</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64</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827.2</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2.98</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137.5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1341"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排放形式</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bidi="ar"/>
                    </w:rPr>
                  </w:pPr>
                  <w:r>
                    <w:rPr>
                      <w:rFonts w:hint="default" w:ascii="Times New Roman" w:hAnsi="Times New Roman" w:eastAsia="宋体" w:cs="Times New Roman"/>
                      <w:color w:val="FF0000"/>
                      <w:kern w:val="0"/>
                      <w:lang w:bidi="ar"/>
                    </w:rPr>
                    <w:t>有组织</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bidi="ar"/>
                    </w:rPr>
                  </w:pPr>
                  <w:r>
                    <w:rPr>
                      <w:rFonts w:hint="default" w:ascii="Times New Roman" w:hAnsi="Times New Roman" w:eastAsia="宋体" w:cs="Times New Roman"/>
                      <w:color w:val="FF0000"/>
                      <w:kern w:val="0"/>
                      <w:lang w:bidi="ar"/>
                    </w:rPr>
                    <w:t>有组织</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4"/>
                      <w:lang w:val="en-US" w:eastAsia="zh-CN" w:bidi="ar"/>
                    </w:rPr>
                  </w:pPr>
                  <w:r>
                    <w:rPr>
                      <w:rFonts w:hint="default" w:ascii="Times New Roman" w:hAnsi="Times New Roman" w:eastAsia="宋体" w:cs="Times New Roman"/>
                      <w:color w:val="FF0000"/>
                      <w:kern w:val="0"/>
                      <w:lang w:bidi="ar"/>
                    </w:rPr>
                    <w:t>有组织</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lang w:bidi="ar"/>
                    </w:rPr>
                    <w:t>有组织</w:t>
                  </w:r>
                </w:p>
              </w:tc>
              <w:tc>
                <w:tcPr>
                  <w:tcW w:w="1818" w:type="dxa"/>
                  <w:gridSpan w:val="3"/>
                  <w:tcBorders>
                    <w:tl2br w:val="nil"/>
                    <w:tr2bl w:val="nil"/>
                  </w:tcBorders>
                  <w:vAlign w:val="center"/>
                </w:tcPr>
                <w:p>
                  <w:pPr>
                    <w:widowControl/>
                    <w:jc w:val="center"/>
                    <w:textAlignment w:val="center"/>
                    <w:rPr>
                      <w:rFonts w:hint="eastAsia" w:ascii="Times New Roman" w:hAnsi="Times New Roman" w:eastAsia="宋体" w:cs="Times New Roman"/>
                      <w:color w:val="FF0000"/>
                      <w:kern w:val="0"/>
                      <w:lang w:val="en-US" w:eastAsia="zh-CN" w:bidi="ar"/>
                    </w:rPr>
                  </w:pPr>
                  <w:r>
                    <w:rPr>
                      <w:rFonts w:hint="eastAsia" w:ascii="Times New Roman" w:hAnsi="Times New Roman" w:eastAsia="宋体" w:cs="Times New Roman"/>
                      <w:color w:val="FF0000"/>
                      <w:kern w:val="0"/>
                      <w:lang w:val="en-US" w:eastAsia="zh-CN" w:bidi="ar"/>
                    </w:rPr>
                    <w:t>有组织</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治理设施</w:t>
                  </w: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治理工艺</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覆膜袋式除尘器</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default" w:ascii="Times New Roman" w:hAnsi="Times New Roman" w:eastAsia="宋体" w:cs="Times New Roman"/>
                      <w:color w:val="FF0000"/>
                      <w:lang w:val="en-US" w:eastAsia="zh-CN"/>
                    </w:rPr>
                    <w:t>静电</w:t>
                  </w:r>
                  <w:r>
                    <w:rPr>
                      <w:rFonts w:hint="eastAsia" w:ascii="Times New Roman" w:hAnsi="Times New Roman" w:eastAsia="宋体" w:cs="Times New Roman"/>
                      <w:color w:val="FF0000"/>
                      <w:lang w:val="en-US" w:eastAsia="zh-CN"/>
                    </w:rPr>
                    <w:t>捕集</w:t>
                  </w:r>
                  <w:r>
                    <w:rPr>
                      <w:rFonts w:hint="default" w:ascii="Times New Roman" w:hAnsi="Times New Roman" w:eastAsia="宋体" w:cs="Times New Roman"/>
                      <w:color w:val="FF0000"/>
                      <w:lang w:val="en-US" w:eastAsia="zh-CN"/>
                    </w:rPr>
                    <w:t>+</w:t>
                  </w:r>
                  <w:r>
                    <w:rPr>
                      <w:rFonts w:hint="eastAsia" w:ascii="Times New Roman" w:hAnsi="Times New Roman" w:eastAsia="宋体" w:cs="Times New Roman"/>
                      <w:color w:val="FF0000"/>
                      <w:lang w:val="en-US" w:eastAsia="zh-CN"/>
                    </w:rPr>
                    <w:t>覆膜袋式除尘器</w:t>
                  </w:r>
                  <w:r>
                    <w:rPr>
                      <w:rFonts w:hint="default" w:ascii="Times New Roman" w:hAnsi="Times New Roman" w:eastAsia="宋体" w:cs="Times New Roman"/>
                      <w:color w:val="FF0000"/>
                      <w:lang w:val="en-US" w:eastAsia="zh-CN"/>
                    </w:rPr>
                    <w:t>+二级活性炭吸附</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覆膜袋式除尘器</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低氮燃烧器</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覆膜袋式除尘器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处理能力（m</w:t>
                  </w:r>
                  <w:r>
                    <w:rPr>
                      <w:rFonts w:hint="default" w:ascii="Times New Roman" w:hAnsi="Times New Roman" w:eastAsia="宋体" w:cs="Times New Roman"/>
                      <w:color w:val="FF0000"/>
                      <w:kern w:val="0"/>
                      <w:vertAlign w:val="superscript"/>
                      <w:lang w:bidi="ar"/>
                    </w:rPr>
                    <w:t>3</w:t>
                  </w:r>
                  <w:r>
                    <w:rPr>
                      <w:rFonts w:hint="default" w:ascii="Times New Roman" w:hAnsi="Times New Roman" w:eastAsia="宋体" w:cs="Times New Roman"/>
                      <w:color w:val="FF0000"/>
                      <w:kern w:val="0"/>
                      <w:vertAlign w:val="baseline"/>
                      <w:lang w:val="en-US" w:eastAsia="zh-CN" w:bidi="ar"/>
                    </w:rPr>
                    <w:t>/h</w:t>
                  </w:r>
                  <w:r>
                    <w:rPr>
                      <w:rFonts w:hint="default" w:ascii="Times New Roman" w:hAnsi="Times New Roman" w:eastAsia="宋体" w:cs="Times New Roman"/>
                      <w:color w:val="FF0000"/>
                      <w:kern w:val="0"/>
                      <w:lang w:bidi="ar"/>
                    </w:rPr>
                    <w:t>）</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15</w:t>
                  </w:r>
                  <w:r>
                    <w:rPr>
                      <w:rFonts w:hint="default" w:ascii="Times New Roman" w:hAnsi="Times New Roman" w:eastAsia="宋体" w:cs="Times New Roman"/>
                      <w:color w:val="FF0000"/>
                      <w:lang w:val="en-US" w:eastAsia="zh-CN"/>
                    </w:rPr>
                    <w:t>000</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12</w:t>
                  </w:r>
                  <w:r>
                    <w:rPr>
                      <w:rFonts w:hint="default" w:ascii="Times New Roman" w:hAnsi="Times New Roman" w:eastAsia="宋体" w:cs="Times New Roman"/>
                      <w:color w:val="FF0000"/>
                      <w:lang w:val="en-US" w:eastAsia="zh-CN"/>
                    </w:rPr>
                    <w:t>000</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500</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688</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6044</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去除率（%）</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default" w:ascii="Times New Roman" w:hAnsi="Times New Roman" w:eastAsia="宋体" w:cs="Times New Roman"/>
                      <w:color w:val="FF0000"/>
                      <w:lang w:val="en-US" w:eastAsia="zh-CN"/>
                    </w:rPr>
                    <w:t>99.5</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93.6</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99.5</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default" w:ascii="Times New Roman" w:hAnsi="Times New Roman" w:eastAsia="宋体" w:cs="Times New Roman"/>
                      <w:color w:val="FF0000"/>
                      <w:highlight w:val="none"/>
                      <w:lang w:val="en-US" w:eastAsia="zh-CN"/>
                    </w:rPr>
                    <w:t>60</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99.5</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highlight w:val="none"/>
                      <w:lang w:val="en-US" w:eastAsia="zh-CN"/>
                    </w:rPr>
                  </w:pPr>
                  <w:r>
                    <w:rPr>
                      <w:rFonts w:hint="eastAsia" w:ascii="Times New Roman" w:hAnsi="Times New Roman" w:eastAsia="宋体" w:cs="Times New Roman"/>
                      <w:color w:val="FF0000"/>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是否可行技术</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default" w:ascii="Times New Roman" w:hAnsi="Times New Roman" w:eastAsia="宋体" w:cs="Times New Roman"/>
                      <w:color w:val="FF0000"/>
                      <w:lang w:eastAsia="zh-CN"/>
                    </w:rPr>
                    <w:t>是</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2"/>
                      <w:sz w:val="21"/>
                      <w:szCs w:val="24"/>
                      <w:lang w:val="en-US" w:eastAsia="zh-CN" w:bidi="ar-SA"/>
                    </w:rPr>
                    <w:t>是</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是</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是</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是</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污染物排放情况</w:t>
                  </w: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排放浓度（mg/m</w:t>
                  </w:r>
                  <w:r>
                    <w:rPr>
                      <w:rFonts w:hint="default" w:ascii="Times New Roman" w:hAnsi="Times New Roman" w:eastAsia="宋体" w:cs="Times New Roman"/>
                      <w:color w:val="FF0000"/>
                      <w:kern w:val="0"/>
                      <w:vertAlign w:val="superscript"/>
                      <w:lang w:bidi="ar"/>
                    </w:rPr>
                    <w:t>3</w:t>
                  </w:r>
                  <w:r>
                    <w:rPr>
                      <w:rFonts w:hint="default" w:ascii="Times New Roman" w:hAnsi="Times New Roman" w:eastAsia="宋体" w:cs="Times New Roman"/>
                      <w:color w:val="FF0000"/>
                      <w:kern w:val="0"/>
                      <w:lang w:bidi="ar"/>
                    </w:rPr>
                    <w:t>）</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bidi="ar"/>
                    </w:rPr>
                  </w:pPr>
                  <w:r>
                    <w:rPr>
                      <w:rFonts w:hint="eastAsia" w:ascii="Times New Roman" w:hAnsi="Times New Roman" w:eastAsia="宋体" w:cs="Times New Roman"/>
                      <w:color w:val="FF0000"/>
                      <w:szCs w:val="21"/>
                      <w:lang w:val="en-US" w:eastAsia="zh-CN"/>
                    </w:rPr>
                    <w:t>2.933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default" w:ascii="Times New Roman" w:hAnsi="Times New Roman" w:eastAsia="宋体" w:cs="Times New Roman"/>
                      <w:color w:val="FF0000"/>
                      <w:kern w:val="2"/>
                      <w:sz w:val="21"/>
                      <w:szCs w:val="21"/>
                      <w:lang w:val="en-US" w:eastAsia="zh-CN" w:bidi="ar-SA"/>
                    </w:rPr>
                    <w:t>0.</w:t>
                  </w:r>
                  <w:r>
                    <w:rPr>
                      <w:rFonts w:hint="eastAsia" w:ascii="Times New Roman" w:hAnsi="Times New Roman" w:eastAsia="宋体" w:cs="Times New Roman"/>
                      <w:color w:val="FF0000"/>
                      <w:kern w:val="2"/>
                      <w:sz w:val="21"/>
                      <w:szCs w:val="21"/>
                      <w:lang w:val="en-US" w:eastAsia="zh-CN" w:bidi="ar-SA"/>
                    </w:rPr>
                    <w:t>3456</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default" w:ascii="Times New Roman" w:hAnsi="Times New Roman" w:eastAsia="宋体" w:cs="Times New Roman"/>
                      <w:color w:val="FF0000"/>
                      <w:kern w:val="2"/>
                      <w:sz w:val="21"/>
                      <w:szCs w:val="21"/>
                      <w:lang w:val="en-US" w:eastAsia="zh-CN" w:bidi="ar-SA"/>
                    </w:rPr>
                    <w:t>0.</w:t>
                  </w:r>
                  <w:r>
                    <w:rPr>
                      <w:rFonts w:hint="eastAsia" w:ascii="Times New Roman" w:hAnsi="Times New Roman" w:eastAsia="宋体" w:cs="Times New Roman"/>
                      <w:color w:val="FF0000"/>
                      <w:kern w:val="2"/>
                      <w:sz w:val="21"/>
                      <w:szCs w:val="21"/>
                      <w:lang w:val="en-US" w:eastAsia="zh-CN" w:bidi="ar-SA"/>
                    </w:rPr>
                    <w:t>4056</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1"/>
                      <w:lang w:val="en-US" w:eastAsia="zh-CN" w:bidi="ar-SA"/>
                    </w:rPr>
                  </w:pPr>
                  <w:r>
                    <w:rPr>
                      <w:rFonts w:hint="eastAsia" w:ascii="Times New Roman" w:hAnsi="Times New Roman" w:eastAsia="宋体" w:cs="Times New Roman"/>
                      <w:color w:val="FF0000"/>
                      <w:kern w:val="0"/>
                      <w:sz w:val="21"/>
                      <w:szCs w:val="21"/>
                      <w:lang w:val="en-US" w:eastAsia="zh-CN" w:bidi="ar"/>
                    </w:rPr>
                    <w:t>3.84</w:t>
                  </w:r>
                  <w:r>
                    <w:rPr>
                      <w:rFonts w:hint="default" w:ascii="Times New Roman" w:hAnsi="Times New Roman" w:eastAsia="宋体" w:cs="Times New Roman"/>
                      <w:color w:val="FF0000"/>
                      <w:kern w:val="0"/>
                      <w:sz w:val="21"/>
                      <w:szCs w:val="21"/>
                      <w:lang w:val="en-US" w:eastAsia="zh-CN" w:bidi="ar"/>
                    </w:rPr>
                    <w:t>×10</w:t>
                  </w:r>
                  <w:r>
                    <w:rPr>
                      <w:rFonts w:hint="default" w:ascii="Times New Roman" w:hAnsi="Times New Roman" w:eastAsia="宋体" w:cs="Times New Roman"/>
                      <w:color w:val="FF0000"/>
                      <w:kern w:val="0"/>
                      <w:sz w:val="21"/>
                      <w:szCs w:val="21"/>
                      <w:vertAlign w:val="superscript"/>
                      <w:lang w:val="en-US" w:eastAsia="zh-CN" w:bidi="ar"/>
                    </w:rPr>
                    <w:t>-</w:t>
                  </w:r>
                  <w:r>
                    <w:rPr>
                      <w:rFonts w:hint="eastAsia" w:ascii="Times New Roman" w:hAnsi="Times New Roman" w:eastAsia="宋体" w:cs="Times New Roman"/>
                      <w:color w:val="FF0000"/>
                      <w:kern w:val="0"/>
                      <w:sz w:val="21"/>
                      <w:szCs w:val="21"/>
                      <w:vertAlign w:val="superscript"/>
                      <w:lang w:val="en-US" w:eastAsia="zh-CN" w:bidi="ar"/>
                    </w:rPr>
                    <w:t>6</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4</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3.</w:t>
                  </w:r>
                  <w:r>
                    <w:rPr>
                      <w:rFonts w:hint="eastAsia" w:ascii="Times New Roman" w:hAnsi="Times New Roman" w:eastAsia="宋体" w:cs="Times New Roman"/>
                      <w:color w:val="FF0000"/>
                      <w:kern w:val="0"/>
                      <w:szCs w:val="21"/>
                      <w:highlight w:val="none"/>
                      <w:lang w:val="en-US" w:eastAsia="zh-CN" w:bidi="ar"/>
                    </w:rPr>
                    <w:t>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3.737</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25.</w:t>
                  </w:r>
                  <w:r>
                    <w:rPr>
                      <w:rFonts w:hint="eastAsia" w:ascii="Times New Roman" w:hAnsi="Times New Roman" w:eastAsia="宋体" w:cs="Times New Roman"/>
                      <w:color w:val="FF0000"/>
                      <w:kern w:val="0"/>
                      <w:szCs w:val="21"/>
                      <w:highlight w:val="none"/>
                      <w:lang w:val="en-US" w:eastAsia="zh-CN" w:bidi="ar"/>
                    </w:rPr>
                    <w:t>6</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4.136</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2.98</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eastAsia" w:ascii="Times New Roman" w:hAnsi="Times New Roman" w:eastAsia="宋体" w:cs="Times New Roman"/>
                      <w:color w:val="FF0000"/>
                      <w:kern w:val="0"/>
                      <w:szCs w:val="21"/>
                      <w:highlight w:val="none"/>
                      <w:lang w:val="en-US" w:eastAsia="zh-CN" w:bidi="ar"/>
                    </w:rPr>
                    <w:t>137.5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bookmarkStart w:id="11" w:name="OLE_LINK1" w:colFirst="2" w:colLast="5"/>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排放速率（kg/h）</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bidi="ar"/>
                    </w:rPr>
                  </w:pPr>
                  <w:r>
                    <w:rPr>
                      <w:rFonts w:hint="default" w:ascii="Times New Roman" w:hAnsi="Times New Roman" w:eastAsia="宋体" w:cs="Times New Roman"/>
                      <w:color w:val="FF0000"/>
                      <w:kern w:val="0"/>
                      <w:szCs w:val="21"/>
                      <w:lang w:val="en-US" w:eastAsia="zh-CN" w:bidi="ar"/>
                    </w:rPr>
                    <w:t>0.</w:t>
                  </w:r>
                  <w:r>
                    <w:rPr>
                      <w:rFonts w:hint="eastAsia" w:ascii="Times New Roman" w:hAnsi="Times New Roman" w:eastAsia="宋体" w:cs="Times New Roman"/>
                      <w:color w:val="FF0000"/>
                      <w:kern w:val="0"/>
                      <w:szCs w:val="21"/>
                      <w:lang w:val="en-US" w:eastAsia="zh-CN" w:bidi="ar"/>
                    </w:rPr>
                    <w:t>044</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0.0</w:t>
                  </w:r>
                  <w:r>
                    <w:rPr>
                      <w:rFonts w:hint="eastAsia" w:ascii="Times New Roman" w:hAnsi="Times New Roman" w:eastAsia="宋体" w:cs="Times New Roman"/>
                      <w:color w:val="FF0000"/>
                      <w:kern w:val="0"/>
                      <w:sz w:val="21"/>
                      <w:szCs w:val="21"/>
                      <w:lang w:val="en-US" w:eastAsia="zh-CN" w:bidi="ar"/>
                    </w:rPr>
                    <w:t>042</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0.0</w:t>
                  </w:r>
                  <w:r>
                    <w:rPr>
                      <w:rFonts w:hint="eastAsia" w:ascii="Times New Roman" w:hAnsi="Times New Roman" w:eastAsia="宋体" w:cs="Times New Roman"/>
                      <w:color w:val="FF0000"/>
                      <w:kern w:val="0"/>
                      <w:sz w:val="21"/>
                      <w:szCs w:val="21"/>
                      <w:lang w:val="en-US" w:eastAsia="zh-CN" w:bidi="ar"/>
                    </w:rPr>
                    <w:t>049</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eastAsia" w:ascii="Times New Roman" w:hAnsi="Times New Roman" w:eastAsia="宋体" w:cs="Times New Roman"/>
                      <w:color w:val="FF0000"/>
                      <w:kern w:val="0"/>
                      <w:sz w:val="21"/>
                      <w:szCs w:val="21"/>
                      <w:lang w:val="en-US" w:eastAsia="zh-CN" w:bidi="ar"/>
                    </w:rPr>
                    <w:t>4.63</w:t>
                  </w:r>
                  <w:r>
                    <w:rPr>
                      <w:rFonts w:hint="default" w:ascii="Times New Roman" w:hAnsi="Times New Roman" w:eastAsia="宋体" w:cs="Times New Roman"/>
                      <w:color w:val="FF0000"/>
                      <w:kern w:val="0"/>
                      <w:sz w:val="21"/>
                      <w:szCs w:val="21"/>
                      <w:lang w:val="en-US" w:eastAsia="zh-CN" w:bidi="ar"/>
                    </w:rPr>
                    <w:t>×10</w:t>
                  </w:r>
                  <w:r>
                    <w:rPr>
                      <w:rFonts w:hint="default" w:ascii="Times New Roman" w:hAnsi="Times New Roman" w:eastAsia="宋体" w:cs="Times New Roman"/>
                      <w:color w:val="FF0000"/>
                      <w:kern w:val="0"/>
                      <w:sz w:val="21"/>
                      <w:szCs w:val="21"/>
                      <w:vertAlign w:val="superscript"/>
                      <w:lang w:val="en-US" w:eastAsia="zh-CN" w:bidi="ar"/>
                    </w:rPr>
                    <w:t>-</w:t>
                  </w:r>
                  <w:r>
                    <w:rPr>
                      <w:rFonts w:hint="eastAsia" w:ascii="Times New Roman" w:hAnsi="Times New Roman" w:eastAsia="宋体" w:cs="Times New Roman"/>
                      <w:color w:val="FF0000"/>
                      <w:kern w:val="0"/>
                      <w:sz w:val="21"/>
                      <w:szCs w:val="21"/>
                      <w:vertAlign w:val="superscript"/>
                      <w:lang w:val="en-US" w:eastAsia="zh-CN" w:bidi="ar"/>
                    </w:rPr>
                    <w:t>8</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0.002</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w:t>
                  </w:r>
                  <w:r>
                    <w:rPr>
                      <w:rFonts w:hint="eastAsia" w:ascii="Times New Roman" w:hAnsi="Times New Roman" w:eastAsia="宋体" w:cs="Times New Roman"/>
                      <w:color w:val="FF0000"/>
                      <w:kern w:val="0"/>
                      <w:szCs w:val="21"/>
                      <w:highlight w:val="none"/>
                      <w:lang w:val="en-US" w:eastAsia="zh-CN" w:bidi="ar"/>
                    </w:rPr>
                    <w:t>23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w:t>
                  </w:r>
                  <w:r>
                    <w:rPr>
                      <w:rFonts w:hint="eastAsia" w:ascii="Times New Roman" w:hAnsi="Times New Roman" w:eastAsia="宋体" w:cs="Times New Roman"/>
                      <w:color w:val="FF0000"/>
                      <w:kern w:val="0"/>
                      <w:szCs w:val="21"/>
                      <w:highlight w:val="none"/>
                      <w:lang w:val="en-US" w:eastAsia="zh-CN" w:bidi="ar"/>
                    </w:rPr>
                    <w:t>26</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0.0</w:t>
                  </w:r>
                  <w:r>
                    <w:rPr>
                      <w:rFonts w:hint="eastAsia" w:ascii="Times New Roman" w:hAnsi="Times New Roman" w:eastAsia="宋体" w:cs="Times New Roman"/>
                      <w:color w:val="FF0000"/>
                      <w:kern w:val="0"/>
                      <w:highlight w:val="none"/>
                      <w:lang w:val="en-US" w:eastAsia="zh-CN" w:bidi="ar"/>
                    </w:rPr>
                    <w:t>178</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0.025</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0.018</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0.831</w:t>
                  </w:r>
                </w:p>
              </w:tc>
            </w:tr>
            <w:bookmarkEnd w:id="11"/>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排放量（t/a）</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lang w:val="en-US" w:eastAsia="zh-CN" w:bidi="ar"/>
                    </w:rPr>
                  </w:pPr>
                  <w:r>
                    <w:rPr>
                      <w:rFonts w:hint="default" w:ascii="Times New Roman" w:hAnsi="Times New Roman" w:eastAsia="宋体" w:cs="Times New Roman"/>
                      <w:color w:val="FF0000"/>
                      <w:kern w:val="0"/>
                      <w:szCs w:val="21"/>
                      <w:lang w:val="en-US" w:eastAsia="zh-CN" w:bidi="ar"/>
                    </w:rPr>
                    <w:t>0.</w:t>
                  </w:r>
                  <w:r>
                    <w:rPr>
                      <w:rFonts w:hint="eastAsia" w:ascii="Times New Roman" w:hAnsi="Times New Roman" w:eastAsia="宋体" w:cs="Times New Roman"/>
                      <w:color w:val="FF0000"/>
                      <w:kern w:val="0"/>
                      <w:szCs w:val="21"/>
                      <w:lang w:val="en-US" w:eastAsia="zh-CN" w:bidi="ar"/>
                    </w:rPr>
                    <w:t>064</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0.0</w:t>
                  </w:r>
                  <w:r>
                    <w:rPr>
                      <w:rFonts w:hint="eastAsia" w:ascii="Times New Roman" w:hAnsi="Times New Roman" w:eastAsia="宋体" w:cs="Times New Roman"/>
                      <w:color w:val="FF0000"/>
                      <w:kern w:val="0"/>
                      <w:sz w:val="21"/>
                      <w:szCs w:val="21"/>
                      <w:lang w:val="en-US" w:eastAsia="zh-CN" w:bidi="ar"/>
                    </w:rPr>
                    <w:t>182</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default" w:ascii="Times New Roman" w:hAnsi="Times New Roman" w:eastAsia="宋体" w:cs="Times New Roman"/>
                      <w:color w:val="FF0000"/>
                      <w:kern w:val="0"/>
                      <w:sz w:val="21"/>
                      <w:szCs w:val="21"/>
                      <w:lang w:val="en-US" w:eastAsia="zh-CN" w:bidi="ar"/>
                    </w:rPr>
                    <w:t>0.0211</w:t>
                  </w:r>
                </w:p>
              </w:tc>
              <w:tc>
                <w:tcPr>
                  <w:tcW w:w="838"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 w:val="21"/>
                      <w:szCs w:val="21"/>
                      <w:lang w:val="en-US" w:eastAsia="zh-CN" w:bidi="ar"/>
                    </w:rPr>
                  </w:pPr>
                  <w:r>
                    <w:rPr>
                      <w:rFonts w:hint="eastAsia" w:ascii="Times New Roman" w:hAnsi="Times New Roman" w:eastAsia="宋体" w:cs="Times New Roman"/>
                      <w:color w:val="FF0000"/>
                      <w:kern w:val="0"/>
                      <w:sz w:val="21"/>
                      <w:szCs w:val="21"/>
                      <w:lang w:val="en-US" w:eastAsia="zh-CN" w:bidi="ar"/>
                    </w:rPr>
                    <w:t>0.2</w:t>
                  </w:r>
                  <w:r>
                    <w:rPr>
                      <w:rFonts w:hint="default" w:ascii="Times New Roman" w:hAnsi="Times New Roman" w:eastAsia="宋体" w:cs="Times New Roman"/>
                      <w:color w:val="FF0000"/>
                      <w:kern w:val="0"/>
                      <w:sz w:val="21"/>
                      <w:szCs w:val="21"/>
                      <w:lang w:val="en-US" w:eastAsia="zh-CN" w:bidi="ar"/>
                    </w:rPr>
                    <w:t>×10</w:t>
                  </w:r>
                  <w:r>
                    <w:rPr>
                      <w:rFonts w:hint="default" w:ascii="Times New Roman" w:hAnsi="Times New Roman" w:eastAsia="宋体" w:cs="Times New Roman"/>
                      <w:color w:val="FF0000"/>
                      <w:kern w:val="0"/>
                      <w:sz w:val="21"/>
                      <w:szCs w:val="21"/>
                      <w:vertAlign w:val="superscript"/>
                      <w:lang w:val="en-US" w:eastAsia="zh-CN" w:bidi="ar"/>
                    </w:rPr>
                    <w:t>-6</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 w:val="21"/>
                      <w:szCs w:val="21"/>
                      <w:lang w:val="en-US" w:eastAsia="zh-CN" w:bidi="ar"/>
                    </w:rPr>
                    <w:t>0.000185</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0.003</w:t>
                  </w:r>
                  <w:r>
                    <w:rPr>
                      <w:rFonts w:hint="eastAsia" w:ascii="Times New Roman" w:hAnsi="Times New Roman" w:eastAsia="宋体" w:cs="Times New Roman"/>
                      <w:color w:val="FF0000"/>
                      <w:kern w:val="0"/>
                      <w:szCs w:val="21"/>
                      <w:highlight w:val="none"/>
                      <w:lang w:val="en-US" w:eastAsia="zh-CN" w:bidi="ar"/>
                    </w:rPr>
                    <w:t>3</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szCs w:val="21"/>
                      <w:highlight w:val="none"/>
                      <w:lang w:val="en-US" w:eastAsia="zh-CN" w:bidi="ar"/>
                    </w:rPr>
                  </w:pPr>
                  <w:r>
                    <w:rPr>
                      <w:rFonts w:hint="default" w:ascii="Times New Roman" w:hAnsi="Times New Roman" w:eastAsia="宋体" w:cs="Times New Roman"/>
                      <w:color w:val="FF0000"/>
                      <w:kern w:val="0"/>
                      <w:szCs w:val="21"/>
                      <w:highlight w:val="none"/>
                      <w:lang w:val="en-US" w:eastAsia="zh-CN" w:bidi="ar"/>
                    </w:rPr>
                    <w:t>0.003</w:t>
                  </w:r>
                  <w:r>
                    <w:rPr>
                      <w:rFonts w:hint="eastAsia" w:ascii="Times New Roman" w:hAnsi="Times New Roman" w:eastAsia="宋体" w:cs="Times New Roman"/>
                      <w:color w:val="FF0000"/>
                      <w:kern w:val="0"/>
                      <w:szCs w:val="21"/>
                      <w:highlight w:val="none"/>
                      <w:lang w:val="en-US" w:eastAsia="zh-CN" w:bidi="ar"/>
                    </w:rPr>
                    <w:t>7</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default" w:ascii="Times New Roman" w:hAnsi="Times New Roman" w:eastAsia="宋体" w:cs="Times New Roman"/>
                      <w:color w:val="FF0000"/>
                      <w:kern w:val="0"/>
                      <w:highlight w:val="none"/>
                      <w:lang w:val="en-US" w:eastAsia="zh-CN" w:bidi="ar"/>
                    </w:rPr>
                    <w:t>0.0256</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0.036</w:t>
                  </w:r>
                </w:p>
              </w:tc>
              <w:tc>
                <w:tcPr>
                  <w:tcW w:w="660"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0.0256</w:t>
                  </w:r>
                </w:p>
              </w:tc>
              <w:tc>
                <w:tcPr>
                  <w:tcW w:w="579"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highlight w:val="none"/>
                      <w:lang w:val="en-US" w:eastAsia="zh-CN" w:bidi="ar"/>
                    </w:rPr>
                  </w:pPr>
                  <w:r>
                    <w:rPr>
                      <w:rFonts w:hint="eastAsia" w:ascii="Times New Roman" w:hAnsi="Times New Roman" w:eastAsia="宋体" w:cs="Times New Roman"/>
                      <w:color w:val="FF0000"/>
                      <w:kern w:val="0"/>
                      <w:highlight w:val="none"/>
                      <w:lang w:val="en-US" w:eastAsia="zh-CN" w:bidi="ar"/>
                    </w:rPr>
                    <w:t>1.197</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排放口基本情况</w:t>
                  </w: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排气筒高度（m）</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default" w:ascii="Times New Roman" w:hAnsi="Times New Roman" w:eastAsia="宋体" w:cs="Times New Roman"/>
                      <w:color w:val="FF0000"/>
                      <w:lang w:val="en-US" w:eastAsia="zh-CN"/>
                    </w:rPr>
                    <w:t>15</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default" w:ascii="Times New Roman" w:hAnsi="Times New Roman" w:eastAsia="宋体" w:cs="Times New Roman"/>
                      <w:color w:val="FF0000"/>
                      <w:lang w:val="en-US" w:eastAsia="zh-CN"/>
                    </w:rPr>
                    <w:t>15</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2"/>
                      <w:sz w:val="21"/>
                      <w:szCs w:val="24"/>
                      <w:lang w:val="en-US" w:eastAsia="zh-CN" w:bidi="ar-SA"/>
                    </w:rPr>
                    <w:t>15</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lang w:val="en-US" w:eastAsia="zh-CN"/>
                    </w:rPr>
                    <w:t>15</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15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排气筒内径（m）</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lang w:val="en-US" w:eastAsia="zh-CN"/>
                    </w:rPr>
                    <w:t>0.6</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bidi="ar"/>
                    </w:rPr>
                  </w:pPr>
                  <w:r>
                    <w:rPr>
                      <w:rFonts w:hint="default" w:ascii="Times New Roman" w:hAnsi="Times New Roman" w:eastAsia="宋体" w:cs="Times New Roman"/>
                      <w:color w:val="FF0000"/>
                      <w:kern w:val="0"/>
                      <w:lang w:bidi="ar"/>
                    </w:rPr>
                    <w:t>0.</w:t>
                  </w:r>
                  <w:r>
                    <w:rPr>
                      <w:rFonts w:hint="default" w:ascii="Times New Roman" w:hAnsi="Times New Roman" w:eastAsia="宋体" w:cs="Times New Roman"/>
                      <w:color w:val="FF0000"/>
                      <w:kern w:val="0"/>
                      <w:lang w:val="en-US" w:eastAsia="zh-CN" w:bidi="ar"/>
                    </w:rPr>
                    <w:t>6</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0.</w:t>
                  </w:r>
                  <w:r>
                    <w:rPr>
                      <w:rFonts w:hint="eastAsia" w:ascii="Times New Roman" w:hAnsi="Times New Roman" w:eastAsia="宋体" w:cs="Times New Roman"/>
                      <w:color w:val="FF0000"/>
                      <w:kern w:val="0"/>
                      <w:lang w:val="en-US" w:eastAsia="zh-CN" w:bidi="ar"/>
                    </w:rPr>
                    <w:t>15</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0.</w:t>
                  </w:r>
                  <w:r>
                    <w:rPr>
                      <w:rFonts w:hint="default" w:ascii="Times New Roman" w:hAnsi="Times New Roman" w:eastAsia="宋体" w:cs="Times New Roman"/>
                      <w:color w:val="FF0000"/>
                      <w:kern w:val="0"/>
                      <w:lang w:val="en-US" w:eastAsia="zh-CN" w:bidi="ar"/>
                    </w:rPr>
                    <w:t>3</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eastAsia" w:ascii="Times New Roman" w:hAnsi="Times New Roman" w:eastAsia="宋体" w:cs="Times New Roman"/>
                      <w:color w:val="FF0000"/>
                      <w:kern w:val="0"/>
                      <w:lang w:val="en-US" w:eastAsia="zh-CN" w:bidi="ar"/>
                    </w:rPr>
                    <w:t>0.5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温度（℃）</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val="en-US" w:eastAsia="zh-CN"/>
                    </w:rPr>
                  </w:pPr>
                  <w:r>
                    <w:rPr>
                      <w:rFonts w:hint="eastAsia" w:ascii="Times New Roman" w:hAnsi="Times New Roman" w:eastAsia="宋体" w:cs="Times New Roman"/>
                      <w:color w:val="FF0000"/>
                      <w:kern w:val="0"/>
                      <w:lang w:val="en-US" w:eastAsia="zh-CN" w:bidi="ar"/>
                    </w:rPr>
                    <w:t>常温</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default" w:ascii="Times New Roman" w:hAnsi="Times New Roman" w:eastAsia="宋体" w:cs="Times New Roman"/>
                      <w:color w:val="FF0000"/>
                      <w:kern w:val="0"/>
                      <w:lang w:val="en-US" w:eastAsia="zh-CN" w:bidi="ar"/>
                    </w:rPr>
                    <w:t>40</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常温</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val="en-US" w:eastAsia="zh-CN" w:bidi="ar"/>
                    </w:rPr>
                    <w:t>60</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eastAsia" w:ascii="Times New Roman" w:hAnsi="Times New Roman" w:eastAsia="宋体" w:cs="Times New Roman"/>
                      <w:color w:val="FF0000"/>
                      <w:kern w:val="0"/>
                      <w:lang w:val="en-US" w:eastAsia="zh-CN" w:bidi="ar"/>
                    </w:rPr>
                    <w:t>60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编号及名称</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lang w:eastAsia="zh-CN"/>
                    </w:rPr>
                  </w:pPr>
                  <w:r>
                    <w:rPr>
                      <w:rFonts w:hint="default" w:ascii="Times New Roman" w:hAnsi="Times New Roman" w:eastAsia="宋体" w:cs="Times New Roman"/>
                      <w:color w:val="FF0000"/>
                      <w:kern w:val="0"/>
                      <w:lang w:bidi="ar"/>
                    </w:rPr>
                    <w:t>DA00</w:t>
                  </w:r>
                  <w:r>
                    <w:rPr>
                      <w:rFonts w:hint="default" w:ascii="Times New Roman" w:hAnsi="Times New Roman" w:eastAsia="宋体" w:cs="Times New Roman"/>
                      <w:color w:val="FF0000"/>
                      <w:kern w:val="0"/>
                      <w:lang w:val="en-US" w:eastAsia="zh-CN" w:bidi="ar"/>
                    </w:rPr>
                    <w:t>1</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bidi="ar"/>
                    </w:rPr>
                  </w:pPr>
                  <w:r>
                    <w:rPr>
                      <w:rFonts w:hint="default" w:ascii="Times New Roman" w:hAnsi="Times New Roman" w:eastAsia="宋体" w:cs="Times New Roman"/>
                      <w:color w:val="FF0000"/>
                      <w:kern w:val="0"/>
                      <w:lang w:bidi="ar"/>
                    </w:rPr>
                    <w:t>DA00</w:t>
                  </w:r>
                  <w:r>
                    <w:rPr>
                      <w:rFonts w:hint="default" w:ascii="Times New Roman" w:hAnsi="Times New Roman" w:eastAsia="宋体" w:cs="Times New Roman"/>
                      <w:color w:val="FF0000"/>
                      <w:kern w:val="0"/>
                      <w:lang w:val="en-US" w:eastAsia="zh-CN" w:bidi="ar"/>
                    </w:rPr>
                    <w:t>3</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DA00</w:t>
                  </w:r>
                  <w:r>
                    <w:rPr>
                      <w:rFonts w:hint="default" w:ascii="Times New Roman" w:hAnsi="Times New Roman" w:eastAsia="宋体" w:cs="Times New Roman"/>
                      <w:color w:val="FF0000"/>
                      <w:kern w:val="0"/>
                      <w:lang w:val="en-US" w:eastAsia="zh-CN" w:bidi="ar"/>
                    </w:rPr>
                    <w:t>2</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DA00</w:t>
                  </w:r>
                  <w:r>
                    <w:rPr>
                      <w:rFonts w:hint="default" w:ascii="Times New Roman" w:hAnsi="Times New Roman" w:eastAsia="宋体" w:cs="Times New Roman"/>
                      <w:color w:val="FF0000"/>
                      <w:kern w:val="0"/>
                      <w:lang w:val="en-US" w:eastAsia="zh-CN" w:bidi="ar"/>
                    </w:rPr>
                    <w:t>4</w:t>
                  </w:r>
                </w:p>
              </w:tc>
              <w:tc>
                <w:tcPr>
                  <w:tcW w:w="1818" w:type="dxa"/>
                  <w:gridSpan w:val="3"/>
                  <w:tcBorders>
                    <w:tl2br w:val="nil"/>
                    <w:tr2bl w:val="nil"/>
                  </w:tcBorders>
                  <w:vAlign w:val="center"/>
                </w:tcPr>
                <w:p>
                  <w:pPr>
                    <w:widowControl/>
                    <w:jc w:val="center"/>
                    <w:textAlignment w:val="center"/>
                    <w:rPr>
                      <w:rFonts w:hint="eastAsia"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DA00</w:t>
                  </w:r>
                  <w:r>
                    <w:rPr>
                      <w:rFonts w:hint="eastAsia" w:ascii="Times New Roman" w:hAnsi="Times New Roman" w:eastAsia="宋体" w:cs="Times New Roman"/>
                      <w:color w:val="FF0000"/>
                      <w:kern w:val="0"/>
                      <w:lang w:val="en-US" w:eastAsia="zh-CN" w:bidi="ar"/>
                    </w:rPr>
                    <w:t>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类型</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rPr>
                  </w:pPr>
                  <w:r>
                    <w:rPr>
                      <w:rFonts w:hint="default" w:ascii="Times New Roman" w:hAnsi="Times New Roman" w:eastAsia="宋体" w:cs="Times New Roman"/>
                      <w:color w:val="FF0000"/>
                      <w:kern w:val="0"/>
                      <w:lang w:bidi="ar"/>
                    </w:rPr>
                    <w:t>一般排放口</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bidi="ar"/>
                    </w:rPr>
                  </w:pPr>
                  <w:r>
                    <w:rPr>
                      <w:rFonts w:hint="default" w:ascii="Times New Roman" w:hAnsi="Times New Roman" w:eastAsia="宋体" w:cs="Times New Roman"/>
                      <w:color w:val="FF0000"/>
                      <w:kern w:val="0"/>
                      <w:lang w:bidi="ar"/>
                    </w:rPr>
                    <w:t>一般排放口</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一般排放口</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一般排放口</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2"/>
                      <w:sz w:val="21"/>
                      <w:szCs w:val="24"/>
                      <w:lang w:val="en-US" w:eastAsia="zh-CN" w:bidi="ar-SA"/>
                    </w:rPr>
                  </w:pPr>
                  <w:r>
                    <w:rPr>
                      <w:rFonts w:hint="default" w:ascii="Times New Roman" w:hAnsi="Times New Roman" w:eastAsia="宋体" w:cs="Times New Roman"/>
                      <w:color w:val="FF0000"/>
                      <w:kern w:val="0"/>
                      <w:lang w:bidi="ar"/>
                    </w:rPr>
                    <w:t>一般排放口</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0" w:hRule="atLeast"/>
                <w:jc w:val="center"/>
              </w:trPr>
              <w:tc>
                <w:tcPr>
                  <w:tcW w:w="376" w:type="dxa"/>
                  <w:vMerge w:val="continue"/>
                  <w:tcBorders>
                    <w:tl2br w:val="nil"/>
                    <w:tr2bl w:val="nil"/>
                  </w:tcBorders>
                  <w:vAlign w:val="center"/>
                </w:tcPr>
                <w:p>
                  <w:pPr>
                    <w:jc w:val="center"/>
                    <w:rPr>
                      <w:rFonts w:hint="default" w:ascii="Times New Roman" w:hAnsi="Times New Roman" w:eastAsia="宋体" w:cs="Times New Roman"/>
                      <w:color w:val="FF0000"/>
                    </w:rPr>
                  </w:pPr>
                </w:p>
              </w:tc>
              <w:tc>
                <w:tcPr>
                  <w:tcW w:w="965"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default" w:ascii="Times New Roman" w:hAnsi="Times New Roman" w:eastAsia="宋体" w:cs="Times New Roman"/>
                      <w:color w:val="FF0000"/>
                      <w:kern w:val="0"/>
                      <w:lang w:val="en-US" w:eastAsia="zh-CN" w:bidi="ar"/>
                    </w:rPr>
                    <w:t>排放口地理坐标（°）</w:t>
                  </w:r>
                </w:p>
              </w:tc>
              <w:tc>
                <w:tcPr>
                  <w:tcW w:w="1136"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default" w:ascii="Times New Roman" w:hAnsi="Times New Roman" w:eastAsia="宋体" w:cs="Times New Roman"/>
                      <w:color w:val="FF0000"/>
                      <w:szCs w:val="23"/>
                    </w:rPr>
                    <w:t>114.5</w:t>
                  </w:r>
                  <w:r>
                    <w:rPr>
                      <w:rFonts w:hint="default" w:ascii="Times New Roman" w:hAnsi="Times New Roman" w:eastAsia="宋体" w:cs="Times New Roman"/>
                      <w:color w:val="FF0000"/>
                      <w:szCs w:val="23"/>
                      <w:lang w:val="en-US" w:eastAsia="zh-CN"/>
                    </w:rPr>
                    <w:t>93375</w:t>
                  </w:r>
                  <w:r>
                    <w:rPr>
                      <w:rFonts w:hint="default" w:ascii="Times New Roman" w:hAnsi="Times New Roman" w:eastAsia="宋体" w:cs="Times New Roman"/>
                      <w:color w:val="FF0000"/>
                      <w:szCs w:val="23"/>
                      <w:lang w:eastAsia="zh-CN"/>
                    </w:rPr>
                    <w:t>，</w:t>
                  </w:r>
                  <w:r>
                    <w:rPr>
                      <w:rFonts w:hint="default" w:ascii="Times New Roman" w:hAnsi="Times New Roman" w:eastAsia="宋体" w:cs="Times New Roman"/>
                      <w:color w:val="FF0000"/>
                      <w:szCs w:val="23"/>
                    </w:rPr>
                    <w:t>37.658</w:t>
                  </w:r>
                  <w:r>
                    <w:rPr>
                      <w:rFonts w:hint="default" w:ascii="Times New Roman" w:hAnsi="Times New Roman" w:eastAsia="宋体" w:cs="Times New Roman"/>
                      <w:color w:val="FF0000"/>
                      <w:szCs w:val="23"/>
                      <w:lang w:val="en-US" w:eastAsia="zh-CN"/>
                    </w:rPr>
                    <w:t>421</w:t>
                  </w:r>
                </w:p>
              </w:tc>
              <w:tc>
                <w:tcPr>
                  <w:tcW w:w="215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szCs w:val="23"/>
                      <w:lang w:val="en-US" w:eastAsia="zh-CN"/>
                    </w:rPr>
                  </w:pPr>
                  <w:r>
                    <w:rPr>
                      <w:rFonts w:hint="default" w:ascii="Times New Roman" w:hAnsi="Times New Roman" w:eastAsia="宋体" w:cs="Times New Roman"/>
                      <w:color w:val="FF0000"/>
                      <w:szCs w:val="23"/>
                    </w:rPr>
                    <w:t>114.5</w:t>
                  </w:r>
                  <w:r>
                    <w:rPr>
                      <w:rFonts w:hint="default" w:ascii="Times New Roman" w:hAnsi="Times New Roman" w:eastAsia="宋体" w:cs="Times New Roman"/>
                      <w:color w:val="FF0000"/>
                      <w:szCs w:val="23"/>
                      <w:lang w:val="en-US" w:eastAsia="zh-CN"/>
                    </w:rPr>
                    <w:t>93289</w:t>
                  </w:r>
                  <w:r>
                    <w:rPr>
                      <w:rFonts w:hint="default" w:ascii="Times New Roman" w:hAnsi="Times New Roman" w:eastAsia="宋体" w:cs="Times New Roman"/>
                      <w:color w:val="FF0000"/>
                      <w:szCs w:val="23"/>
                      <w:lang w:eastAsia="zh-CN"/>
                    </w:rPr>
                    <w:t>，</w:t>
                  </w:r>
                  <w:r>
                    <w:rPr>
                      <w:rFonts w:hint="default" w:ascii="Times New Roman" w:hAnsi="Times New Roman" w:eastAsia="宋体" w:cs="Times New Roman"/>
                      <w:color w:val="FF0000"/>
                      <w:szCs w:val="23"/>
                    </w:rPr>
                    <w:t>37.65</w:t>
                  </w:r>
                  <w:r>
                    <w:rPr>
                      <w:rFonts w:hint="default" w:ascii="Times New Roman" w:hAnsi="Times New Roman" w:eastAsia="宋体" w:cs="Times New Roman"/>
                      <w:color w:val="FF0000"/>
                      <w:szCs w:val="23"/>
                      <w:lang w:val="en-US" w:eastAsia="zh-CN"/>
                    </w:rPr>
                    <w:t>9079</w:t>
                  </w:r>
                </w:p>
              </w:tc>
              <w:tc>
                <w:tcPr>
                  <w:tcW w:w="1137" w:type="dxa"/>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default" w:ascii="Times New Roman" w:hAnsi="Times New Roman" w:eastAsia="宋体" w:cs="Times New Roman"/>
                      <w:color w:val="FF0000"/>
                      <w:szCs w:val="23"/>
                    </w:rPr>
                    <w:t>114.5</w:t>
                  </w:r>
                  <w:r>
                    <w:rPr>
                      <w:rFonts w:hint="default" w:ascii="Times New Roman" w:hAnsi="Times New Roman" w:eastAsia="宋体" w:cs="Times New Roman"/>
                      <w:color w:val="FF0000"/>
                      <w:szCs w:val="23"/>
                      <w:lang w:val="en-US" w:eastAsia="zh-CN"/>
                    </w:rPr>
                    <w:t>93375</w:t>
                  </w:r>
                  <w:r>
                    <w:rPr>
                      <w:rFonts w:hint="default" w:ascii="Times New Roman" w:hAnsi="Times New Roman" w:eastAsia="宋体" w:cs="Times New Roman"/>
                      <w:color w:val="FF0000"/>
                      <w:szCs w:val="23"/>
                      <w:lang w:eastAsia="zh-CN"/>
                    </w:rPr>
                    <w:t>，</w:t>
                  </w:r>
                  <w:r>
                    <w:rPr>
                      <w:rFonts w:hint="default" w:ascii="Times New Roman" w:hAnsi="Times New Roman" w:eastAsia="宋体" w:cs="Times New Roman"/>
                      <w:color w:val="FF0000"/>
                      <w:szCs w:val="23"/>
                    </w:rPr>
                    <w:t>37.6</w:t>
                  </w:r>
                  <w:r>
                    <w:rPr>
                      <w:rFonts w:hint="default" w:ascii="Times New Roman" w:hAnsi="Times New Roman" w:eastAsia="宋体" w:cs="Times New Roman"/>
                      <w:color w:val="FF0000"/>
                      <w:szCs w:val="23"/>
                      <w:lang w:val="en-US" w:eastAsia="zh-CN"/>
                    </w:rPr>
                    <w:t>58557</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kern w:val="0"/>
                      <w:lang w:val="en-US" w:eastAsia="zh-CN" w:bidi="ar"/>
                    </w:rPr>
                  </w:pPr>
                  <w:r>
                    <w:rPr>
                      <w:rFonts w:hint="default" w:ascii="Times New Roman" w:hAnsi="Times New Roman" w:eastAsia="宋体" w:cs="Times New Roman"/>
                      <w:color w:val="FF0000"/>
                      <w:szCs w:val="23"/>
                    </w:rPr>
                    <w:t>114.5</w:t>
                  </w:r>
                  <w:r>
                    <w:rPr>
                      <w:rFonts w:hint="default" w:ascii="Times New Roman" w:hAnsi="Times New Roman" w:eastAsia="宋体" w:cs="Times New Roman"/>
                      <w:color w:val="FF0000"/>
                      <w:szCs w:val="23"/>
                      <w:lang w:val="en-US" w:eastAsia="zh-CN"/>
                    </w:rPr>
                    <w:t>93327</w:t>
                  </w:r>
                  <w:r>
                    <w:rPr>
                      <w:rFonts w:hint="default" w:ascii="Times New Roman" w:hAnsi="Times New Roman" w:eastAsia="宋体" w:cs="Times New Roman"/>
                      <w:color w:val="FF0000"/>
                      <w:szCs w:val="23"/>
                      <w:lang w:eastAsia="zh-CN"/>
                    </w:rPr>
                    <w:t>，</w:t>
                  </w:r>
                  <w:r>
                    <w:rPr>
                      <w:rFonts w:hint="default" w:ascii="Times New Roman" w:hAnsi="Times New Roman" w:eastAsia="宋体" w:cs="Times New Roman"/>
                      <w:color w:val="FF0000"/>
                      <w:szCs w:val="23"/>
                    </w:rPr>
                    <w:t>37.6</w:t>
                  </w:r>
                  <w:r>
                    <w:rPr>
                      <w:rFonts w:hint="default" w:ascii="Times New Roman" w:hAnsi="Times New Roman" w:eastAsia="宋体" w:cs="Times New Roman"/>
                      <w:color w:val="FF0000"/>
                      <w:szCs w:val="23"/>
                      <w:lang w:val="en-US" w:eastAsia="zh-CN"/>
                    </w:rPr>
                    <w:t>595168</w:t>
                  </w:r>
                </w:p>
              </w:tc>
              <w:tc>
                <w:tcPr>
                  <w:tcW w:w="1818"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FF0000"/>
                      <w:szCs w:val="23"/>
                    </w:rPr>
                  </w:pPr>
                  <w:r>
                    <w:rPr>
                      <w:rFonts w:hint="default" w:ascii="Times New Roman" w:hAnsi="Times New Roman" w:eastAsia="宋体" w:cs="Times New Roman"/>
                      <w:color w:val="FF0000"/>
                      <w:szCs w:val="23"/>
                    </w:rPr>
                    <w:t>114.5</w:t>
                  </w:r>
                  <w:r>
                    <w:rPr>
                      <w:rFonts w:hint="default" w:ascii="Times New Roman" w:hAnsi="Times New Roman" w:eastAsia="宋体" w:cs="Times New Roman"/>
                      <w:color w:val="FF0000"/>
                      <w:szCs w:val="23"/>
                      <w:lang w:val="en-US" w:eastAsia="zh-CN"/>
                    </w:rPr>
                    <w:t>93375</w:t>
                  </w:r>
                  <w:r>
                    <w:rPr>
                      <w:rFonts w:hint="default" w:ascii="Times New Roman" w:hAnsi="Times New Roman" w:eastAsia="宋体" w:cs="Times New Roman"/>
                      <w:color w:val="FF0000"/>
                      <w:szCs w:val="23"/>
                      <w:lang w:eastAsia="zh-CN"/>
                    </w:rPr>
                    <w:t>，</w:t>
                  </w:r>
                  <w:r>
                    <w:rPr>
                      <w:rFonts w:hint="default" w:ascii="Times New Roman" w:hAnsi="Times New Roman" w:eastAsia="宋体" w:cs="Times New Roman"/>
                      <w:color w:val="FF0000"/>
                      <w:szCs w:val="23"/>
                    </w:rPr>
                    <w:t>37.6</w:t>
                  </w:r>
                  <w:r>
                    <w:rPr>
                      <w:rFonts w:hint="default" w:ascii="Times New Roman" w:hAnsi="Times New Roman" w:eastAsia="宋体" w:cs="Times New Roman"/>
                      <w:color w:val="FF0000"/>
                      <w:szCs w:val="23"/>
                      <w:lang w:val="en-US" w:eastAsia="zh-CN"/>
                    </w:rPr>
                    <w:t>58</w:t>
                  </w:r>
                  <w:r>
                    <w:rPr>
                      <w:rFonts w:hint="eastAsia" w:ascii="Times New Roman" w:hAnsi="Times New Roman" w:eastAsia="宋体" w:cs="Times New Roman"/>
                      <w:color w:val="FF0000"/>
                      <w:szCs w:val="23"/>
                      <w:lang w:val="en-US" w:eastAsia="zh-CN"/>
                    </w:rPr>
                    <w:t>72</w:t>
                  </w:r>
                  <w:r>
                    <w:rPr>
                      <w:rFonts w:hint="default" w:ascii="Times New Roman" w:hAnsi="Times New Roman" w:eastAsia="宋体" w:cs="Times New Roman"/>
                      <w:color w:val="FF0000"/>
                      <w:szCs w:val="23"/>
                      <w:lang w:val="en-US" w:eastAsia="zh-CN"/>
                    </w:rPr>
                    <w:t>7</w:t>
                  </w:r>
                </w:p>
              </w:tc>
            </w:tr>
          </w:tbl>
          <w:p>
            <w:pPr>
              <w:spacing w:line="360" w:lineRule="auto"/>
              <w:ind w:firstLine="480" w:firstLineChars="200"/>
              <w:rPr>
                <w:rFonts w:hint="default"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无组织废气：</w:t>
            </w:r>
            <w:r>
              <w:rPr>
                <w:rFonts w:hint="default" w:ascii="Times New Roman" w:hAnsi="Times New Roman" w:eastAsia="宋体" w:cs="Times New Roman"/>
                <w:color w:val="000000" w:themeColor="text1"/>
                <w:sz w:val="24"/>
                <w:lang w:val="en-US" w:eastAsia="zh-CN"/>
                <w14:textFill>
                  <w14:solidFill>
                    <w14:schemeClr w14:val="tx1"/>
                  </w14:solidFill>
                </w14:textFill>
              </w:rPr>
              <w:t>采取密闭生产车间+</w:t>
            </w:r>
            <w:r>
              <w:rPr>
                <w:rFonts w:hint="eastAsia" w:cs="Times New Roman"/>
                <w:color w:val="000000" w:themeColor="text1"/>
                <w:sz w:val="24"/>
                <w:lang w:val="en-US" w:eastAsia="zh-CN"/>
                <w14:textFill>
                  <w14:solidFill>
                    <w14:schemeClr w14:val="tx1"/>
                  </w14:solidFill>
                </w14:textFill>
              </w:rPr>
              <w:t>喷淋抑尘</w:t>
            </w:r>
            <w:r>
              <w:rPr>
                <w:rFonts w:hint="default" w:ascii="Times New Roman" w:hAnsi="Times New Roman" w:eastAsia="宋体" w:cs="Times New Roman"/>
                <w:color w:val="000000" w:themeColor="text1"/>
                <w:sz w:val="24"/>
                <w:lang w:val="en-US" w:eastAsia="zh-CN"/>
                <w14:textFill>
                  <w14:solidFill>
                    <w14:schemeClr w14:val="tx1"/>
                  </w14:solidFill>
                </w14:textFill>
              </w:rPr>
              <w:t>等降尘措施</w:t>
            </w:r>
            <w:r>
              <w:rPr>
                <w:rFonts w:hint="eastAsia" w:cs="Times New Roman"/>
                <w:color w:val="000000" w:themeColor="text1"/>
                <w:sz w:val="24"/>
                <w:lang w:val="en-US" w:eastAsia="zh-CN"/>
                <w14:textFill>
                  <w14:solidFill>
                    <w14:schemeClr w14:val="tx1"/>
                  </w14:solidFill>
                </w14:textFill>
              </w:rPr>
              <w:t>，以减少无组织废气的排放。</w:t>
            </w:r>
          </w:p>
          <w:p>
            <w:pPr>
              <w:spacing w:line="360" w:lineRule="auto"/>
              <w:ind w:firstLine="480" w:firstLineChars="200"/>
              <w:rPr>
                <w:rFonts w:hint="eastAsia" w:eastAsia="宋体" w:cs="Times New Roman"/>
                <w:color w:val="000000" w:themeColor="text1"/>
                <w:kern w:val="0"/>
                <w:sz w:val="24"/>
                <w:szCs w:val="24"/>
                <w:highlight w:val="none"/>
                <w:lang w:val="en-US" w:eastAsia="zh-CN" w:bidi="ar-SA"/>
                <w14:textFill>
                  <w14:solidFill>
                    <w14:schemeClr w14:val="tx1"/>
                  </w14:solidFill>
                </w14:textFill>
              </w:rPr>
            </w:pPr>
            <w:r>
              <w:rPr>
                <w:rFonts w:hint="default" w:eastAsia="宋体" w:cs="Times New Roman"/>
                <w:color w:val="000000" w:themeColor="text1"/>
                <w:kern w:val="0"/>
                <w:sz w:val="24"/>
                <w:szCs w:val="24"/>
                <w:highlight w:val="none"/>
                <w:lang w:val="en-US" w:eastAsia="zh-CN" w:bidi="ar-SA"/>
                <w14:textFill>
                  <w14:solidFill>
                    <w14:schemeClr w14:val="tx1"/>
                  </w14:solidFill>
                </w14:textFill>
              </w:rPr>
              <w:t>根据</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各污染源强及估算</w:t>
            </w:r>
            <w:r>
              <w:rPr>
                <w:rFonts w:hint="default" w:eastAsia="宋体" w:cs="Times New Roman"/>
                <w:color w:val="000000" w:themeColor="text1"/>
                <w:kern w:val="0"/>
                <w:sz w:val="24"/>
                <w:szCs w:val="24"/>
                <w:highlight w:val="none"/>
                <w:lang w:val="en-US" w:eastAsia="zh-CN" w:bidi="ar-SA"/>
                <w14:textFill>
                  <w14:solidFill>
                    <w14:schemeClr w14:val="tx1"/>
                  </w14:solidFill>
                </w14:textFill>
              </w:rPr>
              <w:t>结果可知，项目</w:t>
            </w:r>
            <w:r>
              <w:rPr>
                <w:rFonts w:hint="default" w:ascii="Times New Roman" w:hAnsi="Times New Roman" w:eastAsia="宋体" w:cs="Times New Roman"/>
                <w:color w:val="000000" w:themeColor="text1"/>
                <w:sz w:val="24"/>
                <w:szCs w:val="32"/>
                <w14:textFill>
                  <w14:solidFill>
                    <w14:schemeClr w14:val="tx1"/>
                  </w14:solidFill>
                </w14:textFill>
              </w:rPr>
              <w:t>Pmax最大值出现为</w:t>
            </w:r>
            <w:r>
              <w:rPr>
                <w:rFonts w:hint="eastAsia" w:cs="Times New Roman"/>
                <w:color w:val="000000" w:themeColor="text1"/>
                <w:sz w:val="24"/>
                <w:szCs w:val="32"/>
                <w:lang w:val="en-US" w:eastAsia="zh-CN"/>
                <w14:textFill>
                  <w14:solidFill>
                    <w14:schemeClr w14:val="tx1"/>
                  </w14:solidFill>
                </w14:textFill>
              </w:rPr>
              <w:t>料仓生产车间</w:t>
            </w:r>
            <w:r>
              <w:rPr>
                <w:rFonts w:hint="eastAsia" w:cs="Times New Roman"/>
                <w:color w:val="000000" w:themeColor="text1"/>
                <w:sz w:val="24"/>
                <w:szCs w:val="28"/>
                <w:lang w:val="en-US" w:eastAsia="zh-CN"/>
                <w14:textFill>
                  <w14:solidFill>
                    <w14:schemeClr w14:val="tx1"/>
                  </w14:solidFill>
                </w14:textFill>
              </w:rPr>
              <w:t>中PM</w:t>
            </w:r>
            <w:r>
              <w:rPr>
                <w:rFonts w:hint="eastAsia" w:cs="Times New Roman"/>
                <w:color w:val="000000" w:themeColor="text1"/>
                <w:sz w:val="24"/>
                <w:szCs w:val="28"/>
                <w:vertAlign w:val="subscript"/>
                <w:lang w:val="en-US" w:eastAsia="zh-CN"/>
                <w14:textFill>
                  <w14:solidFill>
                    <w14:schemeClr w14:val="tx1"/>
                  </w14:solidFill>
                </w14:textFill>
              </w:rPr>
              <w:t>2.5</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Cmax</w:t>
            </w:r>
            <w:r>
              <w:rPr>
                <w:rFonts w:hint="eastAsia" w:cs="Times New Roman"/>
                <w:color w:val="000000" w:themeColor="text1"/>
                <w:sz w:val="24"/>
                <w:szCs w:val="32"/>
                <w:lang w:val="en-US" w:eastAsia="zh-CN"/>
                <w14:textFill>
                  <w14:solidFill>
                    <w14:schemeClr w14:val="tx1"/>
                  </w14:solidFill>
                </w14:textFill>
              </w:rPr>
              <w:t>21.7596</w:t>
            </w:r>
            <w:r>
              <w:rPr>
                <w:rFonts w:hint="default" w:ascii="Times New Roman" w:hAnsi="Times New Roman" w:eastAsia="宋体" w:cs="Times New Roman"/>
                <w:color w:val="000000" w:themeColor="text1"/>
                <w:sz w:val="24"/>
                <w:szCs w:val="32"/>
                <w14:textFill>
                  <w14:solidFill>
                    <w14:schemeClr w14:val="tx1"/>
                  </w14:solidFill>
                </w14:textFill>
              </w:rPr>
              <w:t>μg/m</w:t>
            </w:r>
            <w:r>
              <w:rPr>
                <w:rFonts w:hint="default" w:ascii="Times New Roman" w:hAnsi="Times New Roman" w:eastAsia="宋体" w:cs="Times New Roman"/>
                <w:color w:val="000000" w:themeColor="text1"/>
                <w:sz w:val="24"/>
                <w:szCs w:val="32"/>
                <w:vertAlign w:val="superscript"/>
                <w14:textFill>
                  <w14:solidFill>
                    <w14:schemeClr w14:val="tx1"/>
                  </w14:solidFill>
                </w14:textFill>
              </w:rPr>
              <w:t>3</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标准值为</w:t>
            </w:r>
            <w:r>
              <w:rPr>
                <w:rFonts w:hint="eastAsia" w:cs="Times New Roman"/>
                <w:color w:val="000000" w:themeColor="text1"/>
                <w:sz w:val="24"/>
                <w:szCs w:val="32"/>
                <w:lang w:val="en-US" w:eastAsia="zh-CN"/>
                <w14:textFill>
                  <w14:solidFill>
                    <w14:schemeClr w14:val="tx1"/>
                  </w14:solidFill>
                </w14:textFill>
              </w:rPr>
              <w:t>225</w:t>
            </w:r>
            <w:r>
              <w:rPr>
                <w:rFonts w:hint="default" w:ascii="Times New Roman" w:hAnsi="Times New Roman" w:eastAsia="宋体" w:cs="Times New Roman"/>
                <w:color w:val="000000" w:themeColor="text1"/>
                <w:sz w:val="24"/>
                <w:szCs w:val="32"/>
                <w14:textFill>
                  <w14:solidFill>
                    <w14:schemeClr w14:val="tx1"/>
                  </w14:solidFill>
                </w14:textFill>
              </w:rPr>
              <w:t>μg/m</w:t>
            </w:r>
            <w:r>
              <w:rPr>
                <w:rFonts w:hint="default" w:ascii="Times New Roman" w:hAnsi="Times New Roman" w:eastAsia="宋体" w:cs="Times New Roman"/>
                <w:color w:val="000000" w:themeColor="text1"/>
                <w:sz w:val="24"/>
                <w:szCs w:val="32"/>
                <w:vertAlign w:val="superscript"/>
                <w14:textFill>
                  <w14:solidFill>
                    <w14:schemeClr w14:val="tx1"/>
                  </w14:solidFill>
                </w14:textFill>
              </w:rPr>
              <w:t>3</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Pmax值为</w:t>
            </w:r>
            <w:r>
              <w:rPr>
                <w:rFonts w:hint="eastAsia" w:cs="Times New Roman"/>
                <w:color w:val="000000" w:themeColor="text1"/>
                <w:sz w:val="24"/>
                <w:szCs w:val="32"/>
                <w:lang w:val="en-US" w:eastAsia="zh-CN"/>
                <w14:textFill>
                  <w14:solidFill>
                    <w14:schemeClr w14:val="tx1"/>
                  </w14:solidFill>
                </w14:textFill>
              </w:rPr>
              <w:t>9.6709</w:t>
            </w:r>
            <w:r>
              <w:rPr>
                <w:rFonts w:hint="default" w:ascii="Times New Roman" w:hAnsi="Times New Roman" w:eastAsia="宋体" w:cs="Times New Roman"/>
                <w:color w:val="000000" w:themeColor="text1"/>
                <w:sz w:val="24"/>
                <w:szCs w:val="32"/>
                <w14:textFill>
                  <w14:solidFill>
                    <w14:schemeClr w14:val="tx1"/>
                  </w14:solidFill>
                </w14:textFill>
              </w:rPr>
              <w:t>%</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D</w:t>
            </w:r>
            <w:r>
              <w:rPr>
                <w:rFonts w:hint="default" w:ascii="Times New Roman" w:hAnsi="Times New Roman" w:eastAsia="宋体" w:cs="Times New Roman"/>
                <w:color w:val="000000" w:themeColor="text1"/>
                <w:sz w:val="24"/>
                <w:szCs w:val="32"/>
                <w:vertAlign w:val="subscript"/>
                <w14:textFill>
                  <w14:solidFill>
                    <w14:schemeClr w14:val="tx1"/>
                  </w14:solidFill>
                </w14:textFill>
              </w:rPr>
              <w:t>10%</w:t>
            </w:r>
            <w:r>
              <w:rPr>
                <w:rFonts w:hint="default" w:ascii="Times New Roman" w:hAnsi="Times New Roman" w:eastAsia="宋体" w:cs="Times New Roman"/>
                <w:color w:val="000000" w:themeColor="text1"/>
                <w:sz w:val="24"/>
                <w:szCs w:val="32"/>
                <w:vertAlign w:val="baseline"/>
                <w:lang w:val="en-US" w:eastAsia="zh-CN"/>
                <w14:textFill>
                  <w14:solidFill>
                    <w14:schemeClr w14:val="tx1"/>
                  </w14:solidFill>
                </w14:textFill>
              </w:rPr>
              <w:t>未出现</w:t>
            </w:r>
            <w:r>
              <w:rPr>
                <w:rFonts w:hint="default" w:ascii="Times New Roman" w:hAnsi="Times New Roman" w:eastAsia="宋体" w:cs="Times New Roman"/>
                <w:color w:val="000000" w:themeColor="text1"/>
                <w:sz w:val="24"/>
                <w:szCs w:val="32"/>
                <w14:textFill>
                  <w14:solidFill>
                    <w14:schemeClr w14:val="tx1"/>
                  </w14:solidFill>
                </w14:textFill>
              </w:rPr>
              <w:t>，根据《环境影响评价技术导则 大气环境》（HJ2.2-2018）分级判据，确定本项目大气环境影响评价工作等级为</w:t>
            </w:r>
            <w:r>
              <w:rPr>
                <w:rFonts w:hint="default" w:ascii="Times New Roman" w:hAnsi="Times New Roman" w:eastAsia="宋体" w:cs="Times New Roman"/>
                <w:color w:val="000000" w:themeColor="text1"/>
                <w:sz w:val="24"/>
                <w:szCs w:val="32"/>
                <w:lang w:val="en-US" w:eastAsia="zh-CN"/>
                <w14:textFill>
                  <w14:solidFill>
                    <w14:schemeClr w14:val="tx1"/>
                  </w14:solidFill>
                </w14:textFill>
              </w:rPr>
              <w:t>二</w:t>
            </w:r>
            <w:r>
              <w:rPr>
                <w:rFonts w:hint="default" w:ascii="Times New Roman" w:hAnsi="Times New Roman" w:eastAsia="宋体" w:cs="Times New Roman"/>
                <w:color w:val="000000" w:themeColor="text1"/>
                <w:sz w:val="24"/>
                <w:szCs w:val="32"/>
                <w14:textFill>
                  <w14:solidFill>
                    <w14:schemeClr w14:val="tx1"/>
                  </w14:solidFill>
                </w14:textFill>
              </w:rPr>
              <w:t>级</w:t>
            </w:r>
            <w:r>
              <w:rPr>
                <w:rFonts w:hint="default" w:eastAsia="宋体" w:cs="Times New Roman"/>
                <w:color w:val="000000" w:themeColor="text1"/>
                <w:kern w:val="0"/>
                <w:sz w:val="24"/>
                <w:szCs w:val="24"/>
                <w:highlight w:val="none"/>
                <w:lang w:val="en-US" w:eastAsia="zh-CN" w:bidi="ar-SA"/>
                <w14:textFill>
                  <w14:solidFill>
                    <w14:schemeClr w14:val="tx1"/>
                  </w14:solidFill>
                </w14:textFill>
              </w:rPr>
              <w:t>。按照《环境影响评价技术导则 大气环境》（HJ2.2-2018）规定，以厂址为中心区域，边长为5km的矩形区域作为大气环境影响评价范围。二级评价项目不进行进一步预测与评价，只对污染物排放量进行核算</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w:t>
            </w:r>
          </w:p>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1、有组织排放量核算</w:t>
            </w:r>
          </w:p>
          <w:p>
            <w:pPr>
              <w:pStyle w:val="120"/>
              <w:numPr>
                <w:ilvl w:val="0"/>
                <w:numId w:val="14"/>
              </w:numPr>
              <w:spacing w:line="240" w:lineRule="auto"/>
              <w:rPr>
                <w:rFonts w:hint="default" w:eastAsia="宋体"/>
                <w:color w:val="000000" w:themeColor="text1"/>
                <w:highlight w:val="none"/>
                <w:lang w:val="en-US" w:eastAsia="zh-CN"/>
                <w14:textFill>
                  <w14:solidFill>
                    <w14:schemeClr w14:val="tx1"/>
                  </w14:solidFill>
                </w14:textFill>
              </w:rPr>
            </w:pPr>
            <w:r>
              <w:rPr>
                <w:rFonts w:hint="default" w:eastAsia="宋体"/>
                <w:color w:val="000000" w:themeColor="text1"/>
                <w:highlight w:val="none"/>
                <w:lang w:val="en-US" w:eastAsia="zh-CN"/>
                <w14:textFill>
                  <w14:solidFill>
                    <w14:schemeClr w14:val="tx1"/>
                  </w14:solidFill>
                </w14:textFill>
              </w:rPr>
              <w:t>大气污染物有组织排放量核算表</w:t>
            </w:r>
          </w:p>
          <w:tbl>
            <w:tblPr>
              <w:tblStyle w:val="42"/>
              <w:tblW w:w="9409"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79"/>
              <w:gridCol w:w="1110"/>
              <w:gridCol w:w="1767"/>
              <w:gridCol w:w="1737"/>
              <w:gridCol w:w="1784"/>
              <w:gridCol w:w="223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779"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序号</w:t>
                  </w:r>
                </w:p>
              </w:tc>
              <w:tc>
                <w:tcPr>
                  <w:tcW w:w="1110"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排放口编号</w:t>
                  </w:r>
                </w:p>
              </w:tc>
              <w:tc>
                <w:tcPr>
                  <w:tcW w:w="1767"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污染物</w:t>
                  </w:r>
                </w:p>
              </w:tc>
              <w:tc>
                <w:tcPr>
                  <w:tcW w:w="1737"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核算排放量t/a</w:t>
                  </w:r>
                </w:p>
              </w:tc>
              <w:tc>
                <w:tcPr>
                  <w:tcW w:w="1784"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核算排放速率kg/h</w:t>
                  </w:r>
                </w:p>
              </w:tc>
              <w:tc>
                <w:tcPr>
                  <w:tcW w:w="2232"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核算排放浓度mg/m</w:t>
                  </w:r>
                  <w:r>
                    <w:rPr>
                      <w:rFonts w:hint="default" w:ascii="Times New Roman" w:hAnsi="Times New Roman" w:eastAsia="宋体" w:cs="Times New Roman"/>
                      <w:color w:val="000000" w:themeColor="text1"/>
                      <w:vertAlign w:val="superscript"/>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9409" w:type="dxa"/>
                  <w:gridSpan w:val="6"/>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一般排放口</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1</w:t>
                  </w:r>
                </w:p>
              </w:tc>
              <w:tc>
                <w:tcPr>
                  <w:tcW w:w="1110" w:type="dxa"/>
                  <w:vAlign w:val="center"/>
                </w:tcPr>
                <w:p>
                  <w:pPr>
                    <w:pStyle w:val="199"/>
                    <w:rPr>
                      <w:rFonts w:hint="default" w:ascii="Times New Roman" w:hAnsi="Times New Roman" w:eastAsia="宋体" w:cs="Times New Roman"/>
                      <w:color w:val="000000" w:themeColor="text1"/>
                      <w:szCs w:val="24"/>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上料和筛分</w:t>
                  </w:r>
                  <w:r>
                    <w:rPr>
                      <w:rFonts w:hint="eastAsia" w:cs="Times New Roman"/>
                      <w:color w:val="000000" w:themeColor="text1"/>
                      <w:kern w:val="0"/>
                      <w:szCs w:val="21"/>
                      <w:lang w:val="en-US" w:eastAsia="zh-CN"/>
                      <w14:textFill>
                        <w14:solidFill>
                          <w14:schemeClr w14:val="tx1"/>
                        </w14:solidFill>
                      </w14:textFill>
                    </w:rPr>
                    <w:t>废气</w:t>
                  </w:r>
                  <w:r>
                    <w:rPr>
                      <w:rFonts w:hint="default" w:ascii="Times New Roman" w:hAnsi="Times New Roman" w:eastAsia="宋体" w:cs="Times New Roman"/>
                      <w:color w:val="000000" w:themeColor="text1"/>
                      <w:kern w:val="0"/>
                      <w:szCs w:val="21"/>
                      <w14:textFill>
                        <w14:solidFill>
                          <w14:schemeClr w14:val="tx1"/>
                        </w14:solidFill>
                      </w14:textFill>
                    </w:rPr>
                    <w:t>（DA00</w:t>
                  </w:r>
                  <w:r>
                    <w:rPr>
                      <w:rFonts w:hint="default" w:ascii="Times New Roman" w:hAnsi="Times New Roman" w:eastAsia="宋体" w:cs="Times New Roman"/>
                      <w:color w:val="000000" w:themeColor="text1"/>
                      <w:kern w:val="0"/>
                      <w:szCs w:val="21"/>
                      <w:lang w:val="en-US" w:eastAsia="zh-CN"/>
                      <w14:textFill>
                        <w14:solidFill>
                          <w14:schemeClr w14:val="tx1"/>
                        </w14:solidFill>
                      </w14:textFill>
                    </w:rPr>
                    <w:t>1</w:t>
                  </w:r>
                  <w:r>
                    <w:rPr>
                      <w:rFonts w:hint="default" w:ascii="Times New Roman" w:hAnsi="Times New Roman" w:eastAsia="宋体" w:cs="Times New Roman"/>
                      <w:color w:val="000000" w:themeColor="text1"/>
                      <w:kern w:val="0"/>
                      <w:szCs w:val="21"/>
                      <w14:textFill>
                        <w14:solidFill>
                          <w14:schemeClr w14:val="tx1"/>
                        </w14:solidFill>
                      </w14:textFill>
                    </w:rPr>
                    <w:t>）</w:t>
                  </w:r>
                </w:p>
              </w:tc>
              <w:tc>
                <w:tcPr>
                  <w:tcW w:w="1767" w:type="dxa"/>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1737" w:type="dxa"/>
                  <w:vAlign w:val="center"/>
                </w:tcPr>
                <w:p>
                  <w:pPr>
                    <w:pStyle w:val="199"/>
                    <w:rPr>
                      <w:rFonts w:hint="default" w:ascii="Times New Roman" w:hAnsi="Times New Roman" w:eastAsia="宋体" w:cs="Times New Roman"/>
                      <w:color w:val="000000" w:themeColor="text1"/>
                      <w:szCs w:val="24"/>
                      <w:lang w:val="en-US"/>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w:t>
                  </w:r>
                  <w:r>
                    <w:rPr>
                      <w:rFonts w:hint="eastAsia" w:cs="Times New Roman"/>
                      <w:color w:val="000000" w:themeColor="text1"/>
                      <w:kern w:val="0"/>
                      <w:szCs w:val="21"/>
                      <w:lang w:val="en-US" w:eastAsia="zh-CN" w:bidi="ar"/>
                      <w14:textFill>
                        <w14:solidFill>
                          <w14:schemeClr w14:val="tx1"/>
                        </w14:solidFill>
                      </w14:textFill>
                    </w:rPr>
                    <w:t>064</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4"/>
                      <w:lang w:val="en-US"/>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0.044</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4"/>
                      <w:lang w:val="en-US"/>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2.933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2</w:t>
                  </w:r>
                </w:p>
              </w:tc>
              <w:tc>
                <w:tcPr>
                  <w:tcW w:w="1110" w:type="dxa"/>
                  <w:vMerge w:val="restar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搅拌、沥青储罐废气</w:t>
                  </w: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3</w:t>
                  </w:r>
                  <w:r>
                    <w:rPr>
                      <w:rFonts w:hint="default" w:ascii="Times New Roman" w:hAnsi="Times New Roman" w:eastAsia="宋体" w:cs="Times New Roman"/>
                      <w:color w:val="000000" w:themeColor="text1"/>
                      <w:szCs w:val="23"/>
                      <w14:textFill>
                        <w14:solidFill>
                          <w14:schemeClr w14:val="tx1"/>
                        </w14:solidFill>
                      </w14:textFill>
                    </w:rPr>
                    <w:t>）</w:t>
                  </w: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沥青烟</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w:t>
                  </w:r>
                  <w:r>
                    <w:rPr>
                      <w:rFonts w:hint="eastAsia" w:ascii="Times New Roman" w:hAnsi="Times New Roman" w:eastAsia="宋体" w:cs="Times New Roman"/>
                      <w:color w:val="000000" w:themeColor="text1"/>
                      <w:szCs w:val="21"/>
                      <w:lang w:val="en-US" w:eastAsia="zh-CN"/>
                      <w14:textFill>
                        <w14:solidFill>
                          <w14:schemeClr w14:val="tx1"/>
                        </w14:solidFill>
                      </w14:textFill>
                    </w:rPr>
                    <w:t>182</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0.0042</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0.3456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非甲烷总烃</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0.0211</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w:t>
                  </w:r>
                  <w:r>
                    <w:rPr>
                      <w:rFonts w:hint="eastAsia" w:ascii="Times New Roman" w:hAnsi="Times New Roman" w:eastAsia="宋体" w:cs="Times New Roman"/>
                      <w:color w:val="000000" w:themeColor="text1"/>
                      <w:szCs w:val="21"/>
                      <w:lang w:val="en-US" w:eastAsia="zh-CN"/>
                      <w14:textFill>
                        <w14:solidFill>
                          <w14:schemeClr w14:val="tx1"/>
                        </w14:solidFill>
                      </w14:textFill>
                    </w:rPr>
                    <w:t>0049</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0.4056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苯并[a]芘</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4.63</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8</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3.84</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3</w:t>
                  </w:r>
                </w:p>
              </w:tc>
              <w:tc>
                <w:tcPr>
                  <w:tcW w:w="1110"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矿粉</w:t>
                  </w:r>
                  <w:r>
                    <w:rPr>
                      <w:rFonts w:hint="default" w:ascii="Times New Roman" w:hAnsi="Times New Roman" w:eastAsia="宋体" w:cs="Times New Roman"/>
                      <w:color w:val="000000" w:themeColor="text1"/>
                      <w:szCs w:val="21"/>
                      <w14:textFill>
                        <w14:solidFill>
                          <w14:schemeClr w14:val="tx1"/>
                        </w14:solidFill>
                      </w14:textFill>
                    </w:rPr>
                    <w:t>仓</w:t>
                  </w:r>
                </w:p>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2</w:t>
                  </w:r>
                  <w:r>
                    <w:rPr>
                      <w:rFonts w:hint="default" w:ascii="Times New Roman" w:hAnsi="Times New Roman" w:eastAsia="宋体" w:cs="Times New Roman"/>
                      <w:color w:val="000000" w:themeColor="text1"/>
                      <w:szCs w:val="23"/>
                      <w14:textFill>
                        <w14:solidFill>
                          <w14:schemeClr w14:val="tx1"/>
                        </w14:solidFill>
                      </w14:textFill>
                    </w:rPr>
                    <w:t>）</w:t>
                  </w:r>
                </w:p>
              </w:tc>
              <w:tc>
                <w:tcPr>
                  <w:tcW w:w="1767" w:type="dxa"/>
                  <w:vAlign w:val="center"/>
                </w:tcPr>
                <w:p>
                  <w:pPr>
                    <w:pStyle w:val="199"/>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1737"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0.000185</w:t>
                  </w:r>
                </w:p>
              </w:tc>
              <w:tc>
                <w:tcPr>
                  <w:tcW w:w="1784" w:type="dxa"/>
                  <w:vAlign w:val="center"/>
                </w:tcPr>
                <w:p>
                  <w:pPr>
                    <w:pStyle w:val="199"/>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0.002</w:t>
                  </w:r>
                </w:p>
              </w:tc>
              <w:tc>
                <w:tcPr>
                  <w:tcW w:w="2232" w:type="dxa"/>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4</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4</w:t>
                  </w:r>
                </w:p>
              </w:tc>
              <w:tc>
                <w:tcPr>
                  <w:tcW w:w="1110" w:type="dxa"/>
                  <w:vMerge w:val="restar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导热油炉废气</w:t>
                  </w: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4</w:t>
                  </w:r>
                  <w:r>
                    <w:rPr>
                      <w:rFonts w:hint="default" w:ascii="Times New Roman" w:hAnsi="Times New Roman" w:eastAsia="宋体" w:cs="Times New Roman"/>
                      <w:color w:val="000000" w:themeColor="text1"/>
                      <w:szCs w:val="23"/>
                      <w14:textFill>
                        <w14:solidFill>
                          <w14:schemeClr w14:val="tx1"/>
                        </w14:solidFill>
                      </w14:textFill>
                    </w:rPr>
                    <w:t>）</w:t>
                  </w: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颗粒物</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0.0033</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23</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3.3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SO</w:t>
                  </w:r>
                  <w:r>
                    <w:rPr>
                      <w:rFonts w:hint="default" w:ascii="Times New Roman" w:hAnsi="Times New Roman" w:eastAsia="宋体" w:cs="Times New Roman"/>
                      <w:i w:val="0"/>
                      <w:iCs w:val="0"/>
                      <w:color w:val="000000" w:themeColor="text1"/>
                      <w:kern w:val="0"/>
                      <w:sz w:val="21"/>
                      <w:szCs w:val="21"/>
                      <w:u w:val="none"/>
                      <w:vertAlign w:val="subscript"/>
                      <w:lang w:val="en-US" w:eastAsia="zh-CN" w:bidi="ar"/>
                      <w14:textFill>
                        <w14:solidFill>
                          <w14:schemeClr w14:val="tx1"/>
                        </w14:solidFill>
                      </w14:textFill>
                    </w:rPr>
                    <w:t>2</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0.0037</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26</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3.737</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NOx</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0.0256</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178</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25.</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restart"/>
                  <w:vAlign w:val="center"/>
                </w:tcPr>
                <w:p>
                  <w:pPr>
                    <w:pStyle w:val="199"/>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5</w:t>
                  </w:r>
                </w:p>
              </w:tc>
              <w:tc>
                <w:tcPr>
                  <w:tcW w:w="1110" w:type="dxa"/>
                  <w:vMerge w:val="restart"/>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加热、</w:t>
                  </w:r>
                  <w:r>
                    <w:rPr>
                      <w:rFonts w:hint="default" w:ascii="Times New Roman" w:hAnsi="Times New Roman" w:eastAsia="宋体" w:cs="Times New Roman"/>
                      <w:color w:val="000000" w:themeColor="text1"/>
                      <w:szCs w:val="21"/>
                      <w:lang w:val="en-US" w:eastAsia="zh-CN"/>
                      <w14:textFill>
                        <w14:solidFill>
                          <w14:schemeClr w14:val="tx1"/>
                        </w14:solidFill>
                      </w14:textFill>
                    </w:rPr>
                    <w:t>燃烧机燃烧</w:t>
                  </w:r>
                  <w:r>
                    <w:rPr>
                      <w:rFonts w:hint="eastAsia" w:cs="Times New Roman"/>
                      <w:color w:val="000000" w:themeColor="text1"/>
                      <w:szCs w:val="21"/>
                      <w:lang w:val="en-US" w:eastAsia="zh-CN"/>
                      <w14:textFill>
                        <w14:solidFill>
                          <w14:schemeClr w14:val="tx1"/>
                        </w14:solidFill>
                      </w14:textFill>
                    </w:rPr>
                    <w:t>废气</w:t>
                  </w:r>
                  <w:r>
                    <w:rPr>
                      <w:rFonts w:hint="default" w:ascii="Times New Roman" w:hAnsi="Times New Roman" w:eastAsia="宋体" w:cs="Times New Roman"/>
                      <w:color w:val="000000" w:themeColor="text1"/>
                      <w:kern w:val="0"/>
                      <w:szCs w:val="21"/>
                      <w14:textFill>
                        <w14:solidFill>
                          <w14:schemeClr w14:val="tx1"/>
                        </w14:solidFill>
                      </w14:textFill>
                    </w:rPr>
                    <w:t>（DA00</w:t>
                  </w:r>
                  <w:r>
                    <w:rPr>
                      <w:rFonts w:hint="eastAsia" w:cs="Times New Roman"/>
                      <w:color w:val="000000" w:themeColor="text1"/>
                      <w:kern w:val="0"/>
                      <w:szCs w:val="21"/>
                      <w:lang w:val="en-US" w:eastAsia="zh-CN"/>
                      <w14:textFill>
                        <w14:solidFill>
                          <w14:schemeClr w14:val="tx1"/>
                        </w14:solidFill>
                      </w14:textFill>
                    </w:rPr>
                    <w:t>5</w:t>
                  </w:r>
                  <w:r>
                    <w:rPr>
                      <w:rFonts w:hint="default" w:ascii="Times New Roman" w:hAnsi="Times New Roman" w:eastAsia="宋体" w:cs="Times New Roman"/>
                      <w:color w:val="000000" w:themeColor="text1"/>
                      <w:kern w:val="0"/>
                      <w:szCs w:val="21"/>
                      <w14:textFill>
                        <w14:solidFill>
                          <w14:schemeClr w14:val="tx1"/>
                        </w14:solidFill>
                      </w14:textFill>
                    </w:rPr>
                    <w:t>）</w:t>
                  </w:r>
                </w:p>
              </w:tc>
              <w:tc>
                <w:tcPr>
                  <w:tcW w:w="1767" w:type="dxa"/>
                  <w:vAlign w:val="center"/>
                </w:tcPr>
                <w:p>
                  <w:pPr>
                    <w:pStyle w:val="199"/>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0.036</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0.025</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4.136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SO</w:t>
                  </w:r>
                  <w:r>
                    <w:rPr>
                      <w:rFonts w:hint="default" w:ascii="Times New Roman" w:hAnsi="Times New Roman" w:eastAsia="宋体" w:cs="Times New Roman"/>
                      <w:i w:val="0"/>
                      <w:iCs w:val="0"/>
                      <w:color w:val="000000" w:themeColor="text1"/>
                      <w:kern w:val="0"/>
                      <w:sz w:val="21"/>
                      <w:szCs w:val="21"/>
                      <w:u w:val="none"/>
                      <w:vertAlign w:val="subscript"/>
                      <w:lang w:val="en-US" w:eastAsia="zh-CN" w:bidi="ar"/>
                      <w14:textFill>
                        <w14:solidFill>
                          <w14:schemeClr w14:val="tx1"/>
                        </w14:solidFill>
                      </w14:textFill>
                    </w:rPr>
                    <w:t>2</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0.0256</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0.018</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2.98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779"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110" w:type="dxa"/>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1767" w:type="dxa"/>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NOx</w:t>
                  </w:r>
                </w:p>
              </w:tc>
              <w:tc>
                <w:tcPr>
                  <w:tcW w:w="1737"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1.197</w:t>
                  </w:r>
                </w:p>
              </w:tc>
              <w:tc>
                <w:tcPr>
                  <w:tcW w:w="1784"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0.831</w:t>
                  </w:r>
                </w:p>
              </w:tc>
              <w:tc>
                <w:tcPr>
                  <w:tcW w:w="2232" w:type="dxa"/>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137.5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restart"/>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一般排放口合计</w:t>
                  </w:r>
                  <w:r>
                    <w:rPr>
                      <w:rFonts w:hint="default" w:ascii="Times New Roman" w:hAnsi="Times New Roman" w:cs="Times New Roman"/>
                      <w:color w:val="000000" w:themeColor="text1"/>
                      <w:szCs w:val="21"/>
                      <w:lang w:eastAsia="zh-CN"/>
                      <w14:textFill>
                        <w14:solidFill>
                          <w14:schemeClr w14:val="tx1"/>
                        </w14:solidFill>
                      </w14:textFill>
                    </w:rPr>
                    <w:t>（</w:t>
                  </w:r>
                  <w:r>
                    <w:rPr>
                      <w:rFonts w:hint="default" w:ascii="Times New Roman" w:hAnsi="Times New Roman" w:cs="Times New Roman"/>
                      <w:color w:val="000000" w:themeColor="text1"/>
                      <w:szCs w:val="21"/>
                      <w:lang w:val="en-US" w:eastAsia="zh-CN"/>
                      <w14:textFill>
                        <w14:solidFill>
                          <w14:schemeClr w14:val="tx1"/>
                        </w14:solidFill>
                      </w14:textFill>
                    </w:rPr>
                    <w:t>t/a</w:t>
                  </w:r>
                  <w:r>
                    <w:rPr>
                      <w:rFonts w:hint="default" w:ascii="Times New Roman" w:hAnsi="Times New Roman" w:cs="Times New Roman"/>
                      <w:color w:val="000000" w:themeColor="text1"/>
                      <w:szCs w:val="21"/>
                      <w:lang w:eastAsia="zh-CN"/>
                      <w14:textFill>
                        <w14:solidFill>
                          <w14:schemeClr w14:val="tx1"/>
                        </w14:solidFill>
                      </w14:textFill>
                    </w:rPr>
                    <w:t>）</w:t>
                  </w: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103485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182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0.0211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0.2</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1.222</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9409" w:type="dxa"/>
                  <w:gridSpan w:val="6"/>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有组织排放总计</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有组织排放</w:t>
                  </w:r>
                  <w:r>
                    <w:rPr>
                      <w:rFonts w:hint="default" w:ascii="Times New Roman" w:hAnsi="Times New Roman" w:cs="Times New Roman"/>
                      <w:color w:val="000000" w:themeColor="text1"/>
                      <w:szCs w:val="21"/>
                      <w:lang w:eastAsia="zh-CN"/>
                      <w14:textFill>
                        <w14:solidFill>
                          <w14:schemeClr w14:val="tx1"/>
                        </w14:solidFill>
                      </w14:textFill>
                    </w:rPr>
                    <w:t>（</w:t>
                  </w:r>
                  <w:r>
                    <w:rPr>
                      <w:rFonts w:hint="default" w:ascii="Times New Roman" w:hAnsi="Times New Roman" w:cs="Times New Roman"/>
                      <w:color w:val="000000" w:themeColor="text1"/>
                      <w:szCs w:val="21"/>
                      <w:lang w:val="en-US" w:eastAsia="zh-CN"/>
                      <w14:textFill>
                        <w14:solidFill>
                          <w14:schemeClr w14:val="tx1"/>
                        </w14:solidFill>
                      </w14:textFill>
                    </w:rPr>
                    <w:t>t/a</w:t>
                  </w:r>
                  <w:r>
                    <w:rPr>
                      <w:rFonts w:hint="default" w:ascii="Times New Roman" w:hAnsi="Times New Roman" w:cs="Times New Roman"/>
                      <w:color w:val="000000" w:themeColor="text1"/>
                      <w:szCs w:val="21"/>
                      <w:lang w:eastAsia="zh-CN"/>
                      <w14:textFill>
                        <w14:solidFill>
                          <w14:schemeClr w14:val="tx1"/>
                        </w14:solidFill>
                      </w14:textFill>
                    </w:rPr>
                    <w:t>）</w:t>
                  </w: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103485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182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0.0211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0.2</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889" w:type="dxa"/>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288" w:type="dxa"/>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2232"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1.222</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6</w:t>
                  </w:r>
                </w:p>
              </w:tc>
            </w:tr>
          </w:tbl>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2、无组织排放量核算</w:t>
            </w:r>
          </w:p>
          <w:p>
            <w:pPr>
              <w:pStyle w:val="120"/>
              <w:numPr>
                <w:ilvl w:val="0"/>
                <w:numId w:val="14"/>
              </w:numPr>
              <w:spacing w:line="240" w:lineRule="auto"/>
              <w:rPr>
                <w:rFonts w:hint="default" w:eastAsia="宋体"/>
                <w:color w:val="000000" w:themeColor="text1"/>
                <w:highlight w:val="none"/>
                <w:lang w:val="en-US" w:eastAsia="zh-CN"/>
                <w14:textFill>
                  <w14:solidFill>
                    <w14:schemeClr w14:val="tx1"/>
                  </w14:solidFill>
                </w14:textFill>
              </w:rPr>
            </w:pPr>
            <w:r>
              <w:rPr>
                <w:rFonts w:hint="default" w:eastAsia="宋体"/>
                <w:color w:val="000000" w:themeColor="text1"/>
                <w:highlight w:val="none"/>
                <w:lang w:val="en-US" w:eastAsia="zh-CN"/>
                <w14:textFill>
                  <w14:solidFill>
                    <w14:schemeClr w14:val="tx1"/>
                  </w14:solidFill>
                </w14:textFill>
              </w:rPr>
              <w:t>大气污染物无组织排放量核算表</w:t>
            </w:r>
          </w:p>
          <w:tbl>
            <w:tblPr>
              <w:tblStyle w:val="42"/>
              <w:tblW w:w="9422"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60"/>
              <w:gridCol w:w="1581"/>
              <w:gridCol w:w="999"/>
              <w:gridCol w:w="2431"/>
              <w:gridCol w:w="1383"/>
              <w:gridCol w:w="1468"/>
              <w:gridCol w:w="100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560" w:type="dxa"/>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序号</w:t>
                  </w:r>
                </w:p>
              </w:tc>
              <w:tc>
                <w:tcPr>
                  <w:tcW w:w="1581" w:type="dxa"/>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产污环节</w:t>
                  </w:r>
                </w:p>
              </w:tc>
              <w:tc>
                <w:tcPr>
                  <w:tcW w:w="999" w:type="dxa"/>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污染物</w:t>
                  </w:r>
                </w:p>
              </w:tc>
              <w:tc>
                <w:tcPr>
                  <w:tcW w:w="3814" w:type="dxa"/>
                  <w:gridSpan w:val="2"/>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国家或地方污染物排放标准</w:t>
                  </w:r>
                </w:p>
              </w:tc>
              <w:tc>
                <w:tcPr>
                  <w:tcW w:w="1468" w:type="dxa"/>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年排放量（t/a）</w:t>
                  </w:r>
                </w:p>
              </w:tc>
              <w:tc>
                <w:tcPr>
                  <w:tcW w:w="1000" w:type="dxa"/>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排放速率 (kg/h)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560" w:type="dxa"/>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1581" w:type="dxa"/>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999" w:type="dxa"/>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431"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标准名称</w:t>
                  </w:r>
                </w:p>
              </w:tc>
              <w:tc>
                <w:tcPr>
                  <w:tcW w:w="1383" w:type="dxa"/>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浓度限值</w:t>
                  </w:r>
                  <w:r>
                    <w:rPr>
                      <w:rFonts w:hint="default" w:ascii="Times New Roman" w:hAnsi="Times New Roman" w:eastAsia="宋体" w:cs="Times New Roman"/>
                      <w:color w:val="000000" w:themeColor="text1"/>
                      <w:szCs w:val="21"/>
                      <w14:textFill>
                        <w14:solidFill>
                          <w14:schemeClr w14:val="tx1"/>
                        </w14:solidFill>
                      </w14:textFill>
                    </w:rPr>
                    <w:t>（mg/m</w:t>
                  </w:r>
                  <w:r>
                    <w:rPr>
                      <w:rFonts w:hint="default" w:ascii="Times New Roman" w:hAnsi="Times New Roman" w:eastAsia="宋体" w:cs="Times New Roman"/>
                      <w:color w:val="000000" w:themeColor="text1"/>
                      <w:szCs w:val="21"/>
                      <w:vertAlign w:val="superscript"/>
                      <w14:textFill>
                        <w14:solidFill>
                          <w14:schemeClr w14:val="tx1"/>
                        </w14:solidFill>
                      </w14:textFill>
                    </w:rPr>
                    <w:t>3</w:t>
                  </w:r>
                  <w:r>
                    <w:rPr>
                      <w:rFonts w:hint="default" w:ascii="Times New Roman" w:hAnsi="Times New Roman" w:eastAsia="宋体" w:cs="Times New Roman"/>
                      <w:color w:val="000000" w:themeColor="text1"/>
                      <w:szCs w:val="21"/>
                      <w14:textFill>
                        <w14:solidFill>
                          <w14:schemeClr w14:val="tx1"/>
                        </w14:solidFill>
                      </w14:textFill>
                    </w:rPr>
                    <w:t>）</w:t>
                  </w:r>
                </w:p>
              </w:tc>
              <w:tc>
                <w:tcPr>
                  <w:tcW w:w="1468" w:type="dxa"/>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1000" w:type="dxa"/>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560"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1</w:t>
                  </w:r>
                </w:p>
              </w:tc>
              <w:tc>
                <w:tcPr>
                  <w:tcW w:w="1581" w:type="dxa"/>
                  <w:vAlign w:val="center"/>
                </w:tcPr>
                <w:p>
                  <w:pPr>
                    <w:spacing w:line="240" w:lineRule="atLeast"/>
                    <w:jc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料仓生产车间</w:t>
                  </w:r>
                </w:p>
              </w:tc>
              <w:tc>
                <w:tcPr>
                  <w:tcW w:w="999" w:type="dxa"/>
                  <w:vAlign w:val="center"/>
                </w:tcPr>
                <w:p>
                  <w:pPr>
                    <w:widowControl/>
                    <w:jc w:val="center"/>
                    <w:textAlignment w:val="center"/>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2431" w:type="dxa"/>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《大气污染物综合排放标准》(GB16297-1996)中表2无组织排放标准</w:t>
                  </w:r>
                </w:p>
              </w:tc>
              <w:tc>
                <w:tcPr>
                  <w:tcW w:w="1383" w:type="dxa"/>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468"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2691</w:t>
                  </w:r>
                </w:p>
              </w:tc>
              <w:tc>
                <w:tcPr>
                  <w:tcW w:w="100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0.0623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560" w:type="dxa"/>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2</w:t>
                  </w:r>
                </w:p>
              </w:tc>
              <w:tc>
                <w:tcPr>
                  <w:tcW w:w="1581" w:type="dxa"/>
                  <w:vMerge w:val="restart"/>
                  <w:vAlign w:val="center"/>
                </w:tcPr>
                <w:p>
                  <w:pPr>
                    <w:spacing w:line="240" w:lineRule="atLeast"/>
                    <w:jc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拌合站生产线生产车间</w:t>
                  </w:r>
                </w:p>
              </w:tc>
              <w:tc>
                <w:tcPr>
                  <w:tcW w:w="999"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43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383"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468"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0.134</w:t>
                  </w:r>
                </w:p>
              </w:tc>
              <w:tc>
                <w:tcPr>
                  <w:tcW w:w="1000" w:type="dxa"/>
                  <w:vAlign w:val="center"/>
                </w:tcPr>
                <w:p>
                  <w:pPr>
                    <w:spacing w:line="240" w:lineRule="atLeast"/>
                    <w:jc w:val="cente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t>0.031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560"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58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999"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243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383"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生产设备不得有明显的无组织排放存在</w:t>
                  </w:r>
                </w:p>
              </w:tc>
              <w:tc>
                <w:tcPr>
                  <w:tcW w:w="1468"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36</w:t>
                  </w:r>
                </w:p>
              </w:tc>
              <w:tc>
                <w:tcPr>
                  <w:tcW w:w="1000" w:type="dxa"/>
                  <w:vAlign w:val="center"/>
                </w:tcPr>
                <w:p>
                  <w:pPr>
                    <w:spacing w:line="240" w:lineRule="atLeast"/>
                    <w:jc w:val="center"/>
                    <w:rPr>
                      <w:rFonts w:hint="default" w:ascii="Times New Roman" w:hAnsi="Times New Roman" w:eastAsia="宋体" w:cs="Times New Roman"/>
                      <w:color w:val="000000" w:themeColor="text1"/>
                      <w:kern w:val="2"/>
                      <w:sz w:val="21"/>
                      <w:szCs w:val="23"/>
                      <w:lang w:val="en-US" w:eastAsia="zh-CN" w:bidi="ar-SA"/>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0.0</w:t>
                  </w:r>
                  <w:r>
                    <w:rPr>
                      <w:rFonts w:hint="default" w:ascii="Times New Roman" w:hAnsi="Times New Roman" w:eastAsia="宋体" w:cs="Times New Roman"/>
                      <w:color w:val="000000" w:themeColor="text1"/>
                      <w:szCs w:val="23"/>
                      <w:lang w:val="en-US" w:eastAsia="zh-CN"/>
                      <w14:textFill>
                        <w14:solidFill>
                          <w14:schemeClr w14:val="tx1"/>
                        </w14:solidFill>
                      </w14:textFill>
                    </w:rPr>
                    <w:t>0</w:t>
                  </w:r>
                  <w:r>
                    <w:rPr>
                      <w:rFonts w:hint="eastAsia" w:ascii="Times New Roman" w:hAnsi="Times New Roman" w:eastAsia="宋体" w:cs="Times New Roman"/>
                      <w:color w:val="000000" w:themeColor="text1"/>
                      <w:szCs w:val="23"/>
                      <w:lang w:val="en-US" w:eastAsia="zh-CN"/>
                      <w14:textFill>
                        <w14:solidFill>
                          <w14:schemeClr w14:val="tx1"/>
                        </w14:solidFill>
                      </w14:textFill>
                    </w:rPr>
                    <w:t>08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560"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58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999"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243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383"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0.008μg/m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468"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0"/>
                      <w:lang w:val="en-US" w:eastAsia="zh-CN"/>
                      <w14:textFill>
                        <w14:solidFill>
                          <w14:schemeClr w14:val="tx1"/>
                        </w14:solidFill>
                      </w14:textFill>
                    </w:rPr>
                    <w:t>0.755</w:t>
                  </w:r>
                  <w:r>
                    <w:rPr>
                      <w:rFonts w:hint="default" w:ascii="Times New Roman" w:hAnsi="Times New Roman" w:eastAsia="宋体" w:cs="Times New Roman"/>
                      <w:color w:val="000000" w:themeColor="text1"/>
                      <w:sz w:val="21"/>
                      <w:szCs w:val="20"/>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0"/>
                      <w:vertAlign w:val="superscript"/>
                      <w:lang w:val="en-US" w:eastAsia="zh-CN"/>
                      <w14:textFill>
                        <w14:solidFill>
                          <w14:schemeClr w14:val="tx1"/>
                        </w14:solidFill>
                      </w14:textFill>
                    </w:rPr>
                    <w:t>-6</w:t>
                  </w:r>
                </w:p>
              </w:tc>
              <w:tc>
                <w:tcPr>
                  <w:tcW w:w="1000" w:type="dxa"/>
                  <w:vAlign w:val="center"/>
                </w:tcPr>
                <w:p>
                  <w:pPr>
                    <w:spacing w:line="240" w:lineRule="atLeast"/>
                    <w:jc w:val="cente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ascii="Times New Roman" w:hAnsi="Times New Roman" w:eastAsia="宋体" w:cs="Times New Roman"/>
                      <w:color w:val="000000" w:themeColor="text1"/>
                      <w:szCs w:val="23"/>
                      <w:lang w:val="en-US" w:eastAsia="zh-CN"/>
                      <w14:textFill>
                        <w14:solidFill>
                          <w14:schemeClr w14:val="tx1"/>
                        </w14:solidFill>
                      </w14:textFill>
                    </w:rPr>
                    <w:t>1.75</w:t>
                  </w:r>
                  <w:r>
                    <w:rPr>
                      <w:rFonts w:hint="default" w:ascii="Times New Roman" w:hAnsi="Times New Roman" w:eastAsia="宋体" w:cs="Times New Roman"/>
                      <w:color w:val="000000" w:themeColor="text1"/>
                      <w:szCs w:val="23"/>
                      <w:lang w:val="en-US" w:eastAsia="zh-CN"/>
                      <w14:textFill>
                        <w14:solidFill>
                          <w14:schemeClr w14:val="tx1"/>
                        </w14:solidFill>
                      </w14:textFill>
                    </w:rPr>
                    <w:t>×10</w:t>
                  </w:r>
                  <w:r>
                    <w:rPr>
                      <w:rFonts w:hint="default" w:ascii="Times New Roman" w:hAnsi="Times New Roman" w:eastAsia="宋体" w:cs="Times New Roman"/>
                      <w:color w:val="000000" w:themeColor="text1"/>
                      <w:szCs w:val="23"/>
                      <w:vertAlign w:val="superscript"/>
                      <w:lang w:val="en-US" w:eastAsia="zh-CN"/>
                      <w14:textFill>
                        <w14:solidFill>
                          <w14:schemeClr w14:val="tx1"/>
                        </w14:solidFill>
                      </w14:textFill>
                    </w:rPr>
                    <w:t>-7</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560"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581" w:type="dxa"/>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999"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431" w:type="dxa"/>
                  <w:vAlign w:val="center"/>
                </w:tcPr>
                <w:p>
                  <w:pPr>
                    <w:pStyle w:val="199"/>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《工业企业挥发性有机物排放控制标准》(DB13/2322-2016)表2限值/《挥发性有机物无组织排放控制标准》(GB37822-2019)表A.1厂区内VOCs无组织排放特别限值</w:t>
                  </w:r>
                </w:p>
              </w:tc>
              <w:tc>
                <w:tcPr>
                  <w:tcW w:w="1383"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/监控点处1h平均浓度值6mg/m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；监控点处任意一次浓度值20mg/m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468" w:type="dxa"/>
                  <w:vAlign w:val="center"/>
                </w:tcPr>
                <w:p>
                  <w:pPr>
                    <w:widowControl/>
                    <w:jc w:val="center"/>
                    <w:textAlignment w:val="center"/>
                    <w:rPr>
                      <w:rFonts w:hint="default" w:ascii="Times New Roman" w:hAnsi="Times New Roman" w:eastAsia="宋体" w:cs="Times New Roman"/>
                      <w:color w:val="000000" w:themeColor="text1"/>
                      <w:kern w:val="0"/>
                      <w:sz w:val="18"/>
                      <w:szCs w:val="18"/>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42</w:t>
                  </w:r>
                </w:p>
              </w:tc>
              <w:tc>
                <w:tcPr>
                  <w:tcW w:w="1000" w:type="dxa"/>
                  <w:vAlign w:val="center"/>
                </w:tcPr>
                <w:p>
                  <w:pPr>
                    <w:spacing w:line="240" w:lineRule="atLeast"/>
                    <w:jc w:val="center"/>
                    <w:rPr>
                      <w:rFonts w:hint="default" w:ascii="Times New Roman" w:hAnsi="Times New Roman" w:eastAsia="宋体" w:cs="Times New Roman"/>
                      <w:color w:val="000000" w:themeColor="text1"/>
                      <w:kern w:val="2"/>
                      <w:sz w:val="21"/>
                      <w:szCs w:val="23"/>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3"/>
                      <w:lang w:val="en-US" w:eastAsia="zh-CN" w:bidi="ar-SA"/>
                      <w14:textFill>
                        <w14:solidFill>
                          <w14:schemeClr w14:val="tx1"/>
                        </w14:solidFill>
                      </w14:textFill>
                    </w:rPr>
                    <w:t>0.001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2141" w:type="dxa"/>
                  <w:gridSpan w:val="2"/>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无组织排放总计</w:t>
                  </w:r>
                </w:p>
              </w:tc>
              <w:tc>
                <w:tcPr>
                  <w:tcW w:w="3430" w:type="dxa"/>
                  <w:gridSpan w:val="2"/>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3851" w:type="dxa"/>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4031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2141" w:type="dxa"/>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3430" w:type="dxa"/>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szCs w:val="23"/>
                      <w:lang w:val="en-US" w:eastAsia="zh-CN"/>
                      <w14:textFill>
                        <w14:solidFill>
                          <w14:schemeClr w14:val="tx1"/>
                        </w14:solidFill>
                      </w14:textFill>
                    </w:rPr>
                    <w:t>沥青烟</w:t>
                  </w:r>
                </w:p>
              </w:tc>
              <w:tc>
                <w:tcPr>
                  <w:tcW w:w="3851" w:type="dxa"/>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36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2141" w:type="dxa"/>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3430" w:type="dxa"/>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非甲烷总烃</w:t>
                  </w:r>
                </w:p>
              </w:tc>
              <w:tc>
                <w:tcPr>
                  <w:tcW w:w="3851" w:type="dxa"/>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2141" w:type="dxa"/>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3430" w:type="dxa"/>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szCs w:val="23"/>
                      <w:lang w:val="en-US" w:eastAsia="zh-CN"/>
                      <w14:textFill>
                        <w14:solidFill>
                          <w14:schemeClr w14:val="tx1"/>
                        </w14:solidFill>
                      </w14:textFill>
                    </w:rPr>
                    <w:t>苯并[a]芘</w:t>
                  </w:r>
                </w:p>
              </w:tc>
              <w:tc>
                <w:tcPr>
                  <w:tcW w:w="3851" w:type="dxa"/>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0"/>
                      <w:lang w:val="en-US" w:eastAsia="zh-CN"/>
                      <w14:textFill>
                        <w14:solidFill>
                          <w14:schemeClr w14:val="tx1"/>
                        </w14:solidFill>
                      </w14:textFill>
                    </w:rPr>
                    <w:t>0.755</w:t>
                  </w:r>
                  <w:r>
                    <w:rPr>
                      <w:rFonts w:hint="default" w:ascii="Times New Roman" w:hAnsi="Times New Roman" w:eastAsia="宋体" w:cs="Times New Roman"/>
                      <w:color w:val="000000" w:themeColor="text1"/>
                      <w:sz w:val="21"/>
                      <w:szCs w:val="20"/>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0"/>
                      <w:vertAlign w:val="superscript"/>
                      <w:lang w:val="en-US" w:eastAsia="zh-CN"/>
                      <w14:textFill>
                        <w14:solidFill>
                          <w14:schemeClr w14:val="tx1"/>
                        </w14:solidFill>
                      </w14:textFill>
                    </w:rPr>
                    <w:t>-6</w:t>
                  </w:r>
                </w:p>
              </w:tc>
            </w:tr>
          </w:tbl>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3、项目大气污染物年排放量核算</w:t>
            </w:r>
          </w:p>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项目大气主要污染物年排放量见下表。</w:t>
            </w:r>
          </w:p>
          <w:p>
            <w:pPr>
              <w:pStyle w:val="120"/>
              <w:numPr>
                <w:ilvl w:val="0"/>
                <w:numId w:val="14"/>
              </w:numPr>
              <w:spacing w:line="240" w:lineRule="auto"/>
              <w:rPr>
                <w:rFonts w:hint="default" w:eastAsia="宋体"/>
                <w:color w:val="000000" w:themeColor="text1"/>
                <w:highlight w:val="none"/>
                <w:lang w:val="en-US" w:eastAsia="zh-CN"/>
                <w14:textFill>
                  <w14:solidFill>
                    <w14:schemeClr w14:val="tx1"/>
                  </w14:solidFill>
                </w14:textFill>
              </w:rPr>
            </w:pPr>
            <w:r>
              <w:rPr>
                <w:rFonts w:hint="default" w:eastAsia="宋体"/>
                <w:color w:val="000000" w:themeColor="text1"/>
                <w:highlight w:val="none"/>
                <w:lang w:val="en-US" w:eastAsia="zh-CN"/>
                <w14:textFill>
                  <w14:solidFill>
                    <w14:schemeClr w14:val="tx1"/>
                  </w14:solidFill>
                </w14:textFill>
              </w:rPr>
              <w:t>大气主要污染物年排放量核算表</w:t>
            </w:r>
          </w:p>
          <w:tbl>
            <w:tblPr>
              <w:tblStyle w:val="42"/>
              <w:tblW w:w="9412"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568"/>
              <w:gridCol w:w="3710"/>
              <w:gridCol w:w="413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序号</w:t>
                  </w:r>
                </w:p>
              </w:tc>
              <w:tc>
                <w:tcPr>
                  <w:tcW w:w="3710"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污染物</w:t>
                  </w:r>
                </w:p>
              </w:tc>
              <w:tc>
                <w:tcPr>
                  <w:tcW w:w="4134"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年排放量/（t/a）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1</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0.5</w:t>
                  </w:r>
                  <w:r>
                    <w:rPr>
                      <w:rFonts w:hint="eastAsia" w:ascii="Times New Roman" w:cs="Times New Roman"/>
                      <w:snapToGrid w:val="0"/>
                      <w:color w:val="000000" w:themeColor="text1"/>
                      <w:kern w:val="21"/>
                      <w:sz w:val="21"/>
                      <w:szCs w:val="18"/>
                      <w:lang w:val="en-US" w:eastAsia="zh-CN"/>
                      <w14:textFill>
                        <w14:solidFill>
                          <w14:schemeClr w14:val="tx1"/>
                        </w14:solidFill>
                      </w14:textFill>
                    </w:rPr>
                    <w:t>06585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2</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218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3</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w:t>
                  </w:r>
                  <w:r>
                    <w:rPr>
                      <w:rFonts w:hint="eastAsia" w:ascii="Times New Roman" w:cs="Times New Roman"/>
                      <w:snapToGrid w:val="0"/>
                      <w:color w:val="000000" w:themeColor="text1"/>
                      <w:kern w:val="21"/>
                      <w:sz w:val="21"/>
                      <w:szCs w:val="18"/>
                      <w:lang w:val="en-US" w:eastAsia="zh-CN"/>
                      <w14:textFill>
                        <w14:solidFill>
                          <w14:schemeClr w14:val="tx1"/>
                        </w14:solidFill>
                      </w14:textFill>
                    </w:rPr>
                    <w:t>53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4</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0.955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5</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1568" w:type="dxa"/>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6</w:t>
                  </w:r>
                </w:p>
              </w:tc>
              <w:tc>
                <w:tcPr>
                  <w:tcW w:w="371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4134"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1.222</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6</w:t>
                  </w:r>
                </w:p>
              </w:tc>
            </w:tr>
          </w:tbl>
          <w:p>
            <w:pPr>
              <w:spacing w:line="360" w:lineRule="auto"/>
              <w:ind w:firstLine="480" w:firstLineChars="200"/>
              <w:rPr>
                <w:rFonts w:hint="eastAsia" w:eastAsia="宋体" w:cs="Times New Roman"/>
                <w:color w:val="000000" w:themeColor="text1"/>
                <w:lang w:val="en-US" w:eastAsia="zh-CN"/>
                <w14:textFill>
                  <w14:solidFill>
                    <w14:schemeClr w14:val="tx1"/>
                  </w14:solidFill>
                </w14:textFill>
              </w:rPr>
            </w:pPr>
            <w:r>
              <w:rPr>
                <w:rFonts w:hint="eastAsia" w:ascii="宋体" w:hAnsi="宋体" w:eastAsia="宋体" w:cs="宋体"/>
                <w:color w:val="000000" w:themeColor="text1"/>
                <w:kern w:val="0"/>
                <w:sz w:val="24"/>
                <w:szCs w:val="24"/>
                <w:lang w:val="en-US" w:eastAsia="zh-CN" w:bidi="ar"/>
                <w14:textFill>
                  <w14:solidFill>
                    <w14:schemeClr w14:val="tx1"/>
                  </w14:solidFill>
                </w14:textFill>
              </w:rPr>
              <w:t>根据以上计算结果，本项目采用的废气处理设施可行，各废气污染物能够达标排放</w:t>
            </w: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DA001排气筒中颗粒物排放限值满足《河北省十一个行业重污染天气应急减排措施制定技术指南(试行)》中商砼、沥青搅拌站中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《大气污染物综合排放标准》(GB16297-1996)中表2二级标准要求；DA003排气筒中沥青烟</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排放浓度</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满足《河北省十一个行业重污染天气应急减排措施制定技术指南(试行)》中商砼、沥青搅拌站中的排放限值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非甲烷总烃</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满足《河北省十一个行业重污染天气应急减排措施制定技术指南(试行)》中商砼、沥青搅拌站中的排放限值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排放浓度及排放速率均</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满足《大气污染物综合排放标准》(GB16297-1996)中表2二级标准要求；DA002排气筒中颗粒物排放限值满足《河北省十一个行业重污染天气应急减排措施制定技术指南(试行)》中商砼、沥青搅拌站中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《大气污染物综合排放标准》(GB16297-1996)中表2二级标准要求；DA004排气筒废气</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中烟气黑度、颗粒物、SO</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执行《锅炉大气污染物排放标准》（DB13/5161-2020）表1燃气锅炉排放限值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，NOx执行</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《河北省十一个行业重污染天气应急减排措施制定技术指南(试行)》中商砼、沥青搅拌站排放限值要求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；DA005排气筒中</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颗粒物排放限值满足《河北省十一个行业重污染天气应急减排措施制定技术指南(试行)》中商砼、沥青搅拌站中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SO</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、NOx、烟气黑度均满足《工业炉窑大气污染物排放标准》(DB13/1640-2012)要求及《工业炉窑大气污染综合治理方案》（环大气[2019]56号）的要求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spacing w:line="360" w:lineRule="auto"/>
              <w:ind w:firstLine="480" w:firstLineChars="200"/>
              <w:rPr>
                <w:rFonts w:hint="default" w:ascii="Times New Roman" w:hAnsi="Times New Roman" w:eastAsia="宋体" w:cs="Times New Roman"/>
                <w:bCs/>
                <w:color w:val="000000" w:themeColor="text1"/>
                <w:kern w:val="0"/>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厂界无组织废气中沥青烟、苯并[a]芘、颗粒物执行《大气污染物综合排放标准》(GB16297-1996)中表2无组织排放要求，非甲烷总烃执行《工业企业挥发性有机物排放控制标准》(DB13/2322-2016)表2限值和《挥发性有机物无组织排放控制标准》(GB37822-2019)表A.1厂区内VOCs无组织排放特别限值</w:t>
            </w:r>
            <w:r>
              <w:rPr>
                <w:rFonts w:hint="eastAsia" w:cs="Times New Roman"/>
                <w:bCs/>
                <w:color w:val="000000" w:themeColor="text1"/>
                <w:kern w:val="0"/>
                <w:sz w:val="24"/>
                <w:szCs w:val="24"/>
                <w:lang w:val="en-US" w:eastAsia="zh-CN"/>
                <w14:textFill>
                  <w14:solidFill>
                    <w14:schemeClr w14:val="tx1"/>
                  </w14:solidFill>
                </w14:textFill>
              </w:rPr>
              <w:t>。</w:t>
            </w:r>
          </w:p>
          <w:p>
            <w:pPr>
              <w:spacing w:line="360" w:lineRule="auto"/>
              <w:ind w:firstLine="480" w:firstLineChars="200"/>
              <w:rPr>
                <w:rFonts w:hint="default"/>
                <w:color w:val="000000" w:themeColor="text1"/>
                <w:lang w:val="en-US" w:eastAsia="zh-CN"/>
                <w14:textFill>
                  <w14:solidFill>
                    <w14:schemeClr w14:val="tx1"/>
                  </w14:solidFill>
                </w14:textFill>
              </w:rPr>
            </w:pPr>
            <w:r>
              <w:rPr>
                <w:rFonts w:hint="eastAsia" w:cs="Times New Roman"/>
                <w:bCs/>
                <w:color w:val="000000" w:themeColor="text1"/>
                <w:kern w:val="0"/>
                <w:sz w:val="24"/>
                <w:szCs w:val="20"/>
                <w:lang w:val="en-US" w:eastAsia="zh-CN"/>
                <w14:textFill>
                  <w14:solidFill>
                    <w14:schemeClr w14:val="tx1"/>
                  </w14:solidFill>
                </w14:textFill>
              </w:rPr>
              <w:t>大气预测相关</w:t>
            </w:r>
            <w:r>
              <w:rPr>
                <w:rFonts w:hint="eastAsia" w:ascii="Times New Roman" w:hAnsi="Times New Roman" w:eastAsia="宋体" w:cs="Times New Roman"/>
                <w:bCs/>
                <w:color w:val="000000" w:themeColor="text1"/>
                <w:kern w:val="0"/>
                <w:sz w:val="24"/>
                <w:szCs w:val="20"/>
                <w:lang w:val="en-US" w:eastAsia="zh-CN"/>
                <w14:textFill>
                  <w14:solidFill>
                    <w14:schemeClr w14:val="tx1"/>
                  </w14:solidFill>
                </w14:textFill>
              </w:rPr>
              <w:t>内容详见大气</w:t>
            </w:r>
            <w:r>
              <w:rPr>
                <w:rFonts w:hint="eastAsia" w:cs="Times New Roman"/>
                <w:bCs/>
                <w:color w:val="000000" w:themeColor="text1"/>
                <w:kern w:val="0"/>
                <w:sz w:val="24"/>
                <w:szCs w:val="20"/>
                <w:lang w:val="en-US" w:eastAsia="zh-CN"/>
                <w14:textFill>
                  <w14:solidFill>
                    <w14:schemeClr w14:val="tx1"/>
                  </w14:solidFill>
                </w14:textFill>
              </w:rPr>
              <w:t>环境影响</w:t>
            </w:r>
            <w:r>
              <w:rPr>
                <w:rFonts w:hint="eastAsia" w:ascii="Times New Roman" w:hAnsi="Times New Roman" w:eastAsia="宋体" w:cs="Times New Roman"/>
                <w:bCs/>
                <w:color w:val="000000" w:themeColor="text1"/>
                <w:kern w:val="0"/>
                <w:sz w:val="24"/>
                <w:szCs w:val="20"/>
                <w:lang w:val="en-US" w:eastAsia="zh-CN"/>
                <w14:textFill>
                  <w14:solidFill>
                    <w14:schemeClr w14:val="tx1"/>
                  </w14:solidFill>
                </w14:textFill>
              </w:rPr>
              <w:t>专项评价。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259" w:hRule="atLeast"/>
          <w:jc w:val="center"/>
        </w:trPr>
        <w:tc>
          <w:tcPr>
            <w:tcW w:w="404" w:type="dxa"/>
            <w:vMerge w:val="continue"/>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9636" w:type="dxa"/>
            <w:vAlign w:val="center"/>
          </w:tcPr>
          <w:p>
            <w:pPr>
              <w:spacing w:line="360" w:lineRule="auto"/>
              <w:ind w:firstLine="480" w:firstLineChars="200"/>
              <w:rPr>
                <w:rFonts w:hint="default"/>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2、</w:t>
            </w:r>
            <w:r>
              <w:rPr>
                <w:rFonts w:hint="default"/>
                <w:bCs/>
                <w:color w:val="000000" w:themeColor="text1"/>
                <w:kern w:val="0"/>
                <w:sz w:val="24"/>
                <w:szCs w:val="20"/>
                <w:lang w:val="en-US" w:eastAsia="zh-CN"/>
                <w14:textFill>
                  <w14:solidFill>
                    <w14:schemeClr w14:val="tx1"/>
                  </w14:solidFill>
                </w14:textFill>
              </w:rPr>
              <w:t>废水</w:t>
            </w:r>
          </w:p>
          <w:p>
            <w:pPr>
              <w:spacing w:line="360" w:lineRule="auto"/>
              <w:ind w:firstLine="480" w:firstLineChars="200"/>
              <w:rPr>
                <w:rFonts w:hint="eastAsia"/>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拟建项目废水产生主要为生活污水、车辆清洗废水。</w:t>
            </w:r>
          </w:p>
          <w:p>
            <w:pPr>
              <w:spacing w:line="360" w:lineRule="auto"/>
              <w:ind w:firstLine="480" w:firstLineChars="200"/>
              <w:rPr>
                <w:rFonts w:hint="eastAsia"/>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本项目生活污水产生量较小，为0.64m</w:t>
            </w:r>
            <w:r>
              <w:rPr>
                <w:rFonts w:hint="eastAsia"/>
                <w:bCs/>
                <w:color w:val="000000" w:themeColor="text1"/>
                <w:kern w:val="0"/>
                <w:sz w:val="24"/>
                <w:szCs w:val="20"/>
                <w:vertAlign w:val="superscript"/>
                <w:lang w:val="en-US" w:eastAsia="zh-CN"/>
                <w14:textFill>
                  <w14:solidFill>
                    <w14:schemeClr w14:val="tx1"/>
                  </w14:solidFill>
                </w14:textFill>
              </w:rPr>
              <w:t>3</w:t>
            </w:r>
            <w:r>
              <w:rPr>
                <w:rFonts w:hint="eastAsia"/>
                <w:bCs/>
                <w:color w:val="000000" w:themeColor="text1"/>
                <w:kern w:val="0"/>
                <w:sz w:val="24"/>
                <w:szCs w:val="20"/>
                <w:lang w:val="en-US" w:eastAsia="zh-CN"/>
                <w14:textFill>
                  <w14:solidFill>
                    <w14:schemeClr w14:val="tx1"/>
                  </w14:solidFill>
                </w14:textFill>
              </w:rPr>
              <w:t>/d，主要为员工盥洗废水，水质简单，厂区化粪池处理后定期清理；车辆清洗废水经隔油器和沉淀池沉淀处理后循环回用于车辆清洗，不外排。</w:t>
            </w:r>
          </w:p>
          <w:p>
            <w:pPr>
              <w:spacing w:line="360" w:lineRule="auto"/>
              <w:ind w:firstLine="480" w:firstLineChars="200"/>
              <w:rPr>
                <w:rFonts w:hint="default"/>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综上，本项目无废水外排，项目废水不会对周围区域水环境产生影响。</w:t>
            </w:r>
          </w:p>
          <w:p>
            <w:pPr>
              <w:pStyle w:val="15"/>
              <w:numPr>
                <w:ilvl w:val="0"/>
                <w:numId w:val="0"/>
              </w:numPr>
              <w:spacing w:line="360" w:lineRule="auto"/>
              <w:ind w:firstLine="480" w:firstLineChars="200"/>
              <w:rPr>
                <w:color w:val="000000" w:themeColor="text1"/>
                <w:szCs w:val="24"/>
                <w14:textFill>
                  <w14:solidFill>
                    <w14:schemeClr w14:val="tx1"/>
                  </w14:solidFill>
                </w14:textFill>
              </w:rPr>
            </w:pPr>
            <w:r>
              <w:rPr>
                <w:rFonts w:hint="eastAsia"/>
                <w:color w:val="000000" w:themeColor="text1"/>
                <w:szCs w:val="24"/>
                <w:lang w:val="en-US" w:eastAsia="zh-CN"/>
                <w14:textFill>
                  <w14:solidFill>
                    <w14:schemeClr w14:val="tx1"/>
                  </w14:solidFill>
                </w14:textFill>
              </w:rPr>
              <w:t>3、</w:t>
            </w:r>
            <w:r>
              <w:rPr>
                <w:color w:val="000000" w:themeColor="text1"/>
                <w:szCs w:val="24"/>
                <w14:textFill>
                  <w14:solidFill>
                    <w14:schemeClr w14:val="tx1"/>
                  </w14:solidFill>
                </w14:textFill>
              </w:rPr>
              <w:t>噪声</w:t>
            </w:r>
          </w:p>
          <w:p>
            <w:pPr>
              <w:adjustRightInd w:val="0"/>
              <w:snapToGri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（1）噪声</w:t>
            </w:r>
            <w:r>
              <w:rPr>
                <w:bCs/>
                <w:color w:val="000000" w:themeColor="text1"/>
                <w:sz w:val="24"/>
                <w14:textFill>
                  <w14:solidFill>
                    <w14:schemeClr w14:val="tx1"/>
                  </w14:solidFill>
                </w14:textFill>
              </w:rPr>
              <w:t>排放情况</w:t>
            </w: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r>
              <w:rPr>
                <w:color w:val="000000" w:themeColor="text1"/>
                <w:sz w:val="24"/>
                <w14:textFill>
                  <w14:solidFill>
                    <w14:schemeClr w14:val="tx1"/>
                  </w14:solidFill>
                </w14:textFill>
              </w:rPr>
              <w:t>项目</w:t>
            </w:r>
            <w:r>
              <w:rPr>
                <w:rFonts w:hint="eastAsia"/>
                <w:color w:val="000000" w:themeColor="text1"/>
                <w:sz w:val="24"/>
                <w14:textFill>
                  <w14:solidFill>
                    <w14:schemeClr w14:val="tx1"/>
                  </w14:solidFill>
                </w14:textFill>
              </w:rPr>
              <w:t>运营期噪声主要来源于</w:t>
            </w:r>
            <w:r>
              <w:rPr>
                <w:rFonts w:hint="eastAsia"/>
                <w:color w:val="000000" w:themeColor="text1"/>
                <w:sz w:val="24"/>
                <w:lang w:val="en-US" w:eastAsia="zh-CN"/>
                <w14:textFill>
                  <w14:solidFill>
                    <w14:schemeClr w14:val="tx1"/>
                  </w14:solidFill>
                </w14:textFill>
              </w:rPr>
              <w:t>生产设备、废气治理设施风机以及车辆清洗系统</w:t>
            </w:r>
            <w:r>
              <w:rPr>
                <w:rFonts w:hint="eastAsia"/>
                <w:color w:val="000000" w:themeColor="text1"/>
                <w:sz w:val="24"/>
                <w:lang w:eastAsia="zh-CN"/>
                <w14:textFill>
                  <w14:solidFill>
                    <w14:schemeClr w14:val="tx1"/>
                  </w14:solidFill>
                </w14:textFill>
              </w:rPr>
              <w:t>，</w:t>
            </w:r>
            <w:r>
              <w:rPr>
                <w:color w:val="000000" w:themeColor="text1"/>
                <w:sz w:val="24"/>
                <w14:textFill>
                  <w14:solidFill>
                    <w14:schemeClr w14:val="tx1"/>
                  </w14:solidFill>
                </w14:textFill>
              </w:rPr>
              <w:t>项目厂界50m范围内无声环境保护目标。</w:t>
            </w:r>
            <w:r>
              <w:rPr>
                <w:rFonts w:hint="eastAsia"/>
                <w:color w:val="000000" w:themeColor="text1"/>
                <w:sz w:val="24"/>
                <w14:textFill>
                  <w14:solidFill>
                    <w14:schemeClr w14:val="tx1"/>
                  </w14:solidFill>
                </w14:textFill>
              </w:rPr>
              <w:t>预测选取本项目所在厂区西南角为原点</w:t>
            </w:r>
            <w:r>
              <w:rPr>
                <w:rFonts w:hint="eastAsia"/>
                <w:color w:val="FF0000"/>
                <w:sz w:val="24"/>
                <w:lang w:eastAsia="zh-CN"/>
              </w:rPr>
              <w:t>（</w:t>
            </w:r>
            <w:r>
              <w:rPr>
                <w:rFonts w:hint="eastAsia"/>
                <w:color w:val="FF0000"/>
                <w:sz w:val="24"/>
                <w:lang w:val="en-US" w:eastAsia="zh-CN"/>
              </w:rPr>
              <w:t>厂区跨度约152m×48m</w:t>
            </w:r>
            <w:r>
              <w:rPr>
                <w:rFonts w:hint="eastAsia"/>
                <w:color w:val="FF0000"/>
                <w:sz w:val="24"/>
                <w:lang w:eastAsia="zh-CN"/>
              </w:rPr>
              <w:t>）</w:t>
            </w:r>
            <w:r>
              <w:rPr>
                <w:rFonts w:hint="eastAsia"/>
                <w:color w:val="FF0000"/>
                <w:sz w:val="24"/>
              </w:rPr>
              <w:t>，</w:t>
            </w:r>
            <w:r>
              <w:rPr>
                <w:rFonts w:hint="eastAsia"/>
                <w:color w:val="000000" w:themeColor="text1"/>
                <w:sz w:val="24"/>
                <w14:textFill>
                  <w14:solidFill>
                    <w14:schemeClr w14:val="tx1"/>
                  </w14:solidFill>
                </w14:textFill>
              </w:rPr>
              <w:t>建立直角坐标系。</w:t>
            </w:r>
            <w:r>
              <w:rPr>
                <w:rFonts w:hint="eastAsia"/>
                <w:color w:val="000000" w:themeColor="text1"/>
                <w:sz w:val="24"/>
                <w:lang w:val="en-US" w:eastAsia="zh-CN"/>
                <w14:textFill>
                  <w14:solidFill>
                    <w14:schemeClr w14:val="tx1"/>
                  </w14:solidFill>
                </w14:textFill>
              </w:rPr>
              <w:t>本项目主要噪声源信息及控制措施见下表。</w:t>
            </w:r>
          </w:p>
          <w:p>
            <w:pPr>
              <w:adjustRightInd w:val="0"/>
              <w:snapToGrid w:val="0"/>
              <w:spacing w:line="360" w:lineRule="auto"/>
              <w:rPr>
                <w:rFonts w:hint="eastAsia"/>
                <w:color w:val="000000" w:themeColor="text1"/>
                <w:sz w:val="24"/>
                <w:lang w:val="en-US" w:eastAsia="zh-CN"/>
                <w14:textFill>
                  <w14:solidFill>
                    <w14:schemeClr w14:val="tx1"/>
                  </w14:solidFill>
                </w14:textFill>
              </w:rPr>
            </w:pPr>
          </w:p>
        </w:tc>
      </w:tr>
    </w:tbl>
    <w:p>
      <w:pPr>
        <w:pStyle w:val="5"/>
        <w:rPr>
          <w:color w:val="000000" w:themeColor="text1"/>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tbl>
      <w:tblPr>
        <w:tblStyle w:val="42"/>
        <w:tblpPr w:leftFromText="180" w:rightFromText="180" w:vertAnchor="text" w:tblpXSpec="center" w:tblpY="1"/>
        <w:tblOverlap w:val="never"/>
        <w:tblW w:w="1357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43"/>
        <w:gridCol w:w="1302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259" w:hRule="atLeast"/>
          <w:jc w:val="center"/>
        </w:trPr>
        <w:tc>
          <w:tcPr>
            <w:tcW w:w="543" w:type="dxa"/>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13028" w:type="dxa"/>
            <w:vAlign w:val="center"/>
          </w:tcPr>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室内</w:t>
            </w:r>
            <w:r>
              <w:rPr>
                <w:rFonts w:hint="eastAsia"/>
                <w:color w:val="000000" w:themeColor="text1"/>
                <w:highlight w:val="none"/>
                <w14:textFill>
                  <w14:solidFill>
                    <w14:schemeClr w14:val="tx1"/>
                  </w14:solidFill>
                </w14:textFill>
              </w:rPr>
              <w:t>主要噪声源及控制措施</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以厂区西南角为坐标0,0点</w:t>
            </w:r>
            <w:r>
              <w:rPr>
                <w:rFonts w:hint="eastAsia"/>
                <w:color w:val="000000" w:themeColor="text1"/>
                <w:highlight w:val="none"/>
                <w:lang w:eastAsia="zh-CN"/>
                <w14:textFill>
                  <w14:solidFill>
                    <w14:schemeClr w14:val="tx1"/>
                  </w14:solidFill>
                </w14:textFill>
              </w:rPr>
              <w:t>）</w:t>
            </w:r>
          </w:p>
          <w:tbl>
            <w:tblPr>
              <w:tblStyle w:val="42"/>
              <w:tblW w:w="12812"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75"/>
              <w:gridCol w:w="706"/>
              <w:gridCol w:w="1289"/>
              <w:gridCol w:w="1428"/>
              <w:gridCol w:w="807"/>
              <w:gridCol w:w="852"/>
              <w:gridCol w:w="875"/>
              <w:gridCol w:w="479"/>
              <w:gridCol w:w="1099"/>
              <w:gridCol w:w="1178"/>
              <w:gridCol w:w="644"/>
              <w:gridCol w:w="1009"/>
              <w:gridCol w:w="960"/>
              <w:gridCol w:w="91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vMerge w:val="restart"/>
                  <w:shd w:val="clear" w:color="auto" w:fill="auto"/>
                  <w:vAlign w:val="center"/>
                </w:tcPr>
                <w:p>
                  <w:pPr>
                    <w:pStyle w:val="199"/>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序号</w:t>
                  </w:r>
                </w:p>
              </w:tc>
              <w:tc>
                <w:tcPr>
                  <w:tcW w:w="706"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建筑物名称</w:t>
                  </w:r>
                </w:p>
              </w:tc>
              <w:tc>
                <w:tcPr>
                  <w:tcW w:w="128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声源名称</w:t>
                  </w:r>
                </w:p>
              </w:tc>
              <w:tc>
                <w:tcPr>
                  <w:tcW w:w="1428"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（声压级/距声源距离）（dB（A）/m）</w:t>
                  </w:r>
                </w:p>
              </w:tc>
              <w:tc>
                <w:tcPr>
                  <w:tcW w:w="807"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声源控制措施</w:t>
                  </w:r>
                </w:p>
              </w:tc>
              <w:tc>
                <w:tcPr>
                  <w:tcW w:w="2206" w:type="dxa"/>
                  <w:gridSpan w:val="3"/>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空间相对位置</w:t>
                  </w:r>
                </w:p>
              </w:tc>
              <w:tc>
                <w:tcPr>
                  <w:tcW w:w="109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距室内边界距离/m</w:t>
                  </w:r>
                </w:p>
              </w:tc>
              <w:tc>
                <w:tcPr>
                  <w:tcW w:w="1178"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室内边界声级/dB（A）</w:t>
                  </w:r>
                </w:p>
              </w:tc>
              <w:tc>
                <w:tcPr>
                  <w:tcW w:w="644"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运行时段</w:t>
                  </w:r>
                </w:p>
              </w:tc>
              <w:tc>
                <w:tcPr>
                  <w:tcW w:w="100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highlight w:val="none"/>
                      <w14:textFill>
                        <w14:solidFill>
                          <w14:schemeClr w14:val="tx1"/>
                        </w14:solidFill>
                      </w14:textFill>
                    </w:rPr>
                    <w:t>建筑物插入损失/dB（A）</w:t>
                  </w:r>
                </w:p>
              </w:tc>
              <w:tc>
                <w:tcPr>
                  <w:tcW w:w="1871" w:type="dxa"/>
                  <w:gridSpan w:val="2"/>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建筑物外噪声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trHeight w:val="709" w:hRule="atLeast"/>
                <w:jc w:val="center"/>
              </w:trPr>
              <w:tc>
                <w:tcPr>
                  <w:tcW w:w="575"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28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428"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852"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X</w:t>
                  </w:r>
                </w:p>
              </w:tc>
              <w:tc>
                <w:tcPr>
                  <w:tcW w:w="875"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Y</w:t>
                  </w:r>
                </w:p>
              </w:tc>
              <w:tc>
                <w:tcPr>
                  <w:tcW w:w="479"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Z</w:t>
                  </w:r>
                </w:p>
              </w:tc>
              <w:tc>
                <w:tcPr>
                  <w:tcW w:w="109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178"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644"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00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960"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声压级/dB（A）</w:t>
                  </w:r>
                </w:p>
              </w:tc>
              <w:tc>
                <w:tcPr>
                  <w:tcW w:w="911"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建筑物外距离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restart"/>
                  <w:shd w:val="clear" w:color="auto" w:fill="auto"/>
                  <w:vAlign w:val="center"/>
                </w:tcPr>
                <w:p>
                  <w:pPr>
                    <w:pStyle w:val="199"/>
                    <w:spacing w:line="240" w:lineRule="auto"/>
                    <w:jc w:val="center"/>
                    <w:rPr>
                      <w:rFonts w:hint="default"/>
                      <w:color w:val="000000" w:themeColor="text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拌合站生产线</w:t>
                  </w:r>
                  <w:r>
                    <w:rPr>
                      <w:rFonts w:hint="eastAsia"/>
                      <w:color w:val="000000" w:themeColor="text1"/>
                      <w:lang w:val="en-US" w:eastAsia="zh-CN"/>
                      <w14:textFill>
                        <w14:solidFill>
                          <w14:schemeClr w14:val="tx1"/>
                        </w14:solidFill>
                      </w14:textFill>
                    </w:rPr>
                    <w:t>生产车间</w:t>
                  </w: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导热油炉</w:t>
                  </w:r>
                </w:p>
              </w:tc>
              <w:tc>
                <w:tcPr>
                  <w:tcW w:w="1428"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restart"/>
                  <w:shd w:val="clear" w:color="auto" w:fill="auto"/>
                  <w:vAlign w:val="center"/>
                </w:tcPr>
                <w:p>
                  <w:pPr>
                    <w:pStyle w:val="199"/>
                    <w:spacing w:line="240" w:lineRule="auto"/>
                    <w:jc w:val="center"/>
                    <w:rPr>
                      <w:color w:val="000000" w:themeColor="text1"/>
                      <w14:textFill>
                        <w14:solidFill>
                          <w14:schemeClr w14:val="tx1"/>
                        </w14:solidFill>
                      </w14:textFill>
                    </w:rPr>
                  </w:pPr>
                  <w:r>
                    <w:rPr>
                      <w:color w:val="000000" w:themeColor="text1"/>
                      <w14:textFill>
                        <w14:solidFill>
                          <w14:schemeClr w14:val="tx1"/>
                        </w14:solidFill>
                      </w14:textFill>
                    </w:rPr>
                    <w:t>低噪声设备+</w:t>
                  </w:r>
                  <w:r>
                    <w:rPr>
                      <w:rFonts w:hint="eastAsia"/>
                      <w:color w:val="000000" w:themeColor="text1"/>
                      <w:lang w:eastAsia="zh-CN"/>
                      <w14:textFill>
                        <w14:solidFill>
                          <w14:schemeClr w14:val="tx1"/>
                        </w14:solidFill>
                      </w14:textFill>
                    </w:rPr>
                    <w:t>减振</w:t>
                  </w:r>
                  <w:r>
                    <w:rPr>
                      <w:color w:val="000000" w:themeColor="text1"/>
                      <w14:textFill>
                        <w14:solidFill>
                          <w14:schemeClr w14:val="tx1"/>
                        </w14:solidFill>
                      </w14:textFill>
                    </w:rPr>
                    <w:t>基础+厂房隔声</w:t>
                  </w: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148.71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20.68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43.80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17.80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29.33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15.65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44.45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146.91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37.58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11.58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57.94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31.94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20.03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44.01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18.01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23.74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42.89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16.89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搅拌、沥青储罐废气风机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137.94</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17.70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15.38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p>
              </w:tc>
              <w:tc>
                <w:tcPr>
                  <w:tcW w:w="1428" w:type="dxa"/>
                  <w:vMerge w:val="continue"/>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17.70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15.38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加热、燃烧机废气风机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36.89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127.98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21.34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43.59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17.59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24.62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45.33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59.38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40.06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14.06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44.30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矿粉仓风机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37.29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118.48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21.13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69.01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43.01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45.22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116.59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58.64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32.64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50.34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39.29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13.29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53.60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39.10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13.10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上料、筛分废气风机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93.93</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43.46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17.46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25.64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13.59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91.96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37.99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11.99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2.82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60.03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34.03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74.96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38.31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12.31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77.91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38.24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12.24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提升机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34.36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106.68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17.45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44.98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18.98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12.52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39.98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13.98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104.97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37.84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11.84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52.18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26.18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61.99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38.71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12.71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64.28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rFonts w:hint="default" w:eastAsia="宋体"/>
                      <w:color w:val="000000" w:themeColor="text1"/>
                      <w:lang w:val="en-US" w:eastAsia="zh-CN"/>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振动筛</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54.98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19.28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54.28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28.28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64.47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22.62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44.03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49.13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23.13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64.27</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38.27</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113.87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115.62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搅拌机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111.57</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49.83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23.83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56.50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30.50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44.94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18.94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109.84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16.79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57.68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31.68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57.11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43.92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17.92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59.56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43.81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17.81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燃烧机</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37.56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100.87</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20.27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48.93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22.93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98.99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16.90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61.45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35.45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67.94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17.50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70.71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铲车</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90/1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15.3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48.05</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64.52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38.52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69.44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48.45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22.45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19.46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54.21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28.21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47.43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30.16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51.49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25.49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119.67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116.23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restart"/>
                  <w:shd w:val="clear" w:color="auto" w:fill="auto"/>
                  <w:vAlign w:val="center"/>
                </w:tcPr>
                <w:p>
                  <w:pPr>
                    <w:pStyle w:val="199"/>
                    <w:spacing w:line="240" w:lineRule="auto"/>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工程列车生产车间</w:t>
                  </w: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吊车</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75/1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5.16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99.32</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12.17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16.71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17.52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39.95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13.95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99.16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6.90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36.70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35.52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9.52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67.99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7.50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33.63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7.63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空压机</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9.1</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107.21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7.73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56.42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54.32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28.32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16.46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50.41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24.41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106.83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32.22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46.15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20.15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60.29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17.78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17.90</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叉车</w:t>
                  </w:r>
                </w:p>
              </w:tc>
              <w:tc>
                <w:tcPr>
                  <w:tcW w:w="1428" w:type="dxa"/>
                  <w:vMerge w:val="restart"/>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rFonts w:ascii="Times New Roman" w:hAnsi="Times New Roman" w:eastAsia="宋体" w:cstheme="minorBidi"/>
                      <w:color w:val="000000" w:themeColor="text1"/>
                      <w:kern w:val="2"/>
                      <w:sz w:val="21"/>
                      <w:szCs w:val="22"/>
                      <w:lang w:val="en-US" w:eastAsia="zh-CN" w:bidi="ar-SA"/>
                      <w14:textFill>
                        <w14:solidFill>
                          <w14:schemeClr w14:val="tx1"/>
                        </w14:solidFill>
                      </w14:textFill>
                    </w:rPr>
                  </w:pPr>
                </w:p>
              </w:tc>
              <w:tc>
                <w:tcPr>
                  <w:tcW w:w="852" w:type="dxa"/>
                  <w:vMerge w:val="restart"/>
                  <w:shd w:val="clear" w:color="auto" w:fill="auto"/>
                  <w:vAlign w:val="center"/>
                </w:tcPr>
                <w:p>
                  <w:pPr>
                    <w:spacing w:line="240" w:lineRule="auto"/>
                    <w:jc w:val="center"/>
                    <w:rPr>
                      <w:rFonts w:hint="default"/>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13.36</w:t>
                  </w:r>
                </w:p>
              </w:tc>
              <w:tc>
                <w:tcPr>
                  <w:tcW w:w="875" w:type="dxa"/>
                  <w:vMerge w:val="restart"/>
                  <w:shd w:val="clear" w:color="auto" w:fill="auto"/>
                  <w:vAlign w:val="center"/>
                </w:tcPr>
                <w:p>
                  <w:pPr>
                    <w:spacing w:line="240" w:lineRule="auto"/>
                    <w:jc w:val="center"/>
                    <w:rPr>
                      <w:rFonts w:hint="default"/>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100.92</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3.88</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57.28</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16.58</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45.35</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20.37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43.90</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100.33</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37.89</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28.41</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41.82</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66.77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38.54</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64.57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13.36</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38.61</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bl>
          <w:p>
            <w:pPr>
              <w:pStyle w:val="120"/>
              <w:numPr>
                <w:ilvl w:val="0"/>
                <w:numId w:val="0"/>
              </w:numPr>
              <w:spacing w:line="240" w:lineRule="auto"/>
              <w:ind w:leftChars="0"/>
              <w:jc w:val="both"/>
              <w:rPr>
                <w:color w:val="000000" w:themeColor="text1"/>
                <w:highlight w:val="none"/>
                <w14:textFill>
                  <w14:solidFill>
                    <w14:schemeClr w14:val="tx1"/>
                  </w14:solidFill>
                </w14:textFill>
              </w:rPr>
            </w:pPr>
          </w:p>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室外</w:t>
            </w:r>
            <w:r>
              <w:rPr>
                <w:rFonts w:hint="eastAsia"/>
                <w:color w:val="000000" w:themeColor="text1"/>
                <w:highlight w:val="none"/>
                <w14:textFill>
                  <w14:solidFill>
                    <w14:schemeClr w14:val="tx1"/>
                  </w14:solidFill>
                </w14:textFill>
              </w:rPr>
              <w:t>主要噪声源及控制措施</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以厂区西南角为坐标0,0点</w:t>
            </w:r>
            <w:r>
              <w:rPr>
                <w:rFonts w:hint="eastAsia"/>
                <w:color w:val="000000" w:themeColor="text1"/>
                <w:highlight w:val="none"/>
                <w:lang w:eastAsia="zh-CN"/>
                <w14:textFill>
                  <w14:solidFill>
                    <w14:schemeClr w14:val="tx1"/>
                  </w14:solidFill>
                </w14:textFill>
              </w:rPr>
              <w:t>）</w:t>
            </w:r>
          </w:p>
          <w:tbl>
            <w:tblPr>
              <w:tblStyle w:val="42"/>
              <w:tblW w:w="12802"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418"/>
              <w:gridCol w:w="807"/>
              <w:gridCol w:w="978"/>
              <w:gridCol w:w="835"/>
              <w:gridCol w:w="4191"/>
              <w:gridCol w:w="2678"/>
              <w:gridCol w:w="118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277" w:hRule="atLeast"/>
                <w:jc w:val="center"/>
              </w:trPr>
              <w:tc>
                <w:tcPr>
                  <w:tcW w:w="712"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序号</w:t>
                  </w:r>
                </w:p>
              </w:tc>
              <w:tc>
                <w:tcPr>
                  <w:tcW w:w="1418"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声源名称</w:t>
                  </w:r>
                </w:p>
              </w:tc>
              <w:tc>
                <w:tcPr>
                  <w:tcW w:w="2620" w:type="dxa"/>
                  <w:gridSpan w:val="3"/>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空间相对位置/m</w:t>
                  </w:r>
                </w:p>
              </w:tc>
              <w:tc>
                <w:tcPr>
                  <w:tcW w:w="4191"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（声压级/距声源距离）（dB（A）/m）</w:t>
                  </w:r>
                </w:p>
              </w:tc>
              <w:tc>
                <w:tcPr>
                  <w:tcW w:w="2678"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声源控制措施</w:t>
                  </w:r>
                </w:p>
              </w:tc>
              <w:tc>
                <w:tcPr>
                  <w:tcW w:w="1183"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运行时段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712" w:type="dxa"/>
                  <w:vMerge w:val="continue"/>
                  <w:shd w:val="clear" w:color="auto" w:fill="auto"/>
                  <w:vAlign w:val="center"/>
                </w:tcPr>
                <w:p>
                  <w:pPr>
                    <w:pStyle w:val="199"/>
                    <w:rPr>
                      <w:color w:val="000000" w:themeColor="text1"/>
                      <w14:textFill>
                        <w14:solidFill>
                          <w14:schemeClr w14:val="tx1"/>
                        </w14:solidFill>
                      </w14:textFill>
                    </w:rPr>
                  </w:pPr>
                </w:p>
              </w:tc>
              <w:tc>
                <w:tcPr>
                  <w:tcW w:w="1418" w:type="dxa"/>
                  <w:vMerge w:val="continue"/>
                  <w:shd w:val="clear" w:color="auto" w:fill="auto"/>
                  <w:vAlign w:val="center"/>
                </w:tcPr>
                <w:p>
                  <w:pPr>
                    <w:pStyle w:val="199"/>
                    <w:rPr>
                      <w:color w:val="000000" w:themeColor="text1"/>
                      <w14:textFill>
                        <w14:solidFill>
                          <w14:schemeClr w14:val="tx1"/>
                        </w14:solidFill>
                      </w14:textFill>
                    </w:rPr>
                  </w:pPr>
                </w:p>
              </w:tc>
              <w:tc>
                <w:tcPr>
                  <w:tcW w:w="807" w:type="dxa"/>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X</w:t>
                  </w:r>
                </w:p>
              </w:tc>
              <w:tc>
                <w:tcPr>
                  <w:tcW w:w="978" w:type="dxa"/>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Y</w:t>
                  </w:r>
                </w:p>
              </w:tc>
              <w:tc>
                <w:tcPr>
                  <w:tcW w:w="835" w:type="dxa"/>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Z</w:t>
                  </w:r>
                </w:p>
              </w:tc>
              <w:tc>
                <w:tcPr>
                  <w:tcW w:w="4191" w:type="dxa"/>
                  <w:vMerge w:val="continue"/>
                  <w:shd w:val="clear" w:color="auto" w:fill="auto"/>
                  <w:vAlign w:val="center"/>
                </w:tcPr>
                <w:p>
                  <w:pPr>
                    <w:pStyle w:val="199"/>
                    <w:rPr>
                      <w:color w:val="000000" w:themeColor="text1"/>
                      <w14:textFill>
                        <w14:solidFill>
                          <w14:schemeClr w14:val="tx1"/>
                        </w14:solidFill>
                      </w14:textFill>
                    </w:rPr>
                  </w:pPr>
                </w:p>
              </w:tc>
              <w:tc>
                <w:tcPr>
                  <w:tcW w:w="2678" w:type="dxa"/>
                  <w:vMerge w:val="continue"/>
                  <w:shd w:val="clear" w:color="auto" w:fill="auto"/>
                  <w:vAlign w:val="center"/>
                </w:tcPr>
                <w:p>
                  <w:pPr>
                    <w:pStyle w:val="199"/>
                    <w:rPr>
                      <w:color w:val="000000" w:themeColor="text1"/>
                      <w14:textFill>
                        <w14:solidFill>
                          <w14:schemeClr w14:val="tx1"/>
                        </w14:solidFill>
                      </w14:textFill>
                    </w:rPr>
                  </w:pPr>
                </w:p>
              </w:tc>
              <w:tc>
                <w:tcPr>
                  <w:tcW w:w="1183" w:type="dxa"/>
                  <w:vMerge w:val="continue"/>
                  <w:shd w:val="clear" w:color="auto" w:fill="auto"/>
                  <w:vAlign w:val="center"/>
                </w:tcPr>
                <w:p>
                  <w:pPr>
                    <w:pStyle w:val="199"/>
                    <w:rPr>
                      <w:color w:val="000000" w:themeColor="text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2" w:type="dxa"/>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1</w:t>
                  </w:r>
                </w:p>
              </w:tc>
              <w:tc>
                <w:tcPr>
                  <w:tcW w:w="1418"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清洗喷枪</w:t>
                  </w:r>
                </w:p>
              </w:tc>
              <w:tc>
                <w:tcPr>
                  <w:tcW w:w="807"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2.73</w:t>
                  </w:r>
                </w:p>
              </w:tc>
              <w:tc>
                <w:tcPr>
                  <w:tcW w:w="978"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150.27</w:t>
                  </w:r>
                </w:p>
              </w:tc>
              <w:tc>
                <w:tcPr>
                  <w:tcW w:w="835"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w:t>
                  </w:r>
                </w:p>
              </w:tc>
              <w:tc>
                <w:tcPr>
                  <w:tcW w:w="4191" w:type="dxa"/>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75/1</w:t>
                  </w:r>
                </w:p>
              </w:tc>
              <w:tc>
                <w:tcPr>
                  <w:tcW w:w="2678" w:type="dxa"/>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低噪声设备+</w:t>
                  </w:r>
                  <w:r>
                    <w:rPr>
                      <w:rFonts w:hint="eastAsia"/>
                      <w:color w:val="000000" w:themeColor="text1"/>
                      <w:lang w:eastAsia="zh-CN"/>
                      <w14:textFill>
                        <w14:solidFill>
                          <w14:schemeClr w14:val="tx1"/>
                        </w14:solidFill>
                      </w14:textFill>
                    </w:rPr>
                    <w:t>减振</w:t>
                  </w:r>
                  <w:r>
                    <w:rPr>
                      <w:color w:val="000000" w:themeColor="text1"/>
                      <w14:textFill>
                        <w14:solidFill>
                          <w14:schemeClr w14:val="tx1"/>
                        </w14:solidFill>
                      </w14:textFill>
                    </w:rPr>
                    <w:t>基础</w:t>
                  </w:r>
                </w:p>
              </w:tc>
              <w:tc>
                <w:tcPr>
                  <w:tcW w:w="1183" w:type="dxa"/>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昼间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12" w:type="dxa"/>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w:t>
                  </w:r>
                </w:p>
              </w:tc>
              <w:tc>
                <w:tcPr>
                  <w:tcW w:w="1418" w:type="dxa"/>
                  <w:shd w:val="clear" w:color="auto" w:fill="auto"/>
                  <w:vAlign w:val="center"/>
                </w:tcPr>
                <w:p>
                  <w:pPr>
                    <w:pStyle w:val="199"/>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沉淀池循环</w:t>
                  </w:r>
                </w:p>
                <w:p>
                  <w:pPr>
                    <w:pStyle w:val="199"/>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水泵</w:t>
                  </w:r>
                </w:p>
              </w:tc>
              <w:tc>
                <w:tcPr>
                  <w:tcW w:w="807"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-2.38</w:t>
                  </w:r>
                </w:p>
              </w:tc>
              <w:tc>
                <w:tcPr>
                  <w:tcW w:w="978"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141.2</w:t>
                  </w:r>
                </w:p>
              </w:tc>
              <w:tc>
                <w:tcPr>
                  <w:tcW w:w="835" w:type="dxa"/>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w:t>
                  </w:r>
                </w:p>
              </w:tc>
              <w:tc>
                <w:tcPr>
                  <w:tcW w:w="4191" w:type="dxa"/>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90/1</w:t>
                  </w:r>
                </w:p>
              </w:tc>
              <w:tc>
                <w:tcPr>
                  <w:tcW w:w="2678" w:type="dxa"/>
                  <w:vMerge w:val="continue"/>
                  <w:shd w:val="clear" w:color="auto" w:fill="auto"/>
                  <w:vAlign w:val="center"/>
                </w:tcPr>
                <w:p>
                  <w:pPr>
                    <w:pStyle w:val="199"/>
                    <w:rPr>
                      <w:color w:val="000000" w:themeColor="text1"/>
                      <w14:textFill>
                        <w14:solidFill>
                          <w14:schemeClr w14:val="tx1"/>
                        </w14:solidFill>
                      </w14:textFill>
                    </w:rPr>
                  </w:pPr>
                </w:p>
              </w:tc>
              <w:tc>
                <w:tcPr>
                  <w:tcW w:w="1183" w:type="dxa"/>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昼间</w:t>
                  </w:r>
                </w:p>
              </w:tc>
            </w:tr>
          </w:tbl>
          <w:p>
            <w:pPr>
              <w:adjustRightInd w:val="0"/>
              <w:snapToGrid w:val="0"/>
              <w:spacing w:line="480" w:lineRule="exact"/>
              <w:rPr>
                <w:rFonts w:hint="eastAsia"/>
                <w:color w:val="000000" w:themeColor="text1"/>
                <w:szCs w:val="24"/>
                <w14:textFill>
                  <w14:solidFill>
                    <w14:schemeClr w14:val="tx1"/>
                  </w14:solidFill>
                </w14:textFill>
              </w:rPr>
            </w:pPr>
          </w:p>
          <w:p>
            <w:pPr>
              <w:pStyle w:val="15"/>
              <w:rPr>
                <w:rFonts w:hint="eastAsia"/>
                <w:color w:val="000000" w:themeColor="text1"/>
                <w:szCs w:val="24"/>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14:textFill>
                  <w14:solidFill>
                    <w14:schemeClr w14:val="tx1"/>
                  </w14:solidFill>
                </w14:textFill>
              </w:rPr>
            </w:pPr>
          </w:p>
          <w:p>
            <w:pPr>
              <w:pStyle w:val="52"/>
              <w:rPr>
                <w:rFonts w:hint="eastAsia"/>
                <w:color w:val="000000" w:themeColor="text1"/>
                <w14:textFill>
                  <w14:solidFill>
                    <w14:schemeClr w14:val="tx1"/>
                  </w14:solidFill>
                </w14:textFill>
              </w:rPr>
            </w:pPr>
          </w:p>
        </w:tc>
      </w:tr>
    </w:tbl>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6840" w:h="11907" w:orient="landscape"/>
          <w:pgMar w:top="1134" w:right="1701" w:bottom="1134" w:left="1701" w:header="851" w:footer="1077" w:gutter="0"/>
          <w:pgBorders>
            <w:top w:val="none" w:sz="0" w:space="0"/>
            <w:left w:val="none" w:sz="0" w:space="0"/>
            <w:bottom w:val="none" w:sz="0" w:space="0"/>
            <w:right w:val="none" w:sz="0" w:space="0"/>
          </w:pgBorders>
          <w:cols w:space="720" w:num="1"/>
          <w:docGrid w:linePitch="312" w:charSpace="0"/>
        </w:sectPr>
      </w:pPr>
    </w:p>
    <w:tbl>
      <w:tblPr>
        <w:tblStyle w:val="42"/>
        <w:tblpPr w:leftFromText="180" w:rightFromText="180" w:vertAnchor="text" w:tblpXSpec="center" w:tblpY="1"/>
        <w:tblOverlap w:val="never"/>
        <w:tblW w:w="10040"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04"/>
        <w:gridCol w:w="96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259" w:hRule="atLeast"/>
          <w:jc w:val="center"/>
        </w:trPr>
        <w:tc>
          <w:tcPr>
            <w:tcW w:w="404" w:type="dxa"/>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9636" w:type="dxa"/>
            <w:vAlign w:val="center"/>
          </w:tcPr>
          <w:p>
            <w:pPr>
              <w:pStyle w:val="15"/>
              <w:numPr>
                <w:ilvl w:val="0"/>
                <w:numId w:val="0"/>
              </w:numPr>
              <w:spacing w:line="360" w:lineRule="auto"/>
              <w:ind w:firstLine="480" w:firstLineChars="200"/>
              <w:rPr>
                <w:rFonts w:hint="eastAsia"/>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（2）预测模式</w:t>
            </w:r>
          </w:p>
          <w:p>
            <w:pPr>
              <w:pStyle w:val="15"/>
              <w:numPr>
                <w:ilvl w:val="0"/>
                <w:numId w:val="0"/>
              </w:numPr>
              <w:spacing w:line="360" w:lineRule="auto"/>
              <w:ind w:firstLine="480" w:firstLineChars="200"/>
              <w:rPr>
                <w:rFonts w:hint="eastAsia"/>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预测模式</w:t>
            </w:r>
            <w:r>
              <w:rPr>
                <w:color w:val="000000" w:themeColor="text1"/>
                <w:sz w:val="24"/>
                <w14:textFill>
                  <w14:solidFill>
                    <w14:schemeClr w14:val="tx1"/>
                  </w14:solidFill>
                </w14:textFill>
              </w:rPr>
              <w:t>采用《环境影响评价技术导则 声环境》（HJ2.4-2021）中推荐的模式。依据声源的分布规律及预测点与声源之间的距离，把噪声源简化成点声源，依据已获得的声学数据，利用《环境影响的评价技术导则 声环境》（HJ2.4-2021）中推荐的预测模式分别计算</w:t>
            </w:r>
            <w:r>
              <w:rPr>
                <w:rFonts w:hint="eastAsia"/>
                <w:color w:val="000000" w:themeColor="text1"/>
                <w:szCs w:val="24"/>
                <w:lang w:val="en-US" w:eastAsia="zh-CN"/>
                <w14:textFill>
                  <w14:solidFill>
                    <w14:schemeClr w14:val="tx1"/>
                  </w14:solidFill>
                </w14:textFill>
              </w:rPr>
              <w:t>各声源对四周厂界的贡献值。</w:t>
            </w:r>
          </w:p>
          <w:p>
            <w:pPr>
              <w:pStyle w:val="15"/>
              <w:numPr>
                <w:ilvl w:val="0"/>
                <w:numId w:val="0"/>
              </w:numPr>
              <w:spacing w:line="360" w:lineRule="auto"/>
              <w:ind w:firstLine="480" w:firstLineChars="200"/>
              <w:rPr>
                <w:rFonts w:hint="default"/>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1）</w:t>
            </w:r>
            <w:r>
              <w:rPr>
                <w:rFonts w:hint="default"/>
                <w:color w:val="000000" w:themeColor="text1"/>
                <w:szCs w:val="24"/>
                <w:lang w:val="en-US" w:eastAsia="zh-CN"/>
                <w14:textFill>
                  <w14:solidFill>
                    <w14:schemeClr w14:val="tx1"/>
                  </w14:solidFill>
                </w14:textFill>
              </w:rPr>
              <w:t>参照《环境影响评价技术导则 声环境》（HJ2.4-2021）中附录A推荐的噪声预测模式：</w:t>
            </w:r>
          </w:p>
          <w:p>
            <w:pPr>
              <w:adjustRightInd w:val="0"/>
              <w:snapToGrid w:val="0"/>
              <w:spacing w:line="360" w:lineRule="auto"/>
              <w:ind w:firstLine="480" w:firstLineChars="200"/>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)+DC－(A</w:t>
            </w:r>
            <w:r>
              <w:rPr>
                <w:rFonts w:hint="default" w:ascii="Times New Roman" w:hAnsi="Times New Roman" w:cs="Times New Roman"/>
                <w:color w:val="000000" w:themeColor="text1"/>
                <w:sz w:val="24"/>
                <w:szCs w:val="24"/>
                <w:vertAlign w:val="subscript"/>
                <w14:textFill>
                  <w14:solidFill>
                    <w14:schemeClr w14:val="tx1"/>
                  </w14:solidFill>
                </w14:textFill>
              </w:rPr>
              <w:t>div</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gr</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bar</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misc</w:t>
            </w:r>
            <w:r>
              <w:rPr>
                <w:rFonts w:hint="default" w:ascii="Times New Roman" w:hAnsi="Times New Roman" w:cs="Times New Roman"/>
                <w:color w:val="000000" w:themeColor="text1"/>
                <w:sz w:val="24"/>
                <w:szCs w:val="24"/>
                <w14:textFill>
                  <w14:solidFill>
                    <w14:schemeClr w14:val="tx1"/>
                  </w14:solidFill>
                </w14:textFill>
              </w:rPr>
              <w:t>)</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 ——预测点处声压级，dB；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 ——参考位置r0处的声压级，dB；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DC ——指向性校正，它描述点声源的等效连续声压级与产生声功率级Lw的全向点声源在规定方向的声级的偏差程度，dB；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div</w:t>
            </w:r>
            <w:r>
              <w:rPr>
                <w:rFonts w:hint="default" w:ascii="Times New Roman" w:hAnsi="Times New Roman" w:cs="Times New Roman"/>
                <w:color w:val="000000" w:themeColor="text1"/>
                <w:sz w:val="24"/>
                <w:szCs w:val="24"/>
                <w14:textFill>
                  <w14:solidFill>
                    <w14:schemeClr w14:val="tx1"/>
                  </w14:solidFill>
                </w14:textFill>
              </w:rPr>
              <w:t xml:space="preserve"> ——几何发散引起的衰减，dB；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 xml:space="preserve"> ——大气吸收引起的衰减，dB；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gr</w:t>
            </w:r>
            <w:r>
              <w:rPr>
                <w:rFonts w:hint="default" w:ascii="Times New Roman" w:hAnsi="Times New Roman" w:cs="Times New Roman"/>
                <w:color w:val="000000" w:themeColor="text1"/>
                <w:sz w:val="24"/>
                <w:szCs w:val="24"/>
                <w14:textFill>
                  <w14:solidFill>
                    <w14:schemeClr w14:val="tx1"/>
                  </w14:solidFill>
                </w14:textFill>
              </w:rPr>
              <w:t xml:space="preserve"> ——地面效应引起的衰减，dB；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bar</w:t>
            </w:r>
            <w:r>
              <w:rPr>
                <w:rFonts w:hint="default" w:ascii="Times New Roman" w:hAnsi="Times New Roman" w:cs="Times New Roman"/>
                <w:color w:val="000000" w:themeColor="text1"/>
                <w:sz w:val="24"/>
                <w:szCs w:val="24"/>
                <w14:textFill>
                  <w14:solidFill>
                    <w14:schemeClr w14:val="tx1"/>
                  </w14:solidFill>
                </w14:textFill>
              </w:rPr>
              <w:t xml:space="preserve"> ——障碍物屏蔽引起的衰减，dB；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misc</w:t>
            </w:r>
            <w:r>
              <w:rPr>
                <w:rFonts w:hint="default" w:ascii="Times New Roman" w:hAnsi="Times New Roman" w:cs="Times New Roman"/>
                <w:color w:val="000000" w:themeColor="text1"/>
                <w:sz w:val="24"/>
                <w:szCs w:val="24"/>
                <w14:textFill>
                  <w14:solidFill>
                    <w14:schemeClr w14:val="tx1"/>
                  </w14:solidFill>
                </w14:textFill>
              </w:rPr>
              <w:t xml:space="preserve"> ——其他多方面效应引起的衰减，dB。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1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①</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几何发散</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对于室外点声源，不考虑其指向性，几何发散衰减计算公式为：</w:t>
            </w:r>
          </w:p>
          <w:p>
            <w:pPr>
              <w:adjustRightInd w:val="0"/>
              <w:snapToGrid w:val="0"/>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）－20Lg（r/r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w:t>
            </w:r>
          </w:p>
          <w:p>
            <w:pPr>
              <w:pStyle w:val="15"/>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 ——预测点处声压级，dB；</w:t>
            </w:r>
          </w:p>
          <w:p>
            <w:pPr>
              <w:pStyle w:val="15"/>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 ——参考位置r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处的声压级，dB；</w:t>
            </w:r>
          </w:p>
          <w:p>
            <w:pPr>
              <w:pStyle w:val="15"/>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 ——预测点距声源的距离；</w:t>
            </w:r>
          </w:p>
          <w:p>
            <w:pPr>
              <w:pStyle w:val="15"/>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——参考位置距声源的距离。</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2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②</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遮挡物引起的衰减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遮挡物引起的衰减，只考虑各声源所在厂房围护结构的屏蔽效应。 屏蔽衰减在单绕射（即薄屏障）情况，衰减最大取20dB；屏蔽衰减在双绕射（即厚屏障）情况，衰减最大取25dB。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3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③</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大气吸收引起的衰减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大气吸收引起的衰减按下式计算：</w:t>
            </w:r>
          </w:p>
          <w:p>
            <w:pPr>
              <w:pStyle w:val="59"/>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mc:AlternateContent>
                <mc:Choice Requires="wpg">
                  <w:drawing>
                    <wp:inline distT="0" distB="0" distL="0" distR="0">
                      <wp:extent cx="1085850" cy="405765"/>
                      <wp:effectExtent l="0" t="0" r="0" b="0"/>
                      <wp:docPr id="1" name="组合 1"/>
                      <wp:cNvGraphicFramePr/>
                      <a:graphic xmlns:a="http://schemas.openxmlformats.org/drawingml/2006/main">
                        <a:graphicData uri="http://schemas.microsoft.com/office/word/2010/wordprocessingGroup">
                          <wpg:wgp>
                            <wpg:cNvGrpSpPr/>
                            <wpg:grpSpPr>
                              <a:xfrm>
                                <a:off x="0" y="0"/>
                                <a:ext cx="1085850" cy="405765"/>
                                <a:chOff x="0" y="0"/>
                                <a:chExt cx="1710" cy="639"/>
                              </a:xfrm>
                            </wpg:grpSpPr>
                            <wps:wsp>
                              <wps:cNvPr id="2" name="Text Box 95"/>
                              <wps:cNvSpPr txBox="1">
                                <a:spLocks noChangeArrowheads="1"/>
                              </wps:cNvSpPr>
                              <wps:spPr bwMode="auto">
                                <a:xfrm>
                                  <a:off x="1436" y="327"/>
                                  <a:ext cx="180" cy="312"/>
                                </a:xfrm>
                                <a:prstGeom prst="rect">
                                  <a:avLst/>
                                </a:prstGeom>
                                <a:noFill/>
                                <a:ln>
                                  <a:noFill/>
                                </a:ln>
                              </wps:spPr>
                              <wps:txbx>
                                <w:txbxContent>
                                  <w:p/>
                                </w:txbxContent>
                              </wps:txbx>
                              <wps:bodyPr rot="0" vert="horz" wrap="square" lIns="0" tIns="0" rIns="0" bIns="0" anchor="t" anchorCtr="0" upright="1">
                                <a:noAutofit/>
                              </wps:bodyPr>
                            </wps:wsp>
                            <pic:pic xmlns:pic="http://schemas.openxmlformats.org/drawingml/2006/picture">
                              <pic:nvPicPr>
                                <pic:cNvPr id="3" name="Picture 9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710" cy="615"/>
                                </a:xfrm>
                                <a:prstGeom prst="rect">
                                  <a:avLst/>
                                </a:prstGeom>
                                <a:noFill/>
                                <a:ln>
                                  <a:noFill/>
                                </a:ln>
                              </pic:spPr>
                            </pic:pic>
                          </wpg:wgp>
                        </a:graphicData>
                      </a:graphic>
                    </wp:inline>
                  </w:drawing>
                </mc:Choice>
                <mc:Fallback>
                  <w:pict>
                    <v:group id="_x0000_s1026" o:spid="_x0000_s1026" o:spt="203" style="height:31.95pt;width:85.5pt;" coordsize="1710,639" o:gfxdata="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">
                      <o:lock v:ext="edit" aspectratio="f"/>
                      <v:shape id="Text Box 95" o:spid="_x0000_s1026" o:spt="202" type="#_x0000_t202" style="position:absolute;left:1436;top:327;height:312;width:180;" filled="f" stroked="f" coordsize="21600,21600" o:gfxdata="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pV0I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txbxContent>
                        </v:textbox>
                      </v:shape>
                      <v:shape id="Picture 96" o:spid="_x0000_s1026" o:spt="75" type="#_x0000_t75" style="position:absolute;left:0;top:0;height:615;width:1710;" filled="f" o:preferrelative="t" stroked="f" coordsize="21600,21600" o:gfxdata="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BWEBvQAA&#10;ANoAAAAPAAAAAAAAAAEAIAAAACIAAABkcnMvZG93bnJldi54bWxQSwECFAAUAAAACACHTuJAMy8F&#10;njsAAAA5AAAAEAAAAAAAAAABACAAAAAMAQAAZHJzL3NoYXBleG1sLnhtbFBLBQYAAAAABgAGAFsB&#10;AAC2AwAAAAA=&#10;">
                        <v:fill on="f" focussize="0,0"/>
                        <v:stroke on="f"/>
                        <v:imagedata r:id="rId18" o:title=""/>
                        <o:lock v:ext="edit" aspectratio="t"/>
                      </v:shape>
                      <w10:wrap type="none"/>
                      <w10:anchorlock/>
                    </v:group>
                  </w:pict>
                </mc:Fallback>
              </mc:AlternateConten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 xml:space="preserve">—大气吸收引起的衰减，dB； </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α—与温度、湿度和声波频率有关的大气吸收衰减系数，预测计算中一般根据建设项目所处区域常年平均气温和湿度选择相应的大气吸收衰减系数。</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r—预测点距声源的距离，m；</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—参考位置距声源的距离，m；</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4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④</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地面效应引起的衰减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地面类型可分为：</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a） 坚实地面，包括铺筑过的路面、水面、冰面以及夯实地面； </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b） 疏松地面，包括被草或其他植物覆盖的地面，以及农田等适合于植物生长的地面；</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 混合地面，由坚实地面和疏松地面组成。</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声波掠过疏松地面传播时，或大部分为疏松地面的混合地面，在预测点仅计算 A 声级前提下，地面效应引起的倍频带衰减可用下式计算。</w:t>
            </w:r>
          </w:p>
          <w:p>
            <w:pPr>
              <w:pStyle w:val="59"/>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drawing>
                <wp:inline distT="0" distB="0" distL="114300" distR="114300">
                  <wp:extent cx="1972310" cy="500380"/>
                  <wp:effectExtent l="0" t="0" r="8890" b="254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9"/>
                          <a:stretch>
                            <a:fillRect/>
                          </a:stretch>
                        </pic:blipFill>
                        <pic:spPr>
                          <a:xfrm>
                            <a:off x="0" y="0"/>
                            <a:ext cx="1972310" cy="500380"/>
                          </a:xfrm>
                          <a:prstGeom prst="rect">
                            <a:avLst/>
                          </a:prstGeom>
                          <a:noFill/>
                          <a:ln>
                            <a:noFill/>
                          </a:ln>
                        </pic:spPr>
                      </pic:pic>
                    </a:graphicData>
                  </a:graphic>
                </wp:inline>
              </w:drawing>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Agr ——地面效应引起的衰减，dB；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r ——预测点距声源的距离，m； </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hm——传播路径的平均离地高度，m；可按图 A.4 进行计算，mh F r  ；F：面积，m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；若 Agr计算出负值，则 Agr 可用“0”代替。</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⑤其它多方面原因引起的衰减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其它衰减包括通过工业场所的衰减；通过房屋群的衰减等。在声环境影响评价中，一般不考虑风、温度梯度以及雾的变化引起的附加修正。</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工业场所的衰减、房屋群的衰减等可参照GB/T17247.2进行计算。</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室内点声源对厂界噪声预测点贡献值预测模式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室内声源首先换算为等效室外声源，再按各类声源模式计算。</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1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①</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首先计算出某个室内声源靠近围护结构处的倍频带声压级：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pacing w:val="5"/>
                <w:sz w:val="24"/>
                <w:szCs w:val="24"/>
                <w14:textFill>
                  <w14:solidFill>
                    <w14:schemeClr w14:val="tx1"/>
                  </w14:solidFill>
                </w14:textFill>
              </w:rPr>
            </w:pPr>
            <w:r>
              <w:rPr>
                <w:rFonts w:hint="default" w:ascii="Times New Roman" w:hAnsi="Times New Roman" w:cs="Times New Roman"/>
                <w:color w:val="000000" w:themeColor="text1"/>
                <w:position w:val="-24"/>
                <w:sz w:val="24"/>
                <w:szCs w:val="24"/>
                <w14:textFill>
                  <w14:solidFill>
                    <w14:schemeClr w14:val="tx1"/>
                  </w14:solidFill>
                </w14:textFill>
              </w:rPr>
              <w:object>
                <v:shape id="_x0000_i1025" o:spt="75" type="#_x0000_t75" style="height:29.25pt;width:129pt;" o:ole="t" filled="f" o:preferrelative="t" stroked="f" coordsize="21600,21600">
                  <v:path/>
                  <v:fill on="f" focussize="0,0"/>
                  <v:stroke on="f" joinstyle="miter"/>
                  <v:imagedata r:id="rId21" o:title=""/>
                  <o:lock v:ext="edit" aspectratio="t"/>
                  <w10:wrap type="none"/>
                  <w10:anchorlock/>
                </v:shape>
                <o:OLEObject Type="Embed" ProgID="Equation.3" ShapeID="_x0000_i1025" DrawAspect="Content" ObjectID="_1468075725" r:id="rId20">
                  <o:LockedField>false</o:LockedField>
                </o:OLEObject>
              </w:objec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p1</w:t>
            </w:r>
            <w:r>
              <w:rPr>
                <w:rFonts w:hint="default" w:ascii="Times New Roman" w:hAnsi="Times New Roman" w:cs="Times New Roman"/>
                <w:color w:val="000000" w:themeColor="text1"/>
                <w:sz w:val="24"/>
                <w:szCs w:val="24"/>
                <w14:textFill>
                  <w14:solidFill>
                    <w14:schemeClr w14:val="tx1"/>
                  </w14:solidFill>
                </w14:textFill>
              </w:rPr>
              <w:t>—靠近开口处（或窗户）室内某倍频带的声压级或A声级，dB；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w</w:t>
            </w:r>
            <w:r>
              <w:rPr>
                <w:rFonts w:hint="default" w:ascii="Times New Roman" w:hAnsi="Times New Roman" w:cs="Times New Roman"/>
                <w:color w:val="000000" w:themeColor="text1"/>
                <w:sz w:val="24"/>
                <w:szCs w:val="24"/>
                <w14:textFill>
                  <w14:solidFill>
                    <w14:schemeClr w14:val="tx1"/>
                  </w14:solidFill>
                </w14:textFill>
              </w:rPr>
              <w:t>—点声源声功率级（A计权或倍频带），dB；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i/>
                <w:color w:val="000000" w:themeColor="text1"/>
                <w:position w:val="-4"/>
                <w:sz w:val="24"/>
                <w:szCs w:val="24"/>
                <w14:textFill>
                  <w14:solidFill>
                    <w14:schemeClr w14:val="tx1"/>
                  </w14:solidFill>
                </w14:textFill>
              </w:rPr>
              <w:object>
                <v:shape id="_x0000_i1026" o:spt="75" type="#_x0000_t75" style="height:15pt;width:15pt;" o:ole="t" filled="f" o:preferrelative="t" stroked="f" coordsize="21600,21600">
                  <v:path/>
                  <v:fill on="f" focussize="0,0"/>
                  <v:stroke on="f" joinstyle="miter"/>
                  <v:imagedata r:id="rId23" o:title=""/>
                  <o:lock v:ext="edit" aspectratio="t"/>
                  <w10:wrap type="none"/>
                  <w10:anchorlock/>
                </v:shape>
                <o:OLEObject Type="Embed" ProgID="Equation.3" ShapeID="_x0000_i1026" DrawAspect="Content" ObjectID="_1468075726" r:id="rId22">
                  <o:LockedField>false</o:LockedField>
                </o:OLEObject>
              </w:object>
            </w:r>
            <w:r>
              <w:rPr>
                <w:rFonts w:hint="default" w:ascii="Times New Roman" w:hAnsi="Times New Roman" w:cs="Times New Roman"/>
                <w:color w:val="000000" w:themeColor="text1"/>
                <w:sz w:val="24"/>
                <w:szCs w:val="24"/>
                <w14:textFill>
                  <w14:solidFill>
                    <w14:schemeClr w14:val="tx1"/>
                  </w14:solidFill>
                </w14:textFill>
              </w:rPr>
              <w:t>：—立体角内的声传播指数（传统称作指向性因数，写法是Q；通常对无指向性声源，当声源放在房间中心时，Q=1,当放在一面墙的中心时，Q=2,当放在两面墙夹角处时，Q=4，当放在三面墙夹角处时，Q=8）；</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R—房间常数；</w:t>
            </w:r>
            <w:r>
              <w:rPr>
                <w:rFonts w:hint="default" w:ascii="Times New Roman" w:hAnsi="Times New Roman" w:cs="Times New Roman"/>
                <w:i/>
                <w:color w:val="000000" w:themeColor="text1"/>
                <w:position w:val="-10"/>
                <w:sz w:val="24"/>
                <w:szCs w:val="24"/>
                <w14:textFill>
                  <w14:solidFill>
                    <w14:schemeClr w14:val="tx1"/>
                  </w14:solidFill>
                </w14:textFill>
              </w:rPr>
              <w:object>
                <v:shape id="_x0000_i1027" o:spt="75" type="#_x0000_t75" style="height:15pt;width:72pt;" o:ole="t" filled="f" o:preferrelative="t" stroked="f" coordsize="21600,21600">
                  <v:path/>
                  <v:fill on="f" focussize="0,0"/>
                  <v:stroke on="f" joinstyle="miter"/>
                  <v:imagedata r:id="rId25" o:title=""/>
                  <o:lock v:ext="edit" aspectratio="t"/>
                  <w10:wrap type="none"/>
                  <w10:anchorlock/>
                </v:shape>
                <o:OLEObject Type="Embed" ProgID="Equation.3" ShapeID="_x0000_i1027" DrawAspect="Content" ObjectID="_1468075727" r:id="rId24">
                  <o:LockedField>false</o:LockedField>
                </o:OLEObject>
              </w:object>
            </w:r>
            <w:r>
              <w:rPr>
                <w:rFonts w:hint="default" w:ascii="Times New Roman" w:hAnsi="Times New Roman" w:cs="Times New Roman"/>
                <w:i/>
                <w:color w:val="000000" w:themeColor="text1"/>
                <w:sz w:val="24"/>
                <w:szCs w:val="24"/>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S为房间内表面面积，单位m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；α为平均吸声系数。</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r—声源到靠近围护结构某点处的距离，单位m。</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2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②</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计算出所有室内声源在围护结构处产生的倍频带叠加声压级：：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30"/>
                <w:sz w:val="24"/>
                <w:szCs w:val="24"/>
                <w14:textFill>
                  <w14:solidFill>
                    <w14:schemeClr w14:val="tx1"/>
                  </w14:solidFill>
                </w14:textFill>
              </w:rPr>
              <w:object>
                <v:shape id="_x0000_i1028" o:spt="75" type="#_x0000_t75" style="height:42.75pt;width:149.25pt;" o:ole="t" filled="f" o:preferrelative="t" stroked="f" coordsize="21600,21600">
                  <v:path/>
                  <v:fill on="f" focussize="0,0"/>
                  <v:stroke on="f" joinstyle="miter"/>
                  <v:imagedata r:id="rId27" o:title=""/>
                  <o:lock v:ext="edit" aspectratio="t"/>
                  <w10:wrap type="none"/>
                  <w10:anchorlock/>
                </v:shape>
                <o:OLEObject Type="Embed" ProgID="Equation.3" ShapeID="_x0000_i1028" DrawAspect="Content" ObjectID="_1468075728" r:id="rId26">
                  <o:LockedField>false</o:LockedField>
                </o:OLEObject>
              </w:objec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t>式中：</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position w:val="-12"/>
                <w:sz w:val="24"/>
                <w:szCs w:val="24"/>
                <w14:textFill>
                  <w14:solidFill>
                    <w14:schemeClr w14:val="tx1"/>
                  </w14:solidFill>
                </w14:textFill>
              </w:rPr>
              <w:object>
                <v:shape id="_x0000_i1029" o:spt="75" type="#_x0000_t75" style="height:22.5pt;width:37.5pt;" o:ole="t" filled="f" o:preferrelative="t" stroked="f" coordsize="21600,21600">
                  <v:path/>
                  <v:fill on="f" focussize="0,0"/>
                  <v:stroke on="f" joinstyle="miter"/>
                  <v:imagedata r:id="rId29" o:title=""/>
                  <o:lock v:ext="edit" aspectratio="t"/>
                  <w10:wrap type="none"/>
                  <w10:anchorlock/>
                </v:shape>
                <o:OLEObject Type="Embed" ProgID="Equation.DSMT4" ShapeID="_x0000_i1029" DrawAspect="Content" ObjectID="_1468075729" r:id="rId28">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—靠近围护结构处室内N个声源</w:t>
            </w:r>
            <w:r>
              <w:rPr>
                <w:rFonts w:hint="default" w:ascii="Times New Roman" w:hAnsi="Times New Roman" w:cs="Times New Roman"/>
                <w:bCs/>
                <w:color w:val="000000" w:themeColor="text1"/>
                <w:sz w:val="24"/>
                <w:szCs w:val="24"/>
                <w14:textFill>
                  <w14:solidFill>
                    <w14:schemeClr w14:val="tx1"/>
                  </w14:solidFill>
                </w14:textFill>
              </w:rPr>
              <w:object>
                <v:shape id="_x0000_i1030" o:spt="75" type="#_x0000_t75" style="height:15pt;width:5.25pt;" o:ole="t" filled="f" o:preferrelative="t" stroked="f" coordsize="21600,21600">
                  <v:path/>
                  <v:fill on="f" focussize="0,0"/>
                  <v:stroke on="f" joinstyle="miter"/>
                  <v:imagedata r:id="rId31" o:title=""/>
                  <o:lock v:ext="edit" aspectratio="t"/>
                  <w10:wrap type="none"/>
                  <w10:anchorlock/>
                </v:shape>
                <o:OLEObject Type="Embed" ProgID="Equation.DSMT4" ShapeID="_x0000_i1030" DrawAspect="Content" ObjectID="_1468075730" r:id="rId30">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倍频带的叠加声压级；</w:t>
            </w:r>
          </w:p>
          <w:p>
            <w:pPr>
              <w:spacing w:line="56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position w:val="-14"/>
                <w:sz w:val="24"/>
                <w:szCs w:val="24"/>
                <w14:textFill>
                  <w14:solidFill>
                    <w14:schemeClr w14:val="tx1"/>
                  </w14:solidFill>
                </w14:textFill>
              </w:rPr>
              <w:object>
                <v:shape id="_x0000_i1031" o:spt="75" type="#_x0000_t75" style="height:29.25pt;width:29.25pt;" o:ole="t" filled="f" o:preferrelative="t" stroked="f" coordsize="21600,21600">
                  <v:path/>
                  <v:fill on="f" focussize="0,0"/>
                  <v:stroke on="f" joinstyle="miter"/>
                  <v:imagedata r:id="rId33" o:title=""/>
                  <o:lock v:ext="edit" aspectratio="t"/>
                  <w10:wrap type="none"/>
                  <w10:anchorlock/>
                </v:shape>
                <o:OLEObject Type="Embed" ProgID="Equation.DSMT4" ShapeID="_x0000_i1031" DrawAspect="Content" ObjectID="_1468075731" r:id="rId32">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—室内</w:t>
            </w:r>
            <w:r>
              <w:rPr>
                <w:rFonts w:hint="default" w:ascii="Times New Roman" w:hAnsi="Times New Roman" w:cs="Times New Roman"/>
                <w:bCs/>
                <w:color w:val="000000" w:themeColor="text1"/>
                <w:sz w:val="24"/>
                <w:szCs w:val="24"/>
                <w14:textFill>
                  <w14:solidFill>
                    <w14:schemeClr w14:val="tx1"/>
                  </w14:solidFill>
                </w14:textFill>
              </w:rPr>
              <w:object>
                <v:shape id="_x0000_i1032" o:spt="75" type="#_x0000_t75" style="height:15pt;width:5.25pt;" o:ole="t" filled="f" o:preferrelative="t" stroked="f" coordsize="21600,21600">
                  <v:path/>
                  <v:fill on="f" focussize="0,0"/>
                  <v:stroke on="f" joinstyle="miter"/>
                  <v:imagedata r:id="rId35" o:title=""/>
                  <o:lock v:ext="edit" aspectratio="t"/>
                  <w10:wrap type="none"/>
                  <w10:anchorlock/>
                </v:shape>
                <o:OLEObject Type="Embed" ProgID="Equation.DSMT4" ShapeID="_x0000_i1032" DrawAspect="Content" ObjectID="_1468075732" r:id="rId34">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声源</w:t>
            </w:r>
            <w:r>
              <w:rPr>
                <w:rFonts w:hint="default" w:ascii="Times New Roman" w:hAnsi="Times New Roman" w:cs="Times New Roman"/>
                <w:bCs/>
                <w:color w:val="000000" w:themeColor="text1"/>
                <w:sz w:val="24"/>
                <w:szCs w:val="24"/>
                <w14:textFill>
                  <w14:solidFill>
                    <w14:schemeClr w14:val="tx1"/>
                  </w14:solidFill>
                </w14:textFill>
              </w:rPr>
              <w:object>
                <v:shape id="_x0000_i1033" o:spt="75" type="#_x0000_t75" style="height:15pt;width:5.25pt;" o:ole="t" filled="f" o:preferrelative="t" stroked="f" coordsize="21600,21600">
                  <v:path/>
                  <v:fill on="f" focussize="0,0"/>
                  <v:stroke on="f" joinstyle="miter"/>
                  <v:imagedata r:id="rId37" o:title=""/>
                  <o:lock v:ext="edit" aspectratio="t"/>
                  <w10:wrap type="none"/>
                  <w10:anchorlock/>
                </v:shape>
                <o:OLEObject Type="Embed" ProgID="Equation.DSMT4" ShapeID="_x0000_i1033" DrawAspect="Content" ObjectID="_1468075733" r:id="rId36">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倍频带的声压级；</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t>N—室内声源总数。</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3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③</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计算出靠近室外围护结构处的声压级：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4" o:spt="75" type="#_x0000_t75" style="height:22.5pt;width:138.75pt;" o:ole="t" filled="f" o:preferrelative="t" stroked="f" coordsize="21600,21600">
                  <v:path/>
                  <v:fill on="f" focussize="0,0"/>
                  <v:stroke on="f" joinstyle="miter"/>
                  <v:imagedata r:id="rId39" o:title=""/>
                  <o:lock v:ext="edit" aspectratio="t"/>
                  <w10:wrap type="none"/>
                  <w10:anchorlock/>
                </v:shape>
                <o:OLEObject Type="Embed" ProgID="Equation.3" ShapeID="_x0000_i1034" DrawAspect="Content" ObjectID="_1468075734" r:id="rId38">
                  <o:LockedField>false</o:LockedField>
                </o:OLEObject>
              </w:object>
            </w:r>
          </w:p>
          <w:p>
            <w:pPr>
              <w:spacing w:line="400" w:lineRule="exac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5" o:spt="75" type="#_x0000_t75" style="height:22.5pt;width:34.5pt;" o:ole="t" filled="f" o:preferrelative="t" stroked="f" coordsize="21600,21600">
                  <v:path/>
                  <v:fill on="f" focussize="0,0"/>
                  <v:stroke on="f" joinstyle="miter"/>
                  <v:imagedata r:id="rId41" o:title=""/>
                  <o:lock v:ext="edit" aspectratio="t"/>
                  <w10:wrap type="none"/>
                  <w10:anchorlock/>
                </v:shape>
                <o:OLEObject Type="Embed" ProgID="Equation.DSMT4" ShapeID="_x0000_i1035" DrawAspect="Content" ObjectID="_1468075735" r:id="rId40">
                  <o:LockedField>false</o:LockedField>
                </o:OLEObject>
              </w:object>
            </w:r>
            <w:r>
              <w:rPr>
                <w:rFonts w:hint="default" w:ascii="Times New Roman" w:hAnsi="Times New Roman" w:cs="Times New Roman"/>
                <w:color w:val="000000" w:themeColor="text1"/>
                <w:sz w:val="24"/>
                <w:szCs w:val="24"/>
                <w14:textFill>
                  <w14:solidFill>
                    <w14:schemeClr w14:val="tx1"/>
                  </w14:solidFill>
                </w14:textFill>
              </w:rPr>
              <w:t>—</w:t>
            </w:r>
            <w:r>
              <w:rPr>
                <w:rFonts w:hint="default" w:ascii="Times New Roman" w:hAnsi="Times New Roman" w:cs="Times New Roman"/>
                <w:bCs/>
                <w:color w:val="000000" w:themeColor="text1"/>
                <w:sz w:val="24"/>
                <w:szCs w:val="24"/>
                <w14:textFill>
                  <w14:solidFill>
                    <w14:schemeClr w14:val="tx1"/>
                  </w14:solidFill>
                </w14:textFill>
              </w:rPr>
              <w:t>靠近围护结构处室外N个声源</w:t>
            </w:r>
            <w:r>
              <w:rPr>
                <w:rFonts w:hint="default" w:ascii="Times New Roman" w:hAnsi="Times New Roman" w:cs="Times New Roman"/>
                <w:bCs/>
                <w:color w:val="000000" w:themeColor="text1"/>
                <w:sz w:val="24"/>
                <w:szCs w:val="24"/>
                <w14:textFill>
                  <w14:solidFill>
                    <w14:schemeClr w14:val="tx1"/>
                  </w14:solidFill>
                </w14:textFill>
              </w:rPr>
              <w:object>
                <v:shape id="_x0000_i1036" o:spt="75" type="#_x0000_t75" style="height:15pt;width:5.25pt;" o:ole="t" filled="f" o:preferrelative="t" stroked="f" coordsize="21600,21600">
                  <v:path/>
                  <v:fill on="f" focussize="0,0"/>
                  <v:stroke on="f" joinstyle="miter"/>
                  <v:imagedata r:id="rId43" o:title=""/>
                  <o:lock v:ext="edit" aspectratio="t"/>
                  <w10:wrap type="none"/>
                  <w10:anchorlock/>
                </v:shape>
                <o:OLEObject Type="Embed" ProgID="Equation.DSMT4" ShapeID="_x0000_i1036" DrawAspect="Content" ObjectID="_1468075736" r:id="rId42">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倍频带的叠加声压级，单位dB；</w:t>
            </w:r>
          </w:p>
          <w:p>
            <w:pPr>
              <w:spacing w:line="360" w:lineRule="auto"/>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object>
                <v:shape id="_x0000_i1037" o:spt="75" type="#_x0000_t75" style="height:22.5pt;width:22.5pt;" o:ole="t" filled="f" o:preferrelative="t" stroked="f" coordsize="21600,21600">
                  <v:path/>
                  <v:fill on="f" focussize="0,0"/>
                  <v:stroke on="f" joinstyle="miter"/>
                  <v:imagedata r:id="rId45" o:title=""/>
                  <o:lock v:ext="edit" aspectratio="t"/>
                  <w10:wrap type="none"/>
                  <w10:anchorlock/>
                </v:shape>
                <o:OLEObject Type="Embed" ProgID="Equation.DSMT4" ShapeID="_x0000_i1037" DrawAspect="Content" ObjectID="_1468075737" r:id="rId44">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—围护结构</w:t>
            </w:r>
            <w:r>
              <w:rPr>
                <w:rFonts w:hint="default" w:ascii="Times New Roman" w:hAnsi="Times New Roman" w:cs="Times New Roman"/>
                <w:bCs/>
                <w:color w:val="000000" w:themeColor="text1"/>
                <w:position w:val="-6"/>
                <w:sz w:val="24"/>
                <w:szCs w:val="24"/>
                <w14:textFill>
                  <w14:solidFill>
                    <w14:schemeClr w14:val="tx1"/>
                  </w14:solidFill>
                </w14:textFill>
              </w:rPr>
              <w:object>
                <v:shape id="_x0000_i1038" o:spt="75" type="#_x0000_t75" style="height:15pt;width:5.25pt;" o:ole="t" filled="f" o:preferrelative="t" stroked="f" coordsize="21600,21600">
                  <v:path/>
                  <v:fill on="f" focussize="0,0"/>
                  <v:stroke on="f" joinstyle="miter"/>
                  <v:imagedata r:id="rId47" o:title=""/>
                  <o:lock v:ext="edit" aspectratio="t"/>
                  <w10:wrap type="none"/>
                  <w10:anchorlock/>
                </v:shape>
                <o:OLEObject Type="Embed" ProgID="Equation.DSMT4" ShapeID="_x0000_i1038" DrawAspect="Content" ObjectID="_1468075738" r:id="rId46">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倍频带的隔声量，单位dB。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④将室外声级和透声面积换算成等效的室外声源，计算出等效声源第N个倍频带的声功率级；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pacing w:val="5"/>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9" o:spt="75" type="#_x0000_t75" style="height:22.5pt;width:101.25pt;" o:ole="t" filled="f" o:preferrelative="t" stroked="f" coordsize="21600,21600">
                  <v:path/>
                  <v:fill on="f" focussize="0,0"/>
                  <v:stroke on="f" joinstyle="miter"/>
                  <v:imagedata r:id="rId49" o:title=""/>
                  <o:lock v:ext="edit" aspectratio="t"/>
                  <w10:wrap type="none"/>
                  <w10:anchorlock/>
                </v:shape>
                <o:OLEObject Type="Embed" ProgID="Equation.3" ShapeID="_x0000_i1039" DrawAspect="Content" ObjectID="_1468075739" r:id="rId48">
                  <o:LockedField>false</o:LockedField>
                </o:OLEObject>
              </w:objec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式中：S为透声面积，m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然后按室外声源预测方法计算预测点处的A声级。</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3）</w:t>
            </w:r>
            <w:r>
              <w:rPr>
                <w:rFonts w:hint="default" w:ascii="Times New Roman" w:hAnsi="Times New Roman" w:eastAsia="宋体" w:cs="Times New Roman"/>
                <w:color w:val="000000" w:themeColor="text1"/>
                <w:sz w:val="24"/>
                <w:szCs w:val="24"/>
                <w14:textFill>
                  <w14:solidFill>
                    <w14:schemeClr w14:val="tx1"/>
                  </w14:solidFill>
                </w14:textFill>
              </w:rPr>
              <w:t>噪声贡献值计算</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设第i个室外声源在预测点产生的A声级为LAi，在T时间内该声源工作时间为ti；第j个等效室外声源在预测点产生的A声级为LAj，在T时间内该声源工作时间为tj，则拟建工程声源对预测点产生的贡献值（Leqg）为：</w:t>
            </w:r>
          </w:p>
          <w:p>
            <w:pPr>
              <w:spacing w:before="156" w:beforeLines="50" w:after="156" w:afterLines="50" w:line="480" w:lineRule="exact"/>
              <w:ind w:right="-79" w:firstLine="480" w:firstLineChars="200"/>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30"/>
                <w:sz w:val="24"/>
                <w:szCs w:val="24"/>
                <w14:textFill>
                  <w14:solidFill>
                    <w14:schemeClr w14:val="tx1"/>
                  </w14:solidFill>
                </w14:textFill>
              </w:rPr>
              <w:drawing>
                <wp:inline distT="0" distB="0" distL="114300" distR="114300">
                  <wp:extent cx="2581910" cy="447675"/>
                  <wp:effectExtent l="0" t="0" r="0" b="10160"/>
                  <wp:docPr id="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1"/>
                          <pic:cNvPicPr>
                            <a:picLocks noChangeAspect="1"/>
                          </pic:cNvPicPr>
                        </pic:nvPicPr>
                        <pic:blipFill>
                          <a:blip r:embed="rId50"/>
                          <a:stretch>
                            <a:fillRect/>
                          </a:stretch>
                        </pic:blipFill>
                        <pic:spPr>
                          <a:xfrm>
                            <a:off x="0" y="0"/>
                            <a:ext cx="2581910" cy="447675"/>
                          </a:xfrm>
                          <a:prstGeom prst="rect">
                            <a:avLst/>
                          </a:prstGeom>
                          <a:noFill/>
                          <a:ln>
                            <a:noFill/>
                          </a:ln>
                        </pic:spPr>
                      </pic:pic>
                    </a:graphicData>
                  </a:graphic>
                </wp:inline>
              </w:drawing>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eqg</w:t>
            </w:r>
            <w:r>
              <w:rPr>
                <w:rFonts w:hint="default" w:ascii="Times New Roman" w:hAnsi="Times New Roman" w:cs="Times New Roman"/>
                <w:color w:val="000000" w:themeColor="text1"/>
                <w:sz w:val="24"/>
                <w:szCs w:val="24"/>
                <w14:textFill>
                  <w14:solidFill>
                    <w14:schemeClr w14:val="tx1"/>
                  </w14:solidFill>
                </w14:textFill>
              </w:rPr>
              <w:t>—建设项目声源再预测点产生的噪声贡献值，dB；</w:t>
            </w:r>
          </w:p>
          <w:p>
            <w:pPr>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T—用于计算等效声级的时间，s；</w:t>
            </w:r>
          </w:p>
          <w:p>
            <w:pPr>
              <w:spacing w:line="360" w:lineRule="auto"/>
              <w:ind w:firstLine="480" w:firstLineChars="200"/>
              <w:rPr>
                <w:rFonts w:hint="default" w:ascii="Times New Roman" w:hAnsi="Times New Roman" w:cs="Times New Roman"/>
                <w:color w:val="000000" w:themeColor="text1"/>
                <w:kern w:val="13"/>
                <w:sz w:val="24"/>
                <w:szCs w:val="24"/>
                <w14:textFill>
                  <w14:solidFill>
                    <w14:schemeClr w14:val="tx1"/>
                  </w14:solidFill>
                </w14:textFill>
              </w:rPr>
            </w:pPr>
            <w:r>
              <w:rPr>
                <w:rFonts w:hint="default" w:ascii="Times New Roman" w:hAnsi="Times New Roman" w:cs="Times New Roman"/>
                <w:color w:val="000000" w:themeColor="text1"/>
                <w:kern w:val="13"/>
                <w:sz w:val="24"/>
                <w:szCs w:val="24"/>
                <w14:textFill>
                  <w14:solidFill>
                    <w14:schemeClr w14:val="tx1"/>
                  </w14:solidFill>
                </w14:textFill>
              </w:rPr>
              <w:t>N—室外声源个数；</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w:t>
            </w:r>
            <w:r>
              <w:rPr>
                <w:rFonts w:hint="default" w:ascii="Times New Roman" w:hAnsi="Times New Roman" w:cs="Times New Roman"/>
                <w:color w:val="000000" w:themeColor="text1"/>
                <w:sz w:val="24"/>
                <w:szCs w:val="24"/>
                <w:vertAlign w:val="subscript"/>
                <w14:textFill>
                  <w14:solidFill>
                    <w14:schemeClr w14:val="tx1"/>
                  </w14:solidFill>
                </w14:textFill>
              </w:rPr>
              <w:t>i</w:t>
            </w:r>
            <w:r>
              <w:rPr>
                <w:rFonts w:hint="default" w:ascii="Times New Roman" w:hAnsi="Times New Roman" w:cs="Times New Roman"/>
                <w:color w:val="000000" w:themeColor="text1"/>
                <w:sz w:val="24"/>
                <w:szCs w:val="24"/>
                <w14:textFill>
                  <w14:solidFill>
                    <w14:schemeClr w14:val="tx1"/>
                  </w14:solidFill>
                </w14:textFill>
              </w:rPr>
              <w:t>—在T时间内i声源工作时间，s；</w:t>
            </w:r>
          </w:p>
          <w:p>
            <w:pPr>
              <w:pStyle w:val="59"/>
              <w:spacing w:line="360" w:lineRule="auto"/>
              <w:rPr>
                <w:rFonts w:hint="default" w:ascii="Times New Roman" w:hAnsi="Times New Roman" w:cs="Times New Roman"/>
                <w:color w:val="000000" w:themeColor="text1"/>
                <w:kern w:val="13"/>
                <w:sz w:val="24"/>
                <w:szCs w:val="24"/>
                <w14:textFill>
                  <w14:solidFill>
                    <w14:schemeClr w14:val="tx1"/>
                  </w14:solidFill>
                </w14:textFill>
              </w:rPr>
            </w:pPr>
            <w:r>
              <w:rPr>
                <w:rFonts w:hint="default" w:ascii="Times New Roman" w:hAnsi="Times New Roman" w:cs="Times New Roman"/>
                <w:color w:val="000000" w:themeColor="text1"/>
                <w:kern w:val="13"/>
                <w:sz w:val="24"/>
                <w:szCs w:val="24"/>
                <w14:textFill>
                  <w14:solidFill>
                    <w14:schemeClr w14:val="tx1"/>
                  </w14:solidFill>
                </w14:textFill>
              </w:rPr>
              <w:t>M—等效室外声源个数。</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w:t>
            </w:r>
            <w:r>
              <w:rPr>
                <w:rFonts w:hint="default" w:ascii="Times New Roman" w:hAnsi="Times New Roman" w:cs="Times New Roman"/>
                <w:color w:val="000000" w:themeColor="text1"/>
                <w:sz w:val="24"/>
                <w:szCs w:val="24"/>
                <w:vertAlign w:val="subscript"/>
                <w14:textFill>
                  <w14:solidFill>
                    <w14:schemeClr w14:val="tx1"/>
                  </w14:solidFill>
                </w14:textFill>
              </w:rPr>
              <w:t>j</w:t>
            </w:r>
            <w:r>
              <w:rPr>
                <w:rFonts w:hint="default" w:ascii="Times New Roman" w:hAnsi="Times New Roman" w:cs="Times New Roman"/>
                <w:color w:val="000000" w:themeColor="text1"/>
                <w:sz w:val="24"/>
                <w:szCs w:val="24"/>
                <w14:textFill>
                  <w14:solidFill>
                    <w14:schemeClr w14:val="tx1"/>
                  </w14:solidFill>
                </w14:textFill>
              </w:rPr>
              <w:t>—在T时间内j声源工作时间，s。</w:t>
            </w:r>
          </w:p>
          <w:p>
            <w:p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4、噪声预测值计算</w:t>
            </w:r>
          </w:p>
          <w:p>
            <w:p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object>
                <v:shape id="_x0000_i1040" o:spt="75" type="#_x0000_t75" style="height:22.5pt;width:144pt;" o:ole="t" filled="f" o:preferrelative="t" stroked="f" coordsize="21600,21600">
                  <v:path/>
                  <v:fill on="f" focussize="0,0"/>
                  <v:stroke on="f" joinstyle="miter"/>
                  <v:imagedata r:id="rId52" o:title=""/>
                  <o:lock v:ext="edit" aspectratio="t"/>
                  <w10:wrap type="none"/>
                  <w10:anchorlock/>
                </v:shape>
                <o:OLEObject Type="Embed" ProgID="Equation.3" ShapeID="_x0000_i1040" DrawAspect="Content" ObjectID="_1468075740" r:id="rId51">
                  <o:LockedField>false</o:LockedField>
                </o:OLEObject>
              </w:object>
            </w:r>
          </w:p>
          <w:p>
            <w:pPr>
              <w:adjustRightInd w:val="0"/>
              <w:snapToGrid w:val="0"/>
              <w:spacing w:line="360" w:lineRule="auto"/>
              <w:ind w:firstLine="480" w:firstLineChars="200"/>
              <w:rPr>
                <w:rFonts w:hint="default" w:ascii="Times New Roman" w:hAnsi="Times New Roman" w:cs="Times New Roman"/>
                <w:color w:val="000000" w:themeColor="text1"/>
                <w:sz w:val="24"/>
                <w:szCs w:val="24"/>
                <w:lang w:val="pt-BR"/>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r>
              <w:rPr>
                <w:rFonts w:hint="default" w:ascii="Times New Roman" w:hAnsi="Times New Roman" w:cs="Times New Roman"/>
                <w:color w:val="000000" w:themeColor="text1"/>
                <w:sz w:val="24"/>
                <w:szCs w:val="24"/>
                <w14:textFill>
                  <w14:solidFill>
                    <w14:schemeClr w14:val="tx1"/>
                  </w14:solidFill>
                </w14:textFill>
              </w:rPr>
              <w:object>
                <v:shape id="_x0000_i1041" o:spt="75" type="#_x0000_t75" style="height:22.5pt;width:22.5pt;" o:ole="t" filled="f" o:preferrelative="t" stroked="f" coordsize="21600,21600">
                  <v:path/>
                  <v:fill on="f" focussize="0,0"/>
                  <v:stroke on="f" joinstyle="miter"/>
                  <v:imagedata r:id="rId54" o:title=""/>
                  <o:lock v:ext="edit" aspectratio="t"/>
                  <w10:wrap type="none"/>
                  <w10:anchorlock/>
                </v:shape>
                <o:OLEObject Type="Embed" ProgID="Equation.3" ShapeID="_x0000_i1041" DrawAspect="Content" ObjectID="_1468075741" r:id="rId53">
                  <o:LockedField>false</o:LockedField>
                </o:OLEObject>
              </w:object>
            </w:r>
            <w:r>
              <w:rPr>
                <w:rFonts w:hint="default" w:ascii="Times New Roman" w:hAnsi="Times New Roman" w:cs="Times New Roman"/>
                <w:color w:val="000000" w:themeColor="text1"/>
                <w:sz w:val="24"/>
                <w:szCs w:val="24"/>
                <w:lang w:val="pt-BR"/>
                <w14:textFill>
                  <w14:solidFill>
                    <w14:schemeClr w14:val="tx1"/>
                  </w14:solidFill>
                </w14:textFill>
              </w:rPr>
              <w:t>——建设项目声源在预测点的等效声级贡献值，dB(A)；</w:t>
            </w:r>
          </w:p>
          <w:p>
            <w:pPr>
              <w:adjustRightInd w:val="0"/>
              <w:snapToGrid w:val="0"/>
              <w:spacing w:line="360" w:lineRule="auto"/>
              <w:ind w:firstLine="480" w:firstLineChars="200"/>
              <w:rPr>
                <w:rFonts w:hint="default" w:ascii="Times New Roman" w:hAnsi="Times New Roman" w:cs="Times New Roman"/>
                <w:color w:val="000000" w:themeColor="text1"/>
                <w:sz w:val="24"/>
                <w:szCs w:val="24"/>
                <w:lang w:val="en-US" w:eastAsia="zh-CN"/>
                <w14:textFill>
                  <w14:solidFill>
                    <w14:schemeClr w14:val="tx1"/>
                  </w14:solidFill>
                </w14:textFill>
              </w:rPr>
            </w:pPr>
            <w:r>
              <w:rPr>
                <w:rFonts w:hint="default" w:ascii="Times New Roman" w:hAnsi="Times New Roman" w:cs="Times New Roman"/>
                <w:color w:val="000000" w:themeColor="text1"/>
                <w:sz w:val="24"/>
                <w:szCs w:val="24"/>
                <w:lang w:val="pt-BR"/>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object>
                <v:shape id="_x0000_i1042" o:spt="75" type="#_x0000_t75" style="height:22.5pt;width:22.5pt;" o:ole="t" filled="f" o:preferrelative="t" stroked="f" coordsize="21600,21600">
                  <v:path/>
                  <v:fill on="f" focussize="0,0"/>
                  <v:stroke on="f" joinstyle="miter"/>
                  <v:imagedata r:id="rId56" o:title=""/>
                  <o:lock v:ext="edit" aspectratio="t"/>
                  <w10:wrap type="none"/>
                  <w10:anchorlock/>
                </v:shape>
                <o:OLEObject Type="Embed" ProgID="Equation.3" ShapeID="_x0000_i1042" DrawAspect="Content" ObjectID="_1468075742" r:id="rId55">
                  <o:LockedField>false</o:LockedField>
                </o:OLEObject>
              </w:object>
            </w:r>
            <w:r>
              <w:rPr>
                <w:rFonts w:hint="default" w:ascii="Times New Roman" w:hAnsi="Times New Roman" w:cs="Times New Roman"/>
                <w:color w:val="000000" w:themeColor="text1"/>
                <w:sz w:val="24"/>
                <w:szCs w:val="24"/>
                <w:lang w:val="pt-BR"/>
                <w14:textFill>
                  <w14:solidFill>
                    <w14:schemeClr w14:val="tx1"/>
                  </w14:solidFill>
                </w14:textFill>
              </w:rPr>
              <w:t>——预测点的背景值，dB(A)</w:t>
            </w:r>
            <w:r>
              <w:rPr>
                <w:rFonts w:hint="default" w:ascii="Times New Roman" w:hAnsi="Times New Roman" w:cs="Times New Roman"/>
                <w:color w:val="000000" w:themeColor="text1"/>
                <w:sz w:val="24"/>
                <w:szCs w:val="24"/>
                <w:lang w:val="en-US" w:eastAsia="zh-CN"/>
                <w14:textFill>
                  <w14:solidFill>
                    <w14:schemeClr w14:val="tx1"/>
                  </w14:solidFill>
                </w14:textFill>
              </w:rPr>
              <w:t>。</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3</w:t>
            </w:r>
            <w:r>
              <w:rPr>
                <w:color w:val="000000" w:themeColor="text1"/>
                <w:sz w:val="24"/>
                <w14:textFill>
                  <w14:solidFill>
                    <w14:schemeClr w14:val="tx1"/>
                  </w14:solidFill>
                </w14:textFill>
              </w:rPr>
              <w:t>）环境影响分析</w:t>
            </w:r>
          </w:p>
          <w:p>
            <w:pPr>
              <w:adjustRightInd w:val="0"/>
              <w:snapToGrid w:val="0"/>
              <w:spacing w:line="48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项目周边</w:t>
            </w:r>
            <w:r>
              <w:rPr>
                <w:color w:val="000000" w:themeColor="text1"/>
                <w:sz w:val="24"/>
                <w:highlight w:val="none"/>
                <w14:textFill>
                  <w14:solidFill>
                    <w14:schemeClr w14:val="tx1"/>
                  </w14:solidFill>
                </w14:textFill>
              </w:rPr>
              <w:t>50</w:t>
            </w:r>
            <w:r>
              <w:rPr>
                <w:rFonts w:hint="eastAsia"/>
                <w:color w:val="000000" w:themeColor="text1"/>
                <w:sz w:val="24"/>
                <w:highlight w:val="none"/>
                <w14:textFill>
                  <w14:solidFill>
                    <w14:schemeClr w14:val="tx1"/>
                  </w14:solidFill>
                </w14:textFill>
              </w:rPr>
              <w:t>m范围内无居民点。厂界噪声预测结果见表：</w:t>
            </w:r>
          </w:p>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厂界噪声预测结果与达标分析表</w:t>
            </w:r>
            <w:r>
              <w:rPr>
                <w:color w:val="000000" w:themeColor="text1"/>
                <w:highlight w:val="none"/>
                <w14:textFill>
                  <w14:solidFill>
                    <w14:schemeClr w14:val="tx1"/>
                  </w14:solidFill>
                </w14:textFill>
              </w:rPr>
              <w:t xml:space="preserve">  单位：dB（A）</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681"/>
              <w:gridCol w:w="1324"/>
              <w:gridCol w:w="1263"/>
              <w:gridCol w:w="1222"/>
              <w:gridCol w:w="1456"/>
              <w:gridCol w:w="2"/>
              <w:gridCol w:w="1459"/>
              <w:gridCol w:w="1006"/>
              <w:gridCol w:w="99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2005" w:type="dxa"/>
                  <w:gridSpan w:val="2"/>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离散点信息</w:t>
                  </w:r>
                </w:p>
              </w:tc>
              <w:tc>
                <w:tcPr>
                  <w:tcW w:w="2485" w:type="dxa"/>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噪声标准/</w:t>
                  </w:r>
                  <w:r>
                    <w:rPr>
                      <w:color w:val="000000" w:themeColor="text1"/>
                      <w14:textFill>
                        <w14:solidFill>
                          <w14:schemeClr w14:val="tx1"/>
                        </w14:solidFill>
                      </w14:textFill>
                    </w:rPr>
                    <w:t xml:space="preserve"> dB（A）</w:t>
                  </w:r>
                </w:p>
              </w:tc>
              <w:tc>
                <w:tcPr>
                  <w:tcW w:w="2917" w:type="dxa"/>
                  <w:gridSpan w:val="3"/>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噪声贡献值/</w:t>
                  </w:r>
                  <w:r>
                    <w:rPr>
                      <w:color w:val="000000" w:themeColor="text1"/>
                      <w14:textFill>
                        <w14:solidFill>
                          <w14:schemeClr w14:val="tx1"/>
                        </w14:solidFill>
                      </w14:textFill>
                    </w:rPr>
                    <w:t xml:space="preserve"> dB（A）</w:t>
                  </w:r>
                </w:p>
              </w:tc>
              <w:tc>
                <w:tcPr>
                  <w:tcW w:w="2004" w:type="dxa"/>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81"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序号</w:t>
                  </w:r>
                </w:p>
              </w:tc>
              <w:tc>
                <w:tcPr>
                  <w:tcW w:w="1324"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离散点名称</w:t>
                  </w:r>
                </w:p>
              </w:tc>
              <w:tc>
                <w:tcPr>
                  <w:tcW w:w="1263"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222"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c>
                <w:tcPr>
                  <w:tcW w:w="145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461" w:type="dxa"/>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c>
                <w:tcPr>
                  <w:tcW w:w="100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998"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81"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1</w:t>
                  </w:r>
                </w:p>
              </w:tc>
              <w:tc>
                <w:tcPr>
                  <w:tcW w:w="1324"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东厂界</w:t>
                  </w:r>
                </w:p>
              </w:tc>
              <w:tc>
                <w:tcPr>
                  <w:tcW w:w="1263" w:type="dxa"/>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1222" w:type="dxa"/>
                  <w:vAlign w:val="center"/>
                </w:tcPr>
                <w:p>
                  <w:pPr>
                    <w:pStyle w:val="199"/>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1458" w:type="dxa"/>
                  <w:gridSpan w:val="2"/>
                  <w:vAlign w:val="center"/>
                </w:tcPr>
                <w:p>
                  <w:pPr>
                    <w:pStyle w:val="199"/>
                    <w:rPr>
                      <w:rFonts w:hint="eastAsia" w:eastAsia="宋体"/>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39.26</w:t>
                  </w:r>
                </w:p>
              </w:tc>
              <w:tc>
                <w:tcPr>
                  <w:tcW w:w="1459" w:type="dxa"/>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20.13</w:t>
                  </w:r>
                </w:p>
              </w:tc>
              <w:tc>
                <w:tcPr>
                  <w:tcW w:w="100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998"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81"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2</w:t>
                  </w:r>
                </w:p>
              </w:tc>
              <w:tc>
                <w:tcPr>
                  <w:tcW w:w="1324" w:type="dxa"/>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北</w:t>
                  </w:r>
                  <w:r>
                    <w:rPr>
                      <w:color w:val="000000" w:themeColor="text1"/>
                      <w14:textFill>
                        <w14:solidFill>
                          <w14:schemeClr w14:val="tx1"/>
                        </w14:solidFill>
                      </w14:textFill>
                    </w:rPr>
                    <w:t>厂界</w:t>
                  </w:r>
                </w:p>
              </w:tc>
              <w:tc>
                <w:tcPr>
                  <w:tcW w:w="1263" w:type="dxa"/>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1222" w:type="dxa"/>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1458" w:type="dxa"/>
                  <w:gridSpan w:val="2"/>
                  <w:vAlign w:val="center"/>
                </w:tcPr>
                <w:p>
                  <w:pPr>
                    <w:pStyle w:val="199"/>
                    <w:rPr>
                      <w:rFonts w:hint="eastAsia" w:eastAsia="宋体"/>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57.39</w:t>
                  </w:r>
                </w:p>
              </w:tc>
              <w:tc>
                <w:tcPr>
                  <w:tcW w:w="1459" w:type="dxa"/>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22.56</w:t>
                  </w:r>
                </w:p>
              </w:tc>
              <w:tc>
                <w:tcPr>
                  <w:tcW w:w="100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998"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81"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3</w:t>
                  </w:r>
                </w:p>
              </w:tc>
              <w:tc>
                <w:tcPr>
                  <w:tcW w:w="1324" w:type="dxa"/>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南</w:t>
                  </w:r>
                  <w:r>
                    <w:rPr>
                      <w:color w:val="000000" w:themeColor="text1"/>
                      <w14:textFill>
                        <w14:solidFill>
                          <w14:schemeClr w14:val="tx1"/>
                        </w14:solidFill>
                      </w14:textFill>
                    </w:rPr>
                    <w:t>厂界</w:t>
                  </w:r>
                </w:p>
              </w:tc>
              <w:tc>
                <w:tcPr>
                  <w:tcW w:w="1263" w:type="dxa"/>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1222" w:type="dxa"/>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1458" w:type="dxa"/>
                  <w:gridSpan w:val="2"/>
                  <w:vAlign w:val="center"/>
                </w:tcPr>
                <w:p>
                  <w:pPr>
                    <w:pStyle w:val="199"/>
                    <w:rPr>
                      <w:rFonts w:hint="eastAsia" w:eastAsia="宋体"/>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38.38</w:t>
                  </w:r>
                </w:p>
              </w:tc>
              <w:tc>
                <w:tcPr>
                  <w:tcW w:w="1459" w:type="dxa"/>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21.78</w:t>
                  </w:r>
                </w:p>
              </w:tc>
              <w:tc>
                <w:tcPr>
                  <w:tcW w:w="100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998"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81" w:type="dxa"/>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4</w:t>
                  </w:r>
                </w:p>
              </w:tc>
              <w:tc>
                <w:tcPr>
                  <w:tcW w:w="1324" w:type="dxa"/>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西</w:t>
                  </w:r>
                  <w:r>
                    <w:rPr>
                      <w:color w:val="000000" w:themeColor="text1"/>
                      <w14:textFill>
                        <w14:solidFill>
                          <w14:schemeClr w14:val="tx1"/>
                        </w14:solidFill>
                      </w14:textFill>
                    </w:rPr>
                    <w:t>厂界</w:t>
                  </w:r>
                </w:p>
              </w:tc>
              <w:tc>
                <w:tcPr>
                  <w:tcW w:w="1263" w:type="dxa"/>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1222" w:type="dxa"/>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1458" w:type="dxa"/>
                  <w:gridSpan w:val="2"/>
                  <w:vAlign w:val="center"/>
                </w:tcPr>
                <w:p>
                  <w:pPr>
                    <w:pStyle w:val="199"/>
                    <w:rPr>
                      <w:rFonts w:hint="eastAsia" w:eastAsia="宋体"/>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41.21</w:t>
                  </w:r>
                </w:p>
              </w:tc>
              <w:tc>
                <w:tcPr>
                  <w:tcW w:w="1459" w:type="dxa"/>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19.60</w:t>
                  </w:r>
                </w:p>
              </w:tc>
              <w:tc>
                <w:tcPr>
                  <w:tcW w:w="1006"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998" w:type="dxa"/>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bl>
          <w:p>
            <w:pPr>
              <w:adjustRightInd w:val="0"/>
              <w:snapToGrid w:val="0"/>
              <w:spacing w:line="48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根据现场勘查，项目50m内无</w:t>
            </w:r>
            <w:r>
              <w:rPr>
                <w:rFonts w:hint="eastAsia"/>
                <w:bCs/>
                <w:color w:val="000000" w:themeColor="text1"/>
                <w:sz w:val="24"/>
                <w:highlight w:val="none"/>
                <w:lang w:val="en-US" w:eastAsia="zh-CN"/>
                <w14:textFill>
                  <w14:solidFill>
                    <w14:schemeClr w14:val="tx1"/>
                  </w14:solidFill>
                </w14:textFill>
              </w:rPr>
              <w:t>声</w:t>
            </w:r>
            <w:r>
              <w:rPr>
                <w:bCs/>
                <w:color w:val="000000" w:themeColor="text1"/>
                <w:sz w:val="24"/>
                <w:highlight w:val="none"/>
                <w14:textFill>
                  <w14:solidFill>
                    <w14:schemeClr w14:val="tx1"/>
                  </w14:solidFill>
                </w14:textFill>
              </w:rPr>
              <w:t>环境敏感点。根据以上预测结果，厂界最大噪声值为：</w:t>
            </w:r>
            <w:r>
              <w:rPr>
                <w:rFonts w:hint="eastAsia"/>
                <w:bCs/>
                <w:color w:val="000000" w:themeColor="text1"/>
                <w:sz w:val="24"/>
                <w:highlight w:val="none"/>
                <w:lang w:val="en-US" w:eastAsia="zh-CN"/>
                <w14:textFill>
                  <w14:solidFill>
                    <w14:schemeClr w14:val="tx1"/>
                  </w14:solidFill>
                </w14:textFill>
              </w:rPr>
              <w:t>昼间38.38-57.39</w:t>
            </w:r>
            <w:r>
              <w:rPr>
                <w:bCs/>
                <w:color w:val="000000" w:themeColor="text1"/>
                <w:sz w:val="24"/>
                <w:highlight w:val="none"/>
                <w14:textFill>
                  <w14:solidFill>
                    <w14:schemeClr w14:val="tx1"/>
                  </w14:solidFill>
                </w14:textFill>
              </w:rPr>
              <w:t>dB(A)，</w:t>
            </w:r>
            <w:r>
              <w:rPr>
                <w:rFonts w:hint="eastAsia"/>
                <w:bCs/>
                <w:color w:val="000000" w:themeColor="text1"/>
                <w:sz w:val="24"/>
                <w:highlight w:val="none"/>
                <w:lang w:val="en-US" w:eastAsia="zh-CN"/>
                <w14:textFill>
                  <w14:solidFill>
                    <w14:schemeClr w14:val="tx1"/>
                  </w14:solidFill>
                </w14:textFill>
              </w:rPr>
              <w:t>夜间19.60-22.56</w:t>
            </w:r>
            <w:r>
              <w:rPr>
                <w:bCs/>
                <w:color w:val="000000" w:themeColor="text1"/>
                <w:sz w:val="24"/>
                <w:highlight w:val="none"/>
                <w14:textFill>
                  <w14:solidFill>
                    <w14:schemeClr w14:val="tx1"/>
                  </w14:solidFill>
                </w14:textFill>
              </w:rPr>
              <w:t>dB(A)</w:t>
            </w:r>
            <w:r>
              <w:rPr>
                <w:rFonts w:hint="eastAsia"/>
                <w:bCs/>
                <w:color w:val="000000" w:themeColor="text1"/>
                <w:sz w:val="24"/>
                <w:highlight w:val="none"/>
                <w:lang w:eastAsia="zh-CN"/>
                <w14:textFill>
                  <w14:solidFill>
                    <w14:schemeClr w14:val="tx1"/>
                  </w14:solidFill>
                </w14:textFill>
              </w:rPr>
              <w:t>，</w:t>
            </w:r>
            <w:r>
              <w:rPr>
                <w:rFonts w:hint="eastAsia"/>
                <w:color w:val="000000" w:themeColor="text1"/>
                <w:sz w:val="24"/>
                <w:highlight w:val="none"/>
                <w14:textFill>
                  <w14:solidFill>
                    <w14:schemeClr w14:val="tx1"/>
                  </w14:solidFill>
                </w14:textFill>
              </w:rPr>
              <w:t>项目实施后</w:t>
            </w:r>
            <w:r>
              <w:rPr>
                <w:rFonts w:hint="eastAsia"/>
                <w:color w:val="000000" w:themeColor="text1"/>
                <w:sz w:val="24"/>
                <w:highlight w:val="none"/>
                <w:lang w:val="en-US" w:eastAsia="zh-CN"/>
                <w14:textFill>
                  <w14:solidFill>
                    <w14:schemeClr w14:val="tx1"/>
                  </w14:solidFill>
                </w14:textFill>
              </w:rPr>
              <w:t>四</w:t>
            </w:r>
            <w:r>
              <w:rPr>
                <w:rFonts w:hint="eastAsia"/>
                <w:color w:val="000000" w:themeColor="text1"/>
                <w:sz w:val="24"/>
                <w:highlight w:val="none"/>
                <w14:textFill>
                  <w14:solidFill>
                    <w14:schemeClr w14:val="tx1"/>
                  </w14:solidFill>
                </w14:textFill>
              </w:rPr>
              <w:t>厂界噪声贡献值满足《工业企业厂界环境噪声排放标准》(GB12348-2008)</w:t>
            </w:r>
            <w:r>
              <w:rPr>
                <w:rFonts w:hint="eastAsia"/>
                <w:color w:val="000000" w:themeColor="text1"/>
                <w:sz w:val="24"/>
                <w:highlight w:val="none"/>
                <w:lang w:val="en-US" w:eastAsia="zh-CN"/>
                <w14:textFill>
                  <w14:solidFill>
                    <w14:schemeClr w14:val="tx1"/>
                  </w14:solidFill>
                </w14:textFill>
              </w:rPr>
              <w:t>2类</w:t>
            </w:r>
            <w:r>
              <w:rPr>
                <w:rFonts w:hint="eastAsia"/>
                <w:color w:val="000000" w:themeColor="text1"/>
                <w:sz w:val="24"/>
                <w:highlight w:val="none"/>
                <w14:textFill>
                  <w14:solidFill>
                    <w14:schemeClr w14:val="tx1"/>
                  </w14:solidFill>
                </w14:textFill>
              </w:rPr>
              <w:t>标准。因此，本项目实施后</w:t>
            </w:r>
            <w:r>
              <w:rPr>
                <w:bCs/>
                <w:color w:val="000000" w:themeColor="text1"/>
                <w:sz w:val="24"/>
                <w:highlight w:val="none"/>
                <w14:textFill>
                  <w14:solidFill>
                    <w14:schemeClr w14:val="tx1"/>
                  </w14:solidFill>
                </w14:textFill>
              </w:rPr>
              <w:t>对周围声环境影响不大</w:t>
            </w:r>
            <w:r>
              <w:rPr>
                <w:rFonts w:hint="eastAsia"/>
                <w:color w:val="000000" w:themeColor="text1"/>
                <w:sz w:val="24"/>
                <w:highlight w:val="none"/>
                <w14:textFill>
                  <w14:solidFill>
                    <w14:schemeClr w14:val="tx1"/>
                  </w14:solidFill>
                </w14:textFill>
              </w:rPr>
              <w:t>。</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（4）监测计划</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运行期噪声监测点位及频次见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项目</w:t>
            </w:r>
            <w:r>
              <w:rPr>
                <w:color w:val="000000" w:themeColor="text1"/>
                <w14:textFill>
                  <w14:solidFill>
                    <w14:schemeClr w14:val="tx1"/>
                  </w14:solidFill>
                </w14:textFill>
              </w:rPr>
              <w:t>监测计划一览表</w:t>
            </w:r>
          </w:p>
          <w:tbl>
            <w:tblPr>
              <w:tblStyle w:val="42"/>
              <w:tblW w:w="9418"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33"/>
              <w:gridCol w:w="1146"/>
              <w:gridCol w:w="899"/>
              <w:gridCol w:w="494"/>
              <w:gridCol w:w="654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33"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w:t>
                  </w:r>
                </w:p>
              </w:tc>
              <w:tc>
                <w:tcPr>
                  <w:tcW w:w="1146"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监测点位</w:t>
                  </w:r>
                </w:p>
              </w:tc>
              <w:tc>
                <w:tcPr>
                  <w:tcW w:w="899"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监测因子</w:t>
                  </w:r>
                </w:p>
              </w:tc>
              <w:tc>
                <w:tcPr>
                  <w:tcW w:w="494"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监测频率</w:t>
                  </w:r>
                </w:p>
              </w:tc>
              <w:tc>
                <w:tcPr>
                  <w:tcW w:w="6546"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执行标准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333"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噪声</w:t>
                  </w:r>
                </w:p>
              </w:tc>
              <w:tc>
                <w:tcPr>
                  <w:tcW w:w="1146" w:type="dxa"/>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厂界四周边界外1</w:t>
                  </w:r>
                  <w:r>
                    <w:rPr>
                      <w:color w:val="000000" w:themeColor="text1"/>
                      <w:szCs w:val="21"/>
                      <w14:textFill>
                        <w14:solidFill>
                          <w14:schemeClr w14:val="tx1"/>
                        </w14:solidFill>
                      </w14:textFill>
                    </w:rPr>
                    <w:t>m</w:t>
                  </w:r>
                  <w:r>
                    <w:rPr>
                      <w:rFonts w:hint="eastAsia"/>
                      <w:color w:val="000000" w:themeColor="text1"/>
                      <w:szCs w:val="21"/>
                      <w14:textFill>
                        <w14:solidFill>
                          <w14:schemeClr w14:val="tx1"/>
                        </w14:solidFill>
                      </w14:textFill>
                    </w:rPr>
                    <w:t>处</w:t>
                  </w:r>
                  <w:r>
                    <w:rPr>
                      <w:color w:val="000000" w:themeColor="text1"/>
                      <w:szCs w:val="21"/>
                      <w14:textFill>
                        <w14:solidFill>
                          <w14:schemeClr w14:val="tx1"/>
                        </w14:solidFill>
                      </w14:textFill>
                    </w:rPr>
                    <w:t>噪声</w:t>
                  </w:r>
                </w:p>
              </w:tc>
              <w:tc>
                <w:tcPr>
                  <w:tcW w:w="899" w:type="dxa"/>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昼夜</w:t>
                  </w:r>
                  <w:r>
                    <w:rPr>
                      <w:color w:val="000000" w:themeColor="text1"/>
                      <w:szCs w:val="21"/>
                      <w14:textFill>
                        <w14:solidFill>
                          <w14:schemeClr w14:val="tx1"/>
                        </w14:solidFill>
                      </w14:textFill>
                    </w:rPr>
                    <w:t>等效连续A声级</w:t>
                  </w:r>
                </w:p>
              </w:tc>
              <w:tc>
                <w:tcPr>
                  <w:tcW w:w="494" w:type="dxa"/>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每季一次</w:t>
                  </w:r>
                </w:p>
              </w:tc>
              <w:tc>
                <w:tcPr>
                  <w:tcW w:w="6546" w:type="dxa"/>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highlight w:val="none"/>
                      <w14:textFill>
                        <w14:solidFill>
                          <w14:schemeClr w14:val="tx1"/>
                        </w14:solidFill>
                      </w14:textFill>
                    </w:rPr>
                    <w:t>厂界噪声执行《工业企业厂界环境噪声排放标准》(GB12348-2008)</w:t>
                  </w:r>
                  <w:r>
                    <w:rPr>
                      <w:rFonts w:hint="eastAsia"/>
                      <w:color w:val="000000" w:themeColor="text1"/>
                      <w:szCs w:val="21"/>
                      <w:highlight w:val="none"/>
                      <w:lang w:val="en-US" w:eastAsia="zh-CN"/>
                      <w14:textFill>
                        <w14:solidFill>
                          <w14:schemeClr w14:val="tx1"/>
                        </w14:solidFill>
                      </w14:textFill>
                    </w:rPr>
                    <w:t>2类</w:t>
                  </w:r>
                  <w:r>
                    <w:rPr>
                      <w:rFonts w:hint="eastAsia"/>
                      <w:color w:val="000000" w:themeColor="text1"/>
                      <w:szCs w:val="21"/>
                      <w:highlight w:val="none"/>
                      <w14:textFill>
                        <w14:solidFill>
                          <w14:schemeClr w14:val="tx1"/>
                        </w14:solidFill>
                      </w14:textFill>
                    </w:rPr>
                    <w:t>标准</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4、固体废物</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本项目产生的固体废物主要为</w:t>
            </w:r>
            <w:r>
              <w:rPr>
                <w:rFonts w:hint="eastAsia" w:cs="Times New Roman"/>
                <w:bCs/>
                <w:color w:val="000000" w:themeColor="text1"/>
                <w:sz w:val="24"/>
                <w:lang w:val="en-US" w:eastAsia="zh-CN"/>
                <w14:textFill>
                  <w14:solidFill>
                    <w14:schemeClr w14:val="tx1"/>
                  </w14:solidFill>
                </w14:textFill>
              </w:rPr>
              <w:t>生活垃圾、废布袋、除尘灰、不合格骨料、沉淀池沉泥、废活性炭、废机油桶、废油泥、废机油、废导热油、废油</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一般固废：生活垃圾产生量为</w:t>
            </w:r>
            <w:r>
              <w:rPr>
                <w:rFonts w:hint="eastAsia" w:cs="Times New Roman"/>
                <w:bCs/>
                <w:color w:val="000000" w:themeColor="text1"/>
                <w:sz w:val="24"/>
                <w:lang w:val="en-US" w:eastAsia="zh-CN"/>
                <w14:textFill>
                  <w14:solidFill>
                    <w14:schemeClr w14:val="tx1"/>
                  </w14:solidFill>
                </w14:textFill>
              </w:rPr>
              <w:t>1.8</w:t>
            </w:r>
            <w:r>
              <w:rPr>
                <w:rFonts w:hint="eastAsia" w:ascii="Times New Roman" w:hAnsi="Times New Roman" w:eastAsia="宋体" w:cs="Times New Roman"/>
                <w:bCs/>
                <w:color w:val="000000" w:themeColor="text1"/>
                <w:sz w:val="24"/>
                <w:lang w:val="en-US" w:eastAsia="zh-CN"/>
                <w14:textFill>
                  <w14:solidFill>
                    <w14:schemeClr w14:val="tx1"/>
                  </w14:solidFill>
                </w14:textFill>
              </w:rPr>
              <w:t>t/a，在厂区垃圾桶暂存后由环卫部门收集处理；</w:t>
            </w:r>
            <w:r>
              <w:rPr>
                <w:rFonts w:hint="eastAsia" w:cs="Times New Roman"/>
                <w:bCs/>
                <w:color w:val="000000" w:themeColor="text1"/>
                <w:sz w:val="24"/>
                <w:lang w:val="en-US" w:eastAsia="zh-CN"/>
                <w14:textFill>
                  <w14:solidFill>
                    <w14:schemeClr w14:val="tx1"/>
                  </w14:solidFill>
                </w14:textFill>
              </w:rPr>
              <w:t>覆膜袋式除尘器废布袋的产生量为0.1t/a，由厂家回收处理；除尘灰</w:t>
            </w:r>
            <w:r>
              <w:rPr>
                <w:rFonts w:hint="eastAsia" w:ascii="Times New Roman" w:hAnsi="Times New Roman" w:eastAsia="宋体" w:cs="Times New Roman"/>
                <w:bCs/>
                <w:color w:val="000000" w:themeColor="text1"/>
                <w:sz w:val="24"/>
                <w:lang w:val="en-US" w:eastAsia="zh-CN"/>
                <w14:textFill>
                  <w14:solidFill>
                    <w14:schemeClr w14:val="tx1"/>
                  </w14:solidFill>
                </w14:textFill>
              </w:rPr>
              <w:t>产生量为</w:t>
            </w:r>
            <w:r>
              <w:rPr>
                <w:rFonts w:hint="eastAsia" w:cs="Times New Roman"/>
                <w:bCs/>
                <w:color w:val="000000" w:themeColor="text1"/>
                <w:sz w:val="24"/>
                <w:lang w:val="en-US" w:eastAsia="zh-CN"/>
                <w14:textFill>
                  <w14:solidFill>
                    <w14:schemeClr w14:val="tx1"/>
                  </w14:solidFill>
                </w14:textFill>
              </w:rPr>
              <w:t>19.9057</w:t>
            </w:r>
            <w:r>
              <w:rPr>
                <w:rFonts w:hint="eastAsia" w:ascii="Times New Roman" w:hAnsi="Times New Roman" w:eastAsia="宋体" w:cs="Times New Roman"/>
                <w:bCs/>
                <w:color w:val="000000" w:themeColor="text1"/>
                <w:sz w:val="24"/>
                <w:lang w:val="en-US" w:eastAsia="zh-CN"/>
                <w14:textFill>
                  <w14:solidFill>
                    <w14:schemeClr w14:val="tx1"/>
                  </w14:solidFill>
                </w14:textFill>
              </w:rPr>
              <w:t>t/a，</w:t>
            </w:r>
            <w:r>
              <w:rPr>
                <w:rFonts w:hint="eastAsia" w:cs="Times New Roman"/>
                <w:bCs/>
                <w:color w:val="000000" w:themeColor="text1"/>
                <w:sz w:val="24"/>
                <w:lang w:val="en-US" w:eastAsia="zh-CN"/>
                <w14:textFill>
                  <w14:solidFill>
                    <w14:schemeClr w14:val="tx1"/>
                  </w14:solidFill>
                </w14:textFill>
              </w:rPr>
              <w:t>沉淀池沉泥产生量为2t/a，均收集后回用于生产；不合格骨料</w:t>
            </w:r>
            <w:r>
              <w:rPr>
                <w:rFonts w:hint="eastAsia" w:ascii="Times New Roman" w:hAnsi="Times New Roman" w:eastAsia="宋体" w:cs="Times New Roman"/>
                <w:bCs/>
                <w:color w:val="000000" w:themeColor="text1"/>
                <w:sz w:val="24"/>
                <w:lang w:val="en-US" w:eastAsia="zh-CN"/>
                <w14:textFill>
                  <w14:solidFill>
                    <w14:schemeClr w14:val="tx1"/>
                  </w14:solidFill>
                </w14:textFill>
              </w:rPr>
              <w:t>产生量为</w:t>
            </w:r>
            <w:r>
              <w:rPr>
                <w:rFonts w:hint="eastAsia" w:cs="Times New Roman"/>
                <w:bCs/>
                <w:color w:val="000000" w:themeColor="text1"/>
                <w:sz w:val="24"/>
                <w:lang w:val="en-US" w:eastAsia="zh-CN"/>
                <w14:textFill>
                  <w14:solidFill>
                    <w14:schemeClr w14:val="tx1"/>
                  </w14:solidFill>
                </w14:textFill>
              </w:rPr>
              <w:t>10</w:t>
            </w:r>
            <w:r>
              <w:rPr>
                <w:rFonts w:hint="eastAsia" w:ascii="Times New Roman" w:hAnsi="Times New Roman" w:eastAsia="宋体" w:cs="Times New Roman"/>
                <w:bCs/>
                <w:color w:val="000000" w:themeColor="text1"/>
                <w:sz w:val="24"/>
                <w:lang w:val="en-US" w:eastAsia="zh-CN"/>
                <w14:textFill>
                  <w14:solidFill>
                    <w14:schemeClr w14:val="tx1"/>
                  </w14:solidFill>
                </w14:textFill>
              </w:rPr>
              <w:t>t/a，</w:t>
            </w:r>
            <w:r>
              <w:rPr>
                <w:rFonts w:hint="eastAsia" w:eastAsia="宋体" w:cs="Times New Roman"/>
                <w:bCs/>
                <w:color w:val="000000" w:themeColor="text1"/>
                <w:sz w:val="24"/>
                <w:lang w:val="en-US" w:eastAsia="zh-CN"/>
                <w14:textFill>
                  <w14:solidFill>
                    <w14:schemeClr w14:val="tx1"/>
                  </w14:solidFill>
                </w14:textFill>
              </w:rPr>
              <w:t>收集后外售。</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危险废物：</w:t>
            </w:r>
            <w:r>
              <w:rPr>
                <w:rFonts w:hint="eastAsia" w:cs="Times New Roman"/>
                <w:bCs/>
                <w:color w:val="000000" w:themeColor="text1"/>
                <w:sz w:val="24"/>
                <w:highlight w:val="none"/>
                <w:lang w:val="en-US" w:eastAsia="zh-CN"/>
                <w14:textFill>
                  <w14:solidFill>
                    <w14:schemeClr w14:val="tx1"/>
                  </w14:solidFill>
                </w14:textFill>
              </w:rPr>
              <w:t>根据《河北省涉VOCs工业企业常用治理技术指南》中计算方法，废气治理设施中活性炭的更换周期为5个月/次，产生的废活性炭</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3.2</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类比其他同类型企业，废机油桶</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废机油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储罐废油泥</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，废导热油产生量为5t/a，隔油器废油的产生量为0.1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t/a；以上危险废物暂存于厂区</w:t>
            </w:r>
            <w:r>
              <w:rPr>
                <w:rFonts w:hint="eastAsia" w:cs="Times New Roman"/>
                <w:bCs/>
                <w:color w:val="000000" w:themeColor="text1"/>
                <w:sz w:val="24"/>
                <w:highlight w:val="none"/>
                <w:lang w:val="en-US" w:eastAsia="zh-CN"/>
                <w14:textFill>
                  <w14:solidFill>
                    <w14:schemeClr w14:val="tx1"/>
                  </w14:solidFill>
                </w14:textFill>
              </w:rPr>
              <w:t>危废间内</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，定期交有资质单位回收处置</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ascii="Times New Roman" w:hAnsi="Times New Roman" w:eastAsia="宋体" w:cs="Times New Roman"/>
                <w:bCs/>
                <w:color w:val="000000" w:themeColor="text1"/>
                <w:sz w:val="24"/>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本项目固体废物产生及排放情况如下：</w:t>
            </w:r>
          </w:p>
          <w:p>
            <w:pPr>
              <w:pStyle w:val="120"/>
              <w:numPr>
                <w:ilvl w:val="0"/>
                <w:numId w:val="17"/>
              </w:numPr>
              <w:spacing w:line="240" w:lineRule="auto"/>
              <w:rPr>
                <w:color w:val="000000" w:themeColor="text1"/>
                <w:sz w:val="21"/>
                <w:szCs w:val="21"/>
                <w14:textFill>
                  <w14:solidFill>
                    <w14:schemeClr w14:val="tx1"/>
                  </w14:solidFill>
                </w14:textFill>
              </w:rPr>
            </w:pPr>
            <w:r>
              <w:rPr>
                <w:rFonts w:hint="eastAsia"/>
                <w:color w:val="000000" w:themeColor="text1"/>
                <w14:textFill>
                  <w14:solidFill>
                    <w14:schemeClr w14:val="tx1"/>
                  </w14:solidFill>
                </w14:textFill>
              </w:rPr>
              <w:t>项目</w:t>
            </w:r>
            <w:r>
              <w:rPr>
                <w:rFonts w:hint="eastAsia"/>
                <w:color w:val="000000" w:themeColor="text1"/>
                <w:lang w:val="en-US" w:eastAsia="zh-CN"/>
                <w14:textFill>
                  <w14:solidFill>
                    <w14:schemeClr w14:val="tx1"/>
                  </w14:solidFill>
                </w14:textFill>
              </w:rPr>
              <w:t>固体废物产生情况</w:t>
            </w:r>
            <w:r>
              <w:rPr>
                <w:color w:val="000000" w:themeColor="text1"/>
                <w14:textFill>
                  <w14:solidFill>
                    <w14:schemeClr w14:val="tx1"/>
                  </w14:solidFill>
                </w14:textFill>
              </w:rPr>
              <w:t>一览表</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77"/>
              <w:gridCol w:w="904"/>
              <w:gridCol w:w="844"/>
              <w:gridCol w:w="1330"/>
              <w:gridCol w:w="916"/>
              <w:gridCol w:w="1006"/>
              <w:gridCol w:w="595"/>
              <w:gridCol w:w="718"/>
              <w:gridCol w:w="772"/>
              <w:gridCol w:w="893"/>
              <w:gridCol w:w="95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序号</w:t>
                  </w:r>
                </w:p>
              </w:tc>
              <w:tc>
                <w:tcPr>
                  <w:tcW w:w="904"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废物名称</w:t>
                  </w:r>
                </w:p>
              </w:tc>
              <w:tc>
                <w:tcPr>
                  <w:tcW w:w="844"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废物类别</w:t>
                  </w:r>
                </w:p>
              </w:tc>
              <w:tc>
                <w:tcPr>
                  <w:tcW w:w="1330"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废物代码</w:t>
                  </w:r>
                </w:p>
              </w:tc>
              <w:tc>
                <w:tcPr>
                  <w:tcW w:w="91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产生量(t/a)</w:t>
                  </w:r>
                </w:p>
              </w:tc>
              <w:tc>
                <w:tcPr>
                  <w:tcW w:w="100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产生工序及装置</w:t>
                  </w:r>
                </w:p>
              </w:tc>
              <w:tc>
                <w:tcPr>
                  <w:tcW w:w="595"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形态</w:t>
                  </w:r>
                </w:p>
              </w:tc>
              <w:tc>
                <w:tcPr>
                  <w:tcW w:w="718"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有害成分</w:t>
                  </w:r>
                </w:p>
              </w:tc>
              <w:tc>
                <w:tcPr>
                  <w:tcW w:w="772"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产废</w:t>
                  </w:r>
                </w:p>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周期</w:t>
                  </w:r>
                </w:p>
              </w:tc>
              <w:tc>
                <w:tcPr>
                  <w:tcW w:w="893"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危险特性</w:t>
                  </w:r>
                </w:p>
              </w:tc>
              <w:tc>
                <w:tcPr>
                  <w:tcW w:w="95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污染防治措施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w:t>
                  </w:r>
                </w:p>
              </w:tc>
              <w:tc>
                <w:tcPr>
                  <w:tcW w:w="904" w:type="dxa"/>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生活垃圾</w:t>
                  </w:r>
                </w:p>
              </w:tc>
              <w:tc>
                <w:tcPr>
                  <w:tcW w:w="844"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1330"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16" w:type="dxa"/>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1.8</w:t>
                  </w:r>
                </w:p>
              </w:tc>
              <w:tc>
                <w:tcPr>
                  <w:tcW w:w="1006" w:type="dxa"/>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职工生活</w:t>
                  </w:r>
                </w:p>
              </w:tc>
              <w:tc>
                <w:tcPr>
                  <w:tcW w:w="595"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772"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893" w:type="dxa"/>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56" w:type="dxa"/>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垃圾桶收集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2</w:t>
                  </w:r>
                </w:p>
              </w:tc>
              <w:tc>
                <w:tcPr>
                  <w:tcW w:w="904"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废布袋</w:t>
                  </w:r>
                </w:p>
              </w:tc>
              <w:tc>
                <w:tcPr>
                  <w:tcW w:w="844"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1330"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SW99</w:t>
                  </w:r>
                </w:p>
              </w:tc>
              <w:tc>
                <w:tcPr>
                  <w:tcW w:w="91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0.1</w:t>
                  </w:r>
                </w:p>
              </w:tc>
              <w:tc>
                <w:tcPr>
                  <w:tcW w:w="1006"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废气治理</w:t>
                  </w:r>
                </w:p>
              </w:tc>
              <w:tc>
                <w:tcPr>
                  <w:tcW w:w="595"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772"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一年</w:t>
                  </w:r>
                </w:p>
              </w:tc>
              <w:tc>
                <w:tcPr>
                  <w:tcW w:w="893"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5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厂家回收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3</w:t>
                  </w:r>
                </w:p>
              </w:tc>
              <w:tc>
                <w:tcPr>
                  <w:tcW w:w="904"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不合格物料</w:t>
                  </w:r>
                </w:p>
              </w:tc>
              <w:tc>
                <w:tcPr>
                  <w:tcW w:w="844"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1330"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SW46</w:t>
                  </w:r>
                </w:p>
              </w:tc>
              <w:tc>
                <w:tcPr>
                  <w:tcW w:w="916"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10</w:t>
                  </w:r>
                </w:p>
              </w:tc>
              <w:tc>
                <w:tcPr>
                  <w:tcW w:w="1006"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筛分工序</w:t>
                  </w:r>
                </w:p>
              </w:tc>
              <w:tc>
                <w:tcPr>
                  <w:tcW w:w="595"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772"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893"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5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外售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4</w:t>
                  </w:r>
                </w:p>
              </w:tc>
              <w:tc>
                <w:tcPr>
                  <w:tcW w:w="904"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除尘灰</w:t>
                  </w:r>
                </w:p>
              </w:tc>
              <w:tc>
                <w:tcPr>
                  <w:tcW w:w="844"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1330" w:type="dxa"/>
                  <w:tcBorders>
                    <w:tl2br w:val="nil"/>
                    <w:tr2bl w:val="nil"/>
                  </w:tcBorders>
                  <w:vAlign w:val="center"/>
                </w:tcPr>
                <w:p>
                  <w:pPr>
                    <w:jc w:val="center"/>
                    <w:rPr>
                      <w:rFonts w:hint="default"/>
                      <w:b w:val="0"/>
                      <w:bCs w:val="0"/>
                      <w:color w:val="000000" w:themeColor="text1"/>
                      <w:kern w:val="0"/>
                      <w:sz w:val="21"/>
                      <w:szCs w:val="21"/>
                      <w:highlight w:val="none"/>
                      <w:lang w:val="en-US" w:eastAsia="zh-CN"/>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SW66</w:t>
                  </w:r>
                </w:p>
              </w:tc>
              <w:tc>
                <w:tcPr>
                  <w:tcW w:w="91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19.9057</w:t>
                  </w:r>
                </w:p>
              </w:tc>
              <w:tc>
                <w:tcPr>
                  <w:tcW w:w="100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废气治理</w:t>
                  </w:r>
                </w:p>
              </w:tc>
              <w:tc>
                <w:tcPr>
                  <w:tcW w:w="595"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772"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893"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56" w:type="dxa"/>
                  <w:vMerge w:val="restar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回收利用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5</w:t>
                  </w:r>
                </w:p>
              </w:tc>
              <w:tc>
                <w:tcPr>
                  <w:tcW w:w="904"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沉淀池沉泥</w:t>
                  </w:r>
                </w:p>
              </w:tc>
              <w:tc>
                <w:tcPr>
                  <w:tcW w:w="844"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1330" w:type="dxa"/>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SW46</w:t>
                  </w:r>
                </w:p>
              </w:tc>
              <w:tc>
                <w:tcPr>
                  <w:tcW w:w="91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2</w:t>
                  </w:r>
                </w:p>
              </w:tc>
              <w:tc>
                <w:tcPr>
                  <w:tcW w:w="1006"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车辆清洗</w:t>
                  </w:r>
                </w:p>
              </w:tc>
              <w:tc>
                <w:tcPr>
                  <w:tcW w:w="595"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772"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每周</w:t>
                  </w:r>
                </w:p>
              </w:tc>
              <w:tc>
                <w:tcPr>
                  <w:tcW w:w="893" w:type="dxa"/>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956" w:type="dxa"/>
                  <w:vMerge w:val="continue"/>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jc w:val="center"/>
              </w:trPr>
              <w:tc>
                <w:tcPr>
                  <w:tcW w:w="477"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序号</w:t>
                  </w:r>
                </w:p>
              </w:tc>
              <w:tc>
                <w:tcPr>
                  <w:tcW w:w="904"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危险废物名称</w:t>
                  </w:r>
                </w:p>
              </w:tc>
              <w:tc>
                <w:tcPr>
                  <w:tcW w:w="844"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废物类别</w:t>
                  </w:r>
                </w:p>
              </w:tc>
              <w:tc>
                <w:tcPr>
                  <w:tcW w:w="1330"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危险废物代码</w:t>
                  </w:r>
                </w:p>
              </w:tc>
              <w:tc>
                <w:tcPr>
                  <w:tcW w:w="91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产生量(t/a)</w:t>
                  </w:r>
                </w:p>
              </w:tc>
              <w:tc>
                <w:tcPr>
                  <w:tcW w:w="100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产生工序及装置</w:t>
                  </w:r>
                </w:p>
              </w:tc>
              <w:tc>
                <w:tcPr>
                  <w:tcW w:w="595"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形态</w:t>
                  </w:r>
                </w:p>
              </w:tc>
              <w:tc>
                <w:tcPr>
                  <w:tcW w:w="718"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有害成分</w:t>
                  </w:r>
                </w:p>
              </w:tc>
              <w:tc>
                <w:tcPr>
                  <w:tcW w:w="772"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产废</w:t>
                  </w:r>
                </w:p>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周期</w:t>
                  </w:r>
                </w:p>
              </w:tc>
              <w:tc>
                <w:tcPr>
                  <w:tcW w:w="893"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危险特性</w:t>
                  </w:r>
                </w:p>
              </w:tc>
              <w:tc>
                <w:tcPr>
                  <w:tcW w:w="956" w:type="dxa"/>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污染防治措施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jc w:val="center"/>
              </w:trPr>
              <w:tc>
                <w:tcPr>
                  <w:tcW w:w="477" w:type="dxa"/>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1</w:t>
                  </w:r>
                </w:p>
              </w:tc>
              <w:tc>
                <w:tcPr>
                  <w:tcW w:w="904" w:type="dxa"/>
                  <w:tcBorders>
                    <w:tl2br w:val="nil"/>
                    <w:tr2bl w:val="nil"/>
                  </w:tcBorders>
                  <w:vAlign w:val="center"/>
                </w:tcPr>
                <w:p>
                  <w:pPr>
                    <w:topLinePunct/>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废活性炭</w:t>
                  </w:r>
                </w:p>
              </w:tc>
              <w:tc>
                <w:tcPr>
                  <w:tcW w:w="844"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1330"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highlight w:val="yellow"/>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39</w:t>
                  </w:r>
                  <w:r>
                    <w:rPr>
                      <w:color w:val="000000" w:themeColor="text1"/>
                      <w:kern w:val="1"/>
                      <w:sz w:val="21"/>
                      <w:szCs w:val="21"/>
                      <w:highlight w:val="none"/>
                      <w14:textFill>
                        <w14:solidFill>
                          <w14:schemeClr w14:val="tx1"/>
                        </w14:solidFill>
                      </w14:textFill>
                    </w:rPr>
                    <w:t>‒49</w:t>
                  </w:r>
                </w:p>
              </w:tc>
              <w:tc>
                <w:tcPr>
                  <w:tcW w:w="916" w:type="dxa"/>
                  <w:tcBorders>
                    <w:tl2br w:val="nil"/>
                    <w:tr2bl w:val="nil"/>
                  </w:tcBorders>
                  <w:vAlign w:val="center"/>
                </w:tcPr>
                <w:p>
                  <w:pPr>
                    <w:widowControl/>
                    <w:jc w:val="center"/>
                    <w:textAlignment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3.2</w:t>
                  </w:r>
                </w:p>
              </w:tc>
              <w:tc>
                <w:tcPr>
                  <w:tcW w:w="1006" w:type="dxa"/>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废气治理</w:t>
                  </w:r>
                </w:p>
              </w:tc>
              <w:tc>
                <w:tcPr>
                  <w:tcW w:w="595"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5个月</w:t>
                  </w:r>
                </w:p>
              </w:tc>
              <w:tc>
                <w:tcPr>
                  <w:tcW w:w="893"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T</w:t>
                  </w:r>
                </w:p>
              </w:tc>
              <w:tc>
                <w:tcPr>
                  <w:tcW w:w="956" w:type="dxa"/>
                  <w:vMerge w:val="restart"/>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分类收集，专用容器收集，暂存于危废</w:t>
                  </w:r>
                  <w:r>
                    <w:rPr>
                      <w:rFonts w:hint="eastAsia"/>
                      <w:color w:val="000000" w:themeColor="text1"/>
                      <w:kern w:val="0"/>
                      <w:sz w:val="21"/>
                      <w:szCs w:val="21"/>
                      <w:lang w:val="en-US" w:eastAsia="zh-CN"/>
                      <w14:textFill>
                        <w14:solidFill>
                          <w14:schemeClr w14:val="tx1"/>
                        </w14:solidFill>
                      </w14:textFill>
                    </w:rPr>
                    <w:t>间</w:t>
                  </w:r>
                  <w:r>
                    <w:rPr>
                      <w:color w:val="000000" w:themeColor="text1"/>
                      <w:kern w:val="0"/>
                      <w:sz w:val="21"/>
                      <w:szCs w:val="21"/>
                      <w14:textFill>
                        <w14:solidFill>
                          <w14:schemeClr w14:val="tx1"/>
                        </w14:solidFill>
                      </w14:textFill>
                    </w:rPr>
                    <w:t>，由资质单位处置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533" w:hRule="atLeast"/>
                <w:jc w:val="center"/>
              </w:trPr>
              <w:tc>
                <w:tcPr>
                  <w:tcW w:w="477"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2</w:t>
                  </w:r>
                </w:p>
              </w:tc>
              <w:tc>
                <w:tcPr>
                  <w:tcW w:w="904" w:type="dxa"/>
                  <w:tcBorders>
                    <w:tl2br w:val="nil"/>
                    <w:tr2bl w:val="nil"/>
                  </w:tcBorders>
                  <w:vAlign w:val="center"/>
                </w:tcPr>
                <w:p>
                  <w:pPr>
                    <w:topLinePunct/>
                    <w:jc w:val="center"/>
                    <w:rPr>
                      <w:rFonts w:hint="eastAsia"/>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废机油桶</w:t>
                  </w:r>
                </w:p>
              </w:tc>
              <w:tc>
                <w:tcPr>
                  <w:tcW w:w="844" w:type="dxa"/>
                  <w:tcBorders>
                    <w:tl2br w:val="nil"/>
                    <w:tr2bl w:val="nil"/>
                  </w:tcBorders>
                  <w:vAlign w:val="center"/>
                </w:tcPr>
                <w:p>
                  <w:pPr>
                    <w:pStyle w:val="261"/>
                    <w:spacing w:line="240" w:lineRule="auto"/>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HW49</w:t>
                  </w:r>
                </w:p>
              </w:tc>
              <w:tc>
                <w:tcPr>
                  <w:tcW w:w="1330" w:type="dxa"/>
                  <w:tcBorders>
                    <w:tl2br w:val="nil"/>
                    <w:tr2bl w:val="nil"/>
                  </w:tcBorders>
                  <w:vAlign w:val="center"/>
                </w:tcPr>
                <w:p>
                  <w:pPr>
                    <w:pStyle w:val="261"/>
                    <w:spacing w:line="240" w:lineRule="auto"/>
                    <w:rPr>
                      <w:color w:val="000000" w:themeColor="text1"/>
                      <w:kern w:val="1"/>
                      <w:sz w:val="21"/>
                      <w:szCs w:val="21"/>
                      <w:highlight w:val="none"/>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47</w:t>
                  </w:r>
                  <w:r>
                    <w:rPr>
                      <w:color w:val="000000" w:themeColor="text1"/>
                      <w:kern w:val="1"/>
                      <w:sz w:val="21"/>
                      <w:szCs w:val="21"/>
                      <w:highlight w:val="none"/>
                      <w14:textFill>
                        <w14:solidFill>
                          <w14:schemeClr w14:val="tx1"/>
                        </w14:solidFill>
                      </w14:textFill>
                    </w:rPr>
                    <w:t>‒49</w:t>
                  </w:r>
                </w:p>
              </w:tc>
              <w:tc>
                <w:tcPr>
                  <w:tcW w:w="916" w:type="dxa"/>
                  <w:tcBorders>
                    <w:tl2br w:val="nil"/>
                    <w:tr2bl w:val="nil"/>
                  </w:tcBorders>
                  <w:vAlign w:val="center"/>
                </w:tcPr>
                <w:p>
                  <w:pPr>
                    <w:widowControl/>
                    <w:jc w:val="center"/>
                    <w:textAlignment w:val="center"/>
                    <w:rPr>
                      <w:rFonts w:hint="eastAsia"/>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1006" w:type="dxa"/>
                  <w:vMerge w:val="restar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设备检修</w:t>
                  </w:r>
                </w:p>
              </w:tc>
              <w:tc>
                <w:tcPr>
                  <w:tcW w:w="595" w:type="dxa"/>
                  <w:tcBorders>
                    <w:tl2br w:val="nil"/>
                    <w:tr2bl w:val="nil"/>
                  </w:tcBorders>
                  <w:vAlign w:val="center"/>
                </w:tcPr>
                <w:p>
                  <w:pPr>
                    <w:jc w:val="center"/>
                    <w:rPr>
                      <w:rFonts w:hint="eastAsia"/>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固态</w:t>
                  </w:r>
                </w:p>
              </w:tc>
              <w:tc>
                <w:tcPr>
                  <w:tcW w:w="718" w:type="dxa"/>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rFonts w:hint="eastAsia" w:eastAsia="宋体"/>
                      <w:color w:val="000000" w:themeColor="text1"/>
                      <w:kern w:val="0"/>
                      <w:sz w:val="21"/>
                      <w:szCs w:val="21"/>
                      <w:lang w:eastAsia="zh-CN"/>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季度</w:t>
                  </w:r>
                </w:p>
              </w:tc>
              <w:tc>
                <w:tcPr>
                  <w:tcW w:w="893" w:type="dxa"/>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color w:val="000000" w:themeColor="text1"/>
                      <w:sz w:val="21"/>
                      <w:szCs w:val="21"/>
                      <w14:textFill>
                        <w14:solidFill>
                          <w14:schemeClr w14:val="tx1"/>
                        </w14:solidFill>
                      </w14:textFill>
                    </w:rPr>
                    <w:t>T/</w:t>
                  </w:r>
                  <w:r>
                    <w:rPr>
                      <w:rFonts w:hint="eastAsia" w:eastAsia="宋体"/>
                      <w:color w:val="000000" w:themeColor="text1"/>
                      <w:sz w:val="21"/>
                      <w:szCs w:val="21"/>
                      <w:lang w:val="en-US" w:eastAsia="zh-CN"/>
                      <w14:textFill>
                        <w14:solidFill>
                          <w14:schemeClr w14:val="tx1"/>
                        </w14:solidFill>
                      </w14:textFill>
                    </w:rPr>
                    <w:t>C/I/R</w:t>
                  </w:r>
                </w:p>
              </w:tc>
              <w:tc>
                <w:tcPr>
                  <w:tcW w:w="956" w:type="dxa"/>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265" w:hRule="atLeast"/>
                <w:jc w:val="center"/>
              </w:trPr>
              <w:tc>
                <w:tcPr>
                  <w:tcW w:w="477"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3</w:t>
                  </w:r>
                </w:p>
              </w:tc>
              <w:tc>
                <w:tcPr>
                  <w:tcW w:w="904" w:type="dxa"/>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w:t>
                  </w:r>
                </w:p>
              </w:tc>
              <w:tc>
                <w:tcPr>
                  <w:tcW w:w="844" w:type="dxa"/>
                  <w:tcBorders>
                    <w:tl2br w:val="nil"/>
                    <w:tr2bl w:val="nil"/>
                  </w:tcBorders>
                  <w:vAlign w:val="center"/>
                </w:tcPr>
                <w:p>
                  <w:pPr>
                    <w:pStyle w:val="261"/>
                    <w:spacing w:line="240" w:lineRule="auto"/>
                    <w:rPr>
                      <w:color w:val="000000" w:themeColor="text1"/>
                      <w:kern w:val="0"/>
                      <w:sz w:val="21"/>
                      <w:szCs w:val="21"/>
                      <w14:textFill>
                        <w14:solidFill>
                          <w14:schemeClr w14:val="tx1"/>
                        </w14:solidFill>
                      </w14:textFill>
                    </w:rPr>
                  </w:pPr>
                  <w:r>
                    <w:rPr>
                      <w:color w:val="000000" w:themeColor="text1"/>
                      <w:sz w:val="21"/>
                      <w:szCs w:val="21"/>
                      <w14:textFill>
                        <w14:solidFill>
                          <w14:schemeClr w14:val="tx1"/>
                        </w14:solidFill>
                      </w14:textFill>
                    </w:rPr>
                    <w:t>HW49</w:t>
                  </w:r>
                </w:p>
              </w:tc>
              <w:tc>
                <w:tcPr>
                  <w:tcW w:w="1330" w:type="dxa"/>
                  <w:tcBorders>
                    <w:tl2br w:val="nil"/>
                    <w:tr2bl w:val="nil"/>
                  </w:tcBorders>
                  <w:vAlign w:val="center"/>
                </w:tcPr>
                <w:p>
                  <w:pPr>
                    <w:pStyle w:val="261"/>
                    <w:spacing w:line="240" w:lineRule="auto"/>
                    <w:rPr>
                      <w:rFonts w:hint="default" w:eastAsia="宋体"/>
                      <w:color w:val="000000" w:themeColor="text1"/>
                      <w:kern w:val="0"/>
                      <w:sz w:val="21"/>
                      <w:szCs w:val="21"/>
                      <w:highlight w:val="none"/>
                      <w:lang w:val="en-US" w:eastAsia="zh-CN"/>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214</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916" w:type="dxa"/>
                  <w:tcBorders>
                    <w:tl2br w:val="nil"/>
                    <w:tr2bl w:val="nil"/>
                  </w:tcBorders>
                  <w:vAlign w:val="center"/>
                </w:tcPr>
                <w:p>
                  <w:pPr>
                    <w:widowControl/>
                    <w:jc w:val="center"/>
                    <w:textAlignment w:val="center"/>
                    <w:rPr>
                      <w:rFonts w:hint="default"/>
                      <w:color w:val="000000" w:themeColor="text1"/>
                      <w:kern w:val="0"/>
                      <w:sz w:val="21"/>
                      <w:szCs w:val="21"/>
                      <w:highlight w:val="none"/>
                      <w:lang w:val="en-US"/>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1006" w:type="dxa"/>
                  <w:vMerge w:val="continue"/>
                  <w:tcBorders>
                    <w:tl2br w:val="nil"/>
                    <w:tr2bl w:val="nil"/>
                  </w:tcBorders>
                  <w:vAlign w:val="center"/>
                </w:tcPr>
                <w:p>
                  <w:pPr>
                    <w:pStyle w:val="261"/>
                    <w:spacing w:line="240" w:lineRule="auto"/>
                    <w:rPr>
                      <w:rFonts w:hint="eastAsia" w:eastAsia="宋体"/>
                      <w:color w:val="000000" w:themeColor="text1"/>
                      <w:kern w:val="0"/>
                      <w:sz w:val="21"/>
                      <w:szCs w:val="21"/>
                      <w:lang w:val="en-US" w:eastAsia="zh-CN"/>
                      <w14:textFill>
                        <w14:solidFill>
                          <w14:schemeClr w14:val="tx1"/>
                        </w14:solidFill>
                      </w14:textFill>
                    </w:rPr>
                  </w:pPr>
                </w:p>
              </w:tc>
              <w:tc>
                <w:tcPr>
                  <w:tcW w:w="595" w:type="dxa"/>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液态</w:t>
                  </w:r>
                </w:p>
              </w:tc>
              <w:tc>
                <w:tcPr>
                  <w:tcW w:w="718" w:type="dxa"/>
                  <w:tcBorders>
                    <w:tl2br w:val="nil"/>
                    <w:tr2bl w:val="nil"/>
                  </w:tcBorders>
                  <w:vAlign w:val="center"/>
                </w:tcPr>
                <w:p>
                  <w:pPr>
                    <w:pStyle w:val="261"/>
                    <w:spacing w:line="240" w:lineRule="auto"/>
                    <w:rPr>
                      <w:rFonts w:hint="eastAsia" w:eastAsia="宋体"/>
                      <w:color w:val="000000" w:themeColor="text1"/>
                      <w:kern w:val="0"/>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季度</w:t>
                  </w:r>
                </w:p>
              </w:tc>
              <w:tc>
                <w:tcPr>
                  <w:tcW w:w="893" w:type="dxa"/>
                  <w:tcBorders>
                    <w:tl2br w:val="nil"/>
                    <w:tr2bl w:val="nil"/>
                  </w:tcBorders>
                  <w:vAlign w:val="center"/>
                </w:tcPr>
                <w:p>
                  <w:pPr>
                    <w:pStyle w:val="261"/>
                    <w:spacing w:line="240" w:lineRule="auto"/>
                    <w:rPr>
                      <w:rFonts w:eastAsia="宋体"/>
                      <w:color w:val="000000" w:themeColor="text1"/>
                      <w:kern w:val="0"/>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T</w:t>
                  </w:r>
                  <w:r>
                    <w:rPr>
                      <w:color w:val="000000" w:themeColor="text1"/>
                      <w:sz w:val="21"/>
                      <w:szCs w:val="21"/>
                      <w14:textFill>
                        <w14:solidFill>
                          <w14:schemeClr w14:val="tx1"/>
                        </w14:solidFill>
                      </w14:textFill>
                    </w:rPr>
                    <w:t>/I</w:t>
                  </w:r>
                </w:p>
              </w:tc>
              <w:tc>
                <w:tcPr>
                  <w:tcW w:w="956" w:type="dxa"/>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77"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4</w:t>
                  </w:r>
                </w:p>
              </w:tc>
              <w:tc>
                <w:tcPr>
                  <w:tcW w:w="904" w:type="dxa"/>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废油泥</w:t>
                  </w:r>
                </w:p>
              </w:tc>
              <w:tc>
                <w:tcPr>
                  <w:tcW w:w="844"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HW49</w:t>
                  </w:r>
                </w:p>
              </w:tc>
              <w:tc>
                <w:tcPr>
                  <w:tcW w:w="1330"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221</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916"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1</w:t>
                  </w:r>
                </w:p>
              </w:tc>
              <w:tc>
                <w:tcPr>
                  <w:tcW w:w="1006"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储罐清理</w:t>
                  </w:r>
                </w:p>
              </w:tc>
              <w:tc>
                <w:tcPr>
                  <w:tcW w:w="595" w:type="dxa"/>
                  <w:tcBorders>
                    <w:tl2br w:val="nil"/>
                    <w:tr2bl w:val="nil"/>
                  </w:tcBorders>
                  <w:vAlign w:val="center"/>
                </w:tcPr>
                <w:p>
                  <w:pPr>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固态</w:t>
                  </w:r>
                </w:p>
              </w:tc>
              <w:tc>
                <w:tcPr>
                  <w:tcW w:w="718"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年</w:t>
                  </w:r>
                </w:p>
              </w:tc>
              <w:tc>
                <w:tcPr>
                  <w:tcW w:w="893" w:type="dxa"/>
                  <w:tcBorders>
                    <w:tl2br w:val="nil"/>
                    <w:tr2bl w:val="nil"/>
                  </w:tcBorders>
                  <w:vAlign w:val="center"/>
                </w:tcPr>
                <w:p>
                  <w:pPr>
                    <w:pStyle w:val="261"/>
                    <w:spacing w:line="240" w:lineRule="auto"/>
                    <w:rPr>
                      <w:rFonts w:ascii="Times New Roman" w:hAnsi="Times New Roman" w:eastAsia="宋体" w:cs="Times New Roman"/>
                      <w:color w:val="000000" w:themeColor="text1"/>
                      <w:kern w:val="0"/>
                      <w:sz w:val="21"/>
                      <w:szCs w:val="21"/>
                      <w:highlight w:val="yellow"/>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T/</w:t>
                  </w:r>
                  <w:r>
                    <w:rPr>
                      <w:rFonts w:hint="eastAsia" w:eastAsia="宋体"/>
                      <w:color w:val="000000" w:themeColor="text1"/>
                      <w:sz w:val="21"/>
                      <w:szCs w:val="21"/>
                      <w:highlight w:val="none"/>
                      <w14:textFill>
                        <w14:solidFill>
                          <w14:schemeClr w14:val="tx1"/>
                        </w14:solidFill>
                      </w14:textFill>
                    </w:rPr>
                    <w:t>I</w:t>
                  </w:r>
                </w:p>
              </w:tc>
              <w:tc>
                <w:tcPr>
                  <w:tcW w:w="956" w:type="dxa"/>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77" w:type="dxa"/>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5</w:t>
                  </w:r>
                </w:p>
              </w:tc>
              <w:tc>
                <w:tcPr>
                  <w:tcW w:w="904" w:type="dxa"/>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废导热油</w:t>
                  </w:r>
                </w:p>
              </w:tc>
              <w:tc>
                <w:tcPr>
                  <w:tcW w:w="844" w:type="dxa"/>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1330" w:type="dxa"/>
                  <w:tcBorders>
                    <w:tl2br w:val="nil"/>
                    <w:tr2bl w:val="nil"/>
                  </w:tcBorders>
                  <w:vAlign w:val="center"/>
                </w:tcPr>
                <w:p>
                  <w:pPr>
                    <w:pStyle w:val="261"/>
                    <w:spacing w:line="240" w:lineRule="auto"/>
                    <w:rPr>
                      <w:rFonts w:hint="default" w:eastAsia="宋体"/>
                      <w:color w:val="000000" w:themeColor="text1"/>
                      <w:kern w:val="1"/>
                      <w:sz w:val="21"/>
                      <w:szCs w:val="21"/>
                      <w:highlight w:val="none"/>
                      <w:lang w:val="en-US" w:eastAsia="zh-CN"/>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916" w:type="dxa"/>
                  <w:tcBorders>
                    <w:tl2br w:val="nil"/>
                    <w:tr2bl w:val="nil"/>
                  </w:tcBorders>
                  <w:vAlign w:val="center"/>
                </w:tcPr>
                <w:p>
                  <w:pPr>
                    <w:widowControl/>
                    <w:jc w:val="center"/>
                    <w:textAlignment w:val="center"/>
                    <w:rPr>
                      <w:rFonts w:hint="default" w:eastAsia="宋体"/>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5</w:t>
                  </w:r>
                </w:p>
              </w:tc>
              <w:tc>
                <w:tcPr>
                  <w:tcW w:w="1006" w:type="dxa"/>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导热油锅炉</w:t>
                  </w:r>
                </w:p>
              </w:tc>
              <w:tc>
                <w:tcPr>
                  <w:tcW w:w="595" w:type="dxa"/>
                  <w:tcBorders>
                    <w:tl2br w:val="nil"/>
                    <w:tr2bl w:val="nil"/>
                  </w:tcBorders>
                  <w:vAlign w:val="center"/>
                </w:tcPr>
                <w:p>
                  <w:pPr>
                    <w:jc w:val="center"/>
                    <w:rPr>
                      <w:rFonts w:hint="eastAsia" w:eastAsia="宋体"/>
                      <w:color w:val="000000" w:themeColor="text1"/>
                      <w:kern w:val="0"/>
                      <w:sz w:val="21"/>
                      <w:szCs w:val="21"/>
                      <w:lang w:val="en-US" w:eastAsia="zh-CN"/>
                      <w14:textFill>
                        <w14:solidFill>
                          <w14:schemeClr w14:val="tx1"/>
                        </w14:solidFill>
                      </w14:textFill>
                    </w:rPr>
                  </w:pPr>
                  <w:r>
                    <w:rPr>
                      <w:color w:val="000000" w:themeColor="text1"/>
                      <w:kern w:val="0"/>
                      <w:sz w:val="21"/>
                      <w:szCs w:val="21"/>
                      <w14:textFill>
                        <w14:solidFill>
                          <w14:schemeClr w14:val="tx1"/>
                        </w14:solidFill>
                      </w14:textFill>
                    </w:rPr>
                    <w:t>液态</w:t>
                  </w:r>
                </w:p>
              </w:tc>
              <w:tc>
                <w:tcPr>
                  <w:tcW w:w="718" w:type="dxa"/>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每年</w:t>
                  </w:r>
                </w:p>
              </w:tc>
              <w:tc>
                <w:tcPr>
                  <w:tcW w:w="893" w:type="dxa"/>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color w:val="000000" w:themeColor="text1"/>
                      <w:sz w:val="21"/>
                      <w:szCs w:val="21"/>
                      <w:highlight w:val="none"/>
                      <w14:textFill>
                        <w14:solidFill>
                          <w14:schemeClr w14:val="tx1"/>
                        </w14:solidFill>
                      </w14:textFill>
                    </w:rPr>
                    <w:t>T/I</w:t>
                  </w:r>
                </w:p>
              </w:tc>
              <w:tc>
                <w:tcPr>
                  <w:tcW w:w="956" w:type="dxa"/>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477" w:type="dxa"/>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6</w:t>
                  </w:r>
                </w:p>
              </w:tc>
              <w:tc>
                <w:tcPr>
                  <w:tcW w:w="904" w:type="dxa"/>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w:t>
                  </w:r>
                </w:p>
              </w:tc>
              <w:tc>
                <w:tcPr>
                  <w:tcW w:w="844"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1330" w:type="dxa"/>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916" w:type="dxa"/>
                  <w:tcBorders>
                    <w:tl2br w:val="nil"/>
                    <w:tr2bl w:val="nil"/>
                  </w:tcBorders>
                  <w:vAlign w:val="center"/>
                </w:tcPr>
                <w:p>
                  <w:pPr>
                    <w:widowControl/>
                    <w:jc w:val="center"/>
                    <w:textAlignment w:val="center"/>
                    <w:rPr>
                      <w:rFonts w:hint="default"/>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1006" w:type="dxa"/>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车辆清洗装置</w:t>
                  </w:r>
                </w:p>
              </w:tc>
              <w:tc>
                <w:tcPr>
                  <w:tcW w:w="595" w:type="dxa"/>
                  <w:tcBorders>
                    <w:tl2br w:val="nil"/>
                    <w:tr2bl w:val="nil"/>
                  </w:tcBorders>
                  <w:vAlign w:val="center"/>
                </w:tcPr>
                <w:p>
                  <w:pPr>
                    <w:jc w:val="center"/>
                    <w:rPr>
                      <w:rFonts w:hint="eastAsia"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液态</w:t>
                  </w:r>
                </w:p>
              </w:tc>
              <w:tc>
                <w:tcPr>
                  <w:tcW w:w="718" w:type="dxa"/>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772" w:type="dxa"/>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每半年</w:t>
                  </w:r>
                </w:p>
              </w:tc>
              <w:tc>
                <w:tcPr>
                  <w:tcW w:w="893" w:type="dxa"/>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rFonts w:hint="eastAsia" w:eastAsia="宋体"/>
                      <w:color w:val="000000" w:themeColor="text1"/>
                      <w:sz w:val="21"/>
                      <w:szCs w:val="21"/>
                      <w:highlight w:val="none"/>
                      <w:lang w:val="en-US" w:eastAsia="zh-CN"/>
                      <w14:textFill>
                        <w14:solidFill>
                          <w14:schemeClr w14:val="tx1"/>
                        </w14:solidFill>
                      </w14:textFill>
                    </w:rPr>
                    <w:t>T/I</w:t>
                  </w:r>
                </w:p>
              </w:tc>
              <w:tc>
                <w:tcPr>
                  <w:tcW w:w="956" w:type="dxa"/>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bl>
          <w:p>
            <w:pPr>
              <w:adjustRightInd w:val="0"/>
              <w:snapToGrid w:val="0"/>
              <w:spacing w:line="480" w:lineRule="exact"/>
              <w:ind w:firstLine="482"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cs="Times New Roman"/>
                <w:b/>
                <w:bCs w:val="0"/>
                <w:color w:val="000000" w:themeColor="text1"/>
                <w:sz w:val="24"/>
                <w:highlight w:val="none"/>
                <w:lang w:val="en-US" w:eastAsia="zh-CN"/>
                <w14:textFill>
                  <w14:solidFill>
                    <w14:schemeClr w14:val="tx1"/>
                  </w14:solidFill>
                </w14:textFill>
              </w:rPr>
              <w:t>危废间</w:t>
            </w:r>
            <w:r>
              <w:rPr>
                <w:rFonts w:hint="eastAsia" w:ascii="Times New Roman" w:hAnsi="Times New Roman" w:eastAsia="宋体" w:cs="Times New Roman"/>
                <w:b/>
                <w:bCs w:val="0"/>
                <w:color w:val="000000" w:themeColor="text1"/>
                <w:sz w:val="24"/>
                <w:highlight w:val="none"/>
                <w:lang w:val="en-US" w:eastAsia="zh-CN"/>
                <w14:textFill>
                  <w14:solidFill>
                    <w14:schemeClr w14:val="tx1"/>
                  </w14:solidFill>
                </w14:textFill>
              </w:rPr>
              <w:t>依托可行性分析：</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本项目依托</w:t>
            </w:r>
            <w:r>
              <w:rPr>
                <w:rFonts w:hint="eastAsia" w:cs="Times New Roman"/>
                <w:bCs/>
                <w:color w:val="000000" w:themeColor="text1"/>
                <w:sz w:val="24"/>
                <w:highlight w:val="none"/>
                <w:lang w:val="en-US" w:eastAsia="zh-CN"/>
                <w14:textFill>
                  <w14:solidFill>
                    <w14:schemeClr w14:val="tx1"/>
                  </w14:solidFill>
                </w14:textFill>
              </w:rPr>
              <w:t>危废间所在地</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地质结构稳定、地震烈度不超过7度，底部高于地下水最高水位，</w:t>
            </w:r>
            <w:r>
              <w:rPr>
                <w:rFonts w:hint="eastAsia" w:cs="Times New Roman"/>
                <w:bCs/>
                <w:color w:val="000000" w:themeColor="text1"/>
                <w:sz w:val="24"/>
                <w:highlight w:val="none"/>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选址符合《建设项目危险废物环境影响评价指南》和《危险废物贮存污染控制标准》（GB18597-2023）的要求，且已按相关要求做好了防渗措施。</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面积为</w:t>
            </w:r>
            <w:r>
              <w:rPr>
                <w:rFonts w:hint="eastAsia" w:cs="Times New Roman"/>
                <w:bCs/>
                <w:color w:val="000000" w:themeColor="text1"/>
                <w:sz w:val="24"/>
                <w:lang w:val="en-US" w:eastAsia="zh-CN"/>
                <w14:textFill>
                  <w14:solidFill>
                    <w14:schemeClr w14:val="tx1"/>
                  </w14:solidFill>
                </w14:textFill>
              </w:rPr>
              <w:t>10</w:t>
            </w:r>
            <w:r>
              <w:rPr>
                <w:rFonts w:hint="eastAsia" w:ascii="Times New Roman" w:hAnsi="Times New Roman" w:eastAsia="宋体" w:cs="Times New Roman"/>
                <w:bCs/>
                <w:color w:val="000000" w:themeColor="text1"/>
                <w:sz w:val="24"/>
                <w:lang w:val="en-US" w:eastAsia="zh-CN"/>
                <w14:textFill>
                  <w14:solidFill>
                    <w14:schemeClr w14:val="tx1"/>
                  </w14:solidFill>
                </w14:textFill>
              </w:rPr>
              <w:t>m</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2</w:t>
            </w:r>
            <w:r>
              <w:rPr>
                <w:rFonts w:hint="eastAsia" w:ascii="Times New Roman" w:hAnsi="Times New Roman" w:eastAsia="宋体" w:cs="Times New Roman"/>
                <w:bCs/>
                <w:color w:val="000000" w:themeColor="text1"/>
                <w:sz w:val="24"/>
                <w:lang w:val="en-US" w:eastAsia="zh-CN"/>
                <w14:textFill>
                  <w14:solidFill>
                    <w14:schemeClr w14:val="tx1"/>
                  </w14:solidFill>
                </w14:textFill>
              </w:rPr>
              <w:t>，根据危废种类的不同设置不同分区，具体情况见下表：</w:t>
            </w:r>
          </w:p>
          <w:p>
            <w:pPr>
              <w:pStyle w:val="120"/>
              <w:numPr>
                <w:ilvl w:val="0"/>
                <w:numId w:val="17"/>
              </w:numPr>
              <w:spacing w:line="240" w:lineRule="auto"/>
              <w:rPr>
                <w:color w:val="000000" w:themeColor="text1"/>
                <w:sz w:val="21"/>
                <w:szCs w:val="21"/>
                <w14:textFill>
                  <w14:solidFill>
                    <w14:schemeClr w14:val="tx1"/>
                  </w14:solidFill>
                </w14:textFill>
              </w:rPr>
            </w:pPr>
            <w:r>
              <w:rPr>
                <w:rFonts w:hint="eastAsia"/>
                <w:color w:val="000000" w:themeColor="text1"/>
                <w14:textFill>
                  <w14:solidFill>
                    <w14:schemeClr w14:val="tx1"/>
                  </w14:solidFill>
                </w14:textFill>
              </w:rPr>
              <w:t>项目</w:t>
            </w:r>
            <w:r>
              <w:rPr>
                <w:rFonts w:hint="eastAsia"/>
                <w:color w:val="000000" w:themeColor="text1"/>
                <w:lang w:val="en-US" w:eastAsia="zh-CN"/>
                <w14:textFill>
                  <w14:solidFill>
                    <w14:schemeClr w14:val="tx1"/>
                  </w14:solidFill>
                </w14:textFill>
              </w:rPr>
              <w:t>危险废物贮存场所（设施）基本情况表</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1377"/>
              <w:gridCol w:w="1238"/>
              <w:gridCol w:w="1763"/>
              <w:gridCol w:w="889"/>
              <w:gridCol w:w="938"/>
              <w:gridCol w:w="917"/>
              <w:gridCol w:w="90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185" w:hRule="atLeast"/>
                <w:jc w:val="center"/>
              </w:trPr>
              <w:tc>
                <w:tcPr>
                  <w:tcW w:w="1385"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贮存场所(设施名称)</w:t>
                  </w:r>
                </w:p>
              </w:tc>
              <w:tc>
                <w:tcPr>
                  <w:tcW w:w="1377"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危险废物名称</w:t>
                  </w:r>
                </w:p>
              </w:tc>
              <w:tc>
                <w:tcPr>
                  <w:tcW w:w="1238"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危险废物类别</w:t>
                  </w:r>
                </w:p>
              </w:tc>
              <w:tc>
                <w:tcPr>
                  <w:tcW w:w="1763"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w:t>
                  </w:r>
                </w:p>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代码</w:t>
                  </w:r>
                </w:p>
              </w:tc>
              <w:tc>
                <w:tcPr>
                  <w:tcW w:w="889"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占地面积</w:t>
                  </w:r>
                </w:p>
              </w:tc>
              <w:tc>
                <w:tcPr>
                  <w:tcW w:w="938"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贮存方式</w:t>
                  </w:r>
                </w:p>
              </w:tc>
              <w:tc>
                <w:tcPr>
                  <w:tcW w:w="917" w:type="dxa"/>
                  <w:tcBorders>
                    <w:tl2br w:val="nil"/>
                    <w:tr2bl w:val="nil"/>
                  </w:tcBorders>
                  <w:vAlign w:val="center"/>
                </w:tcPr>
                <w:p>
                  <w:pPr>
                    <w:snapToGrid w:val="0"/>
                    <w:jc w:val="center"/>
                    <w:rPr>
                      <w:b/>
                      <w:bCs/>
                      <w:color w:val="000000" w:themeColor="text1"/>
                      <w:kern w:val="0"/>
                      <w:sz w:val="21"/>
                      <w:szCs w:val="21"/>
                      <w:highlight w:val="none"/>
                      <w14:textFill>
                        <w14:solidFill>
                          <w14:schemeClr w14:val="tx1"/>
                        </w14:solidFill>
                      </w14:textFill>
                    </w:rPr>
                  </w:pPr>
                  <w:r>
                    <w:rPr>
                      <w:rFonts w:hint="eastAsia"/>
                      <w:b/>
                      <w:bCs/>
                      <w:color w:val="000000" w:themeColor="text1"/>
                      <w:kern w:val="0"/>
                      <w:sz w:val="21"/>
                      <w:szCs w:val="21"/>
                      <w:highlight w:val="none"/>
                      <w:lang w:val="en-US" w:eastAsia="zh-CN"/>
                      <w14:textFill>
                        <w14:solidFill>
                          <w14:schemeClr w14:val="tx1"/>
                        </w14:solidFill>
                      </w14:textFill>
                    </w:rPr>
                    <w:t>最大</w:t>
                  </w:r>
                  <w:r>
                    <w:rPr>
                      <w:b/>
                      <w:bCs/>
                      <w:color w:val="000000" w:themeColor="text1"/>
                      <w:kern w:val="0"/>
                      <w:sz w:val="21"/>
                      <w:szCs w:val="21"/>
                      <w:highlight w:val="none"/>
                      <w14:textFill>
                        <w14:solidFill>
                          <w14:schemeClr w14:val="tx1"/>
                        </w14:solidFill>
                      </w14:textFill>
                    </w:rPr>
                    <w:t>贮存能力</w:t>
                  </w:r>
                </w:p>
              </w:tc>
              <w:tc>
                <w:tcPr>
                  <w:tcW w:w="904" w:type="dxa"/>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贮存周期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restart"/>
                  <w:tcBorders>
                    <w:tl2br w:val="nil"/>
                    <w:tr2bl w:val="nil"/>
                  </w:tcBorders>
                  <w:vAlign w:val="center"/>
                </w:tcPr>
                <w:p>
                  <w:pPr>
                    <w:snapToGrid w:val="0"/>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eastAsia="zh-CN"/>
                      <w14:textFill>
                        <w14:solidFill>
                          <w14:schemeClr w14:val="tx1"/>
                        </w14:solidFill>
                      </w14:textFill>
                    </w:rPr>
                    <w:t>危废</w:t>
                  </w:r>
                  <w:r>
                    <w:rPr>
                      <w:rFonts w:hint="eastAsia"/>
                      <w:color w:val="000000" w:themeColor="text1"/>
                      <w:kern w:val="0"/>
                      <w:sz w:val="21"/>
                      <w:szCs w:val="21"/>
                      <w:lang w:val="en-US" w:eastAsia="zh-CN"/>
                      <w14:textFill>
                        <w14:solidFill>
                          <w14:schemeClr w14:val="tx1"/>
                        </w14:solidFill>
                      </w14:textFill>
                    </w:rPr>
                    <w:t>间</w:t>
                  </w:r>
                </w:p>
              </w:tc>
              <w:tc>
                <w:tcPr>
                  <w:tcW w:w="1377" w:type="dxa"/>
                  <w:tcBorders>
                    <w:tl2br w:val="nil"/>
                    <w:tr2bl w:val="nil"/>
                  </w:tcBorders>
                  <w:vAlign w:val="center"/>
                </w:tcPr>
                <w:p>
                  <w:pPr>
                    <w:topLinePunct/>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废活性炭</w:t>
                  </w:r>
                </w:p>
              </w:tc>
              <w:tc>
                <w:tcPr>
                  <w:tcW w:w="1238"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1763"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highlight w:val="yellow"/>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39</w:t>
                  </w:r>
                  <w:r>
                    <w:rPr>
                      <w:color w:val="000000" w:themeColor="text1"/>
                      <w:kern w:val="1"/>
                      <w:sz w:val="21"/>
                      <w:szCs w:val="21"/>
                      <w:highlight w:val="none"/>
                      <w14:textFill>
                        <w14:solidFill>
                          <w14:schemeClr w14:val="tx1"/>
                        </w14:solidFill>
                      </w14:textFill>
                    </w:rPr>
                    <w:t>‒49</w:t>
                  </w:r>
                </w:p>
              </w:tc>
              <w:tc>
                <w:tcPr>
                  <w:tcW w:w="889" w:type="dxa"/>
                  <w:vMerge w:val="restar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10</w:t>
                  </w:r>
                  <w:r>
                    <w:rPr>
                      <w:color w:val="000000" w:themeColor="text1"/>
                      <w:kern w:val="0"/>
                      <w:sz w:val="21"/>
                      <w:szCs w:val="21"/>
                      <w14:textFill>
                        <w14:solidFill>
                          <w14:schemeClr w14:val="tx1"/>
                        </w14:solidFill>
                      </w14:textFill>
                    </w:rPr>
                    <w:t>m</w:t>
                  </w:r>
                  <w:r>
                    <w:rPr>
                      <w:color w:val="000000" w:themeColor="text1"/>
                      <w:kern w:val="0"/>
                      <w:sz w:val="21"/>
                      <w:szCs w:val="21"/>
                      <w:vertAlign w:val="superscript"/>
                      <w14:textFill>
                        <w14:solidFill>
                          <w14:schemeClr w14:val="tx1"/>
                        </w14:solidFill>
                      </w14:textFill>
                    </w:rPr>
                    <w:t>2</w:t>
                  </w:r>
                </w:p>
              </w:tc>
              <w:tc>
                <w:tcPr>
                  <w:tcW w:w="938" w:type="dxa"/>
                  <w:tcBorders>
                    <w:tl2br w:val="nil"/>
                    <w:tr2bl w:val="nil"/>
                  </w:tcBorders>
                  <w:vAlign w:val="center"/>
                </w:tcPr>
                <w:p>
                  <w:pPr>
                    <w:snapToGrid w:val="0"/>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tcBorders>
                    <w:tl2br w:val="nil"/>
                    <w:tr2bl w:val="nil"/>
                  </w:tcBorders>
                  <w:vAlign w:val="center"/>
                </w:tcPr>
                <w:p>
                  <w:pPr>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2</w:t>
                  </w:r>
                  <w:r>
                    <w:rPr>
                      <w:color w:val="000000" w:themeColor="text1"/>
                      <w:kern w:val="0"/>
                      <w:sz w:val="21"/>
                      <w:szCs w:val="21"/>
                      <w:highlight w:val="none"/>
                      <w14:textFill>
                        <w14:solidFill>
                          <w14:schemeClr w14:val="tx1"/>
                        </w14:solidFill>
                      </w14:textFill>
                    </w:rPr>
                    <w:t>t</w:t>
                  </w:r>
                </w:p>
              </w:tc>
              <w:tc>
                <w:tcPr>
                  <w:tcW w:w="904" w:type="dxa"/>
                  <w:tcBorders>
                    <w:tl2br w:val="nil"/>
                    <w:tr2bl w:val="nil"/>
                  </w:tcBorders>
                  <w:vAlign w:val="center"/>
                </w:tcPr>
                <w:p>
                  <w:pPr>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5个月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1377" w:type="dxa"/>
                  <w:tcBorders>
                    <w:tl2br w:val="nil"/>
                    <w:tr2bl w:val="nil"/>
                  </w:tcBorders>
                  <w:vAlign w:val="center"/>
                </w:tcPr>
                <w:p>
                  <w:pPr>
                    <w:topLinePunct/>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废机油桶</w:t>
                  </w:r>
                </w:p>
              </w:tc>
              <w:tc>
                <w:tcPr>
                  <w:tcW w:w="1238"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2"/>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1763"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1"/>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47</w:t>
                  </w:r>
                  <w:r>
                    <w:rPr>
                      <w:color w:val="000000" w:themeColor="text1"/>
                      <w:kern w:val="1"/>
                      <w:sz w:val="21"/>
                      <w:szCs w:val="21"/>
                      <w:highlight w:val="none"/>
                      <w14:textFill>
                        <w14:solidFill>
                          <w14:schemeClr w14:val="tx1"/>
                        </w14:solidFill>
                      </w14:textFill>
                    </w:rPr>
                    <w:t>‒49</w:t>
                  </w:r>
                </w:p>
              </w:tc>
              <w:tc>
                <w:tcPr>
                  <w:tcW w:w="889"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938" w:type="dxa"/>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tcBorders>
                    <w:tl2br w:val="nil"/>
                    <w:tr2bl w:val="nil"/>
                  </w:tcBorders>
                  <w:vAlign w:val="center"/>
                </w:tcPr>
                <w:p>
                  <w:pPr>
                    <w:snapToGrid w:val="0"/>
                    <w:jc w:val="center"/>
                    <w:rPr>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904" w:type="dxa"/>
                  <w:tcBorders>
                    <w:tl2br w:val="nil"/>
                    <w:tr2bl w:val="nil"/>
                  </w:tcBorders>
                  <w:vAlign w:val="center"/>
                </w:tcPr>
                <w:p>
                  <w:pPr>
                    <w:snapToGrid w:val="0"/>
                    <w:jc w:val="center"/>
                    <w:rPr>
                      <w:rFonts w:hint="default"/>
                      <w:color w:val="000000" w:themeColor="text1"/>
                      <w:kern w:val="0"/>
                      <w:sz w:val="21"/>
                      <w:szCs w:val="21"/>
                      <w:lang w:val="en-US"/>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一季度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1377" w:type="dxa"/>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w:t>
                  </w:r>
                </w:p>
              </w:tc>
              <w:tc>
                <w:tcPr>
                  <w:tcW w:w="1238" w:type="dxa"/>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1763"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214</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889"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938" w:type="dxa"/>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tcBorders>
                    <w:tl2br w:val="nil"/>
                    <w:tr2bl w:val="nil"/>
                  </w:tcBorders>
                  <w:vAlign w:val="center"/>
                </w:tcPr>
                <w:p>
                  <w:pPr>
                    <w:snapToGrid w:val="0"/>
                    <w:jc w:val="center"/>
                    <w:rPr>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904" w:type="dxa"/>
                  <w:tcBorders>
                    <w:tl2br w:val="nil"/>
                    <w:tr2bl w:val="nil"/>
                  </w:tcBorders>
                  <w:vAlign w:val="center"/>
                </w:tcPr>
                <w:p>
                  <w:pPr>
                    <w:snapToGrid w:val="0"/>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一季度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1377" w:type="dxa"/>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废油泥</w:t>
                  </w:r>
                </w:p>
              </w:tc>
              <w:tc>
                <w:tcPr>
                  <w:tcW w:w="1238" w:type="dxa"/>
                  <w:tcBorders>
                    <w:tl2br w:val="nil"/>
                    <w:tr2bl w:val="nil"/>
                  </w:tcBorders>
                  <w:vAlign w:val="center"/>
                </w:tcPr>
                <w:p>
                  <w:pPr>
                    <w:pStyle w:val="261"/>
                    <w:spacing w:line="240" w:lineRule="auto"/>
                    <w:rPr>
                      <w:rFonts w:hint="eastAsia" w:ascii="Times New Roman" w:hAnsi="Times New Roman" w:eastAsia="Times New Roman" w:cs="Times New Roman"/>
                      <w:color w:val="000000" w:themeColor="text1"/>
                      <w:kern w:val="0"/>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HW49</w:t>
                  </w:r>
                </w:p>
              </w:tc>
              <w:tc>
                <w:tcPr>
                  <w:tcW w:w="1763" w:type="dxa"/>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221</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889" w:type="dxa"/>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938" w:type="dxa"/>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tcBorders>
                    <w:tl2br w:val="nil"/>
                    <w:tr2bl w:val="nil"/>
                  </w:tcBorders>
                  <w:vAlign w:val="center"/>
                </w:tcPr>
                <w:p>
                  <w:pPr>
                    <w:snapToGrid w:val="0"/>
                    <w:jc w:val="center"/>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2</w:t>
                  </w:r>
                  <w:r>
                    <w:rPr>
                      <w:color w:val="000000" w:themeColor="text1"/>
                      <w:kern w:val="0"/>
                      <w:sz w:val="21"/>
                      <w:szCs w:val="21"/>
                      <w:highlight w:val="none"/>
                      <w14:textFill>
                        <w14:solidFill>
                          <w14:schemeClr w14:val="tx1"/>
                        </w14:solidFill>
                      </w14:textFill>
                    </w:rPr>
                    <w:t>t</w:t>
                  </w:r>
                </w:p>
              </w:tc>
              <w:tc>
                <w:tcPr>
                  <w:tcW w:w="904" w:type="dxa"/>
                  <w:tcBorders>
                    <w:tl2br w:val="nil"/>
                    <w:tr2bl w:val="nil"/>
                  </w:tcBorders>
                  <w:vAlign w:val="center"/>
                </w:tcPr>
                <w:p>
                  <w:pPr>
                    <w:snapToGrid w:val="0"/>
                    <w:jc w:val="center"/>
                    <w:rPr>
                      <w:rFonts w:hint="eastAsia"/>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w:t>
                  </w:r>
                  <w:r>
                    <w:rPr>
                      <w:rFonts w:hint="eastAsia"/>
                      <w:color w:val="000000" w:themeColor="text1"/>
                      <w:kern w:val="0"/>
                      <w:sz w:val="21"/>
                      <w:szCs w:val="21"/>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continue"/>
                </w:tcPr>
                <w:p>
                  <w:pPr>
                    <w:snapToGrid w:val="0"/>
                    <w:jc w:val="center"/>
                    <w:rPr>
                      <w:color w:val="000000" w:themeColor="text1"/>
                      <w:kern w:val="0"/>
                      <w:sz w:val="21"/>
                      <w:szCs w:val="21"/>
                      <w14:textFill>
                        <w14:solidFill>
                          <w14:schemeClr w14:val="tx1"/>
                        </w14:solidFill>
                      </w14:textFill>
                    </w:rPr>
                  </w:pPr>
                </w:p>
              </w:tc>
              <w:tc>
                <w:tcPr>
                  <w:tcW w:w="1377" w:type="dxa"/>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废导热油</w:t>
                  </w:r>
                </w:p>
              </w:tc>
              <w:tc>
                <w:tcPr>
                  <w:tcW w:w="1238" w:type="dxa"/>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1763" w:type="dxa"/>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889" w:type="dxa"/>
                  <w:vMerge w:val="continue"/>
                </w:tcPr>
                <w:p>
                  <w:pPr>
                    <w:snapToGrid w:val="0"/>
                    <w:jc w:val="center"/>
                    <w:rPr>
                      <w:color w:val="000000" w:themeColor="text1"/>
                      <w:kern w:val="0"/>
                      <w:sz w:val="21"/>
                      <w:szCs w:val="21"/>
                      <w14:textFill>
                        <w14:solidFill>
                          <w14:schemeClr w14:val="tx1"/>
                        </w14:solidFill>
                      </w14:textFill>
                    </w:rPr>
                  </w:pPr>
                </w:p>
              </w:tc>
              <w:tc>
                <w:tcPr>
                  <w:tcW w:w="938" w:type="dxa"/>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tcPr>
                <w:p>
                  <w:pPr>
                    <w:snapToGrid w:val="0"/>
                    <w:jc w:val="center"/>
                    <w:rPr>
                      <w:rFonts w:hint="default" w:eastAsia="宋体"/>
                      <w:color w:val="000000" w:themeColor="text1"/>
                      <w:kern w:val="0"/>
                      <w:sz w:val="21"/>
                      <w:szCs w:val="21"/>
                      <w:highlight w:val="none"/>
                      <w:lang w:val="en-US" w:eastAsia="zh-CN"/>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6t</w:t>
                  </w:r>
                </w:p>
              </w:tc>
              <w:tc>
                <w:tcPr>
                  <w:tcW w:w="904" w:type="dxa"/>
                </w:tcPr>
                <w:p>
                  <w:pPr>
                    <w:snapToGrid w:val="0"/>
                    <w:jc w:val="center"/>
                    <w:rPr>
                      <w:rFonts w:hint="eastAsia"/>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w:t>
                  </w:r>
                  <w:r>
                    <w:rPr>
                      <w:rFonts w:hint="eastAsia"/>
                      <w:color w:val="000000" w:themeColor="text1"/>
                      <w:kern w:val="0"/>
                      <w:sz w:val="21"/>
                      <w:szCs w:val="21"/>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85" w:type="dxa"/>
                  <w:vMerge w:val="continue"/>
                </w:tcPr>
                <w:p>
                  <w:pPr>
                    <w:snapToGrid w:val="0"/>
                    <w:jc w:val="center"/>
                    <w:rPr>
                      <w:color w:val="000000" w:themeColor="text1"/>
                      <w:kern w:val="0"/>
                      <w:sz w:val="21"/>
                      <w:szCs w:val="21"/>
                      <w14:textFill>
                        <w14:solidFill>
                          <w14:schemeClr w14:val="tx1"/>
                        </w14:solidFill>
                      </w14:textFill>
                    </w:rPr>
                  </w:pPr>
                </w:p>
              </w:tc>
              <w:tc>
                <w:tcPr>
                  <w:tcW w:w="1377" w:type="dxa"/>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w:t>
                  </w:r>
                </w:p>
              </w:tc>
              <w:tc>
                <w:tcPr>
                  <w:tcW w:w="1238" w:type="dxa"/>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1763" w:type="dxa"/>
                  <w:vAlign w:val="center"/>
                </w:tcPr>
                <w:p>
                  <w:pPr>
                    <w:pStyle w:val="261"/>
                    <w:spacing w:line="240" w:lineRule="auto"/>
                    <w:rPr>
                      <w:rFonts w:hint="eastAsia"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889" w:type="dxa"/>
                  <w:vMerge w:val="continue"/>
                </w:tcPr>
                <w:p>
                  <w:pPr>
                    <w:snapToGrid w:val="0"/>
                    <w:jc w:val="center"/>
                    <w:rPr>
                      <w:color w:val="000000" w:themeColor="text1"/>
                      <w:kern w:val="0"/>
                      <w:sz w:val="21"/>
                      <w:szCs w:val="21"/>
                      <w14:textFill>
                        <w14:solidFill>
                          <w14:schemeClr w14:val="tx1"/>
                        </w14:solidFill>
                      </w14:textFill>
                    </w:rPr>
                  </w:pPr>
                </w:p>
              </w:tc>
              <w:tc>
                <w:tcPr>
                  <w:tcW w:w="938" w:type="dxa"/>
                  <w:vAlign w:val="center"/>
                </w:tcPr>
                <w:p>
                  <w:pPr>
                    <w:snapToGrid w:val="0"/>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桶装</w:t>
                  </w:r>
                </w:p>
              </w:tc>
              <w:tc>
                <w:tcPr>
                  <w:tcW w:w="917" w:type="dxa"/>
                  <w:vAlign w:val="center"/>
                </w:tcPr>
                <w:p>
                  <w:pPr>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904" w:type="dxa"/>
                </w:tcPr>
                <w:p>
                  <w:pPr>
                    <w:snapToGrid w:val="0"/>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半年</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highlight w:val="none"/>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内各危废定期清理，按最大贮存周期产生量计</w:t>
            </w:r>
            <w:r>
              <w:rPr>
                <w:rFonts w:hint="eastAsia" w:cs="Times New Roman"/>
                <w:bCs/>
                <w:color w:val="000000" w:themeColor="text1"/>
                <w:sz w:val="24"/>
                <w:highlight w:val="none"/>
                <w:lang w:val="en-US" w:eastAsia="zh-CN"/>
                <w14:textFill>
                  <w14:solidFill>
                    <w14:schemeClr w14:val="tx1"/>
                  </w14:solidFill>
                </w14:textFill>
              </w:rPr>
              <w:t>，废活性炭</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1.33</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5个月</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废机油桶</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0.025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季度</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废机油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最大贮存量为0.</w:t>
            </w:r>
            <w:r>
              <w:rPr>
                <w:rFonts w:hint="eastAsia" w:cs="Times New Roman"/>
                <w:bCs/>
                <w:color w:val="000000" w:themeColor="text1"/>
                <w:sz w:val="24"/>
                <w:highlight w:val="none"/>
                <w:lang w:val="en-US" w:eastAsia="zh-CN"/>
                <w14:textFill>
                  <w14:solidFill>
                    <w14:schemeClr w14:val="tx1"/>
                  </w14:solidFill>
                </w14:textFill>
              </w:rPr>
              <w:t>025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季度</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废油泥</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废导热油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最大贮存量为5t/a</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0.05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半年</w:t>
            </w:r>
            <w:r>
              <w:rPr>
                <w:rFonts w:hint="eastAsia" w:ascii="Times New Roman" w:hAnsi="Times New Roman" w:eastAsia="宋体" w:cs="Times New Roman"/>
                <w:bCs/>
                <w:color w:val="000000" w:themeColor="text1"/>
                <w:sz w:val="24"/>
                <w:lang w:val="en-US" w:eastAsia="zh-CN"/>
                <w14:textFill>
                  <w14:solidFill>
                    <w14:schemeClr w14:val="tx1"/>
                  </w14:solidFill>
                </w14:textFill>
              </w:rPr>
              <w:t>；各类危险废物的最大贮存量均小于</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内相应的贮存能力；另外，根据危险废物之间性质的相容性，在</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内设置了不同的分区，同一分区内的危险废物不会发生反应，但本评价仍要求在同一分区内来源不同的危险废物需使用不同的容器单独盛装，不可混装存放。</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各类危险废物产生后及时在厂区内采用专用容器分类收集，人工转运至</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内分类暂存。危险废物的收集、厂内转运及暂存过程均无遗洒、泄漏，对环境影响较小。综上，本项目所依托的</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能够满足</w:t>
            </w:r>
            <w:r>
              <w:rPr>
                <w:rFonts w:hint="eastAsia" w:cs="Times New Roman"/>
                <w:bCs/>
                <w:color w:val="000000" w:themeColor="text1"/>
                <w:sz w:val="24"/>
                <w:lang w:val="en-US" w:eastAsia="zh-CN"/>
                <w14:textFill>
                  <w14:solidFill>
                    <w14:schemeClr w14:val="tx1"/>
                  </w14:solidFill>
                </w14:textFill>
              </w:rPr>
              <w:t>该</w:t>
            </w:r>
            <w:r>
              <w:rPr>
                <w:rFonts w:hint="eastAsia" w:ascii="Times New Roman" w:hAnsi="Times New Roman" w:eastAsia="宋体" w:cs="Times New Roman"/>
                <w:bCs/>
                <w:color w:val="000000" w:themeColor="text1"/>
                <w:sz w:val="24"/>
                <w:lang w:val="en-US" w:eastAsia="zh-CN"/>
                <w14:textFill>
                  <w14:solidFill>
                    <w14:schemeClr w14:val="tx1"/>
                  </w14:solidFill>
                </w14:textFill>
              </w:rPr>
              <w:t>厂区及本项目产生的危险废物临时贮存要求。</w:t>
            </w:r>
          </w:p>
          <w:p>
            <w:pPr>
              <w:adjustRightInd w:val="0"/>
              <w:snapToGrid w:val="0"/>
              <w:spacing w:line="480" w:lineRule="exact"/>
              <w:ind w:firstLine="482"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
                <w:bCs w:val="0"/>
                <w:color w:val="000000" w:themeColor="text1"/>
                <w:sz w:val="24"/>
                <w:lang w:val="en-US" w:eastAsia="zh-CN"/>
                <w14:textFill>
                  <w14:solidFill>
                    <w14:schemeClr w14:val="tx1"/>
                  </w14:solidFill>
                </w14:textFill>
              </w:rPr>
              <w:t>危废管理要求：</w:t>
            </w:r>
            <w:r>
              <w:rPr>
                <w:rFonts w:hint="eastAsia" w:cs="Times New Roman"/>
                <w:b w:val="0"/>
                <w:bCs/>
                <w:color w:val="000000" w:themeColor="text1"/>
                <w:sz w:val="24"/>
                <w:lang w:val="en-US" w:eastAsia="zh-CN"/>
                <w14:textFill>
                  <w14:solidFill>
                    <w14:schemeClr w14:val="tx1"/>
                  </w14:solidFill>
                </w14:textFill>
              </w:rPr>
              <w:t>①</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按照</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《危险废物贮存污染控制标准》（GB18597-2023）</w:t>
            </w:r>
            <w:r>
              <w:rPr>
                <w:rFonts w:hint="eastAsia" w:ascii="Times New Roman" w:hAnsi="Times New Roman" w:eastAsia="宋体" w:cs="Times New Roman"/>
                <w:bCs/>
                <w:color w:val="000000" w:themeColor="text1"/>
                <w:sz w:val="24"/>
                <w:lang w:val="en-US" w:eastAsia="zh-CN"/>
                <w14:textFill>
                  <w14:solidFill>
                    <w14:schemeClr w14:val="tx1"/>
                  </w14:solidFill>
                </w14:textFill>
              </w:rPr>
              <w:t>中的有关规定进行设置，满足防风、防雨、防晒要求，设立危险废物警示标志，由专人进行管理，做好危废转移记录。为防止危险固体废物在贮存过程中对周围环境产生影响</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②</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危险废物收集、贮存、运输时按毒性、易燃性和反应性等危险特性进行分类、包装并设置相应标志及标签。禁止将不相容（相互反应）危险废物在同一容器内混装。</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③</w:t>
            </w:r>
            <w:r>
              <w:rPr>
                <w:rFonts w:hint="eastAsia" w:ascii="Times New Roman" w:hAnsi="Times New Roman" w:eastAsia="宋体" w:cs="Times New Roman"/>
                <w:bCs/>
                <w:color w:val="000000" w:themeColor="text1"/>
                <w:sz w:val="24"/>
                <w:lang w:val="en-US" w:eastAsia="zh-CN"/>
                <w14:textFill>
                  <w14:solidFill>
                    <w14:schemeClr w14:val="tx1"/>
                  </w14:solidFill>
                </w14:textFill>
              </w:rPr>
              <w:t>对装有危险废物的容器定期进行检查，容器泄漏损坏时必须立即进行处理，并将危险废物装入完好容器内。</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④</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内部转运作业应满足如下要求：危险废物内部转运作业应采用专用的工具，内部转运填写《危险废物厂内转运记录表》；危险废物内部转运结束后，应对转运路线进行检查和清理，确保无危险废物遗失在转运路线上，对转运工具进行清洗</w:t>
            </w:r>
            <w:r>
              <w:rPr>
                <w:rFonts w:hint="eastAsia" w:cs="Times New Roman"/>
                <w:bCs/>
                <w:color w:val="000000" w:themeColor="text1"/>
                <w:sz w:val="24"/>
                <w:lang w:val="en-US" w:eastAsia="zh-CN"/>
                <w14:textFill>
                  <w14:solidFill>
                    <w14:schemeClr w14:val="tx1"/>
                  </w14:solidFill>
                </w14:textFill>
              </w:rPr>
              <w:t>；危险废物外部转运作业应由专业队伍进行安全运输。</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⑤</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危险废物转移应遵从《危险废物转移联单管理办法》及其他有关规定的要求。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综上所述，项目固体废物均得到合理处置，项目实施后对周围环境影响较小。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5、地下水、土壤</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本项目不需开展地下水、土壤环境影响评价。</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针对项目特点，为防止污染地下水及土壤，依据《环境影响评价技术导则 地下水环境》（HJ610-2016）相关要求，建设过程中采取以下防渗措施，防渗的设计使用年限不低于拟建项目主体工程设计使用年限。</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重点防渗区域：</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地面进行水泥硬化，涂刷环氧树脂漆，</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四周壁及裙角与地面防渗层连成整体，达到防渗防腐的目的，渗透系数小于1×10</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-10</w:t>
            </w:r>
            <w:r>
              <w:rPr>
                <w:rFonts w:hint="eastAsia" w:ascii="Times New Roman" w:hAnsi="Times New Roman" w:eastAsia="宋体" w:cs="Times New Roman"/>
                <w:bCs/>
                <w:color w:val="000000" w:themeColor="text1"/>
                <w:sz w:val="24"/>
                <w:lang w:val="en-US" w:eastAsia="zh-CN"/>
                <w14:textFill>
                  <w14:solidFill>
                    <w14:schemeClr w14:val="tx1"/>
                  </w14:solidFill>
                </w14:textFill>
              </w:rPr>
              <w:t>cm/s。</w:t>
            </w:r>
            <w:r>
              <w:rPr>
                <w:rFonts w:hint="eastAsia" w:cs="Times New Roman"/>
                <w:bCs/>
                <w:color w:val="000000" w:themeColor="text1"/>
                <w:sz w:val="24"/>
                <w:lang w:val="en-US" w:eastAsia="zh-CN"/>
                <w14:textFill>
                  <w14:solidFill>
                    <w14:schemeClr w14:val="tx1"/>
                  </w14:solidFill>
                </w14:textFill>
              </w:rPr>
              <w:t>车辆清洗系统占地、沥青储罐占地、橡胶油罐占地</w:t>
            </w:r>
            <w:r>
              <w:rPr>
                <w:rFonts w:hint="eastAsia" w:ascii="Times New Roman" w:hAnsi="Times New Roman" w:eastAsia="宋体" w:cs="Times New Roman"/>
                <w:bCs/>
                <w:color w:val="000000" w:themeColor="text1"/>
                <w:sz w:val="24"/>
                <w:lang w:val="en-US" w:eastAsia="zh-CN"/>
                <w14:textFill>
                  <w14:solidFill>
                    <w14:schemeClr w14:val="tx1"/>
                  </w14:solidFill>
                </w14:textFill>
              </w:rPr>
              <w:t>先用三合土处理，再用水泥硬化（池底部用10～15cm的防渗水泥浇底，中埋止水带、高密度聚乙烯（HDPE）防渗衬层），然后涂沥青防渗，并对水泥池内墙贴玻璃纤维布及环氧树脂。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一般防渗区域：</w:t>
            </w:r>
            <w:r>
              <w:rPr>
                <w:rFonts w:hint="eastAsia" w:cs="Times New Roman"/>
                <w:bCs/>
                <w:color w:val="000000" w:themeColor="text1"/>
                <w:sz w:val="24"/>
                <w:lang w:val="en-US" w:eastAsia="zh-CN"/>
                <w14:textFill>
                  <w14:solidFill>
                    <w14:schemeClr w14:val="tx1"/>
                  </w14:solidFill>
                </w14:textFill>
              </w:rPr>
              <w:t>料仓、原料暂存区、生产车间、装配车间、半成品库</w:t>
            </w:r>
            <w:r>
              <w:rPr>
                <w:rFonts w:hint="eastAsia" w:ascii="Times New Roman" w:hAnsi="Times New Roman" w:eastAsia="宋体" w:cs="Times New Roman"/>
                <w:bCs/>
                <w:color w:val="000000" w:themeColor="text1"/>
                <w:sz w:val="24"/>
                <w:lang w:val="en-US" w:eastAsia="zh-CN"/>
                <w14:textFill>
                  <w14:solidFill>
                    <w14:schemeClr w14:val="tx1"/>
                  </w14:solidFill>
                </w14:textFill>
              </w:rPr>
              <w:t>等采取三七灰土铺底，上层铺水泥硬化，使渗透系数小于1×10</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-7</w:t>
            </w:r>
            <w:r>
              <w:rPr>
                <w:rFonts w:hint="eastAsia" w:ascii="Times New Roman" w:hAnsi="Times New Roman" w:eastAsia="宋体" w:cs="Times New Roman"/>
                <w:bCs/>
                <w:color w:val="000000" w:themeColor="text1"/>
                <w:sz w:val="24"/>
                <w:lang w:val="en-US" w:eastAsia="zh-CN"/>
                <w14:textFill>
                  <w14:solidFill>
                    <w14:schemeClr w14:val="tx1"/>
                  </w14:solidFill>
                </w14:textFill>
              </w:rPr>
              <w:t>cm/s。</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6、生态环境影响分析</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本项目位于</w:t>
            </w:r>
            <w:r>
              <w:rPr>
                <w:rFonts w:hint="eastAsia"/>
                <w:color w:val="000000" w:themeColor="text1"/>
                <w:sz w:val="24"/>
                <w:highlight w:val="none"/>
                <w:u w:val="none"/>
                <w:lang w:val="en-US" w:eastAsia="zh-CN"/>
                <w14:textFill>
                  <w14:solidFill>
                    <w14:schemeClr w14:val="tx1"/>
                  </w14:solidFill>
                </w14:textFill>
              </w:rPr>
              <w:t>高邑县107国道与中韩公路交口东南角河北储歌新能源科技有限公司现有厂房</w:t>
            </w:r>
            <w:r>
              <w:rPr>
                <w:rFonts w:hint="eastAsia"/>
                <w:color w:val="000000" w:themeColor="text1"/>
                <w:sz w:val="24"/>
                <w:lang w:val="en-US" w:eastAsia="zh-CN"/>
                <w14:textFill>
                  <w14:solidFill>
                    <w14:schemeClr w14:val="tx1"/>
                  </w14:solidFill>
                </w14:textFill>
              </w:rPr>
              <w:t>内</w:t>
            </w:r>
            <w:r>
              <w:rPr>
                <w:rFonts w:hint="eastAsia" w:ascii="Times New Roman" w:hAnsi="Times New Roman" w:eastAsia="宋体" w:cs="Times New Roman"/>
                <w:bCs/>
                <w:color w:val="000000" w:themeColor="text1"/>
                <w:sz w:val="24"/>
                <w:lang w:val="en-US" w:eastAsia="zh-CN"/>
                <w14:textFill>
                  <w14:solidFill>
                    <w14:schemeClr w14:val="tx1"/>
                  </w14:solidFill>
                </w14:textFill>
              </w:rPr>
              <w:t>，选址附近无珍稀动植物资源，无生态环境保护目标。因此本项目不会对周边生态环境产生影响。</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7、环境风险分析</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（1）风险调查</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本项目涉及的风险物质为</w:t>
            </w:r>
            <w:r>
              <w:rPr>
                <w:rFonts w:hint="eastAsia" w:cs="Times New Roman"/>
                <w:bCs/>
                <w:color w:val="000000" w:themeColor="text1"/>
                <w:sz w:val="24"/>
                <w:lang w:val="en-US" w:eastAsia="zh-CN"/>
                <w14:textFill>
                  <w14:solidFill>
                    <w14:schemeClr w14:val="tx1"/>
                  </w14:solidFill>
                </w14:textFill>
              </w:rPr>
              <w:t>天然气、沥青储罐、导热油、橡胶油、危险废物</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（2）风险识别</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w:t>
            </w:r>
            <w:r>
              <w:rPr>
                <w:rFonts w:hint="eastAsia" w:cs="Times New Roman"/>
                <w:bCs/>
                <w:color w:val="000000" w:themeColor="text1"/>
                <w:sz w:val="24"/>
                <w:lang w:val="en-US" w:eastAsia="zh-CN"/>
                <w14:textFill>
                  <w14:solidFill>
                    <w14:schemeClr w14:val="tx1"/>
                  </w14:solidFill>
                </w14:textFill>
              </w:rPr>
              <w:t>风险</w:t>
            </w:r>
            <w:r>
              <w:rPr>
                <w:rFonts w:hint="eastAsia" w:ascii="Times New Roman" w:hAnsi="Times New Roman" w:eastAsia="宋体" w:cs="Times New Roman"/>
                <w:bCs/>
                <w:color w:val="000000" w:themeColor="text1"/>
                <w:sz w:val="24"/>
                <w:lang w:val="en-US" w:eastAsia="zh-CN"/>
                <w14:textFill>
                  <w14:solidFill>
                    <w14:schemeClr w14:val="tx1"/>
                  </w14:solidFill>
                </w14:textFill>
              </w:rPr>
              <w:t>识别结果见</w:t>
            </w:r>
            <w:r>
              <w:rPr>
                <w:rFonts w:hint="eastAsia" w:cs="Times New Roman"/>
                <w:bCs/>
                <w:color w:val="000000" w:themeColor="text1"/>
                <w:sz w:val="24"/>
                <w:lang w:val="en-US" w:eastAsia="zh-CN"/>
                <w14:textFill>
                  <w14:solidFill>
                    <w14:schemeClr w14:val="tx1"/>
                  </w14:solidFill>
                </w14:textFill>
              </w:rPr>
              <w:t>下表</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pStyle w:val="120"/>
              <w:numPr>
                <w:ilvl w:val="0"/>
                <w:numId w:val="17"/>
              </w:numPr>
              <w:spacing w:line="240" w:lineRule="auto"/>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生产系统危险性识别结果一览表</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457"/>
              <w:gridCol w:w="1098"/>
              <w:gridCol w:w="887"/>
              <w:gridCol w:w="1303"/>
              <w:gridCol w:w="1098"/>
              <w:gridCol w:w="1518"/>
              <w:gridCol w:w="1231"/>
              <w:gridCol w:w="181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vMerge w:val="restar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序号</w:t>
                  </w:r>
                </w:p>
              </w:tc>
              <w:tc>
                <w:tcPr>
                  <w:tcW w:w="1098" w:type="dxa"/>
                  <w:vMerge w:val="restar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危险单元</w:t>
                  </w:r>
                </w:p>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名称</w:t>
                  </w:r>
                </w:p>
              </w:tc>
              <w:tc>
                <w:tcPr>
                  <w:tcW w:w="2190" w:type="dxa"/>
                  <w:gridSpan w:val="2"/>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单元内危险物质</w:t>
                  </w:r>
                </w:p>
              </w:tc>
              <w:tc>
                <w:tcPr>
                  <w:tcW w:w="5666" w:type="dxa"/>
                  <w:gridSpan w:val="4"/>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风险源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720" w:hRule="atLeast"/>
                <w:jc w:val="center"/>
              </w:trPr>
              <w:tc>
                <w:tcPr>
                  <w:tcW w:w="457"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1098"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危险物质</w:t>
                  </w:r>
                </w:p>
              </w:tc>
              <w:tc>
                <w:tcPr>
                  <w:tcW w:w="130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最大存在量(t)</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名称</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危险性</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存在条件</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转化为事故的触发因素</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130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易燃液体</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1098"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88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130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1518"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易燃液体</w:t>
                  </w:r>
                </w:p>
              </w:tc>
              <w:tc>
                <w:tcPr>
                  <w:tcW w:w="1231"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130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易燃易爆气体</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常温高压</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130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720</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高温常压</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vMerge w:val="restar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098" w:type="dxa"/>
                  <w:vMerge w:val="restar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危废间</w:t>
                  </w:r>
                </w:p>
              </w:tc>
              <w:tc>
                <w:tcPr>
                  <w:tcW w:w="88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废机油</w:t>
                  </w:r>
                </w:p>
              </w:tc>
              <w:tc>
                <w:tcPr>
                  <w:tcW w:w="130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0.033</w:t>
                  </w:r>
                </w:p>
              </w:tc>
              <w:tc>
                <w:tcPr>
                  <w:tcW w:w="1098"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机油</w:t>
                  </w:r>
                </w:p>
              </w:tc>
              <w:tc>
                <w:tcPr>
                  <w:tcW w:w="1518"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1231"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1098"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130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1518"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有毒液态物</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1098"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88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130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0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1231"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57" w:type="dxa"/>
                  <w:vMerge w:val="continue"/>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p>
              </w:tc>
              <w:tc>
                <w:tcPr>
                  <w:tcW w:w="1098" w:type="dxa"/>
                  <w:vMerge w:val="continue"/>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88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130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0.05</w:t>
                  </w:r>
                </w:p>
              </w:tc>
              <w:tc>
                <w:tcPr>
                  <w:tcW w:w="1098"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151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有毒液态物</w:t>
                  </w:r>
                </w:p>
              </w:tc>
              <w:tc>
                <w:tcPr>
                  <w:tcW w:w="1231"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1819"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bl>
          <w:p>
            <w:pPr>
              <w:adjustRightInd w:val="0"/>
              <w:snapToGrid w:val="0"/>
              <w:spacing w:line="480" w:lineRule="exact"/>
              <w:ind w:firstLine="480" w:firstLineChars="200"/>
              <w:rPr>
                <w:rFonts w:hint="default"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（3）环境影响途径</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本项目物质及生产系统危险性识别结果见下表。</w:t>
            </w:r>
          </w:p>
          <w:p>
            <w:pPr>
              <w:pStyle w:val="120"/>
              <w:numPr>
                <w:ilvl w:val="0"/>
                <w:numId w:val="17"/>
              </w:numPr>
              <w:spacing w:line="240" w:lineRule="auto"/>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本工程环境风险识别表</w:t>
            </w:r>
          </w:p>
          <w:tbl>
            <w:tblPr>
              <w:tblStyle w:val="42"/>
              <w:tblW w:w="9420" w:type="dxa"/>
              <w:jc w:val="center"/>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423"/>
              <w:gridCol w:w="896"/>
              <w:gridCol w:w="896"/>
              <w:gridCol w:w="2523"/>
              <w:gridCol w:w="948"/>
              <w:gridCol w:w="1736"/>
              <w:gridCol w:w="199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序号</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危险单元</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风险源</w:t>
                  </w:r>
                </w:p>
              </w:tc>
              <w:tc>
                <w:tcPr>
                  <w:tcW w:w="25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主要危险物质</w:t>
                  </w:r>
                </w:p>
              </w:tc>
              <w:tc>
                <w:tcPr>
                  <w:tcW w:w="94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环境风险</w:t>
                  </w:r>
                </w:p>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类型</w:t>
                  </w:r>
                </w:p>
              </w:tc>
              <w:tc>
                <w:tcPr>
                  <w:tcW w:w="173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环境影响途径</w:t>
                  </w:r>
                </w:p>
              </w:tc>
              <w:tc>
                <w:tcPr>
                  <w:tcW w:w="19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可能受影响的环境敏感目标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25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94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泄漏、火灾</w:t>
                  </w:r>
                </w:p>
              </w:tc>
              <w:tc>
                <w:tcPr>
                  <w:tcW w:w="173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大气、地下水、地表水</w:t>
                  </w:r>
                </w:p>
              </w:tc>
              <w:tc>
                <w:tcPr>
                  <w:tcW w:w="19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896"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896"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25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948"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泄漏、火灾</w:t>
                  </w:r>
                </w:p>
              </w:tc>
              <w:tc>
                <w:tcPr>
                  <w:tcW w:w="1736"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大气、地下水、地表水</w:t>
                  </w:r>
                </w:p>
              </w:tc>
              <w:tc>
                <w:tcPr>
                  <w:tcW w:w="1998"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25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94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火灾、泄漏</w:t>
                  </w:r>
                </w:p>
              </w:tc>
              <w:tc>
                <w:tcPr>
                  <w:tcW w:w="173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大气、地表水</w:t>
                  </w:r>
                </w:p>
              </w:tc>
              <w:tc>
                <w:tcPr>
                  <w:tcW w:w="19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25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94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173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大气、地下水、土壤</w:t>
                  </w:r>
                </w:p>
              </w:tc>
              <w:tc>
                <w:tcPr>
                  <w:tcW w:w="19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Ex>
              <w:trPr>
                <w:trHeight w:val="425" w:hRule="atLeast"/>
                <w:jc w:val="center"/>
              </w:trPr>
              <w:tc>
                <w:tcPr>
                  <w:tcW w:w="423"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危废间</w:t>
                  </w:r>
                </w:p>
              </w:tc>
              <w:tc>
                <w:tcPr>
                  <w:tcW w:w="89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危险废物</w:t>
                  </w:r>
                </w:p>
              </w:tc>
              <w:tc>
                <w:tcPr>
                  <w:tcW w:w="2523"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废机油、废油泥、废导热油、废油</w:t>
                  </w:r>
                </w:p>
              </w:tc>
              <w:tc>
                <w:tcPr>
                  <w:tcW w:w="94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1736"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地下水、土壤</w:t>
                  </w:r>
                </w:p>
              </w:tc>
              <w:tc>
                <w:tcPr>
                  <w:tcW w:w="1998"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w:t>
                  </w:r>
                </w:p>
              </w:tc>
            </w:tr>
          </w:tbl>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4</w:t>
            </w:r>
            <w:r>
              <w:rPr>
                <w:rFonts w:hint="eastAsia" w:ascii="Times New Roman" w:hAnsi="Times New Roman" w:eastAsia="宋体" w:cs="Times New Roman"/>
                <w:bCs/>
                <w:color w:val="000000" w:themeColor="text1"/>
                <w:sz w:val="24"/>
                <w:lang w:val="en-US" w:eastAsia="zh-CN"/>
                <w14:textFill>
                  <w14:solidFill>
                    <w14:schemeClr w14:val="tx1"/>
                  </w14:solidFill>
                </w14:textFill>
              </w:rPr>
              <w:t>）风险</w:t>
            </w:r>
            <w:r>
              <w:rPr>
                <w:rFonts w:hint="eastAsia" w:cs="Times New Roman"/>
                <w:bCs/>
                <w:color w:val="000000" w:themeColor="text1"/>
                <w:sz w:val="24"/>
                <w:lang w:val="en-US" w:eastAsia="zh-CN"/>
                <w14:textFill>
                  <w14:solidFill>
                    <w14:schemeClr w14:val="tx1"/>
                  </w14:solidFill>
                </w14:textFill>
              </w:rPr>
              <w:t>事故情形</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①导热油</w:t>
            </w:r>
            <w:r>
              <w:rPr>
                <w:rFonts w:hint="eastAsia" w:ascii="Times New Roman" w:hAnsi="Times New Roman" w:eastAsia="宋体" w:cs="Times New Roman"/>
                <w:bCs/>
                <w:color w:val="000000" w:themeColor="text1"/>
                <w:sz w:val="24"/>
                <w:lang w:val="en-US" w:eastAsia="zh-CN"/>
                <w14:textFill>
                  <w14:solidFill>
                    <w14:schemeClr w14:val="tx1"/>
                  </w14:solidFill>
                </w14:textFill>
              </w:rPr>
              <w:t>泄漏事故</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cs="Times New Roman"/>
                <w:bCs/>
                <w:color w:val="000000" w:themeColor="text1"/>
                <w:sz w:val="24"/>
                <w:lang w:val="en-US" w:eastAsia="zh-CN"/>
                <w14:textFill>
                  <w14:solidFill>
                    <w14:schemeClr w14:val="tx1"/>
                  </w14:solidFill>
                </w14:textFill>
              </w:rPr>
              <w:t>导热油</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储罐发生泄漏，主要是油类物质，会对地下水和土壤造成污染，泄漏过程后</w:t>
            </w:r>
            <w:r>
              <w:rPr>
                <w:rFonts w:hint="eastAsia"/>
                <w:color w:val="000000" w:themeColor="text1"/>
                <w:sz w:val="24"/>
                <w:szCs w:val="24"/>
                <w14:textFill>
                  <w14:solidFill>
                    <w14:schemeClr w14:val="tx1"/>
                  </w14:solidFill>
                </w14:textFill>
              </w:rPr>
              <w:t>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lang w:val="en-US" w:eastAsia="zh-CN"/>
                <w14:textFill>
                  <w14:solidFill>
                    <w14:schemeClr w14:val="tx1"/>
                  </w14:solidFill>
                </w14:textFill>
              </w:rPr>
              <w:t>造成</w:t>
            </w:r>
            <w:r>
              <w:rPr>
                <w:rFonts w:hint="eastAsia"/>
                <w:color w:val="000000" w:themeColor="text1"/>
                <w:sz w:val="24"/>
                <w:szCs w:val="24"/>
                <w14:textFill>
                  <w14:solidFill>
                    <w14:schemeClr w14:val="tx1"/>
                  </w14:solidFill>
                </w14:textFill>
              </w:rPr>
              <w:t>大气污染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②橡胶油泄漏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cs="Times New Roman"/>
                <w:bCs/>
                <w:color w:val="000000" w:themeColor="text1"/>
                <w:sz w:val="24"/>
                <w:lang w:val="en-US" w:eastAsia="zh-CN"/>
                <w14:textFill>
                  <w14:solidFill>
                    <w14:schemeClr w14:val="tx1"/>
                  </w14:solidFill>
                </w14:textFill>
              </w:rPr>
              <w:t>橡胶油</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储罐发生泄漏，主要是油类物质，会对地下水和土壤造成污染，泄漏过程后</w:t>
            </w:r>
            <w:r>
              <w:rPr>
                <w:rFonts w:hint="eastAsia"/>
                <w:color w:val="000000" w:themeColor="text1"/>
                <w:sz w:val="24"/>
                <w:szCs w:val="24"/>
                <w14:textFill>
                  <w14:solidFill>
                    <w14:schemeClr w14:val="tx1"/>
                  </w14:solidFill>
                </w14:textFill>
              </w:rPr>
              <w:t>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lang w:val="en-US" w:eastAsia="zh-CN"/>
                <w14:textFill>
                  <w14:solidFill>
                    <w14:schemeClr w14:val="tx1"/>
                  </w14:solidFill>
                </w14:textFill>
              </w:rPr>
              <w:t>造成</w:t>
            </w:r>
            <w:r>
              <w:rPr>
                <w:rFonts w:hint="eastAsia"/>
                <w:color w:val="000000" w:themeColor="text1"/>
                <w:sz w:val="24"/>
                <w:szCs w:val="24"/>
                <w14:textFill>
                  <w14:solidFill>
                    <w14:schemeClr w14:val="tx1"/>
                  </w14:solidFill>
                </w14:textFill>
              </w:rPr>
              <w:t>大气污染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③沥青泄漏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eastAsia="宋体" w:cs="Times New Roman"/>
                <w:bCs/>
                <w:color w:val="000000" w:themeColor="text1"/>
                <w:sz w:val="24"/>
                <w:lang w:val="en-US" w:eastAsia="zh-CN"/>
                <w14:textFill>
                  <w14:solidFill>
                    <w14:schemeClr w14:val="tx1"/>
                  </w14:solidFill>
                </w14:textFill>
              </w:rPr>
              <w:t>沥青</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储罐发生泄漏，会对地下水和土壤造成污染，泄漏过程中物料中的溶剂会部分挥发产生挥发性气体，造成大气污染</w:t>
            </w:r>
            <w:r>
              <w:rPr>
                <w:rFonts w:hint="eastAsia"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④天然气泄漏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eastAsia="宋体" w:cs="Times New Roman"/>
                <w:bCs/>
                <w:color w:val="000000" w:themeColor="text1"/>
                <w:sz w:val="24"/>
                <w:lang w:val="en-US" w:eastAsia="zh-CN"/>
                <w14:textFill>
                  <w14:solidFill>
                    <w14:schemeClr w14:val="tx1"/>
                  </w14:solidFill>
                </w14:textFill>
              </w:rPr>
              <w:t>天然气贮存于管道中，可能因</w:t>
            </w:r>
            <w:r>
              <w:rPr>
                <w:rFonts w:hint="eastAsia"/>
                <w:color w:val="000000" w:themeColor="text1"/>
                <w:sz w:val="24"/>
                <w:szCs w:val="24"/>
                <w14:textFill>
                  <w14:solidFill>
                    <w14:schemeClr w14:val="tx1"/>
                  </w14:solidFill>
                </w14:textFill>
              </w:rPr>
              <w:t>操作不当</w:t>
            </w:r>
            <w:r>
              <w:rPr>
                <w:rFonts w:hint="eastAsia"/>
                <w:color w:val="000000" w:themeColor="text1"/>
                <w:sz w:val="24"/>
                <w:szCs w:val="24"/>
                <w:lang w:val="en-US" w:eastAsia="zh-CN"/>
                <w14:textFill>
                  <w14:solidFill>
                    <w14:schemeClr w14:val="tx1"/>
                  </w14:solidFill>
                </w14:textFill>
              </w:rPr>
              <w:t>或</w:t>
            </w:r>
            <w:r>
              <w:rPr>
                <w:rFonts w:hint="eastAsia"/>
                <w:color w:val="000000" w:themeColor="text1"/>
                <w:sz w:val="24"/>
                <w:szCs w:val="24"/>
                <w14:textFill>
                  <w14:solidFill>
                    <w14:schemeClr w14:val="tx1"/>
                  </w14:solidFill>
                </w14:textFill>
              </w:rPr>
              <w:t>管道缺陷，发生泄漏</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14:textFill>
                  <w14:solidFill>
                    <w14:schemeClr w14:val="tx1"/>
                  </w14:solidFill>
                </w14:textFill>
              </w:rPr>
              <w:t>泄漏后，遇明火或者高热导致火灾、爆炸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14:textFill>
                  <w14:solidFill>
                    <w14:schemeClr w14:val="tx1"/>
                  </w14:solidFill>
                </w14:textFill>
              </w:rPr>
              <w:t>污染大气、水、土壤环境</w:t>
            </w:r>
            <w:r>
              <w:rPr>
                <w:rFonts w:hint="eastAsia"/>
                <w:color w:val="000000" w:themeColor="text1"/>
                <w:sz w:val="24"/>
                <w:szCs w:val="24"/>
                <w:lang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⑤</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由于操作不当致使危险物质泄漏，引起地下水、土壤污染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eastAsia="宋体" w:cs="Times New Roman"/>
                <w:bCs/>
                <w:color w:val="000000" w:themeColor="text1"/>
                <w:sz w:val="24"/>
                <w:lang w:val="en-US" w:eastAsia="zh-CN"/>
                <w14:textFill>
                  <w14:solidFill>
                    <w14:schemeClr w14:val="tx1"/>
                  </w14:solidFill>
                </w14:textFill>
              </w:rPr>
              <w:t>5</w:t>
            </w:r>
            <w:r>
              <w:rPr>
                <w:rFonts w:hint="eastAsia" w:ascii="Times New Roman" w:hAnsi="Times New Roman" w:eastAsia="宋体" w:cs="Times New Roman"/>
                <w:bCs/>
                <w:color w:val="000000" w:themeColor="text1"/>
                <w:sz w:val="24"/>
                <w:lang w:val="en-US" w:eastAsia="zh-CN"/>
                <w14:textFill>
                  <w14:solidFill>
                    <w14:schemeClr w14:val="tx1"/>
                  </w14:solidFill>
                </w14:textFill>
              </w:rPr>
              <w:t>）风险潜势初判</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计算所涉及的每种危险物质在厂界内的最大存在总量与其在《建设项目环境风险评价</w:t>
            </w:r>
            <w:r>
              <w:rPr>
                <w:rFonts w:hint="default" w:ascii="Times New Roman" w:hAnsi="Times New Roman" w:eastAsia="宋体" w:cs="Times New Roman"/>
                <w:bCs/>
                <w:color w:val="000000" w:themeColor="text1"/>
                <w:sz w:val="24"/>
                <w:lang w:val="en-US" w:eastAsia="zh-CN"/>
                <w14:textFill>
                  <w14:solidFill>
                    <w14:schemeClr w14:val="tx1"/>
                  </w14:solidFill>
                </w14:textFill>
              </w:rPr>
              <w:t>技术导则》（HJ169-2018）附录B中对应临界量的比值Q。</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当存在多种危险物质时，则按下式计算物质总量与其临界量比值（Q）：</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Q=q1/Q1+q2/Q2……+qn/Qn</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式中：q1，q2，…，qn——每种危险物质的最大存在总量，t；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Q1，Q2，…，Qn——每种危险物质的临界量，t。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当Q＜1时，该项目环境风险潜势为Ⅰ；当Q≥1时，将Q至划分为：</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（1）1≤Q＜10；（2）10≤Q＜100；（3）Q≥100。</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本项目Q值确定见下表。</w:t>
            </w:r>
          </w:p>
          <w:p>
            <w:pPr>
              <w:pStyle w:val="120"/>
              <w:numPr>
                <w:ilvl w:val="0"/>
                <w:numId w:val="17"/>
              </w:numPr>
              <w:spacing w:line="240" w:lineRule="auto"/>
              <w:rPr>
                <w:color w:val="000000" w:themeColor="text1"/>
                <w:sz w:val="21"/>
                <w:szCs w:val="2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Q值确定表</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710"/>
              <w:gridCol w:w="1967"/>
              <w:gridCol w:w="2459"/>
              <w:gridCol w:w="1589"/>
              <w:gridCol w:w="2686"/>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序号</w:t>
                  </w:r>
                </w:p>
              </w:tc>
              <w:tc>
                <w:tcPr>
                  <w:tcW w:w="1967" w:type="dxa"/>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危险物质名称</w:t>
                  </w:r>
                </w:p>
              </w:tc>
              <w:tc>
                <w:tcPr>
                  <w:tcW w:w="2459" w:type="dxa"/>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最大存在总量qn/t</w:t>
                  </w:r>
                </w:p>
              </w:tc>
              <w:tc>
                <w:tcPr>
                  <w:tcW w:w="1589" w:type="dxa"/>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临界量Qn/t</w:t>
                  </w:r>
                </w:p>
              </w:tc>
              <w:tc>
                <w:tcPr>
                  <w:tcW w:w="2686" w:type="dxa"/>
                  <w:tcBorders>
                    <w:tl2br w:val="nil"/>
                    <w:tr2bl w:val="nil"/>
                  </w:tcBorders>
                  <w:vAlign w:val="center"/>
                </w:tcPr>
                <w:p>
                  <w:pPr>
                    <w:autoSpaceDE w:val="0"/>
                    <w:snapToGrid w:val="0"/>
                    <w:jc w:val="center"/>
                    <w:rPr>
                      <w:rFonts w:hint="default" w:eastAsia="宋体"/>
                      <w:b w:val="0"/>
                      <w:bCs w:val="0"/>
                      <w:color w:val="000000" w:themeColor="text1"/>
                      <w:kern w:val="0"/>
                      <w:szCs w:val="21"/>
                      <w:lang w:val="en-US" w:eastAsia="zh-CN"/>
                      <w14:textFill>
                        <w14:solidFill>
                          <w14:schemeClr w14:val="tx1"/>
                        </w14:solidFill>
                      </w14:textFill>
                    </w:rPr>
                  </w:pPr>
                  <w:r>
                    <w:rPr>
                      <w:b w:val="0"/>
                      <w:bCs w:val="0"/>
                      <w:color w:val="000000" w:themeColor="text1"/>
                      <w:kern w:val="0"/>
                      <w:szCs w:val="21"/>
                      <w14:textFill>
                        <w14:solidFill>
                          <w14:schemeClr w14:val="tx1"/>
                        </w14:solidFill>
                      </w14:textFill>
                    </w:rPr>
                    <w:t>该种危险物质Q值</w:t>
                  </w:r>
                  <w:r>
                    <w:rPr>
                      <w:rFonts w:hint="eastAsia"/>
                      <w:b w:val="0"/>
                      <w:bCs w:val="0"/>
                      <w:color w:val="000000" w:themeColor="text1"/>
                      <w:kern w:val="0"/>
                      <w:szCs w:val="21"/>
                      <w:lang w:val="en-US" w:eastAsia="zh-CN"/>
                      <w14:textFill>
                        <w14:solidFill>
                          <w14:schemeClr w14:val="tx1"/>
                        </w14:solidFill>
                      </w14:textFill>
                    </w:rPr>
                    <w:t>/t</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w:t>
                  </w:r>
                </w:p>
              </w:tc>
              <w:tc>
                <w:tcPr>
                  <w:tcW w:w="1967" w:type="dxa"/>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2459" w:type="dxa"/>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589" w:type="dxa"/>
                  <w:tcBorders>
                    <w:tl2br w:val="nil"/>
                    <w:tr2bl w:val="nil"/>
                  </w:tcBorders>
                  <w:vAlign w:val="center"/>
                </w:tcPr>
                <w:p>
                  <w:pPr>
                    <w:widowControl/>
                    <w:jc w:val="center"/>
                    <w:textAlignment w:val="center"/>
                    <w:rPr>
                      <w:rFonts w:hint="eastAsia"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196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w:t>
                  </w:r>
                </w:p>
              </w:tc>
              <w:tc>
                <w:tcPr>
                  <w:tcW w:w="158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0.006</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1967" w:type="dxa"/>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2459" w:type="dxa"/>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c>
                <w:tcPr>
                  <w:tcW w:w="1589" w:type="dxa"/>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0.00004</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196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720</w:t>
                  </w:r>
                </w:p>
              </w:tc>
              <w:tc>
                <w:tcPr>
                  <w:tcW w:w="158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0.288</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96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废机油</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0.033</w:t>
                  </w:r>
                </w:p>
              </w:tc>
              <w:tc>
                <w:tcPr>
                  <w:tcW w:w="158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0.0000132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w:t>
                  </w:r>
                </w:p>
              </w:tc>
              <w:tc>
                <w:tcPr>
                  <w:tcW w:w="196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1589" w:type="dxa"/>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0.0004</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w:t>
                  </w:r>
                </w:p>
              </w:tc>
              <w:tc>
                <w:tcPr>
                  <w:tcW w:w="1967" w:type="dxa"/>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589" w:type="dxa"/>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710"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w:t>
                  </w:r>
                </w:p>
              </w:tc>
              <w:tc>
                <w:tcPr>
                  <w:tcW w:w="1967" w:type="dxa"/>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245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0.05</w:t>
                  </w:r>
                </w:p>
              </w:tc>
              <w:tc>
                <w:tcPr>
                  <w:tcW w:w="1589"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2686" w:type="dxa"/>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Ex>
              <w:trPr>
                <w:trHeight w:val="340" w:hRule="atLeast"/>
                <w:jc w:val="center"/>
              </w:trPr>
              <w:tc>
                <w:tcPr>
                  <w:tcW w:w="6725" w:type="dxa"/>
                  <w:gridSpan w:val="4"/>
                  <w:tcBorders>
                    <w:tl2br w:val="nil"/>
                    <w:tr2bl w:val="nil"/>
                  </w:tcBorders>
                  <w:vAlign w:val="center"/>
                </w:tcPr>
                <w:p>
                  <w:pPr>
                    <w:autoSpaceDE w:val="0"/>
                    <w:snapToGrid w:val="0"/>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项目Q值</w:t>
                  </w:r>
                </w:p>
              </w:tc>
              <w:tc>
                <w:tcPr>
                  <w:tcW w:w="2686" w:type="dxa"/>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0.2984732</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由上表分析可知，本项目各危险物质的贮存量及本项目合计危险物质贮存量均未超过《建设项目环境风险评价技术导则》(HJ/T169-2018)附录B中规定的临界量范围，qi/Qi小于1，对项目存在的环境风险提出防范措施。</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6</w:t>
            </w:r>
            <w:r>
              <w:rPr>
                <w:rFonts w:hint="eastAsia" w:ascii="Times New Roman" w:hAnsi="Times New Roman" w:eastAsia="宋体" w:cs="Times New Roman"/>
                <w:bCs/>
                <w:color w:val="000000" w:themeColor="text1"/>
                <w:sz w:val="24"/>
                <w:lang w:val="en-US" w:eastAsia="zh-CN"/>
                <w14:textFill>
                  <w14:solidFill>
                    <w14:schemeClr w14:val="tx1"/>
                  </w14:solidFill>
                </w14:textFill>
              </w:rPr>
              <w:t>）风险防范措施及应急要求</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1）防范措施</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GB"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①物料贮存场所设置安全标准。按照规范对凡需要迅速发现并引起注意以防发生事故的场所、部位均按要求涂安全色</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②</w:t>
            </w:r>
            <w:r>
              <w:rPr>
                <w:rFonts w:hint="eastAsia" w:cs="Times New Roman"/>
                <w:bCs/>
                <w:color w:val="000000" w:themeColor="text1"/>
                <w:sz w:val="24"/>
                <w:lang w:val="en-US" w:eastAsia="zh-CN"/>
                <w14:textFill>
                  <w14:solidFill>
                    <w14:schemeClr w14:val="tx1"/>
                  </w14:solidFill>
                </w14:textFill>
              </w:rPr>
              <w:t>生产车间及危废间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内应贮存必要的沙土等，以防物料泄漏时的应急处理之需</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③建立健全并严格执行物料的安全贮存、使用的各项规章制度和规程，加强日常的安全检查</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④专人定期对储存情况进行巡查，一旦发现泄漏隐患立即向上级负责人汇报</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⑤危险物质运输过程中应采取密闭、捆扎等措施，严防震动、撞击、摩擦和倾倒</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GB" w:eastAsia="zh-CN"/>
                <w14:textFill>
                  <w14:solidFill>
                    <w14:schemeClr w14:val="tx1"/>
                  </w14:solidFill>
                </w14:textFill>
              </w:rPr>
              <w:t>⑥建立专职安全环保管理机构，负责日常安全教育和安全生产活动、安全规章制度修订；并成立应急救援指挥部，负责发生事故时的应急救援指挥工作。</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企业</w:t>
            </w:r>
            <w:r>
              <w:rPr>
                <w:rFonts w:hint="eastAsia" w:cs="Times New Roman"/>
                <w:bCs/>
                <w:color w:val="000000" w:themeColor="text1"/>
                <w:sz w:val="24"/>
                <w:lang w:val="en-US" w:eastAsia="zh-CN"/>
                <w14:textFill>
                  <w14:solidFill>
                    <w14:schemeClr w14:val="tx1"/>
                  </w14:solidFill>
                </w14:textFill>
              </w:rPr>
              <w:t>应</w:t>
            </w:r>
            <w:r>
              <w:rPr>
                <w:rFonts w:hint="eastAsia" w:ascii="Times New Roman" w:hAnsi="Times New Roman" w:eastAsia="宋体" w:cs="Times New Roman"/>
                <w:bCs/>
                <w:color w:val="000000" w:themeColor="text1"/>
                <w:sz w:val="24"/>
                <w:lang w:val="en-GB" w:eastAsia="zh-CN"/>
                <w14:textFill>
                  <w14:solidFill>
                    <w14:schemeClr w14:val="tx1"/>
                  </w14:solidFill>
                </w14:textFill>
              </w:rPr>
              <w:t>根据《建设项目环境风险评价技术导则》（HJ169-2018）</w:t>
            </w:r>
            <w:r>
              <w:rPr>
                <w:rFonts w:hint="eastAsia" w:ascii="Times New Roman" w:hAnsi="Times New Roman" w:eastAsia="宋体" w:cs="Times New Roman"/>
                <w:bCs/>
                <w:color w:val="000000" w:themeColor="text1"/>
                <w:sz w:val="24"/>
                <w:lang w:val="en-US" w:eastAsia="zh-CN"/>
                <w14:textFill>
                  <w14:solidFill>
                    <w14:schemeClr w14:val="tx1"/>
                  </w14:solidFill>
                </w14:textFill>
              </w:rPr>
              <w:t>编制突发环境事件应急预案</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GB" w:eastAsia="zh-CN"/>
                <w14:textFill>
                  <w14:solidFill>
                    <w14:schemeClr w14:val="tx1"/>
                  </w14:solidFill>
                </w14:textFill>
              </w:rPr>
              <w:t>应急预案</w:t>
            </w:r>
            <w:r>
              <w:rPr>
                <w:rFonts w:hint="eastAsia" w:cs="Times New Roman"/>
                <w:bCs/>
                <w:color w:val="000000" w:themeColor="text1"/>
                <w:sz w:val="24"/>
                <w:lang w:val="en-US" w:eastAsia="zh-CN"/>
                <w14:textFill>
                  <w14:solidFill>
                    <w14:schemeClr w14:val="tx1"/>
                  </w14:solidFill>
                </w14:textFill>
              </w:rPr>
              <w:t>编制要求及主要编制</w:t>
            </w:r>
            <w:r>
              <w:rPr>
                <w:rFonts w:hint="eastAsia" w:ascii="Times New Roman" w:hAnsi="Times New Roman" w:eastAsia="宋体" w:cs="Times New Roman"/>
                <w:bCs/>
                <w:color w:val="000000" w:themeColor="text1"/>
                <w:sz w:val="24"/>
                <w:lang w:val="en-GB" w:eastAsia="zh-CN"/>
                <w14:textFill>
                  <w14:solidFill>
                    <w14:schemeClr w14:val="tx1"/>
                  </w14:solidFill>
                </w14:textFill>
              </w:rPr>
              <w:t>内容如下表所示。</w:t>
            </w:r>
          </w:p>
          <w:p>
            <w:pPr>
              <w:pStyle w:val="120"/>
              <w:numPr>
                <w:ilvl w:val="0"/>
                <w:numId w:val="17"/>
              </w:numPr>
              <w:spacing w:line="240" w:lineRule="auto"/>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应急预案编制要求及主要编制内容</w:t>
            </w:r>
          </w:p>
          <w:tbl>
            <w:tblPr>
              <w:tblStyle w:val="42"/>
              <w:tblW w:w="9411" w:type="dxa"/>
              <w:jc w:val="center"/>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722"/>
              <w:gridCol w:w="904"/>
              <w:gridCol w:w="1714"/>
              <w:gridCol w:w="6071"/>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序号</w:t>
                  </w:r>
                </w:p>
              </w:tc>
              <w:tc>
                <w:tcPr>
                  <w:tcW w:w="2618" w:type="dxa"/>
                  <w:gridSpan w:val="2"/>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内容及要求</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w:t>
                  </w:r>
                </w:p>
              </w:tc>
              <w:tc>
                <w:tcPr>
                  <w:tcW w:w="2618" w:type="dxa"/>
                  <w:gridSpan w:val="2"/>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编制要求</w:t>
                  </w:r>
                </w:p>
              </w:tc>
              <w:tc>
                <w:tcPr>
                  <w:tcW w:w="6071" w:type="dxa"/>
                  <w:vAlign w:val="center"/>
                </w:tcPr>
                <w:p>
                  <w:pPr>
                    <w:jc w:val="center"/>
                    <w:rPr>
                      <w:rFonts w:hint="eastAsia"/>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①</w:t>
                  </w:r>
                  <w:r>
                    <w:rPr>
                      <w:rFonts w:hint="eastAsia"/>
                      <w:color w:val="000000" w:themeColor="text1"/>
                      <w:szCs w:val="21"/>
                      <w14:textFill>
                        <w14:solidFill>
                          <w14:schemeClr w14:val="tx1"/>
                        </w14:solidFill>
                      </w14:textFill>
                    </w:rPr>
                    <w:t>按照国家、地方和相关部门要求，提出企业突发环境事件应急预案编制或完善的原则要求，包括预案适用范围、环境事件分类与分级、组织机构与职责、监控和预警、应急响应、应急保障、善后处置、预案管理与演练等内容。</w:t>
                  </w:r>
                </w:p>
                <w:p>
                  <w:pPr>
                    <w:jc w:val="center"/>
                    <w:rPr>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②</w:t>
                  </w:r>
                  <w:r>
                    <w:rPr>
                      <w:rFonts w:hint="eastAsia"/>
                      <w:color w:val="000000" w:themeColor="text1"/>
                      <w:szCs w:val="21"/>
                      <w14:textFill>
                        <w14:solidFill>
                          <w14:schemeClr w14:val="tx1"/>
                        </w14:solidFill>
                      </w14:textFill>
                    </w:rPr>
                    <w:t>明确企业、园区/区域、地方政府环境风险应急体系。企业突发环境事件应急预案应体现分级响应、区域联动的原则，与地方政府突发环境事件应急预案相衔接，明确分级响应程序</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2</w:t>
                  </w:r>
                </w:p>
              </w:tc>
              <w:tc>
                <w:tcPr>
                  <w:tcW w:w="904" w:type="dxa"/>
                  <w:vMerge w:val="restart"/>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主要编制内容</w:t>
                  </w: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应急计划区</w:t>
                  </w:r>
                </w:p>
              </w:tc>
              <w:tc>
                <w:tcPr>
                  <w:tcW w:w="6071" w:type="dxa"/>
                  <w:vAlign w:val="center"/>
                </w:tcPr>
                <w:p>
                  <w:pPr>
                    <w:jc w:val="center"/>
                    <w:rPr>
                      <w:rFonts w:hint="eastAsia" w:eastAsia="宋体"/>
                      <w:color w:val="000000" w:themeColor="text1"/>
                      <w:szCs w:val="21"/>
                      <w:lang w:eastAsia="zh-CN"/>
                      <w14:textFill>
                        <w14:solidFill>
                          <w14:schemeClr w14:val="tx1"/>
                        </w14:solidFill>
                      </w14:textFill>
                    </w:rPr>
                  </w:pPr>
                  <w:r>
                    <w:rPr>
                      <w:color w:val="000000" w:themeColor="text1"/>
                      <w:szCs w:val="21"/>
                      <w14:textFill>
                        <w14:solidFill>
                          <w14:schemeClr w14:val="tx1"/>
                        </w14:solidFill>
                      </w14:textFill>
                    </w:rPr>
                    <w:t>危险目标</w:t>
                  </w:r>
                  <w:r>
                    <w:rPr>
                      <w:rFonts w:hint="eastAsia"/>
                      <w:color w:val="000000" w:themeColor="text1"/>
                      <w:szCs w:val="21"/>
                      <w:lang w:eastAsia="zh-CN"/>
                      <w14:textFill>
                        <w14:solidFill>
                          <w14:schemeClr w14:val="tx1"/>
                        </w14:solidFill>
                      </w14:textFill>
                    </w:rPr>
                    <w:t>：</w:t>
                  </w:r>
                  <w:r>
                    <w:rPr>
                      <w:rFonts w:hint="eastAsia"/>
                      <w:color w:val="000000" w:themeColor="text1"/>
                      <w:szCs w:val="21"/>
                      <w:lang w:val="en-US" w:eastAsia="zh-CN"/>
                      <w14:textFill>
                        <w14:solidFill>
                          <w14:schemeClr w14:val="tx1"/>
                        </w14:solidFill>
                      </w14:textFill>
                    </w:rPr>
                    <w:t>生产车间、</w:t>
                  </w:r>
                  <w:r>
                    <w:rPr>
                      <w:rFonts w:hint="eastAsia"/>
                      <w:color w:val="000000" w:themeColor="text1"/>
                      <w:szCs w:val="21"/>
                      <w:lang w:eastAsia="zh-CN"/>
                      <w14:textFill>
                        <w14:solidFill>
                          <w14:schemeClr w14:val="tx1"/>
                        </w14:solidFill>
                      </w14:textFill>
                    </w:rPr>
                    <w:t>危废间</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保护目标：人体健康、环境质量、生产系统</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3</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应急组织机构、人员</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厂区、地区应急组织机构、人员</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4</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预案分级响应条件</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规定预案级别，分级响应程序及条件</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5</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应急救援保障</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应急设施、设备与器材等</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6</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报警、通讯方式</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规定应急状态下的报警通讯方式、通知方式和交通保障等相关内容</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7</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应急环境监测、抢险、救援及控制措施</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由专业队伍负责对事故现场进行监测，对事故性质、参数与后果进行评估，为指挥部门提供决策依据</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8</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应急防护措施</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事故现场、邻近区域、控制防火区域，控制和清除污染措施及相应设备</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9</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应急救援关闭程序与恢复措施</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规定应急状态终止程序；事故现场善后处理，恢复措施；临近区域解除事故警戒及善后恢复措施</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10</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培训计划</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人员培训；应急预案演练</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Ex>
              <w:trPr>
                <w:trHeight w:val="13" w:hRule="atLeast"/>
                <w:jc w:val="center"/>
              </w:trPr>
              <w:tc>
                <w:tcPr>
                  <w:tcW w:w="722" w:type="dxa"/>
                  <w:vAlign w:val="center"/>
                </w:tcPr>
                <w:p>
                  <w:pPr>
                    <w:jc w:val="center"/>
                    <w:rPr>
                      <w:rFonts w:hint="eastAsia" w:eastAsia="宋体"/>
                      <w:color w:val="000000" w:themeColor="text1"/>
                      <w:szCs w:val="21"/>
                      <w:lang w:val="en-US" w:eastAsia="zh-CN"/>
                      <w14:textFill>
                        <w14:solidFill>
                          <w14:schemeClr w14:val="tx1"/>
                        </w14:solidFill>
                      </w14:textFill>
                    </w:rPr>
                  </w:pPr>
                  <w:r>
                    <w:rPr>
                      <w:color w:val="000000" w:themeColor="text1"/>
                      <w:szCs w:val="21"/>
                      <w14:textFill>
                        <w14:solidFill>
                          <w14:schemeClr w14:val="tx1"/>
                        </w14:solidFill>
                      </w14:textFill>
                    </w:rPr>
                    <w:t>1</w:t>
                  </w:r>
                  <w:r>
                    <w:rPr>
                      <w:rFonts w:hint="eastAsia"/>
                      <w:color w:val="000000" w:themeColor="text1"/>
                      <w:szCs w:val="21"/>
                      <w:lang w:val="en-US" w:eastAsia="zh-CN"/>
                      <w14:textFill>
                        <w14:solidFill>
                          <w14:schemeClr w14:val="tx1"/>
                        </w14:solidFill>
                      </w14:textFill>
                    </w:rPr>
                    <w:t>1</w:t>
                  </w:r>
                </w:p>
              </w:tc>
              <w:tc>
                <w:tcPr>
                  <w:tcW w:w="904" w:type="dxa"/>
                  <w:vMerge w:val="continue"/>
                  <w:vAlign w:val="center"/>
                </w:tcPr>
                <w:p>
                  <w:pPr>
                    <w:jc w:val="center"/>
                    <w:rPr>
                      <w:color w:val="000000" w:themeColor="text1"/>
                      <w:szCs w:val="21"/>
                      <w14:textFill>
                        <w14:solidFill>
                          <w14:schemeClr w14:val="tx1"/>
                        </w14:solidFill>
                      </w14:textFill>
                    </w:rPr>
                  </w:pPr>
                </w:p>
              </w:tc>
              <w:tc>
                <w:tcPr>
                  <w:tcW w:w="1714" w:type="dxa"/>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公众教育和信息</w:t>
                  </w:r>
                </w:p>
              </w:tc>
              <w:tc>
                <w:tcPr>
                  <w:tcW w:w="6071" w:type="dxa"/>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公众教育；信息发布</w:t>
                  </w:r>
                </w:p>
              </w:tc>
            </w:tr>
          </w:tbl>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2）事故应急处理要求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①根据本项目环境风险物质，确定环境风险目标为</w:t>
            </w:r>
            <w:r>
              <w:rPr>
                <w:rFonts w:hint="eastAsia" w:cs="Times New Roman"/>
                <w:bCs/>
                <w:color w:val="000000" w:themeColor="text1"/>
                <w:sz w:val="24"/>
                <w:lang w:val="en-US" w:eastAsia="zh-CN"/>
                <w14:textFill>
                  <w14:solidFill>
                    <w14:schemeClr w14:val="tx1"/>
                  </w14:solidFill>
                </w14:textFill>
              </w:rPr>
              <w:t>生产车间、危废间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，划定应急计划区。清楚了解项目周边环境保护目标的分布。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②根据厂内组织机构情况建立环境风险应急组织机构，设立应急救援组、警戒疏散组、生产控制组、物资供应组、后勤保障组和安全技术组等应急救援工作小组。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③根据项目环境风险物质的危险特性、可能的环境风险影响途径及后果，针对各环境风险目标配套设置应急设施、设备和器材。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④规定应急状态下的报警通讯方式、通知方式和交通保障、管制。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⑤在发生环境风险事故时要及时联系专业队伍负责对事故现场进行监测，对事故性质、参数与后果进行评估，为指挥部门提供决策依据。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⑥根据事故现场情况，及时通知受事故影响区域内人员撤离并组织应急救援。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⑦规定应急状态终止程序，事故现场善后处理，恢复措施，邻近区域解除事故警戒及善后恢复措施。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⑧针对制定的应急计划，定期组织厂内人员进行培训与演练。对演练中存在的问题及时总结。 </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7</w:t>
            </w:r>
            <w:r>
              <w:rPr>
                <w:rFonts w:hint="eastAsia" w:ascii="Times New Roman" w:hAnsi="Times New Roman" w:eastAsia="宋体" w:cs="Times New Roman"/>
                <w:bCs/>
                <w:color w:val="000000" w:themeColor="text1"/>
                <w:sz w:val="24"/>
                <w:lang w:val="en-US" w:eastAsia="zh-CN"/>
                <w14:textFill>
                  <w14:solidFill>
                    <w14:schemeClr w14:val="tx1"/>
                  </w14:solidFill>
                </w14:textFill>
              </w:rPr>
              <w:t>）环境风险分析结论</w:t>
            </w:r>
          </w:p>
          <w:p>
            <w:pPr>
              <w:adjustRightInd w:val="0"/>
              <w:snapToGrid w:val="0"/>
              <w:spacing w:line="480" w:lineRule="exact"/>
              <w:ind w:firstLine="480" w:firstLineChars="200"/>
              <w:rPr>
                <w:color w:val="000000" w:themeColor="text1"/>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综上所述，在落实风险防范措施后，其发生事故的概率降低，其环境危害也是较小的，环境风险达到可以接受的水平，因此从风险角度分析，项目是可行的</w:t>
            </w:r>
            <w:r>
              <w:rPr>
                <w:rFonts w:hint="eastAsia" w:cs="Times New Roman"/>
                <w:bCs/>
                <w:color w:val="000000" w:themeColor="text1"/>
                <w:sz w:val="24"/>
                <w:lang w:val="en-US" w:eastAsia="zh-CN"/>
                <w14:textFill>
                  <w14:solidFill>
                    <w14:schemeClr w14:val="tx1"/>
                  </w14:solidFill>
                </w14:textFill>
              </w:rPr>
              <w:t>。</w:t>
            </w:r>
          </w:p>
          <w:p>
            <w:pPr>
              <w:pStyle w:val="15"/>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8、环境管理</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（1）设立专职环境管理机构，履行环保管理职责。</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（2）试生产前取得排污许可手续，规范排污口设置及标示标牌。</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按照《排污口规范化整治技术要求(试行)》（环监[1996]470号）相关要求设置规范化排污口。</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①废气排放口设置便于采样、监测的采样口，废气监测平台、监测断面和监测孔的设置应符合GB/T16157、HJ/T397等的要求；监测平台应便于开展监测活动，应能保证监测人员的安全。</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②按照《环境保护图形标志排放口》(15562.1-1995)及《环境保护图形标志固体废物储存(处置)场》(15562.2-1995)的规定，设置环保部统一制作的环境保护图形标志牌；危险废物的产生、贮存地点按照《危险废物识别标志设置技术规范》（HJ 1276-2022），对危险废物标签、危险废物贮存分区、危险废物贮存设施处设置相应标识牌如图所示。</w:t>
            </w:r>
          </w:p>
          <w:p>
            <w:pPr>
              <w:pStyle w:val="120"/>
              <w:numPr>
                <w:ilvl w:val="0"/>
                <w:numId w:val="17"/>
              </w:numPr>
              <w:spacing w:line="240" w:lineRule="auto"/>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标识牌一览表</w:t>
            </w:r>
          </w:p>
          <w:tbl>
            <w:tblPr>
              <w:tblStyle w:val="42"/>
              <w:tblW w:w="9326"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97"/>
              <w:gridCol w:w="1823"/>
              <w:gridCol w:w="1551"/>
              <w:gridCol w:w="2346"/>
              <w:gridCol w:w="2409"/>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247" w:hRule="atLeast"/>
              </w:trPr>
              <w:tc>
                <w:tcPr>
                  <w:tcW w:w="1197"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名称</w:t>
                  </w:r>
                </w:p>
              </w:tc>
              <w:tc>
                <w:tcPr>
                  <w:tcW w:w="182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废气排放口</w:t>
                  </w:r>
                </w:p>
              </w:tc>
              <w:tc>
                <w:tcPr>
                  <w:tcW w:w="1551"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噪声排放源</w:t>
                  </w:r>
                </w:p>
              </w:tc>
              <w:tc>
                <w:tcPr>
                  <w:tcW w:w="234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一般固体废物暂存场所</w:t>
                  </w:r>
                </w:p>
              </w:tc>
              <w:tc>
                <w:tcPr>
                  <w:tcW w:w="2409"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危险废物暂存场所</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1284" w:hRule="atLeast"/>
              </w:trPr>
              <w:tc>
                <w:tcPr>
                  <w:tcW w:w="1197"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提示图形符号</w:t>
                  </w:r>
                </w:p>
              </w:tc>
              <w:tc>
                <w:tcPr>
                  <w:tcW w:w="182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04850" cy="714375"/>
                        <wp:effectExtent l="0" t="0" r="0" b="9525"/>
                        <wp:docPr id="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9"/>
                                <pic:cNvPicPr>
                                  <a:picLocks noChangeAspect="1"/>
                                </pic:cNvPicPr>
                              </pic:nvPicPr>
                              <pic:blipFill>
                                <a:blip r:embed="rId57"/>
                                <a:stretch>
                                  <a:fillRect/>
                                </a:stretch>
                              </pic:blipFill>
                              <pic:spPr>
                                <a:xfrm>
                                  <a:off x="0" y="0"/>
                                  <a:ext cx="704850" cy="714375"/>
                                </a:xfrm>
                                <a:prstGeom prst="rect">
                                  <a:avLst/>
                                </a:prstGeom>
                                <a:noFill/>
                                <a:ln>
                                  <a:noFill/>
                                </a:ln>
                              </pic:spPr>
                            </pic:pic>
                          </a:graphicData>
                        </a:graphic>
                      </wp:inline>
                    </w:drawing>
                  </w:r>
                </w:p>
              </w:tc>
              <w:tc>
                <w:tcPr>
                  <w:tcW w:w="1551"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666750" cy="657225"/>
                        <wp:effectExtent l="0" t="0" r="0" b="9525"/>
                        <wp:docPr id="8"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0"/>
                                <pic:cNvPicPr>
                                  <a:picLocks noChangeAspect="1"/>
                                </pic:cNvPicPr>
                              </pic:nvPicPr>
                              <pic:blipFill>
                                <a:blip r:embed="rId58"/>
                                <a:stretch>
                                  <a:fillRect/>
                                </a:stretch>
                              </pic:blipFill>
                              <pic:spPr>
                                <a:xfrm>
                                  <a:off x="0" y="0"/>
                                  <a:ext cx="666750" cy="657225"/>
                                </a:xfrm>
                                <a:prstGeom prst="rect">
                                  <a:avLst/>
                                </a:prstGeom>
                                <a:noFill/>
                                <a:ln>
                                  <a:noFill/>
                                </a:ln>
                              </pic:spPr>
                            </pic:pic>
                          </a:graphicData>
                        </a:graphic>
                      </wp:inline>
                    </w:drawing>
                  </w:r>
                </w:p>
              </w:tc>
              <w:tc>
                <w:tcPr>
                  <w:tcW w:w="234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666750" cy="657225"/>
                        <wp:effectExtent l="0" t="0" r="0" b="9525"/>
                        <wp:docPr id="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1"/>
                                <pic:cNvPicPr>
                                  <a:picLocks noChangeAspect="1"/>
                                </pic:cNvPicPr>
                              </pic:nvPicPr>
                              <pic:blipFill>
                                <a:blip r:embed="rId59"/>
                                <a:stretch>
                                  <a:fillRect/>
                                </a:stretch>
                              </pic:blipFill>
                              <pic:spPr>
                                <a:xfrm>
                                  <a:off x="0" y="0"/>
                                  <a:ext cx="666750" cy="657225"/>
                                </a:xfrm>
                                <a:prstGeom prst="rect">
                                  <a:avLst/>
                                </a:prstGeom>
                                <a:noFill/>
                                <a:ln>
                                  <a:noFill/>
                                </a:ln>
                              </pic:spPr>
                            </pic:pic>
                          </a:graphicData>
                        </a:graphic>
                      </wp:inline>
                    </w:drawing>
                  </w:r>
                </w:p>
              </w:tc>
              <w:tc>
                <w:tcPr>
                  <w:tcW w:w="2409"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1000" w:hRule="atLeast"/>
              </w:trPr>
              <w:tc>
                <w:tcPr>
                  <w:tcW w:w="1197"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警示图形符号</w:t>
                  </w:r>
                </w:p>
              </w:tc>
              <w:tc>
                <w:tcPr>
                  <w:tcW w:w="182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71525" cy="685800"/>
                        <wp:effectExtent l="0" t="0" r="9525" b="0"/>
                        <wp:docPr id="1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2"/>
                                <pic:cNvPicPr>
                                  <a:picLocks noChangeAspect="1"/>
                                </pic:cNvPicPr>
                              </pic:nvPicPr>
                              <pic:blipFill>
                                <a:blip r:embed="rId60"/>
                                <a:stretch>
                                  <a:fillRect/>
                                </a:stretch>
                              </pic:blipFill>
                              <pic:spPr>
                                <a:xfrm>
                                  <a:off x="0" y="0"/>
                                  <a:ext cx="771525" cy="685800"/>
                                </a:xfrm>
                                <a:prstGeom prst="rect">
                                  <a:avLst/>
                                </a:prstGeom>
                                <a:noFill/>
                                <a:ln>
                                  <a:noFill/>
                                </a:ln>
                              </pic:spPr>
                            </pic:pic>
                          </a:graphicData>
                        </a:graphic>
                      </wp:inline>
                    </w:drawing>
                  </w:r>
                </w:p>
              </w:tc>
              <w:tc>
                <w:tcPr>
                  <w:tcW w:w="1551"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23900" cy="628650"/>
                        <wp:effectExtent l="0" t="0" r="0" b="0"/>
                        <wp:docPr id="10"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3"/>
                                <pic:cNvPicPr>
                                  <a:picLocks noChangeAspect="1"/>
                                </pic:cNvPicPr>
                              </pic:nvPicPr>
                              <pic:blipFill>
                                <a:blip r:embed="rId61"/>
                                <a:stretch>
                                  <a:fillRect/>
                                </a:stretch>
                              </pic:blipFill>
                              <pic:spPr>
                                <a:xfrm>
                                  <a:off x="0" y="0"/>
                                  <a:ext cx="723900" cy="628650"/>
                                </a:xfrm>
                                <a:prstGeom prst="rect">
                                  <a:avLst/>
                                </a:prstGeom>
                                <a:noFill/>
                                <a:ln>
                                  <a:noFill/>
                                </a:ln>
                              </pic:spPr>
                            </pic:pic>
                          </a:graphicData>
                        </a:graphic>
                      </wp:inline>
                    </w:drawing>
                  </w:r>
                </w:p>
              </w:tc>
              <w:tc>
                <w:tcPr>
                  <w:tcW w:w="234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828675" cy="790575"/>
                        <wp:effectExtent l="0" t="0" r="9525" b="9525"/>
                        <wp:docPr id="12"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4"/>
                                <pic:cNvPicPr>
                                  <a:picLocks noChangeAspect="1"/>
                                </pic:cNvPicPr>
                              </pic:nvPicPr>
                              <pic:blipFill>
                                <a:blip r:embed="rId62"/>
                                <a:stretch>
                                  <a:fillRect/>
                                </a:stretch>
                              </pic:blipFill>
                              <pic:spPr>
                                <a:xfrm>
                                  <a:off x="0" y="0"/>
                                  <a:ext cx="828675" cy="790575"/>
                                </a:xfrm>
                                <a:prstGeom prst="rect">
                                  <a:avLst/>
                                </a:prstGeom>
                                <a:noFill/>
                                <a:ln>
                                  <a:noFill/>
                                </a:ln>
                              </pic:spPr>
                            </pic:pic>
                          </a:graphicData>
                        </a:graphic>
                      </wp:inline>
                    </w:drawing>
                  </w:r>
                </w:p>
              </w:tc>
              <w:tc>
                <w:tcPr>
                  <w:tcW w:w="2409"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1162050" cy="727075"/>
                        <wp:effectExtent l="0" t="0" r="0" b="15875"/>
                        <wp:docPr id="1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5"/>
                                <pic:cNvPicPr>
                                  <a:picLocks noChangeAspect="1"/>
                                </pic:cNvPicPr>
                              </pic:nvPicPr>
                              <pic:blipFill>
                                <a:blip r:embed="rId63"/>
                                <a:stretch>
                                  <a:fillRect/>
                                </a:stretch>
                              </pic:blipFill>
                              <pic:spPr>
                                <a:xfrm>
                                  <a:off x="0" y="0"/>
                                  <a:ext cx="1162050" cy="727075"/>
                                </a:xfrm>
                                <a:prstGeom prst="rect">
                                  <a:avLst/>
                                </a:prstGeom>
                                <a:noFill/>
                                <a:ln>
                                  <a:noFill/>
                                </a:ln>
                              </pic:spPr>
                            </pic:pic>
                          </a:graphicData>
                        </a:graphic>
                      </wp:inline>
                    </w:drawing>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c>
                <w:tcPr>
                  <w:tcW w:w="1197"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功能</w:t>
                  </w:r>
                </w:p>
              </w:tc>
              <w:tc>
                <w:tcPr>
                  <w:tcW w:w="182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表示废气排放</w:t>
                  </w:r>
                </w:p>
              </w:tc>
              <w:tc>
                <w:tcPr>
                  <w:tcW w:w="1551"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表示噪声向外环境排放</w:t>
                  </w:r>
                </w:p>
              </w:tc>
              <w:tc>
                <w:tcPr>
                  <w:tcW w:w="234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表示一般固体废物贮存、处置场</w:t>
                  </w:r>
                </w:p>
              </w:tc>
              <w:tc>
                <w:tcPr>
                  <w:tcW w:w="2409"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表示危险废物贮存场所</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（3）进行突发环境事件应急预案编制及备案。</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（4）运营期要加强废气、噪声监测。</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p>
        </w:tc>
      </w:tr>
    </w:tbl>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五、</w:t>
      </w:r>
      <w:bookmarkStart w:id="12" w:name="_Hlk54167917"/>
      <w:r>
        <w:rPr>
          <w:rFonts w:ascii="Times New Roman" w:hAnsi="Times New Roman"/>
          <w:snapToGrid w:val="0"/>
          <w:color w:val="000000" w:themeColor="text1"/>
          <w:sz w:val="30"/>
          <w:szCs w:val="30"/>
          <w14:textFill>
            <w14:solidFill>
              <w14:schemeClr w14:val="tx1"/>
            </w14:solidFill>
          </w14:textFill>
        </w:rPr>
        <w:t>环境保护措施监督检查清单</w:t>
      </w:r>
      <w:bookmarkEnd w:id="12"/>
    </w:p>
    <w:tbl>
      <w:tblPr>
        <w:tblStyle w:val="42"/>
        <w:tblW w:w="9955"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2058"/>
        <w:gridCol w:w="1134"/>
        <w:gridCol w:w="1560"/>
        <w:gridCol w:w="38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361" w:type="dxa"/>
            <w:tcBorders>
              <w:tl2br w:val="single" w:color="auto" w:sz="4" w:space="0"/>
            </w:tcBorders>
            <w:vAlign w:val="center"/>
          </w:tcPr>
          <w:p>
            <w:pPr>
              <w:ind w:firstLine="420" w:firstLineChars="200"/>
              <w:jc w:val="both"/>
              <w:rPr>
                <w:color w:val="000000" w:themeColor="text1"/>
                <w:sz w:val="21"/>
                <w:szCs w:val="21"/>
                <w14:textFill>
                  <w14:solidFill>
                    <w14:schemeClr w14:val="tx1"/>
                  </w14:solidFill>
                </w14:textFill>
              </w:rPr>
            </w:pPr>
            <w:bookmarkStart w:id="13" w:name="_Hlk101364004"/>
            <w:r>
              <w:rPr>
                <w:color w:val="000000" w:themeColor="text1"/>
                <w:sz w:val="21"/>
                <w:szCs w:val="21"/>
                <w14:textFill>
                  <w14:solidFill>
                    <w14:schemeClr w14:val="tx1"/>
                  </w14:solidFill>
                </w14:textFill>
              </w:rPr>
              <w:t>内容</w:t>
            </w:r>
          </w:p>
          <w:p>
            <w:pP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要素</w:t>
            </w:r>
          </w:p>
        </w:tc>
        <w:tc>
          <w:tcPr>
            <w:tcW w:w="2058"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排放口(编号、名称)/污染源</w:t>
            </w:r>
          </w:p>
        </w:tc>
        <w:tc>
          <w:tcPr>
            <w:tcW w:w="1134"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污染物项目</w:t>
            </w:r>
          </w:p>
        </w:tc>
        <w:tc>
          <w:tcPr>
            <w:tcW w:w="1560"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环境保护措施</w:t>
            </w:r>
          </w:p>
        </w:tc>
        <w:tc>
          <w:tcPr>
            <w:tcW w:w="3842"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66"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大气环境</w:t>
            </w:r>
          </w:p>
        </w:tc>
        <w:tc>
          <w:tcPr>
            <w:tcW w:w="2058"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上料和筛分废气（DA001）</w:t>
            </w:r>
          </w:p>
        </w:tc>
        <w:tc>
          <w:tcPr>
            <w:tcW w:w="1134"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56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w:t>
            </w:r>
          </w:p>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15m高排气筒</w:t>
            </w: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2058" w:type="dxa"/>
            <w:vMerge w:val="restart"/>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搅拌废气、沥青储罐废气（DA003）</w:t>
            </w:r>
          </w:p>
        </w:tc>
        <w:tc>
          <w:tcPr>
            <w:tcW w:w="1134"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沥青烟</w:t>
            </w:r>
          </w:p>
        </w:tc>
        <w:tc>
          <w:tcPr>
            <w:tcW w:w="1560"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静电捕集+覆膜袋式除尘器+二级活性炭吸附+15m高排气筒</w:t>
            </w: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2058"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134"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苯并[a]芘</w:t>
            </w:r>
          </w:p>
        </w:tc>
        <w:tc>
          <w:tcPr>
            <w:tcW w:w="1560"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2058"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134"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非甲烷总烃</w:t>
            </w:r>
          </w:p>
        </w:tc>
        <w:tc>
          <w:tcPr>
            <w:tcW w:w="1560"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2058"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矿粉仓废气（DA002）</w:t>
            </w:r>
          </w:p>
        </w:tc>
        <w:tc>
          <w:tcPr>
            <w:tcW w:w="1134"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56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覆膜袋式除尘器+15m高排气筒</w:t>
            </w:r>
          </w:p>
        </w:tc>
        <w:tc>
          <w:tcPr>
            <w:tcW w:w="3842" w:type="dxa"/>
            <w:vAlign w:val="center"/>
          </w:tcPr>
          <w:p>
            <w:pPr>
              <w:jc w:val="center"/>
              <w:rPr>
                <w:rFonts w:hint="eastAsia"/>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《大气污染物综合排放标准》(GB16297-1996)中表2二级标准要求，同时执行《河北省十一个行业重污染天气应急减排措施制定技术指南(试行)》中商砼、沥青搅拌站排放限值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2058"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导热油炉废气（DA004）</w:t>
            </w:r>
          </w:p>
        </w:tc>
        <w:tc>
          <w:tcPr>
            <w:tcW w:w="1134"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颗粒物、SO</w:t>
            </w:r>
            <w:r>
              <w:rPr>
                <w:rFonts w:hint="eastAsia"/>
                <w:color w:val="000000" w:themeColor="text1"/>
                <w:sz w:val="21"/>
                <w:szCs w:val="21"/>
                <w:vertAlign w:val="subscript"/>
                <w:lang w:val="en-US" w:eastAsia="zh-CN"/>
                <w14:textFill>
                  <w14:solidFill>
                    <w14:schemeClr w14:val="tx1"/>
                  </w14:solidFill>
                </w14:textFill>
              </w:rPr>
              <w:t>2</w:t>
            </w:r>
            <w:r>
              <w:rPr>
                <w:rFonts w:hint="eastAsia"/>
                <w:color w:val="000000" w:themeColor="text1"/>
                <w:sz w:val="21"/>
                <w:szCs w:val="21"/>
                <w:lang w:val="en-US" w:eastAsia="zh-CN"/>
                <w14:textFill>
                  <w14:solidFill>
                    <w14:schemeClr w14:val="tx1"/>
                  </w14:solidFill>
                </w14:textFill>
              </w:rPr>
              <w:t>、NOx</w:t>
            </w:r>
          </w:p>
        </w:tc>
        <w:tc>
          <w:tcPr>
            <w:tcW w:w="156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低氮燃烧器+15m高排气筒</w:t>
            </w: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《锅炉大气污染物排放标准》（DB13/5161-2020）表1燃气锅炉排放限值</w:t>
            </w:r>
            <w:r>
              <w:rPr>
                <w:rFonts w:hint="eastAsia"/>
                <w:color w:val="000000" w:themeColor="text1"/>
                <w:sz w:val="21"/>
                <w:szCs w:val="21"/>
                <w:lang w:val="en-US" w:eastAsia="zh-CN"/>
                <w14:textFill>
                  <w14:solidFill>
                    <w14:schemeClr w14:val="tx1"/>
                  </w14:solidFill>
                </w14:textFill>
              </w:rPr>
              <w:t>及</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2058"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加热废气、燃烧机燃烧废气（DA005）</w:t>
            </w:r>
          </w:p>
        </w:tc>
        <w:tc>
          <w:tcPr>
            <w:tcW w:w="1134"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颗粒物、SO</w:t>
            </w:r>
            <w:r>
              <w:rPr>
                <w:rFonts w:hint="eastAsia"/>
                <w:color w:val="000000" w:themeColor="text1"/>
                <w:sz w:val="21"/>
                <w:szCs w:val="21"/>
                <w:vertAlign w:val="subscript"/>
                <w:lang w:val="en-US" w:eastAsia="zh-CN"/>
                <w14:textFill>
                  <w14:solidFill>
                    <w14:schemeClr w14:val="tx1"/>
                  </w14:solidFill>
                </w14:textFill>
              </w:rPr>
              <w:t>2</w:t>
            </w:r>
            <w:r>
              <w:rPr>
                <w:rFonts w:hint="eastAsia"/>
                <w:color w:val="000000" w:themeColor="text1"/>
                <w:sz w:val="21"/>
                <w:szCs w:val="21"/>
                <w:lang w:val="en-US" w:eastAsia="zh-CN"/>
                <w14:textFill>
                  <w14:solidFill>
                    <w14:schemeClr w14:val="tx1"/>
                  </w14:solidFill>
                </w14:textFill>
              </w:rPr>
              <w:t>、NOx</w:t>
            </w:r>
          </w:p>
        </w:tc>
        <w:tc>
          <w:tcPr>
            <w:tcW w:w="1560"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覆膜袋式除尘器+15m高排气筒</w:t>
            </w: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《工业炉窑大气污染物排放标准》(DB13/1640-2012)要求，同时执行《工业炉窑大气污染综合治理方案》（环大气[2019]56号）的要求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2058"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厂界无组织</w:t>
            </w:r>
          </w:p>
        </w:tc>
        <w:tc>
          <w:tcPr>
            <w:tcW w:w="1134"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颗粒物、沥青烟、苯并[a]芘</w:t>
            </w:r>
          </w:p>
        </w:tc>
        <w:tc>
          <w:tcPr>
            <w:tcW w:w="1560"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车间密闭+喷洒抑尘</w:t>
            </w:r>
          </w:p>
        </w:tc>
        <w:tc>
          <w:tcPr>
            <w:tcW w:w="3842"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《大气污染物综合排放标准》(GB16297-1996)中表2无组织排放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2058"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134"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非甲烷总烃</w:t>
            </w:r>
          </w:p>
        </w:tc>
        <w:tc>
          <w:tcPr>
            <w:tcW w:w="1560"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842"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《工业企业挥发性有机物排放控制标准》(DB13/2322-2016)表2限值和《挥发性有机物无组织排放控制标准》(GB37822-2019)表A.1厂区内VOCs无组织排放特别限值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color w:val="000000" w:themeColor="text1"/>
                <w14:textFill>
                  <w14:solidFill>
                    <w14:schemeClr w14:val="tx1"/>
                  </w14:solidFill>
                </w14:textFill>
              </w:rPr>
            </w:pPr>
          </w:p>
        </w:tc>
        <w:tc>
          <w:tcPr>
            <w:tcW w:w="2058"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厂区无组织</w:t>
            </w:r>
          </w:p>
        </w:tc>
        <w:tc>
          <w:tcPr>
            <w:tcW w:w="1134"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560"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3842"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5"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地表水环境</w:t>
            </w:r>
          </w:p>
        </w:tc>
        <w:tc>
          <w:tcPr>
            <w:tcW w:w="2058" w:type="dxa"/>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生活污水</w:t>
            </w:r>
          </w:p>
        </w:tc>
        <w:tc>
          <w:tcPr>
            <w:tcW w:w="1134" w:type="dxa"/>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COD、氨氮、BOD</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、TP</w:t>
            </w:r>
          </w:p>
        </w:tc>
        <w:tc>
          <w:tcPr>
            <w:tcW w:w="156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厂区化粪池处理后定期清理</w:t>
            </w:r>
          </w:p>
        </w:tc>
        <w:tc>
          <w:tcPr>
            <w:tcW w:w="3842" w:type="dxa"/>
            <w:vAlign w:val="center"/>
          </w:tcPr>
          <w:p>
            <w:pPr>
              <w:snapToGrid w:val="0"/>
              <w:spacing w:line="320" w:lineRule="exact"/>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5"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车辆清洗废水</w:t>
            </w:r>
          </w:p>
        </w:tc>
        <w:tc>
          <w:tcPr>
            <w:tcW w:w="1134"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、石油类</w:t>
            </w:r>
          </w:p>
        </w:tc>
        <w:tc>
          <w:tcPr>
            <w:tcW w:w="156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经隔油器和沉淀池沉淀处理后回用</w:t>
            </w:r>
          </w:p>
        </w:tc>
        <w:tc>
          <w:tcPr>
            <w:tcW w:w="3842" w:type="dxa"/>
            <w:vAlign w:val="center"/>
          </w:tcPr>
          <w:p>
            <w:pPr>
              <w:snapToGrid w:val="0"/>
              <w:spacing w:line="320" w:lineRule="exact"/>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29"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声环境</w:t>
            </w:r>
          </w:p>
        </w:tc>
        <w:tc>
          <w:tcPr>
            <w:tcW w:w="2058" w:type="dxa"/>
            <w:tcBorders>
              <w:tl2br w:val="nil"/>
              <w:tr2bl w:val="nil"/>
            </w:tcBorders>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生产设备</w:t>
            </w:r>
            <w:r>
              <w:rPr>
                <w:rFonts w:hint="eastAsia"/>
                <w:color w:val="000000" w:themeColor="text1"/>
                <w:sz w:val="21"/>
                <w:szCs w:val="21"/>
                <w14:textFill>
                  <w14:solidFill>
                    <w14:schemeClr w14:val="tx1"/>
                  </w14:solidFill>
                </w14:textFill>
              </w:rPr>
              <w:t>、风机</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泵类等</w:t>
            </w:r>
          </w:p>
        </w:tc>
        <w:tc>
          <w:tcPr>
            <w:tcW w:w="1134"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机械噪声</w:t>
            </w:r>
          </w:p>
        </w:tc>
        <w:tc>
          <w:tcPr>
            <w:tcW w:w="1560" w:type="dxa"/>
            <w:tcBorders>
              <w:tl2br w:val="nil"/>
              <w:tr2bl w:val="nil"/>
            </w:tcBorders>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采用低噪声设备、厂房隔声、</w:t>
            </w:r>
            <w:r>
              <w:rPr>
                <w:rFonts w:hint="eastAsia"/>
                <w:color w:val="000000" w:themeColor="text1"/>
                <w:sz w:val="21"/>
                <w:szCs w:val="21"/>
                <w:lang w:val="en-US" w:eastAsia="zh-CN"/>
                <w14:textFill>
                  <w14:solidFill>
                    <w14:schemeClr w14:val="tx1"/>
                  </w14:solidFill>
                </w14:textFill>
              </w:rPr>
              <w:t>减振基础</w:t>
            </w:r>
            <w:r>
              <w:rPr>
                <w:rFonts w:hint="eastAsia"/>
                <w:color w:val="000000" w:themeColor="text1"/>
                <w:sz w:val="21"/>
                <w:szCs w:val="21"/>
                <w14:textFill>
                  <w14:solidFill>
                    <w14:schemeClr w14:val="tx1"/>
                  </w14:solidFill>
                </w14:textFill>
              </w:rPr>
              <w:t>等措施</w:t>
            </w:r>
          </w:p>
        </w:tc>
        <w:tc>
          <w:tcPr>
            <w:tcW w:w="3842"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highlight w:val="none"/>
                <w14:textFill>
                  <w14:solidFill>
                    <w14:schemeClr w14:val="tx1"/>
                  </w14:solidFill>
                </w14:textFill>
              </w:rPr>
              <w:t>厂界噪声执行《工业企业厂界环境噪声排放标准》(GB12348-2008)</w:t>
            </w:r>
            <w:r>
              <w:rPr>
                <w:rFonts w:hint="eastAsia"/>
                <w:color w:val="000000" w:themeColor="text1"/>
                <w:sz w:val="21"/>
                <w:szCs w:val="21"/>
                <w:highlight w:val="none"/>
                <w:lang w:val="en-US" w:eastAsia="zh-CN"/>
                <w14:textFill>
                  <w14:solidFill>
                    <w14:schemeClr w14:val="tx1"/>
                  </w14:solidFill>
                </w14:textFill>
              </w:rPr>
              <w:t>2类</w:t>
            </w:r>
            <w:r>
              <w:rPr>
                <w:rFonts w:hint="eastAsia"/>
                <w:color w:val="000000" w:themeColor="text1"/>
                <w:sz w:val="21"/>
                <w:szCs w:val="21"/>
                <w:highlight w:val="none"/>
                <w14:textFill>
                  <w14:solidFill>
                    <w14:schemeClr w14:val="tx1"/>
                  </w14:solidFill>
                </w14:textFill>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5"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电磁辐射</w:t>
            </w:r>
          </w:p>
        </w:tc>
        <w:tc>
          <w:tcPr>
            <w:tcW w:w="2058"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1134"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1560"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3842"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固体废物</w:t>
            </w:r>
          </w:p>
        </w:tc>
        <w:tc>
          <w:tcPr>
            <w:tcW w:w="2058"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除尘器</w:t>
            </w: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废布袋</w:t>
            </w:r>
          </w:p>
        </w:tc>
        <w:tc>
          <w:tcPr>
            <w:tcW w:w="156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厂家回收利用</w:t>
            </w:r>
          </w:p>
        </w:tc>
        <w:tc>
          <w:tcPr>
            <w:tcW w:w="3842" w:type="dxa"/>
            <w:vMerge w:val="restart"/>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《一般工业固体废物贮存和填埋污染控制标准》(GB18599-2020)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除尘灰</w:t>
            </w:r>
          </w:p>
        </w:tc>
        <w:tc>
          <w:tcPr>
            <w:tcW w:w="1560"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作为原料回用于生产线中，不外排</w:t>
            </w: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车辆清洗系统</w:t>
            </w:r>
          </w:p>
        </w:tc>
        <w:tc>
          <w:tcPr>
            <w:tcW w:w="1134"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沉淀池沉泥</w:t>
            </w:r>
          </w:p>
        </w:tc>
        <w:tc>
          <w:tcPr>
            <w:tcW w:w="1560"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生产过程</w:t>
            </w: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不合格骨料</w:t>
            </w:r>
          </w:p>
        </w:tc>
        <w:tc>
          <w:tcPr>
            <w:tcW w:w="156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收集后外售</w:t>
            </w: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废气处理设施</w:t>
            </w: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废活性炭</w:t>
            </w:r>
          </w:p>
        </w:tc>
        <w:tc>
          <w:tcPr>
            <w:tcW w:w="1560"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收集后暂存危废间，定期交由有资质的单位处置</w:t>
            </w:r>
          </w:p>
        </w:tc>
        <w:tc>
          <w:tcPr>
            <w:tcW w:w="3842" w:type="dxa"/>
            <w:vMerge w:val="restart"/>
            <w:vAlign w:val="center"/>
          </w:tcPr>
          <w:p>
            <w:pPr>
              <w:jc w:val="center"/>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《危险废物贮存污染控制标准》</w:t>
            </w:r>
          </w:p>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(GB18597-20</w:t>
            </w:r>
            <w:r>
              <w:rPr>
                <w:rFonts w:hint="eastAsia"/>
                <w:color w:val="000000" w:themeColor="text1"/>
                <w:sz w:val="21"/>
                <w:szCs w:val="21"/>
                <w:lang w:val="en-US" w:eastAsia="zh-CN"/>
                <w14:textFill>
                  <w14:solidFill>
                    <w14:schemeClr w14:val="tx1"/>
                  </w14:solidFill>
                </w14:textFill>
              </w:rPr>
              <w:t>23</w:t>
            </w:r>
            <w:r>
              <w:rPr>
                <w:rFonts w:hint="eastAsia"/>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车辆清洗系统</w:t>
            </w:r>
          </w:p>
        </w:tc>
        <w:tc>
          <w:tcPr>
            <w:tcW w:w="1134"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kern w:val="2"/>
                <w:sz w:val="21"/>
                <w:szCs w:val="21"/>
                <w:highlight w:val="none"/>
                <w:lang w:val="en-US" w:eastAsia="zh-CN" w:bidi="ar-SA"/>
                <w14:textFill>
                  <w14:solidFill>
                    <w14:schemeClr w14:val="tx1"/>
                  </w14:solidFill>
                </w14:textFill>
              </w:rPr>
              <w:t>废油</w:t>
            </w:r>
          </w:p>
        </w:tc>
        <w:tc>
          <w:tcPr>
            <w:tcW w:w="1560"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3842" w:type="dxa"/>
            <w:vMerge w:val="continue"/>
            <w:vAlign w:val="center"/>
          </w:tcPr>
          <w:p>
            <w:pPr>
              <w:jc w:val="center"/>
              <w:rPr>
                <w:rFonts w:hint="eastAsia"/>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生产过程</w:t>
            </w: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废机油桶</w:t>
            </w:r>
          </w:p>
        </w:tc>
        <w:tc>
          <w:tcPr>
            <w:tcW w:w="1560"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废油泥</w:t>
            </w:r>
          </w:p>
        </w:tc>
        <w:tc>
          <w:tcPr>
            <w:tcW w:w="1560"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废机油</w:t>
            </w:r>
          </w:p>
        </w:tc>
        <w:tc>
          <w:tcPr>
            <w:tcW w:w="1560"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废导热油</w:t>
            </w:r>
          </w:p>
        </w:tc>
        <w:tc>
          <w:tcPr>
            <w:tcW w:w="1560"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842"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2058"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职工生活</w:t>
            </w:r>
          </w:p>
        </w:tc>
        <w:tc>
          <w:tcPr>
            <w:tcW w:w="1134"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生活垃圾</w:t>
            </w:r>
          </w:p>
        </w:tc>
        <w:tc>
          <w:tcPr>
            <w:tcW w:w="1560" w:type="dxa"/>
            <w:vAlign w:val="center"/>
          </w:tcPr>
          <w:p>
            <w:pPr>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环卫部门收集处理</w:t>
            </w:r>
          </w:p>
        </w:tc>
        <w:tc>
          <w:tcPr>
            <w:tcW w:w="3842" w:type="dxa"/>
            <w:vAlign w:val="center"/>
          </w:tcPr>
          <w:p>
            <w:pPr>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1361"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土壤及地下水</w:t>
            </w:r>
          </w:p>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污染防治措施</w:t>
            </w:r>
          </w:p>
        </w:tc>
        <w:tc>
          <w:tcPr>
            <w:tcW w:w="8594" w:type="dxa"/>
            <w:gridSpan w:val="4"/>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重点防渗区域：危废间地面进行水泥硬化，涂刷环氧树脂漆，危废间四周壁及裙角与地面防渗层连成整体，达到防渗防腐的目的，渗透系数小于1×10</w:t>
            </w:r>
            <w:r>
              <w:rPr>
                <w:rFonts w:hint="eastAsia"/>
                <w:color w:val="000000" w:themeColor="text1"/>
                <w:sz w:val="21"/>
                <w:szCs w:val="21"/>
                <w:vertAlign w:val="superscript"/>
                <w:lang w:val="en-US" w:eastAsia="zh-CN"/>
                <w14:textFill>
                  <w14:solidFill>
                    <w14:schemeClr w14:val="tx1"/>
                  </w14:solidFill>
                </w14:textFill>
              </w:rPr>
              <w:t>-10</w:t>
            </w:r>
            <w:r>
              <w:rPr>
                <w:rFonts w:hint="eastAsia"/>
                <w:color w:val="000000" w:themeColor="text1"/>
                <w:sz w:val="21"/>
                <w:szCs w:val="21"/>
                <w:lang w:val="en-US" w:eastAsia="zh-CN"/>
                <w14:textFill>
                  <w14:solidFill>
                    <w14:schemeClr w14:val="tx1"/>
                  </w14:solidFill>
                </w14:textFill>
              </w:rPr>
              <w:t>cm/s。车辆清洗系统占地、沥青储罐占地、橡胶油罐占地先用三合土处理，再用水泥硬化（池底部用10～15cm的防渗水泥浇底，中埋止水带、高密度聚乙烯（HDPE）防渗衬层），然后涂沥青防渗，并对水泥池内墙贴玻璃纤维布及环氧树脂。</w:t>
            </w:r>
          </w:p>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一般防渗区域：料仓、原料暂存区、生产车间、装配车间、半成品库等采取三七灰土铺底，上层铺水泥硬化，使渗透系数小于1×10</w:t>
            </w:r>
            <w:r>
              <w:rPr>
                <w:rFonts w:hint="eastAsia"/>
                <w:color w:val="000000" w:themeColor="text1"/>
                <w:sz w:val="21"/>
                <w:szCs w:val="21"/>
                <w:vertAlign w:val="superscript"/>
                <w:lang w:val="en-US" w:eastAsia="zh-CN"/>
                <w14:textFill>
                  <w14:solidFill>
                    <w14:schemeClr w14:val="tx1"/>
                  </w14:solidFill>
                </w14:textFill>
              </w:rPr>
              <w:t>-7</w:t>
            </w:r>
            <w:r>
              <w:rPr>
                <w:rFonts w:hint="eastAsia"/>
                <w:color w:val="000000" w:themeColor="text1"/>
                <w:sz w:val="21"/>
                <w:szCs w:val="21"/>
                <w:lang w:val="en-US" w:eastAsia="zh-CN"/>
                <w14:textFill>
                  <w14:solidFill>
                    <w14:schemeClr w14:val="tx1"/>
                  </w14:solidFill>
                </w14:textFill>
              </w:rPr>
              <w:t>cm/s</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5"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生态保护措施</w:t>
            </w:r>
          </w:p>
        </w:tc>
        <w:tc>
          <w:tcPr>
            <w:tcW w:w="8594" w:type="dxa"/>
            <w:gridSpan w:val="4"/>
            <w:vAlign w:val="center"/>
          </w:tcPr>
          <w:p>
            <w:pPr>
              <w:rPr>
                <w:rFonts w:hint="eastAsia"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23" w:hRule="atLeast"/>
          <w:jc w:val="center"/>
        </w:trPr>
        <w:tc>
          <w:tcPr>
            <w:tcW w:w="1361" w:type="dxa"/>
            <w:vAlign w:val="center"/>
          </w:tcPr>
          <w:p>
            <w:pPr>
              <w:jc w:val="center"/>
              <w:rPr>
                <w:color w:val="000000" w:themeColor="text1"/>
                <w:spacing w:val="-8"/>
                <w:sz w:val="21"/>
                <w:szCs w:val="21"/>
                <w14:textFill>
                  <w14:solidFill>
                    <w14:schemeClr w14:val="tx1"/>
                  </w14:solidFill>
                </w14:textFill>
              </w:rPr>
            </w:pPr>
            <w:r>
              <w:rPr>
                <w:color w:val="000000" w:themeColor="text1"/>
                <w:spacing w:val="-8"/>
                <w:sz w:val="21"/>
                <w:szCs w:val="21"/>
                <w14:textFill>
                  <w14:solidFill>
                    <w14:schemeClr w14:val="tx1"/>
                  </w14:solidFill>
                </w14:textFill>
              </w:rPr>
              <w:t>环境风险</w:t>
            </w:r>
          </w:p>
          <w:p>
            <w:pPr>
              <w:jc w:val="center"/>
              <w:rPr>
                <w:color w:val="000000" w:themeColor="text1"/>
                <w:spacing w:val="-8"/>
                <w:sz w:val="21"/>
                <w:szCs w:val="21"/>
                <w14:textFill>
                  <w14:solidFill>
                    <w14:schemeClr w14:val="tx1"/>
                  </w14:solidFill>
                </w14:textFill>
              </w:rPr>
            </w:pPr>
            <w:r>
              <w:rPr>
                <w:color w:val="000000" w:themeColor="text1"/>
                <w:spacing w:val="-8"/>
                <w:sz w:val="21"/>
                <w:szCs w:val="21"/>
                <w14:textFill>
                  <w14:solidFill>
                    <w14:schemeClr w14:val="tx1"/>
                  </w14:solidFill>
                </w14:textFill>
              </w:rPr>
              <w:t>防范措施</w:t>
            </w:r>
          </w:p>
        </w:tc>
        <w:tc>
          <w:tcPr>
            <w:tcW w:w="8594" w:type="dxa"/>
            <w:gridSpan w:val="4"/>
            <w:vAlign w:val="center"/>
          </w:tcPr>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①物料贮存场所设置安全标准。按照规范对凡需要迅速发现并引起注意以防发生事故的场所、部位均按要求涂安全色</w:t>
            </w:r>
            <w:r>
              <w:rPr>
                <w:rFonts w:hint="eastAsia" w:cs="Times New Roman"/>
                <w:bCs/>
                <w:color w:val="000000" w:themeColor="text1"/>
                <w:sz w:val="21"/>
                <w:szCs w:val="21"/>
                <w:lang w:val="en-US" w:eastAsia="zh-CN"/>
                <w14:textFill>
                  <w14:solidFill>
                    <w14:schemeClr w14:val="tx1"/>
                  </w14:solidFill>
                </w14:textFill>
              </w:rPr>
              <w:t>；</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②</w:t>
            </w:r>
            <w:r>
              <w:rPr>
                <w:rFonts w:hint="eastAsia" w:cs="Times New Roman"/>
                <w:bCs/>
                <w:color w:val="000000" w:themeColor="text1"/>
                <w:sz w:val="21"/>
                <w:szCs w:val="21"/>
                <w:lang w:val="en-US" w:eastAsia="zh-CN"/>
                <w14:textFill>
                  <w14:solidFill>
                    <w14:schemeClr w14:val="tx1"/>
                  </w14:solidFill>
                </w14:textFill>
              </w:rPr>
              <w:t>生产车间及危废间</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内应贮存必要的沙土等，以防物料泄漏时的应急处理之需</w:t>
            </w:r>
            <w:r>
              <w:rPr>
                <w:rFonts w:hint="eastAsia" w:cs="Times New Roman"/>
                <w:bCs/>
                <w:color w:val="000000" w:themeColor="text1"/>
                <w:sz w:val="21"/>
                <w:szCs w:val="21"/>
                <w:lang w:val="en-US" w:eastAsia="zh-CN"/>
                <w14:textFill>
                  <w14:solidFill>
                    <w14:schemeClr w14:val="tx1"/>
                  </w14:solidFill>
                </w14:textFill>
              </w:rPr>
              <w:t>；</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③建立健全并严格执行物料的安全贮存、使用的各项规章制度和规程，加强日常的安全检查</w:t>
            </w:r>
            <w:r>
              <w:rPr>
                <w:rFonts w:hint="eastAsia" w:cs="Times New Roman"/>
                <w:bCs/>
                <w:color w:val="000000" w:themeColor="text1"/>
                <w:sz w:val="21"/>
                <w:szCs w:val="21"/>
                <w:lang w:val="en-US" w:eastAsia="zh-CN"/>
                <w14:textFill>
                  <w14:solidFill>
                    <w14:schemeClr w14:val="tx1"/>
                  </w14:solidFill>
                </w14:textFill>
              </w:rPr>
              <w:t>；</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④专人定期对储存情况进行巡查，一旦发现泄漏隐患立即向上级负责人汇报</w:t>
            </w:r>
            <w:r>
              <w:rPr>
                <w:rFonts w:hint="eastAsia" w:cs="Times New Roman"/>
                <w:bCs/>
                <w:color w:val="000000" w:themeColor="text1"/>
                <w:sz w:val="21"/>
                <w:szCs w:val="21"/>
                <w:lang w:val="en-US" w:eastAsia="zh-CN"/>
                <w14:textFill>
                  <w14:solidFill>
                    <w14:schemeClr w14:val="tx1"/>
                  </w14:solidFill>
                </w14:textFill>
              </w:rPr>
              <w:t>；</w:t>
            </w: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⑤危险物质运输过程中应采取密闭、捆扎等措施，严防震动、撞击、摩擦和倾倒</w:t>
            </w:r>
            <w:r>
              <w:rPr>
                <w:rFonts w:hint="eastAsia" w:cs="Times New Roman"/>
                <w:bCs/>
                <w:color w:val="000000" w:themeColor="text1"/>
                <w:sz w:val="21"/>
                <w:szCs w:val="21"/>
                <w:lang w:val="en-US" w:eastAsia="zh-CN"/>
                <w14:textFill>
                  <w14:solidFill>
                    <w14:schemeClr w14:val="tx1"/>
                  </w14:solidFill>
                </w14:textFill>
              </w:rPr>
              <w:t>；</w:t>
            </w:r>
            <w:r>
              <w:rPr>
                <w:rFonts w:hint="eastAsia" w:ascii="Times New Roman" w:hAnsi="Times New Roman" w:eastAsia="宋体" w:cs="Times New Roman"/>
                <w:bCs/>
                <w:color w:val="000000" w:themeColor="text1"/>
                <w:sz w:val="21"/>
                <w:szCs w:val="21"/>
                <w:lang w:val="en-GB" w:eastAsia="zh-CN"/>
                <w14:textFill>
                  <w14:solidFill>
                    <w14:schemeClr w14:val="tx1"/>
                  </w14:solidFill>
                </w14:textFill>
              </w:rPr>
              <w:t>⑥建立专职安全环保管理机构，负责日常安全教育和安全生产活动、安全规章制度修订；并成立应急救援指挥部，负责发生事故时的应急救援指挥工作</w:t>
            </w:r>
            <w:r>
              <w:rPr>
                <w:rFonts w:hint="eastAsia" w:ascii="Times New Roman" w:hAnsi="Times New Roman" w:eastAsia="宋体" w:cs="Times New Roman"/>
                <w:color w:val="000000" w:themeColor="text1"/>
                <w:sz w:val="21"/>
                <w:szCs w:val="21"/>
                <w:lang w:val="en-GB"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37"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其他环境</w:t>
            </w:r>
          </w:p>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管理要求</w:t>
            </w:r>
          </w:p>
        </w:tc>
        <w:tc>
          <w:tcPr>
            <w:tcW w:w="8594" w:type="dxa"/>
            <w:gridSpan w:val="4"/>
            <w:vAlign w:val="center"/>
          </w:tcPr>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设立专职环境管理机构，履行环保管理职责，试生产前取得排污许可手续，规范排污口设置及标示标牌；进行突发环境事件应急预案编制及备案；运营期要加强废气、噪声监测</w:t>
            </w:r>
            <w:r>
              <w:rPr>
                <w:rFonts w:hint="eastAsia" w:cs="Times New Roman"/>
                <w:color w:val="000000" w:themeColor="text1"/>
                <w:sz w:val="21"/>
                <w:szCs w:val="21"/>
                <w:lang w:val="en-US" w:eastAsia="zh-CN"/>
                <w14:textFill>
                  <w14:solidFill>
                    <w14:schemeClr w14:val="tx1"/>
                  </w14:solidFill>
                </w14:textFill>
              </w:rPr>
              <w:t>。</w:t>
            </w:r>
          </w:p>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p>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p>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p>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p>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p>
          <w:p>
            <w:pPr>
              <w:rPr>
                <w:rFonts w:hint="eastAsia"/>
                <w:color w:val="000000" w:themeColor="text1"/>
                <w:sz w:val="21"/>
                <w:szCs w:val="21"/>
                <w:lang w:val="en-US" w:eastAsia="zh-CN"/>
                <w14:textFill>
                  <w14:solidFill>
                    <w14:schemeClr w14:val="tx1"/>
                  </w14:solidFill>
                </w14:textFill>
              </w:rPr>
            </w:pPr>
          </w:p>
        </w:tc>
      </w:tr>
      <w:bookmarkEnd w:id="13"/>
    </w:tbl>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32"/>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六、结论</w:t>
      </w:r>
    </w:p>
    <w:tbl>
      <w:tblPr>
        <w:tblStyle w:val="42"/>
        <w:tblW w:w="1005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0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1991" w:hRule="atLeast"/>
          <w:jc w:val="center"/>
        </w:trPr>
        <w:tc>
          <w:tcPr>
            <w:tcW w:w="10051" w:type="dxa"/>
            <w:vAlign w:val="top"/>
          </w:tcPr>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项目选址不在生态保护红线范围内，工程建设符合国家产业政策和“三线一单”及环境管控要求；</w:t>
            </w:r>
            <w:r>
              <w:rPr>
                <w:rFonts w:hint="eastAsia"/>
                <w:color w:val="000000" w:themeColor="text1"/>
                <w:sz w:val="24"/>
                <w14:textFill>
                  <w14:solidFill>
                    <w14:schemeClr w14:val="tx1"/>
                  </w14:solidFill>
                </w14:textFill>
              </w:rPr>
              <w:t>建设项目采取的措施满足防止生态破坏和污染物达标排放要求。</w:t>
            </w:r>
            <w:r>
              <w:rPr>
                <w:color w:val="000000" w:themeColor="text1"/>
                <w:sz w:val="24"/>
                <w14:textFill>
                  <w14:solidFill>
                    <w14:schemeClr w14:val="tx1"/>
                  </w14:solidFill>
                </w14:textFill>
              </w:rPr>
              <w:t>项目运营期采取了有效的污染防治措施，对周围环境影响较小，满足区域环境质量改善目标管理要求；环境风险可防控，从环境保护的角度分析，本项目环境影响可行。</w:t>
            </w:r>
          </w:p>
        </w:tc>
      </w:tr>
    </w:tbl>
    <w:p>
      <w:pPr>
        <w:rPr>
          <w:color w:val="000000" w:themeColor="text1"/>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32"/>
        <w:spacing w:before="0" w:beforeAutospacing="0" w:after="120" w:afterLines="50" w:afterAutospacing="0"/>
        <w:outlineLvl w:val="0"/>
        <w:rPr>
          <w:rFonts w:ascii="Times New Roman" w:hAnsi="Times New Roman"/>
          <w:snapToGrid w:val="0"/>
          <w:color w:val="000000" w:themeColor="text1"/>
          <w:sz w:val="32"/>
          <w:szCs w:val="32"/>
          <w14:textFill>
            <w14:solidFill>
              <w14:schemeClr w14:val="tx1"/>
            </w14:solidFill>
          </w14:textFill>
        </w:rPr>
      </w:pPr>
      <w:r>
        <w:rPr>
          <w:rFonts w:ascii="Times New Roman" w:hAnsi="Times New Roman"/>
          <w:snapToGrid w:val="0"/>
          <w:color w:val="000000" w:themeColor="text1"/>
          <w:sz w:val="32"/>
          <w:szCs w:val="32"/>
          <w14:textFill>
            <w14:solidFill>
              <w14:schemeClr w14:val="tx1"/>
            </w14:solidFill>
          </w14:textFill>
        </w:rPr>
        <w:t>附表</w:t>
      </w:r>
    </w:p>
    <w:p>
      <w:pPr>
        <w:pStyle w:val="32"/>
        <w:spacing w:before="0" w:beforeAutospacing="0" w:after="0" w:afterAutospacing="0"/>
        <w:jc w:val="center"/>
        <w:outlineLvl w:val="0"/>
        <w:rPr>
          <w:rFonts w:ascii="Times New Roman" w:hAnsi="Times New Roman"/>
          <w:snapToGrid w:val="0"/>
          <w:color w:val="000000" w:themeColor="text1"/>
          <w:sz w:val="36"/>
          <w:szCs w:val="36"/>
          <w:highlight w:val="none"/>
          <w14:textFill>
            <w14:solidFill>
              <w14:schemeClr w14:val="tx1"/>
            </w14:solidFill>
          </w14:textFill>
        </w:rPr>
      </w:pPr>
      <w:bookmarkStart w:id="14" w:name="_Hlk101449761"/>
      <w:r>
        <w:rPr>
          <w:rFonts w:ascii="Times New Roman" w:hAnsi="Times New Roman"/>
          <w:snapToGrid w:val="0"/>
          <w:color w:val="000000" w:themeColor="text1"/>
          <w:sz w:val="36"/>
          <w:szCs w:val="36"/>
          <w:highlight w:val="none"/>
          <w14:textFill>
            <w14:solidFill>
              <w14:schemeClr w14:val="tx1"/>
            </w14:solidFill>
          </w14:textFill>
        </w:rPr>
        <w:t>建设项目污染物排放量汇总表</w:t>
      </w:r>
    </w:p>
    <w:tbl>
      <w:tblPr>
        <w:tblStyle w:val="42"/>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74"/>
        <w:gridCol w:w="2131"/>
        <w:gridCol w:w="1701"/>
        <w:gridCol w:w="1276"/>
        <w:gridCol w:w="1701"/>
        <w:gridCol w:w="1559"/>
        <w:gridCol w:w="1421"/>
        <w:gridCol w:w="1935"/>
        <w:gridCol w:w="1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tcBorders>
              <w:tl2br w:val="single" w:color="auto" w:sz="4" w:space="0"/>
            </w:tcBorders>
            <w:tcMar>
              <w:left w:w="28" w:type="dxa"/>
              <w:right w:w="28" w:type="dxa"/>
            </w:tcMar>
            <w:vAlign w:val="center"/>
          </w:tcPr>
          <w:p>
            <w:pPr>
              <w:pStyle w:val="87"/>
              <w:spacing w:beforeLines="0" w:afterLines="0" w:line="240" w:lineRule="auto"/>
              <w:ind w:firstLine="396" w:firstLineChars="200"/>
              <w:jc w:val="both"/>
              <w:rPr>
                <w:rFonts w:ascii="Times New Roman"/>
                <w:snapToGrid w:val="0"/>
                <w:color w:val="000000" w:themeColor="text1"/>
                <w:spacing w:val="-6"/>
                <w:kern w:val="21"/>
                <w:sz w:val="21"/>
                <w:szCs w:val="18"/>
                <w14:textFill>
                  <w14:solidFill>
                    <w14:schemeClr w14:val="tx1"/>
                  </w14:solidFill>
                </w14:textFill>
              </w:rPr>
            </w:pPr>
            <w:r>
              <w:rPr>
                <w:rFonts w:ascii="Times New Roman"/>
                <w:snapToGrid w:val="0"/>
                <w:color w:val="000000" w:themeColor="text1"/>
                <w:spacing w:val="-6"/>
                <w:kern w:val="21"/>
                <w:sz w:val="21"/>
                <w:szCs w:val="18"/>
                <w14:textFill>
                  <w14:solidFill>
                    <w14:schemeClr w14:val="tx1"/>
                  </w14:solidFill>
                </w14:textFill>
              </w:rPr>
              <w:t>项目</w:t>
            </w:r>
          </w:p>
          <w:p>
            <w:pPr>
              <w:pStyle w:val="87"/>
              <w:spacing w:beforeLines="0" w:afterLines="0" w:line="240" w:lineRule="auto"/>
              <w:jc w:val="both"/>
              <w:rPr>
                <w:rFonts w:ascii="Times New Roman"/>
                <w:snapToGrid w:val="0"/>
                <w:color w:val="000000" w:themeColor="text1"/>
                <w:spacing w:val="-6"/>
                <w:kern w:val="21"/>
                <w:sz w:val="21"/>
                <w:szCs w:val="18"/>
                <w14:textFill>
                  <w14:solidFill>
                    <w14:schemeClr w14:val="tx1"/>
                  </w14:solidFill>
                </w14:textFill>
              </w:rPr>
            </w:pPr>
            <w:r>
              <w:rPr>
                <w:rFonts w:ascii="Times New Roman"/>
                <w:snapToGrid w:val="0"/>
                <w:color w:val="000000" w:themeColor="text1"/>
                <w:spacing w:val="-6"/>
                <w:kern w:val="21"/>
                <w:sz w:val="21"/>
                <w:szCs w:val="18"/>
                <w14:textFill>
                  <w14:solidFill>
                    <w14:schemeClr w14:val="tx1"/>
                  </w14:solidFill>
                </w14:textFill>
              </w:rPr>
              <w:t>分类</w:t>
            </w:r>
          </w:p>
        </w:tc>
        <w:tc>
          <w:tcPr>
            <w:tcW w:w="213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污染物名称</w:t>
            </w:r>
          </w:p>
        </w:tc>
        <w:tc>
          <w:tcPr>
            <w:tcW w:w="170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现有工程排放量（固体废物产生量）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1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①</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276"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现有工程</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许可排放量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2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②</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70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在建工程</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3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③</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559"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本项目排放量（固体废物产生量）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4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④</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42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以新带老削减量（新建项目不填）</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instrText xml:space="preserve"> = 5 \* GB3 \* MERGEFORMAT </w:instrTex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⑤</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end"/>
            </w:r>
          </w:p>
        </w:tc>
        <w:tc>
          <w:tcPr>
            <w:tcW w:w="1935"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本项目建成后</w:t>
            </w:r>
          </w:p>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全厂排放量（固体废物产生量）</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instrText xml:space="preserve"> = 6 \* GB3 \* MERGEFORMAT </w:instrTex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⑥</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end"/>
            </w:r>
          </w:p>
        </w:tc>
        <w:tc>
          <w:tcPr>
            <w:tcW w:w="1190"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变化量</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7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⑦</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废气</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0.5</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06585</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0.5</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06585</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0.5</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06585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218</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218</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218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53</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53</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53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0.955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0.955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+0.955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0.0293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1.2226</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1.2226</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eastAsia"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1.2226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一般工业固体废物</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生活垃圾</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1.8</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废布袋</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除尘灰</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cs="Times New Roman"/>
                <w:b w:val="0"/>
                <w:bCs w:val="0"/>
                <w:color w:val="000000" w:themeColor="text1"/>
                <w:kern w:val="0"/>
                <w:sz w:val="21"/>
                <w:szCs w:val="21"/>
                <w:lang w:val="en-US" w:eastAsia="zh-CN"/>
                <w14:textFill>
                  <w14:solidFill>
                    <w14:schemeClr w14:val="tx1"/>
                  </w14:solidFill>
                </w14:textFill>
              </w:rPr>
              <w:t>19.9057</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不合格骨料</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10</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沉淀池沉泥</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危险废物</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废活性炭</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0.2</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废机油桶</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废油泥</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废机油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废导热油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r>
    </w:tbl>
    <w:p>
      <w:pPr>
        <w:pStyle w:val="87"/>
        <w:spacing w:before="192" w:beforeLines="80" w:after="24"/>
        <w:jc w:val="left"/>
        <w:rPr>
          <w:rFonts w:ascii="Times New Roman"/>
          <w:snapToGrid w:val="0"/>
          <w:color w:val="000000" w:themeColor="text1"/>
          <w:spacing w:val="-6"/>
          <w:kern w:val="21"/>
          <w:szCs w:val="21"/>
          <w14:textFill>
            <w14:solidFill>
              <w14:schemeClr w14:val="tx1"/>
            </w14:solidFill>
          </w14:textFill>
        </w:rPr>
      </w:pPr>
      <w:r>
        <w:rPr>
          <w:rFonts w:ascii="Times New Roman"/>
          <w:snapToGrid w:val="0"/>
          <w:color w:val="000000" w:themeColor="text1"/>
          <w:kern w:val="21"/>
          <w:szCs w:val="21"/>
          <w14:textFill>
            <w14:solidFill>
              <w14:schemeClr w14:val="tx1"/>
            </w14:solidFill>
          </w14:textFill>
        </w:rPr>
        <w:t>注：</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3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③</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4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④</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5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⑤</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7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⑦</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snapToGrid w:val="0"/>
          <w:color w:val="000000" w:themeColor="text1"/>
          <w:spacing w:val="-6"/>
          <w:kern w:val="21"/>
          <w:szCs w:val="21"/>
          <w14:textFill>
            <w14:solidFill>
              <w14:schemeClr w14:val="tx1"/>
            </w14:solidFill>
          </w14:textFill>
        </w:rPr>
        <w:fldChar w:fldCharType="end"/>
      </w:r>
      <w:bookmarkEnd w:id="14"/>
    </w:p>
    <w:sectPr>
      <w:footerReference r:id="rId8" w:type="default"/>
      <w:pgSz w:w="16840" w:h="11907" w:orient="landscape"/>
      <w:pgMar w:top="1531" w:right="1701" w:bottom="1531" w:left="1701" w:header="851" w:footer="1077" w:gutter="0"/>
      <w:pgBorders>
        <w:top w:val="none" w:sz="0" w:space="0"/>
        <w:left w:val="none" w:sz="0" w:space="0"/>
        <w:bottom w:val="none" w:sz="0" w:space="0"/>
        <w:right w:val="none" w:sz="0" w:space="0"/>
      </w:pgBorders>
      <w:cols w:space="720" w:num="1"/>
      <w:docGrid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付祎萌" w:date="2025-01-18T20:21:57Z" w:initials="">
    <w:p>
      <w:pPr>
        <w:pStyle w:val="10"/>
        <w:rPr>
          <w:rFonts w:hint="default" w:eastAsia="宋体"/>
          <w:lang w:val="en-US" w:eastAsia="zh-CN"/>
        </w:rPr>
      </w:pPr>
      <w:r>
        <w:rPr>
          <w:rFonts w:hint="eastAsia"/>
          <w:lang w:val="en-US" w:eastAsia="zh-CN"/>
        </w:rPr>
        <w:t>企业表示已与相关部门沟通好，不出具未批先建的认定证明。暂定此处及工程分析简单介绍一下建设情况，具体方式需经会上审批部门确定</w:t>
      </w:r>
    </w:p>
  </w:comment>
  <w:comment w:id="1" w:author="付祎萌" w:date="2025-01-18T20:25:07Z" w:initials="">
    <w:p>
      <w:pPr>
        <w:pStyle w:val="10"/>
        <w:rPr>
          <w:rFonts w:hint="default" w:eastAsia="宋体"/>
          <w:lang w:val="en-US" w:eastAsia="zh-CN"/>
        </w:rPr>
      </w:pPr>
      <w:r>
        <w:rPr>
          <w:rFonts w:hint="eastAsia"/>
          <w:lang w:val="en-US" w:eastAsia="zh-CN"/>
        </w:rPr>
        <w:t>可行技术分析在大气专项第6章节</w:t>
      </w:r>
    </w:p>
  </w:comment>
  <w:comment w:id="2" w:author="付祎萌" w:date="2025-01-18T20:28:26Z" w:initials="">
    <w:p>
      <w:pPr>
        <w:pStyle w:val="10"/>
        <w:rPr>
          <w:rFonts w:hint="default" w:eastAsia="宋体"/>
          <w:lang w:val="en-US" w:eastAsia="zh-CN"/>
        </w:rPr>
      </w:pPr>
      <w:r>
        <w:rPr>
          <w:rFonts w:hint="eastAsia"/>
          <w:lang w:val="en-US" w:eastAsia="zh-CN"/>
        </w:rPr>
        <w:t>补充了去除颗粒物后，其他污染物的治理措施</w:t>
      </w:r>
    </w:p>
  </w:comment>
  <w:comment w:id="3" w:author="付祎萌" w:date="2025-01-18T20:29:34Z" w:initials="">
    <w:p>
      <w:pPr>
        <w:pStyle w:val="10"/>
        <w:rPr>
          <w:rFonts w:hint="default" w:eastAsia="宋体"/>
          <w:lang w:val="en-US" w:eastAsia="zh-CN"/>
        </w:rPr>
      </w:pPr>
      <w:r>
        <w:rPr>
          <w:rFonts w:hint="eastAsia"/>
          <w:lang w:val="en-US" w:eastAsia="zh-CN"/>
        </w:rPr>
        <w:t>不涉及破碎、转载，搅拌在密闭搅拌罐内进行，下料口处设置了集气罩</w:t>
      </w:r>
    </w:p>
  </w:comment>
  <w:comment w:id="4" w:author="付祎萌" w:date="2025-01-18T20:56:08Z" w:initials="">
    <w:p>
      <w:pPr>
        <w:pStyle w:val="10"/>
        <w:rPr>
          <w:rFonts w:hint="default" w:eastAsia="宋体"/>
          <w:lang w:val="en-US" w:eastAsia="zh-CN"/>
        </w:rPr>
      </w:pPr>
      <w:r>
        <w:rPr>
          <w:rFonts w:hint="eastAsia"/>
          <w:lang w:val="en-US" w:eastAsia="zh-CN"/>
        </w:rPr>
        <w:t>只进行燃烧试验从而检验产品质量，不涉及试剂</w:t>
      </w:r>
    </w:p>
  </w:comment>
  <w:comment w:id="5" w:author="付祎萌" w:date="2025-01-18T21:01:52Z" w:initials="">
    <w:p>
      <w:pPr>
        <w:pStyle w:val="10"/>
        <w:rPr>
          <w:rFonts w:hint="default" w:eastAsia="宋体"/>
          <w:lang w:val="en-US" w:eastAsia="zh-CN"/>
        </w:rPr>
      </w:pPr>
      <w:r>
        <w:rPr>
          <w:rFonts w:hint="eastAsia"/>
          <w:lang w:val="en-US" w:eastAsia="zh-CN"/>
        </w:rPr>
        <w:t>不涉及调试</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19F" w:csb1="00000000"/>
  </w:font>
  <w:font w:name="Calibri">
    <w:panose1 w:val="020F0502020204030204"/>
    <w:charset w:val="00"/>
    <w:family w:val="swiss"/>
    <w:pitch w:val="default"/>
    <w:sig w:usb0="E10002FF" w:usb1="4000ACFF" w:usb2="00000009"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roman"/>
    <w:pitch w:val="default"/>
    <w:sig w:usb0="00000000" w:usb1="00000000" w:usb2="00000010"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PMingLiU">
    <w:panose1 w:val="02020500000000000000"/>
    <w:charset w:val="88"/>
    <w:family w:val="auto"/>
    <w:pitch w:val="default"/>
    <w:sig w:usb0="A00002FF" w:usb1="28CFFCFA" w:usb2="00000016" w:usb3="00000000" w:csb0="00100001"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center" w:y="1"/>
      <w:rPr>
        <w:rStyle w:val="37"/>
      </w:rPr>
    </w:pPr>
    <w:r>
      <w:fldChar w:fldCharType="begin"/>
    </w:r>
    <w:r>
      <w:rPr>
        <w:rStyle w:val="37"/>
      </w:rPr>
      <w:instrText xml:space="preserve">PAGE  </w:instrText>
    </w:r>
    <w:r>
      <w:fldChar w:fldCharType="end"/>
    </w:r>
  </w:p>
  <w:p>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outside" w:y="1"/>
      <w:rPr>
        <w:rStyle w:val="37"/>
        <w:rFonts w:ascii="宋体" w:hAnsi="宋体"/>
        <w:sz w:val="28"/>
        <w:szCs w:val="28"/>
      </w:rPr>
    </w:pPr>
    <w:r>
      <w:rPr>
        <w:rStyle w:val="37"/>
        <w:rFonts w:hint="eastAsia" w:ascii="宋体" w:hAnsi="宋体"/>
        <w:sz w:val="28"/>
        <w:szCs w:val="28"/>
      </w:rPr>
      <w:t>—</w:t>
    </w:r>
    <w:r>
      <w:rPr>
        <w:rStyle w:val="37"/>
        <w:rFonts w:hint="eastAsia" w:ascii="宋体" w:hAnsi="宋体"/>
        <w:sz w:val="20"/>
      </w:rPr>
      <w:t xml:space="preserve"> </w:t>
    </w:r>
    <w:r>
      <w:rPr>
        <w:rStyle w:val="37"/>
        <w:sz w:val="26"/>
        <w:szCs w:val="26"/>
      </w:rPr>
      <w:fldChar w:fldCharType="begin"/>
    </w:r>
    <w:r>
      <w:rPr>
        <w:rStyle w:val="37"/>
        <w:sz w:val="26"/>
        <w:szCs w:val="26"/>
      </w:rPr>
      <w:instrText xml:space="preserve">PAGE  </w:instrText>
    </w:r>
    <w:r>
      <w:rPr>
        <w:rStyle w:val="37"/>
        <w:sz w:val="26"/>
        <w:szCs w:val="26"/>
      </w:rPr>
      <w:fldChar w:fldCharType="separate"/>
    </w:r>
    <w:r>
      <w:rPr>
        <w:rStyle w:val="37"/>
        <w:sz w:val="26"/>
        <w:szCs w:val="26"/>
      </w:rPr>
      <w:t>9</w:t>
    </w:r>
    <w:r>
      <w:rPr>
        <w:rStyle w:val="37"/>
        <w:sz w:val="26"/>
        <w:szCs w:val="26"/>
      </w:rPr>
      <w:fldChar w:fldCharType="end"/>
    </w:r>
    <w:r>
      <w:rPr>
        <w:rStyle w:val="37"/>
        <w:rFonts w:hint="eastAsia" w:ascii="宋体" w:hAnsi="宋体"/>
        <w:sz w:val="20"/>
      </w:rPr>
      <w:t xml:space="preserve"> </w:t>
    </w:r>
    <w:r>
      <w:rPr>
        <w:rStyle w:val="37"/>
        <w:rFonts w:hint="eastAsia" w:ascii="宋体" w:hAnsi="宋体"/>
        <w:sz w:val="28"/>
        <w:szCs w:val="28"/>
      </w:rPr>
      <w:t>—</w:t>
    </w:r>
  </w:p>
  <w:p>
    <w:pPr>
      <w:pStyle w:val="26"/>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outside" w:y="1"/>
      <w:rPr>
        <w:rStyle w:val="37"/>
        <w:rFonts w:ascii="宋体" w:hAnsi="宋体"/>
        <w:sz w:val="28"/>
        <w:szCs w:val="28"/>
      </w:rPr>
    </w:pPr>
    <w:r>
      <w:rPr>
        <w:rStyle w:val="37"/>
        <w:rFonts w:hint="eastAsia" w:ascii="宋体" w:hAnsi="宋体"/>
        <w:sz w:val="28"/>
        <w:szCs w:val="28"/>
      </w:rPr>
      <w:t>—</w:t>
    </w:r>
    <w:r>
      <w:rPr>
        <w:rStyle w:val="37"/>
        <w:rFonts w:hint="eastAsia" w:ascii="宋体" w:hAnsi="宋体"/>
        <w:sz w:val="20"/>
      </w:rPr>
      <w:t xml:space="preserve">  </w:t>
    </w:r>
    <w:r>
      <w:rPr>
        <w:rStyle w:val="37"/>
        <w:rFonts w:ascii="宋体" w:hAnsi="宋体"/>
        <w:sz w:val="26"/>
        <w:szCs w:val="26"/>
      </w:rPr>
      <w:fldChar w:fldCharType="begin"/>
    </w:r>
    <w:r>
      <w:rPr>
        <w:rStyle w:val="37"/>
        <w:rFonts w:ascii="宋体" w:hAnsi="宋体"/>
        <w:sz w:val="26"/>
        <w:szCs w:val="26"/>
      </w:rPr>
      <w:instrText xml:space="preserve">PAGE  </w:instrText>
    </w:r>
    <w:r>
      <w:rPr>
        <w:rStyle w:val="37"/>
        <w:rFonts w:ascii="宋体" w:hAnsi="宋体"/>
        <w:sz w:val="26"/>
        <w:szCs w:val="26"/>
      </w:rPr>
      <w:fldChar w:fldCharType="separate"/>
    </w:r>
    <w:r>
      <w:rPr>
        <w:rStyle w:val="37"/>
        <w:rFonts w:ascii="宋体" w:hAnsi="宋体"/>
        <w:sz w:val="26"/>
        <w:szCs w:val="26"/>
      </w:rPr>
      <w:t>11</w:t>
    </w:r>
    <w:r>
      <w:rPr>
        <w:rStyle w:val="37"/>
        <w:rFonts w:ascii="宋体" w:hAnsi="宋体"/>
        <w:sz w:val="26"/>
        <w:szCs w:val="26"/>
      </w:rPr>
      <w:fldChar w:fldCharType="end"/>
    </w:r>
    <w:r>
      <w:rPr>
        <w:rStyle w:val="37"/>
        <w:rFonts w:hint="eastAsia" w:ascii="宋体" w:hAnsi="宋体"/>
        <w:sz w:val="20"/>
      </w:rPr>
      <w:t xml:space="preserve">  </w:t>
    </w:r>
    <w:r>
      <w:rPr>
        <w:rStyle w:val="37"/>
        <w:rFonts w:hint="eastAsia" w:ascii="宋体" w:hAnsi="宋体"/>
        <w:sz w:val="28"/>
        <w:szCs w:val="28"/>
      </w:rPr>
      <w:t>—</w:t>
    </w:r>
  </w:p>
  <w:p>
    <w:pPr>
      <w:pStyle w:val="26"/>
      <w:ind w:right="360" w:firstLine="360"/>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spacing w:before="120" w:beforeLines="50" w:after="120" w:afterLines="5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2F193E"/>
    <w:multiLevelType w:val="singleLevel"/>
    <w:tmpl w:val="812F193E"/>
    <w:lvl w:ilvl="0" w:tentative="0">
      <w:start w:val="1"/>
      <w:numFmt w:val="bullet"/>
      <w:pStyle w:val="23"/>
      <w:lvlText w:val=""/>
      <w:lvlJc w:val="left"/>
      <w:pPr>
        <w:tabs>
          <w:tab w:val="left" w:pos="2040"/>
        </w:tabs>
        <w:ind w:left="2040" w:hanging="360"/>
      </w:pPr>
      <w:rPr>
        <w:rFonts w:hint="default" w:ascii="Wingdings" w:hAnsi="Wingdings"/>
      </w:rPr>
    </w:lvl>
  </w:abstractNum>
  <w:abstractNum w:abstractNumId="1">
    <w:nsid w:val="9ACAFC52"/>
    <w:multiLevelType w:val="singleLevel"/>
    <w:tmpl w:val="9ACAFC52"/>
    <w:lvl w:ilvl="0" w:tentative="0">
      <w:start w:val="1"/>
      <w:numFmt w:val="decimal"/>
      <w:suff w:val="nothing"/>
      <w:lvlText w:val="%1、"/>
      <w:lvlJc w:val="left"/>
    </w:lvl>
  </w:abstractNum>
  <w:abstractNum w:abstractNumId="2">
    <w:nsid w:val="DB7006C6"/>
    <w:multiLevelType w:val="singleLevel"/>
    <w:tmpl w:val="DB7006C6"/>
    <w:lvl w:ilvl="0" w:tentative="0">
      <w:start w:val="1"/>
      <w:numFmt w:val="decimal"/>
      <w:lvlText w:val="%1."/>
      <w:lvlJc w:val="left"/>
      <w:pPr>
        <w:ind w:left="425" w:hanging="425"/>
      </w:pPr>
      <w:rPr>
        <w:rFonts w:hint="default"/>
      </w:rPr>
    </w:lvl>
  </w:abstractNum>
  <w:abstractNum w:abstractNumId="3">
    <w:nsid w:val="E3F9E28E"/>
    <w:multiLevelType w:val="singleLevel"/>
    <w:tmpl w:val="E3F9E28E"/>
    <w:lvl w:ilvl="0" w:tentative="0">
      <w:start w:val="5"/>
      <w:numFmt w:val="decimal"/>
      <w:suff w:val="nothing"/>
      <w:lvlText w:val="%1、"/>
      <w:lvlJc w:val="left"/>
    </w:lvl>
  </w:abstractNum>
  <w:abstractNum w:abstractNumId="4">
    <w:nsid w:val="00000004"/>
    <w:multiLevelType w:val="multilevel"/>
    <w:tmpl w:val="00000004"/>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pStyle w:val="98"/>
      <w:isLgl/>
      <w:suff w:val="space"/>
      <w:lvlText w:val="%1.%2"/>
      <w:lvlJc w:val="left"/>
      <w:pPr>
        <w:ind w:left="0" w:firstLine="0"/>
      </w:pPr>
      <w:rPr>
        <w:rFonts w:hint="default" w:ascii="Times New Roman" w:hAnsi="Times New Roman" w:eastAsia="宋体"/>
        <w:b/>
        <w:bCs w:val="0"/>
        <w:i w:val="0"/>
        <w:iCs w:val="0"/>
        <w:caps w:val="0"/>
        <w:smallCaps w:val="0"/>
        <w:vanish w:val="0"/>
        <w:color w:val="000000"/>
        <w:spacing w:val="0"/>
        <w:position w:val="0"/>
        <w:sz w:val="30"/>
        <w:u w:val="none"/>
        <w:vertAlign w:val="baseline"/>
      </w:rPr>
    </w:lvl>
    <w:lvl w:ilvl="2" w:tentative="0">
      <w:start w:val="1"/>
      <w:numFmt w:val="decimal"/>
      <w:pStyle w:val="100"/>
      <w:isLgl/>
      <w:suff w:val="space"/>
      <w:lvlText w:val="%1.%2.%3"/>
      <w:lvlJc w:val="left"/>
      <w:pPr>
        <w:ind w:left="993" w:firstLine="0"/>
      </w:pPr>
      <w:rPr>
        <w:rFonts w:hint="default" w:ascii="Times New Roman" w:hAnsi="Times New Roman" w:eastAsia="宋体"/>
        <w:b/>
        <w:i w:val="0"/>
        <w:sz w:val="28"/>
        <w:lang w:eastAsia="zh-CN"/>
      </w:rPr>
    </w:lvl>
    <w:lvl w:ilvl="3" w:tentative="0">
      <w:start w:val="1"/>
      <w:numFmt w:val="decimal"/>
      <w:isLgl/>
      <w:suff w:val="space"/>
      <w:lvlText w:val="%1.%2.%3.%4"/>
      <w:lvlJc w:val="left"/>
      <w:rPr>
        <w:rFonts w:hint="default" w:ascii="Times New Roman" w:hAnsi="Times New Roman" w:cs="Times New Roman"/>
        <w:b w:val="0"/>
        <w:bCs w:val="0"/>
        <w:i w:val="0"/>
        <w:iCs w:val="0"/>
        <w:caps w:val="0"/>
        <w:smallCaps w:val="0"/>
        <w:vanish w:val="0"/>
        <w:color w:val="000000"/>
        <w:spacing w:val="0"/>
        <w:position w:val="0"/>
        <w:u w:val="none"/>
        <w:vertAlign w:val="baseline"/>
        <w14:shadow w14:blurRad="0" w14:dist="0" w14:dir="0" w14:sx="0" w14:sy="0" w14:kx="0" w14:ky="0" w14:algn="none">
          <w14:srgbClr w14:val="000000"/>
        </w14:shadow>
      </w:rPr>
    </w:lvl>
    <w:lvl w:ilvl="4" w:tentative="0">
      <w:start w:val="1"/>
      <w:numFmt w:val="decimal"/>
      <w:pStyle w:val="90"/>
      <w:isLgl/>
      <w:suff w:val="space"/>
      <w:lvlText w:val="表%1.%2-%5"/>
      <w:lvlJc w:val="left"/>
      <w:pPr>
        <w:ind w:left="1134" w:firstLine="0"/>
      </w:pPr>
    </w:lvl>
    <w:lvl w:ilvl="5" w:tentative="0">
      <w:start w:val="1"/>
      <w:numFmt w:val="decimal"/>
      <w:isLgl/>
      <w:suff w:val="space"/>
      <w:lvlText w:val="图%1.%2-%6"/>
      <w:lvlJc w:val="left"/>
      <w:rPr>
        <w:rFonts w:hint="eastAsia" w:ascii="Times New Roman" w:hAnsi="Times New Roman" w:cs="Times New Roman"/>
        <w:i w:val="0"/>
        <w:iCs w:val="0"/>
        <w:caps w:val="0"/>
        <w:smallCaps w:val="0"/>
        <w:vanish w:val="0"/>
        <w:color w:val="000000"/>
        <w:spacing w:val="0"/>
        <w:position w:val="0"/>
        <w:u w:val="none"/>
        <w:vertAlign w:val="baseline"/>
        <w14:shadow w14:blurRad="0" w14:dist="0" w14:dir="0" w14:sx="0" w14:sy="0" w14:kx="0" w14:ky="0" w14:algn="none">
          <w14:srgbClr w14:val="000000"/>
        </w14:shadow>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5">
    <w:nsid w:val="00000005"/>
    <w:multiLevelType w:val="multilevel"/>
    <w:tmpl w:val="00000005"/>
    <w:lvl w:ilvl="0" w:tentative="0">
      <w:start w:val="1"/>
      <w:numFmt w:val="decimal"/>
      <w:pStyle w:val="92"/>
      <w:lvlText w:val="表%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0F2C39AD"/>
    <w:multiLevelType w:val="multilevel"/>
    <w:tmpl w:val="0F2C39AD"/>
    <w:lvl w:ilvl="0" w:tentative="0">
      <w:start w:val="1"/>
      <w:numFmt w:val="decimal"/>
      <w:pStyle w:val="158"/>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7">
    <w:nsid w:val="249E0376"/>
    <w:multiLevelType w:val="multilevel"/>
    <w:tmpl w:val="249E0376"/>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71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shadow w14:blurRad="0" w14:dist="0" w14:dir="0" w14:sx="0" w14:sy="0" w14:kx="0" w14:ky="0" w14:algn="none">
          <w14:srgbClr w14:val="000000"/>
        </w14:shadow>
      </w:rPr>
    </w:lvl>
    <w:lvl w:ilvl="4" w:tentative="0">
      <w:start w:val="1"/>
      <w:numFmt w:val="decimal"/>
      <w:lvlRestart w:val="2"/>
      <w:pStyle w:val="49"/>
      <w:isLgl/>
      <w:lvlText w:val="表%1.%2-%5"/>
      <w:lvlJc w:val="left"/>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rPr>
    </w:lvl>
    <w:lvl w:ilvl="5" w:tentative="0">
      <w:start w:val="1"/>
      <w:numFmt w:val="decimal"/>
      <w:lvlRestart w:val="2"/>
      <w:isLgl/>
      <w:lvlText w:val="图%1.%2-%6"/>
      <w:lvlJc w:val="left"/>
      <w:pPr>
        <w:ind w:left="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273D0FDD"/>
    <w:multiLevelType w:val="multilevel"/>
    <w:tmpl w:val="273D0FDD"/>
    <w:lvl w:ilvl="0" w:tentative="0">
      <w:start w:val="1"/>
      <w:numFmt w:val="decimal"/>
      <w:pStyle w:val="156"/>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9">
    <w:nsid w:val="2D334046"/>
    <w:multiLevelType w:val="multilevel"/>
    <w:tmpl w:val="2D334046"/>
    <w:lvl w:ilvl="0" w:tentative="0">
      <w:start w:val="1"/>
      <w:numFmt w:val="decimal"/>
      <w:pStyle w:val="91"/>
      <w:lvlText w:val="表2-%1"/>
      <w:lvlJc w:val="center"/>
      <w:pPr>
        <w:ind w:left="420" w:hanging="420"/>
      </w:pPr>
      <w:rPr>
        <w:rFonts w:hint="eastAsia"/>
        <w:b/>
        <w:bCs w:val="0"/>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D2912BB"/>
    <w:multiLevelType w:val="multilevel"/>
    <w:tmpl w:val="3D2912BB"/>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40611095"/>
    <w:multiLevelType w:val="multilevel"/>
    <w:tmpl w:val="40611095"/>
    <w:lvl w:ilvl="0" w:tentative="0">
      <w:start w:val="1"/>
      <w:numFmt w:val="decimal"/>
      <w:lvlText w:val="表4-%1"/>
      <w:lvlJc w:val="center"/>
      <w:pPr>
        <w:ind w:left="420" w:hanging="420"/>
      </w:pPr>
      <w:rPr>
        <w:rFonts w:hint="eastAsia"/>
        <w:b/>
        <w:bCs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45525E24"/>
    <w:multiLevelType w:val="singleLevel"/>
    <w:tmpl w:val="45525E24"/>
    <w:lvl w:ilvl="0" w:tentative="0">
      <w:start w:val="1"/>
      <w:numFmt w:val="decimal"/>
      <w:suff w:val="nothing"/>
      <w:lvlText w:val="%1、"/>
      <w:lvlJc w:val="left"/>
    </w:lvl>
  </w:abstractNum>
  <w:abstractNum w:abstractNumId="13">
    <w:nsid w:val="52FA1740"/>
    <w:multiLevelType w:val="multilevel"/>
    <w:tmpl w:val="52FA1740"/>
    <w:lvl w:ilvl="0" w:tentative="0">
      <w:start w:val="1"/>
      <w:numFmt w:val="decimal"/>
      <w:lvlText w:val="表3-%1"/>
      <w:lvlJc w:val="center"/>
      <w:pPr>
        <w:ind w:left="420" w:hanging="420"/>
      </w:pPr>
      <w:rPr>
        <w:rFonts w:hint="eastAsia"/>
        <w:b/>
        <w:bCs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59F83441"/>
    <w:multiLevelType w:val="singleLevel"/>
    <w:tmpl w:val="59F83441"/>
    <w:lvl w:ilvl="0" w:tentative="0">
      <w:start w:val="1"/>
      <w:numFmt w:val="decimal"/>
      <w:suff w:val="nothing"/>
      <w:lvlText w:val="%1、"/>
      <w:lvlJc w:val="left"/>
    </w:lvl>
  </w:abstractNum>
  <w:abstractNum w:abstractNumId="15">
    <w:nsid w:val="5CD201EA"/>
    <w:multiLevelType w:val="singleLevel"/>
    <w:tmpl w:val="5CD201EA"/>
    <w:lvl w:ilvl="0" w:tentative="0">
      <w:start w:val="1"/>
      <w:numFmt w:val="decimal"/>
      <w:lvlText w:val="%1."/>
      <w:lvlJc w:val="left"/>
      <w:pPr>
        <w:tabs>
          <w:tab w:val="left" w:pos="420"/>
        </w:tabs>
        <w:ind w:left="425" w:hanging="425"/>
      </w:pPr>
      <w:rPr>
        <w:rFonts w:hint="default"/>
      </w:rPr>
    </w:lvl>
  </w:abstractNum>
  <w:abstractNum w:abstractNumId="16">
    <w:nsid w:val="747444BB"/>
    <w:multiLevelType w:val="multilevel"/>
    <w:tmpl w:val="747444BB"/>
    <w:lvl w:ilvl="0" w:tentative="0">
      <w:start w:val="1"/>
      <w:numFmt w:val="decimal"/>
      <w:pStyle w:val="153"/>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7">
    <w:nsid w:val="772523B6"/>
    <w:multiLevelType w:val="multilevel"/>
    <w:tmpl w:val="772523B6"/>
    <w:lvl w:ilvl="0" w:tentative="0">
      <w:start w:val="1"/>
      <w:numFmt w:val="decimal"/>
      <w:pStyle w:val="121"/>
      <w:lvlText w:val="表1-%1"/>
      <w:lvlJc w:val="center"/>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7"/>
  </w:num>
  <w:num w:numId="3">
    <w:abstractNumId w:val="4"/>
  </w:num>
  <w:num w:numId="4">
    <w:abstractNumId w:val="9"/>
  </w:num>
  <w:num w:numId="5">
    <w:abstractNumId w:val="5"/>
  </w:num>
  <w:num w:numId="6">
    <w:abstractNumId w:val="17"/>
  </w:num>
  <w:num w:numId="7">
    <w:abstractNumId w:val="16"/>
  </w:num>
  <w:num w:numId="8">
    <w:abstractNumId w:val="8"/>
  </w:num>
  <w:num w:numId="9">
    <w:abstractNumId w:val="6"/>
  </w:num>
  <w:num w:numId="10">
    <w:abstractNumId w:val="12"/>
  </w:num>
  <w:num w:numId="11">
    <w:abstractNumId w:val="14"/>
  </w:num>
  <w:num w:numId="12">
    <w:abstractNumId w:val="1"/>
  </w:num>
  <w:num w:numId="13">
    <w:abstractNumId w:val="2"/>
  </w:num>
  <w:num w:numId="14">
    <w:abstractNumId w:val="13"/>
  </w:num>
  <w:num w:numId="15">
    <w:abstractNumId w:val="3"/>
  </w:num>
  <w:num w:numId="16">
    <w:abstractNumId w:val="10"/>
  </w:num>
  <w:num w:numId="17">
    <w:abstractNumId w:val="11"/>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dit="trackedChanges" w:enforcement="0"/>
  <w:defaultTabStop w:val="42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VhY2UzMDhlYjUxMTM0MjcxMWU0ZjMyODQ4MGY4MWMifQ=="/>
  </w:docVars>
  <w:rsids>
    <w:rsidRoot w:val="00172A27"/>
    <w:rsid w:val="00001AFD"/>
    <w:rsid w:val="00001ECB"/>
    <w:rsid w:val="000024CA"/>
    <w:rsid w:val="00005522"/>
    <w:rsid w:val="00005DFA"/>
    <w:rsid w:val="000060B3"/>
    <w:rsid w:val="00006AF2"/>
    <w:rsid w:val="00006BF1"/>
    <w:rsid w:val="00007346"/>
    <w:rsid w:val="0001050E"/>
    <w:rsid w:val="00010ECC"/>
    <w:rsid w:val="00010EFB"/>
    <w:rsid w:val="00011F38"/>
    <w:rsid w:val="000131E9"/>
    <w:rsid w:val="000132AE"/>
    <w:rsid w:val="000171CF"/>
    <w:rsid w:val="0002520E"/>
    <w:rsid w:val="00025EE8"/>
    <w:rsid w:val="00025FCF"/>
    <w:rsid w:val="00026F36"/>
    <w:rsid w:val="0002782A"/>
    <w:rsid w:val="000320BF"/>
    <w:rsid w:val="00033449"/>
    <w:rsid w:val="00033B21"/>
    <w:rsid w:val="00035A2F"/>
    <w:rsid w:val="000361FD"/>
    <w:rsid w:val="000363CD"/>
    <w:rsid w:val="00040A4E"/>
    <w:rsid w:val="00040AFF"/>
    <w:rsid w:val="0004364B"/>
    <w:rsid w:val="00046BE4"/>
    <w:rsid w:val="00050E59"/>
    <w:rsid w:val="0005111F"/>
    <w:rsid w:val="00052CEA"/>
    <w:rsid w:val="00053EEE"/>
    <w:rsid w:val="000543CA"/>
    <w:rsid w:val="000544FB"/>
    <w:rsid w:val="00054BD6"/>
    <w:rsid w:val="00055F88"/>
    <w:rsid w:val="000565CD"/>
    <w:rsid w:val="00057346"/>
    <w:rsid w:val="0006016B"/>
    <w:rsid w:val="000614C7"/>
    <w:rsid w:val="00061B1F"/>
    <w:rsid w:val="00061D1F"/>
    <w:rsid w:val="00062DFE"/>
    <w:rsid w:val="00062E36"/>
    <w:rsid w:val="00063379"/>
    <w:rsid w:val="000644C5"/>
    <w:rsid w:val="000647C4"/>
    <w:rsid w:val="00064AD5"/>
    <w:rsid w:val="0006708E"/>
    <w:rsid w:val="0006759B"/>
    <w:rsid w:val="0007163B"/>
    <w:rsid w:val="000733C4"/>
    <w:rsid w:val="00074783"/>
    <w:rsid w:val="000759E2"/>
    <w:rsid w:val="000765C2"/>
    <w:rsid w:val="000804BF"/>
    <w:rsid w:val="0008070B"/>
    <w:rsid w:val="000810AC"/>
    <w:rsid w:val="00081A02"/>
    <w:rsid w:val="00081E17"/>
    <w:rsid w:val="00082231"/>
    <w:rsid w:val="000824FE"/>
    <w:rsid w:val="000827B7"/>
    <w:rsid w:val="00083635"/>
    <w:rsid w:val="00084DF4"/>
    <w:rsid w:val="00086EC7"/>
    <w:rsid w:val="00087480"/>
    <w:rsid w:val="0009017B"/>
    <w:rsid w:val="00092D38"/>
    <w:rsid w:val="000932CD"/>
    <w:rsid w:val="0009377B"/>
    <w:rsid w:val="000941E6"/>
    <w:rsid w:val="00094251"/>
    <w:rsid w:val="00095103"/>
    <w:rsid w:val="00095560"/>
    <w:rsid w:val="000960A7"/>
    <w:rsid w:val="00097589"/>
    <w:rsid w:val="000A0859"/>
    <w:rsid w:val="000A0E00"/>
    <w:rsid w:val="000A0FFE"/>
    <w:rsid w:val="000A20C9"/>
    <w:rsid w:val="000A210C"/>
    <w:rsid w:val="000A2270"/>
    <w:rsid w:val="000A2ED2"/>
    <w:rsid w:val="000A3EF0"/>
    <w:rsid w:val="000A4686"/>
    <w:rsid w:val="000A4B5D"/>
    <w:rsid w:val="000A5D88"/>
    <w:rsid w:val="000A65FB"/>
    <w:rsid w:val="000A690C"/>
    <w:rsid w:val="000A6FBE"/>
    <w:rsid w:val="000A6FF4"/>
    <w:rsid w:val="000A72DA"/>
    <w:rsid w:val="000A7B73"/>
    <w:rsid w:val="000B058F"/>
    <w:rsid w:val="000B0916"/>
    <w:rsid w:val="000B0BBA"/>
    <w:rsid w:val="000B10F0"/>
    <w:rsid w:val="000B1B2C"/>
    <w:rsid w:val="000B2CB7"/>
    <w:rsid w:val="000B4467"/>
    <w:rsid w:val="000B496F"/>
    <w:rsid w:val="000B49B4"/>
    <w:rsid w:val="000B4DB9"/>
    <w:rsid w:val="000B6031"/>
    <w:rsid w:val="000B655F"/>
    <w:rsid w:val="000B6A59"/>
    <w:rsid w:val="000B728A"/>
    <w:rsid w:val="000C0073"/>
    <w:rsid w:val="000C09AC"/>
    <w:rsid w:val="000C2488"/>
    <w:rsid w:val="000C25ED"/>
    <w:rsid w:val="000C2EE8"/>
    <w:rsid w:val="000C44FF"/>
    <w:rsid w:val="000C48AD"/>
    <w:rsid w:val="000C4B52"/>
    <w:rsid w:val="000C51AF"/>
    <w:rsid w:val="000C5535"/>
    <w:rsid w:val="000C6755"/>
    <w:rsid w:val="000C688E"/>
    <w:rsid w:val="000C68DF"/>
    <w:rsid w:val="000C6F59"/>
    <w:rsid w:val="000C7544"/>
    <w:rsid w:val="000C767F"/>
    <w:rsid w:val="000D069F"/>
    <w:rsid w:val="000D1A82"/>
    <w:rsid w:val="000D1BD4"/>
    <w:rsid w:val="000D22D3"/>
    <w:rsid w:val="000D2C16"/>
    <w:rsid w:val="000D3454"/>
    <w:rsid w:val="000D4554"/>
    <w:rsid w:val="000D46CF"/>
    <w:rsid w:val="000D5A44"/>
    <w:rsid w:val="000E0AA5"/>
    <w:rsid w:val="000E1795"/>
    <w:rsid w:val="000E19B8"/>
    <w:rsid w:val="000E3ED2"/>
    <w:rsid w:val="000E56A4"/>
    <w:rsid w:val="000E6359"/>
    <w:rsid w:val="000E6BB5"/>
    <w:rsid w:val="000F085F"/>
    <w:rsid w:val="000F0F12"/>
    <w:rsid w:val="000F4426"/>
    <w:rsid w:val="000F5348"/>
    <w:rsid w:val="000F5C71"/>
    <w:rsid w:val="000F6154"/>
    <w:rsid w:val="000F7EB1"/>
    <w:rsid w:val="00100EC1"/>
    <w:rsid w:val="001010D4"/>
    <w:rsid w:val="00101487"/>
    <w:rsid w:val="00101D15"/>
    <w:rsid w:val="00102ABA"/>
    <w:rsid w:val="001037E6"/>
    <w:rsid w:val="00103814"/>
    <w:rsid w:val="00106F50"/>
    <w:rsid w:val="001071ED"/>
    <w:rsid w:val="001105F9"/>
    <w:rsid w:val="00111357"/>
    <w:rsid w:val="00111E87"/>
    <w:rsid w:val="0011251F"/>
    <w:rsid w:val="00116954"/>
    <w:rsid w:val="001172A0"/>
    <w:rsid w:val="00120143"/>
    <w:rsid w:val="00120C53"/>
    <w:rsid w:val="00121C0B"/>
    <w:rsid w:val="00121DFD"/>
    <w:rsid w:val="001239BC"/>
    <w:rsid w:val="00123D8B"/>
    <w:rsid w:val="00124993"/>
    <w:rsid w:val="00125119"/>
    <w:rsid w:val="0013071A"/>
    <w:rsid w:val="001310F1"/>
    <w:rsid w:val="00131B86"/>
    <w:rsid w:val="00131F42"/>
    <w:rsid w:val="00132107"/>
    <w:rsid w:val="00132F47"/>
    <w:rsid w:val="00133945"/>
    <w:rsid w:val="001348F7"/>
    <w:rsid w:val="001352FD"/>
    <w:rsid w:val="001357F1"/>
    <w:rsid w:val="00135E6A"/>
    <w:rsid w:val="00136FDC"/>
    <w:rsid w:val="00140867"/>
    <w:rsid w:val="00140FA8"/>
    <w:rsid w:val="0014235D"/>
    <w:rsid w:val="001429A1"/>
    <w:rsid w:val="00142FEB"/>
    <w:rsid w:val="001433DC"/>
    <w:rsid w:val="001434BE"/>
    <w:rsid w:val="00143A2D"/>
    <w:rsid w:val="00144851"/>
    <w:rsid w:val="00145A36"/>
    <w:rsid w:val="00145A41"/>
    <w:rsid w:val="00150FFC"/>
    <w:rsid w:val="0015165E"/>
    <w:rsid w:val="00151675"/>
    <w:rsid w:val="001516A0"/>
    <w:rsid w:val="001520DE"/>
    <w:rsid w:val="0015245A"/>
    <w:rsid w:val="00153019"/>
    <w:rsid w:val="00153C13"/>
    <w:rsid w:val="001540B2"/>
    <w:rsid w:val="00154DB2"/>
    <w:rsid w:val="00155F27"/>
    <w:rsid w:val="00155F75"/>
    <w:rsid w:val="00157435"/>
    <w:rsid w:val="00157A22"/>
    <w:rsid w:val="00157FAB"/>
    <w:rsid w:val="00160C16"/>
    <w:rsid w:val="00160DB4"/>
    <w:rsid w:val="001638FA"/>
    <w:rsid w:val="00163E81"/>
    <w:rsid w:val="00163FE8"/>
    <w:rsid w:val="00164596"/>
    <w:rsid w:val="001647A7"/>
    <w:rsid w:val="00166152"/>
    <w:rsid w:val="00166E76"/>
    <w:rsid w:val="00170123"/>
    <w:rsid w:val="0017182E"/>
    <w:rsid w:val="00171FFD"/>
    <w:rsid w:val="00172A27"/>
    <w:rsid w:val="00172E3B"/>
    <w:rsid w:val="00173CAF"/>
    <w:rsid w:val="001746EB"/>
    <w:rsid w:val="00174D17"/>
    <w:rsid w:val="0017504D"/>
    <w:rsid w:val="00175060"/>
    <w:rsid w:val="00175118"/>
    <w:rsid w:val="0017564B"/>
    <w:rsid w:val="00175841"/>
    <w:rsid w:val="0017671A"/>
    <w:rsid w:val="00177422"/>
    <w:rsid w:val="00177FDF"/>
    <w:rsid w:val="00180B52"/>
    <w:rsid w:val="0018334D"/>
    <w:rsid w:val="0018363E"/>
    <w:rsid w:val="00184590"/>
    <w:rsid w:val="001846FD"/>
    <w:rsid w:val="0018589D"/>
    <w:rsid w:val="001870D1"/>
    <w:rsid w:val="0018781E"/>
    <w:rsid w:val="00187EE6"/>
    <w:rsid w:val="001901BC"/>
    <w:rsid w:val="0019262D"/>
    <w:rsid w:val="001927C8"/>
    <w:rsid w:val="00192DD7"/>
    <w:rsid w:val="001931DE"/>
    <w:rsid w:val="00193560"/>
    <w:rsid w:val="00194B9A"/>
    <w:rsid w:val="00196135"/>
    <w:rsid w:val="001962F8"/>
    <w:rsid w:val="00196861"/>
    <w:rsid w:val="00197889"/>
    <w:rsid w:val="001A1404"/>
    <w:rsid w:val="001A1644"/>
    <w:rsid w:val="001A1B35"/>
    <w:rsid w:val="001A48A2"/>
    <w:rsid w:val="001A5F48"/>
    <w:rsid w:val="001A6F61"/>
    <w:rsid w:val="001B0241"/>
    <w:rsid w:val="001B0D9A"/>
    <w:rsid w:val="001B17C7"/>
    <w:rsid w:val="001B1CFA"/>
    <w:rsid w:val="001B22AC"/>
    <w:rsid w:val="001B29F3"/>
    <w:rsid w:val="001B72B8"/>
    <w:rsid w:val="001B72CF"/>
    <w:rsid w:val="001B7788"/>
    <w:rsid w:val="001B7945"/>
    <w:rsid w:val="001C0D9A"/>
    <w:rsid w:val="001C2A46"/>
    <w:rsid w:val="001C2D3A"/>
    <w:rsid w:val="001C328A"/>
    <w:rsid w:val="001C3BE3"/>
    <w:rsid w:val="001C5193"/>
    <w:rsid w:val="001C5211"/>
    <w:rsid w:val="001C6698"/>
    <w:rsid w:val="001C6881"/>
    <w:rsid w:val="001C69B3"/>
    <w:rsid w:val="001C7151"/>
    <w:rsid w:val="001C74B1"/>
    <w:rsid w:val="001C7FBF"/>
    <w:rsid w:val="001D28EB"/>
    <w:rsid w:val="001D4B6F"/>
    <w:rsid w:val="001D4D41"/>
    <w:rsid w:val="001D5595"/>
    <w:rsid w:val="001D5E7D"/>
    <w:rsid w:val="001D5F97"/>
    <w:rsid w:val="001D71CB"/>
    <w:rsid w:val="001D7287"/>
    <w:rsid w:val="001D7757"/>
    <w:rsid w:val="001D7874"/>
    <w:rsid w:val="001D7F22"/>
    <w:rsid w:val="001E1390"/>
    <w:rsid w:val="001E1E47"/>
    <w:rsid w:val="001E2A25"/>
    <w:rsid w:val="001E34B0"/>
    <w:rsid w:val="001E5AAB"/>
    <w:rsid w:val="001E5D91"/>
    <w:rsid w:val="001E7D19"/>
    <w:rsid w:val="001F05F6"/>
    <w:rsid w:val="001F06CB"/>
    <w:rsid w:val="001F0B34"/>
    <w:rsid w:val="001F0DC4"/>
    <w:rsid w:val="001F0F17"/>
    <w:rsid w:val="001F14F6"/>
    <w:rsid w:val="001F1D82"/>
    <w:rsid w:val="001F2030"/>
    <w:rsid w:val="001F3165"/>
    <w:rsid w:val="001F3347"/>
    <w:rsid w:val="001F3F95"/>
    <w:rsid w:val="001F69E4"/>
    <w:rsid w:val="00200C9E"/>
    <w:rsid w:val="00200D07"/>
    <w:rsid w:val="00201667"/>
    <w:rsid w:val="00202DD1"/>
    <w:rsid w:val="002039A3"/>
    <w:rsid w:val="00203D18"/>
    <w:rsid w:val="00203D26"/>
    <w:rsid w:val="002043B3"/>
    <w:rsid w:val="002056F1"/>
    <w:rsid w:val="00207657"/>
    <w:rsid w:val="0021091A"/>
    <w:rsid w:val="002125B4"/>
    <w:rsid w:val="00212B3D"/>
    <w:rsid w:val="00212FAD"/>
    <w:rsid w:val="002141A4"/>
    <w:rsid w:val="0021436D"/>
    <w:rsid w:val="002155B8"/>
    <w:rsid w:val="002163C0"/>
    <w:rsid w:val="002164E1"/>
    <w:rsid w:val="00216C53"/>
    <w:rsid w:val="00220279"/>
    <w:rsid w:val="0022226A"/>
    <w:rsid w:val="00223241"/>
    <w:rsid w:val="00224839"/>
    <w:rsid w:val="002249B2"/>
    <w:rsid w:val="00225552"/>
    <w:rsid w:val="002259AD"/>
    <w:rsid w:val="00225F70"/>
    <w:rsid w:val="002263AC"/>
    <w:rsid w:val="00226574"/>
    <w:rsid w:val="002278EC"/>
    <w:rsid w:val="00231C25"/>
    <w:rsid w:val="0023237D"/>
    <w:rsid w:val="0023280E"/>
    <w:rsid w:val="00233854"/>
    <w:rsid w:val="002338F8"/>
    <w:rsid w:val="0023764A"/>
    <w:rsid w:val="002377D1"/>
    <w:rsid w:val="0024078A"/>
    <w:rsid w:val="002448A1"/>
    <w:rsid w:val="00244C82"/>
    <w:rsid w:val="002452C2"/>
    <w:rsid w:val="002506BC"/>
    <w:rsid w:val="002509A8"/>
    <w:rsid w:val="00250BA6"/>
    <w:rsid w:val="00251288"/>
    <w:rsid w:val="00252B7A"/>
    <w:rsid w:val="00253423"/>
    <w:rsid w:val="00253E67"/>
    <w:rsid w:val="00254345"/>
    <w:rsid w:val="00254512"/>
    <w:rsid w:val="00255E19"/>
    <w:rsid w:val="002561FB"/>
    <w:rsid w:val="002568C2"/>
    <w:rsid w:val="0025738A"/>
    <w:rsid w:val="00260554"/>
    <w:rsid w:val="00261C84"/>
    <w:rsid w:val="002621AE"/>
    <w:rsid w:val="00262F73"/>
    <w:rsid w:val="00264557"/>
    <w:rsid w:val="002658AC"/>
    <w:rsid w:val="00265C21"/>
    <w:rsid w:val="002672CF"/>
    <w:rsid w:val="0026770F"/>
    <w:rsid w:val="00272271"/>
    <w:rsid w:val="00272D31"/>
    <w:rsid w:val="00272E67"/>
    <w:rsid w:val="00272FD9"/>
    <w:rsid w:val="002730AE"/>
    <w:rsid w:val="00274A00"/>
    <w:rsid w:val="00274D6D"/>
    <w:rsid w:val="002757AD"/>
    <w:rsid w:val="0027651B"/>
    <w:rsid w:val="00277A12"/>
    <w:rsid w:val="002805AB"/>
    <w:rsid w:val="00280C6A"/>
    <w:rsid w:val="002833DB"/>
    <w:rsid w:val="00284204"/>
    <w:rsid w:val="00284EBD"/>
    <w:rsid w:val="0028710F"/>
    <w:rsid w:val="00287F2F"/>
    <w:rsid w:val="00290710"/>
    <w:rsid w:val="00291773"/>
    <w:rsid w:val="00291D9F"/>
    <w:rsid w:val="00291F94"/>
    <w:rsid w:val="00291FE7"/>
    <w:rsid w:val="0029456E"/>
    <w:rsid w:val="002A168C"/>
    <w:rsid w:val="002A1971"/>
    <w:rsid w:val="002A3DC7"/>
    <w:rsid w:val="002A3F62"/>
    <w:rsid w:val="002A45DC"/>
    <w:rsid w:val="002A47C9"/>
    <w:rsid w:val="002A4FB1"/>
    <w:rsid w:val="002A5A62"/>
    <w:rsid w:val="002B06EC"/>
    <w:rsid w:val="002B17CF"/>
    <w:rsid w:val="002B20EB"/>
    <w:rsid w:val="002B2E05"/>
    <w:rsid w:val="002B30DD"/>
    <w:rsid w:val="002B3122"/>
    <w:rsid w:val="002B49E2"/>
    <w:rsid w:val="002B5EA6"/>
    <w:rsid w:val="002B7B00"/>
    <w:rsid w:val="002B7C44"/>
    <w:rsid w:val="002B7E08"/>
    <w:rsid w:val="002C2B17"/>
    <w:rsid w:val="002C35A4"/>
    <w:rsid w:val="002C3C6E"/>
    <w:rsid w:val="002C6F68"/>
    <w:rsid w:val="002C7155"/>
    <w:rsid w:val="002C72FD"/>
    <w:rsid w:val="002C7B14"/>
    <w:rsid w:val="002D0A10"/>
    <w:rsid w:val="002D12AE"/>
    <w:rsid w:val="002D1421"/>
    <w:rsid w:val="002D154F"/>
    <w:rsid w:val="002D395F"/>
    <w:rsid w:val="002D3DD0"/>
    <w:rsid w:val="002D4826"/>
    <w:rsid w:val="002D5600"/>
    <w:rsid w:val="002D5946"/>
    <w:rsid w:val="002D64DB"/>
    <w:rsid w:val="002D66EA"/>
    <w:rsid w:val="002D699E"/>
    <w:rsid w:val="002D7F40"/>
    <w:rsid w:val="002E0331"/>
    <w:rsid w:val="002E0601"/>
    <w:rsid w:val="002E0D5D"/>
    <w:rsid w:val="002E1A1E"/>
    <w:rsid w:val="002E1F3A"/>
    <w:rsid w:val="002E298A"/>
    <w:rsid w:val="002E40AE"/>
    <w:rsid w:val="002E53C1"/>
    <w:rsid w:val="002F00E5"/>
    <w:rsid w:val="002F00FA"/>
    <w:rsid w:val="002F081E"/>
    <w:rsid w:val="002F083C"/>
    <w:rsid w:val="002F0991"/>
    <w:rsid w:val="002F1CD7"/>
    <w:rsid w:val="002F269D"/>
    <w:rsid w:val="002F2CF8"/>
    <w:rsid w:val="002F3187"/>
    <w:rsid w:val="002F6393"/>
    <w:rsid w:val="002F73A6"/>
    <w:rsid w:val="002F7AB0"/>
    <w:rsid w:val="00300053"/>
    <w:rsid w:val="00300F9D"/>
    <w:rsid w:val="00301978"/>
    <w:rsid w:val="00301E89"/>
    <w:rsid w:val="003022C6"/>
    <w:rsid w:val="00302979"/>
    <w:rsid w:val="0030332C"/>
    <w:rsid w:val="00303F65"/>
    <w:rsid w:val="00304CBC"/>
    <w:rsid w:val="0030515F"/>
    <w:rsid w:val="003051C2"/>
    <w:rsid w:val="00305A95"/>
    <w:rsid w:val="00305B27"/>
    <w:rsid w:val="00305DD4"/>
    <w:rsid w:val="00306B2B"/>
    <w:rsid w:val="00306D29"/>
    <w:rsid w:val="00310252"/>
    <w:rsid w:val="00310A7A"/>
    <w:rsid w:val="00310BA5"/>
    <w:rsid w:val="00312296"/>
    <w:rsid w:val="00312B50"/>
    <w:rsid w:val="00314019"/>
    <w:rsid w:val="00314AD2"/>
    <w:rsid w:val="00314F0E"/>
    <w:rsid w:val="003157C6"/>
    <w:rsid w:val="00315CDF"/>
    <w:rsid w:val="00316055"/>
    <w:rsid w:val="00317535"/>
    <w:rsid w:val="00317FA3"/>
    <w:rsid w:val="00320587"/>
    <w:rsid w:val="003214CB"/>
    <w:rsid w:val="00321D8E"/>
    <w:rsid w:val="00321E66"/>
    <w:rsid w:val="00322434"/>
    <w:rsid w:val="00324F64"/>
    <w:rsid w:val="00325928"/>
    <w:rsid w:val="00326349"/>
    <w:rsid w:val="003263ED"/>
    <w:rsid w:val="00327244"/>
    <w:rsid w:val="00330CB4"/>
    <w:rsid w:val="003312EA"/>
    <w:rsid w:val="00331DE4"/>
    <w:rsid w:val="003320AF"/>
    <w:rsid w:val="00332217"/>
    <w:rsid w:val="00332863"/>
    <w:rsid w:val="00333AD1"/>
    <w:rsid w:val="00334931"/>
    <w:rsid w:val="00335B49"/>
    <w:rsid w:val="0033684D"/>
    <w:rsid w:val="00337B42"/>
    <w:rsid w:val="00337EC9"/>
    <w:rsid w:val="00341B42"/>
    <w:rsid w:val="00342C96"/>
    <w:rsid w:val="00343279"/>
    <w:rsid w:val="0034348F"/>
    <w:rsid w:val="00344DD2"/>
    <w:rsid w:val="00346D15"/>
    <w:rsid w:val="00347961"/>
    <w:rsid w:val="003516D1"/>
    <w:rsid w:val="00354B51"/>
    <w:rsid w:val="00354D16"/>
    <w:rsid w:val="00355BD5"/>
    <w:rsid w:val="00356653"/>
    <w:rsid w:val="00356746"/>
    <w:rsid w:val="00356A98"/>
    <w:rsid w:val="0035743F"/>
    <w:rsid w:val="00357BE2"/>
    <w:rsid w:val="00360F3C"/>
    <w:rsid w:val="0036170C"/>
    <w:rsid w:val="00362F91"/>
    <w:rsid w:val="0036522A"/>
    <w:rsid w:val="003662E8"/>
    <w:rsid w:val="00366658"/>
    <w:rsid w:val="00366E0F"/>
    <w:rsid w:val="00372ACD"/>
    <w:rsid w:val="00372FBD"/>
    <w:rsid w:val="00373209"/>
    <w:rsid w:val="003739B5"/>
    <w:rsid w:val="003740DA"/>
    <w:rsid w:val="00374403"/>
    <w:rsid w:val="003744F8"/>
    <w:rsid w:val="00374C57"/>
    <w:rsid w:val="003760BF"/>
    <w:rsid w:val="0037610A"/>
    <w:rsid w:val="00376218"/>
    <w:rsid w:val="003764BE"/>
    <w:rsid w:val="00376B6C"/>
    <w:rsid w:val="00380B4D"/>
    <w:rsid w:val="00380F83"/>
    <w:rsid w:val="00381A72"/>
    <w:rsid w:val="003833DE"/>
    <w:rsid w:val="003838A1"/>
    <w:rsid w:val="00383E52"/>
    <w:rsid w:val="00384676"/>
    <w:rsid w:val="00384D93"/>
    <w:rsid w:val="00385808"/>
    <w:rsid w:val="00386EC2"/>
    <w:rsid w:val="00386EFA"/>
    <w:rsid w:val="00387A0E"/>
    <w:rsid w:val="00390857"/>
    <w:rsid w:val="00392FDC"/>
    <w:rsid w:val="003933B9"/>
    <w:rsid w:val="0039373C"/>
    <w:rsid w:val="003937E2"/>
    <w:rsid w:val="003947ED"/>
    <w:rsid w:val="00396D2D"/>
    <w:rsid w:val="003970B6"/>
    <w:rsid w:val="003A1B8E"/>
    <w:rsid w:val="003A29C9"/>
    <w:rsid w:val="003A3DA2"/>
    <w:rsid w:val="003A4BF3"/>
    <w:rsid w:val="003A55BB"/>
    <w:rsid w:val="003A5DB8"/>
    <w:rsid w:val="003B0829"/>
    <w:rsid w:val="003B3B1E"/>
    <w:rsid w:val="003B420D"/>
    <w:rsid w:val="003B538E"/>
    <w:rsid w:val="003B67AE"/>
    <w:rsid w:val="003B708D"/>
    <w:rsid w:val="003B7129"/>
    <w:rsid w:val="003B757A"/>
    <w:rsid w:val="003C0E7F"/>
    <w:rsid w:val="003C208E"/>
    <w:rsid w:val="003C24F5"/>
    <w:rsid w:val="003C3B75"/>
    <w:rsid w:val="003C5BE7"/>
    <w:rsid w:val="003C6C16"/>
    <w:rsid w:val="003C7B40"/>
    <w:rsid w:val="003C7C7A"/>
    <w:rsid w:val="003C7F0E"/>
    <w:rsid w:val="003D1286"/>
    <w:rsid w:val="003D4AB9"/>
    <w:rsid w:val="003D4B3E"/>
    <w:rsid w:val="003D70CD"/>
    <w:rsid w:val="003D794D"/>
    <w:rsid w:val="003D7E52"/>
    <w:rsid w:val="003E1641"/>
    <w:rsid w:val="003E198C"/>
    <w:rsid w:val="003E2F53"/>
    <w:rsid w:val="003E3058"/>
    <w:rsid w:val="003E3BD9"/>
    <w:rsid w:val="003E458D"/>
    <w:rsid w:val="003E5783"/>
    <w:rsid w:val="003E638B"/>
    <w:rsid w:val="003E698B"/>
    <w:rsid w:val="003E6A64"/>
    <w:rsid w:val="003E6F26"/>
    <w:rsid w:val="003E76A9"/>
    <w:rsid w:val="003E7BC1"/>
    <w:rsid w:val="003F001F"/>
    <w:rsid w:val="003F0809"/>
    <w:rsid w:val="003F2285"/>
    <w:rsid w:val="003F3280"/>
    <w:rsid w:val="003F360E"/>
    <w:rsid w:val="003F3649"/>
    <w:rsid w:val="003F44C8"/>
    <w:rsid w:val="003F5CBA"/>
    <w:rsid w:val="003F66AD"/>
    <w:rsid w:val="003F6A8C"/>
    <w:rsid w:val="003F6C20"/>
    <w:rsid w:val="003F714F"/>
    <w:rsid w:val="003F755C"/>
    <w:rsid w:val="003F7D77"/>
    <w:rsid w:val="004005AC"/>
    <w:rsid w:val="00401C01"/>
    <w:rsid w:val="00402633"/>
    <w:rsid w:val="00402B45"/>
    <w:rsid w:val="00404CA3"/>
    <w:rsid w:val="00405C94"/>
    <w:rsid w:val="00406F01"/>
    <w:rsid w:val="004116CC"/>
    <w:rsid w:val="0041336C"/>
    <w:rsid w:val="00413C9E"/>
    <w:rsid w:val="00414FA2"/>
    <w:rsid w:val="00415B00"/>
    <w:rsid w:val="00416D50"/>
    <w:rsid w:val="00416FD5"/>
    <w:rsid w:val="00417180"/>
    <w:rsid w:val="00417772"/>
    <w:rsid w:val="00420169"/>
    <w:rsid w:val="00420400"/>
    <w:rsid w:val="0042089E"/>
    <w:rsid w:val="00420E6A"/>
    <w:rsid w:val="00421693"/>
    <w:rsid w:val="00422B1D"/>
    <w:rsid w:val="004230DE"/>
    <w:rsid w:val="00423508"/>
    <w:rsid w:val="00423874"/>
    <w:rsid w:val="0042597F"/>
    <w:rsid w:val="00425A9E"/>
    <w:rsid w:val="0042679E"/>
    <w:rsid w:val="00426D6B"/>
    <w:rsid w:val="00427786"/>
    <w:rsid w:val="00427EB3"/>
    <w:rsid w:val="004302A5"/>
    <w:rsid w:val="0043165B"/>
    <w:rsid w:val="004319E3"/>
    <w:rsid w:val="00431A91"/>
    <w:rsid w:val="00431E6C"/>
    <w:rsid w:val="00432157"/>
    <w:rsid w:val="004321E3"/>
    <w:rsid w:val="00433CE7"/>
    <w:rsid w:val="00434F41"/>
    <w:rsid w:val="004360F9"/>
    <w:rsid w:val="00436CE2"/>
    <w:rsid w:val="00437032"/>
    <w:rsid w:val="004401F4"/>
    <w:rsid w:val="004409C5"/>
    <w:rsid w:val="004425B5"/>
    <w:rsid w:val="00442E30"/>
    <w:rsid w:val="0044634C"/>
    <w:rsid w:val="00451C89"/>
    <w:rsid w:val="00451CAF"/>
    <w:rsid w:val="00452738"/>
    <w:rsid w:val="00453031"/>
    <w:rsid w:val="0045398A"/>
    <w:rsid w:val="00453D2A"/>
    <w:rsid w:val="00454FB6"/>
    <w:rsid w:val="0045529D"/>
    <w:rsid w:val="00456091"/>
    <w:rsid w:val="004600A7"/>
    <w:rsid w:val="0046163D"/>
    <w:rsid w:val="004636E0"/>
    <w:rsid w:val="00465974"/>
    <w:rsid w:val="00465F5E"/>
    <w:rsid w:val="00466321"/>
    <w:rsid w:val="004664D6"/>
    <w:rsid w:val="00470CEC"/>
    <w:rsid w:val="004721BA"/>
    <w:rsid w:val="00474C48"/>
    <w:rsid w:val="00474DB4"/>
    <w:rsid w:val="00475CEB"/>
    <w:rsid w:val="0047710A"/>
    <w:rsid w:val="00477A16"/>
    <w:rsid w:val="0048026F"/>
    <w:rsid w:val="00483724"/>
    <w:rsid w:val="0048402A"/>
    <w:rsid w:val="004842B7"/>
    <w:rsid w:val="00484B9B"/>
    <w:rsid w:val="004855F6"/>
    <w:rsid w:val="004863E6"/>
    <w:rsid w:val="0048661E"/>
    <w:rsid w:val="00486810"/>
    <w:rsid w:val="00487D0A"/>
    <w:rsid w:val="00490357"/>
    <w:rsid w:val="0049051C"/>
    <w:rsid w:val="00492EBD"/>
    <w:rsid w:val="00494670"/>
    <w:rsid w:val="00494708"/>
    <w:rsid w:val="00494D8A"/>
    <w:rsid w:val="0049666E"/>
    <w:rsid w:val="004968B1"/>
    <w:rsid w:val="004974E6"/>
    <w:rsid w:val="004975F8"/>
    <w:rsid w:val="004A0B0B"/>
    <w:rsid w:val="004A1131"/>
    <w:rsid w:val="004A372B"/>
    <w:rsid w:val="004A3823"/>
    <w:rsid w:val="004A3AD8"/>
    <w:rsid w:val="004A47FF"/>
    <w:rsid w:val="004A60F1"/>
    <w:rsid w:val="004A7B1A"/>
    <w:rsid w:val="004B2AC3"/>
    <w:rsid w:val="004B48EA"/>
    <w:rsid w:val="004B49EB"/>
    <w:rsid w:val="004B4B3C"/>
    <w:rsid w:val="004B4B6D"/>
    <w:rsid w:val="004B4E74"/>
    <w:rsid w:val="004B6E85"/>
    <w:rsid w:val="004B6FC9"/>
    <w:rsid w:val="004B7DE5"/>
    <w:rsid w:val="004C1E44"/>
    <w:rsid w:val="004C2F45"/>
    <w:rsid w:val="004C3FD7"/>
    <w:rsid w:val="004C4F4B"/>
    <w:rsid w:val="004C70EE"/>
    <w:rsid w:val="004C71D7"/>
    <w:rsid w:val="004C7287"/>
    <w:rsid w:val="004C7374"/>
    <w:rsid w:val="004C7403"/>
    <w:rsid w:val="004D044B"/>
    <w:rsid w:val="004D1027"/>
    <w:rsid w:val="004D2702"/>
    <w:rsid w:val="004D4414"/>
    <w:rsid w:val="004D48A3"/>
    <w:rsid w:val="004D5BF4"/>
    <w:rsid w:val="004D6459"/>
    <w:rsid w:val="004D664C"/>
    <w:rsid w:val="004E24F8"/>
    <w:rsid w:val="004E2CC0"/>
    <w:rsid w:val="004E4A45"/>
    <w:rsid w:val="004E4E9A"/>
    <w:rsid w:val="004E66A0"/>
    <w:rsid w:val="004E6946"/>
    <w:rsid w:val="004E6D99"/>
    <w:rsid w:val="004E7323"/>
    <w:rsid w:val="004E7A69"/>
    <w:rsid w:val="004F0D1D"/>
    <w:rsid w:val="004F0D7C"/>
    <w:rsid w:val="004F16E1"/>
    <w:rsid w:val="004F1AD8"/>
    <w:rsid w:val="004F266A"/>
    <w:rsid w:val="004F70D4"/>
    <w:rsid w:val="00500127"/>
    <w:rsid w:val="00500F52"/>
    <w:rsid w:val="00501345"/>
    <w:rsid w:val="005014AC"/>
    <w:rsid w:val="00501753"/>
    <w:rsid w:val="00501764"/>
    <w:rsid w:val="00503383"/>
    <w:rsid w:val="005039CB"/>
    <w:rsid w:val="00504F2F"/>
    <w:rsid w:val="0050558F"/>
    <w:rsid w:val="00506286"/>
    <w:rsid w:val="00507A91"/>
    <w:rsid w:val="00510027"/>
    <w:rsid w:val="0051014F"/>
    <w:rsid w:val="0051070E"/>
    <w:rsid w:val="00510813"/>
    <w:rsid w:val="0051092B"/>
    <w:rsid w:val="00510C73"/>
    <w:rsid w:val="005112B5"/>
    <w:rsid w:val="00511990"/>
    <w:rsid w:val="00511DE0"/>
    <w:rsid w:val="00512C77"/>
    <w:rsid w:val="005130E5"/>
    <w:rsid w:val="00513717"/>
    <w:rsid w:val="00514870"/>
    <w:rsid w:val="00514B9B"/>
    <w:rsid w:val="00515525"/>
    <w:rsid w:val="00515DE7"/>
    <w:rsid w:val="005164C9"/>
    <w:rsid w:val="00517F02"/>
    <w:rsid w:val="00520956"/>
    <w:rsid w:val="00521892"/>
    <w:rsid w:val="00521D6A"/>
    <w:rsid w:val="00522A53"/>
    <w:rsid w:val="00524286"/>
    <w:rsid w:val="00524303"/>
    <w:rsid w:val="005258A2"/>
    <w:rsid w:val="00525E2B"/>
    <w:rsid w:val="00527B71"/>
    <w:rsid w:val="00527FE6"/>
    <w:rsid w:val="00530B7E"/>
    <w:rsid w:val="005319C7"/>
    <w:rsid w:val="00532F73"/>
    <w:rsid w:val="005337CA"/>
    <w:rsid w:val="00533875"/>
    <w:rsid w:val="005342AE"/>
    <w:rsid w:val="00535B86"/>
    <w:rsid w:val="00535FD0"/>
    <w:rsid w:val="00536E07"/>
    <w:rsid w:val="00537F60"/>
    <w:rsid w:val="005401AE"/>
    <w:rsid w:val="0054027B"/>
    <w:rsid w:val="005407D7"/>
    <w:rsid w:val="00540862"/>
    <w:rsid w:val="00540D81"/>
    <w:rsid w:val="005412F1"/>
    <w:rsid w:val="00541FE8"/>
    <w:rsid w:val="005425E4"/>
    <w:rsid w:val="00542E07"/>
    <w:rsid w:val="00543884"/>
    <w:rsid w:val="00543BB4"/>
    <w:rsid w:val="00543F66"/>
    <w:rsid w:val="00544666"/>
    <w:rsid w:val="00544ACE"/>
    <w:rsid w:val="00545242"/>
    <w:rsid w:val="005453A4"/>
    <w:rsid w:val="00545424"/>
    <w:rsid w:val="0054654C"/>
    <w:rsid w:val="00546952"/>
    <w:rsid w:val="005471AE"/>
    <w:rsid w:val="0055148D"/>
    <w:rsid w:val="00551B74"/>
    <w:rsid w:val="00553B67"/>
    <w:rsid w:val="00554A7B"/>
    <w:rsid w:val="00554FD5"/>
    <w:rsid w:val="0055552E"/>
    <w:rsid w:val="0055572C"/>
    <w:rsid w:val="0055641B"/>
    <w:rsid w:val="005605B9"/>
    <w:rsid w:val="0056106A"/>
    <w:rsid w:val="005635B4"/>
    <w:rsid w:val="00563FDB"/>
    <w:rsid w:val="00564350"/>
    <w:rsid w:val="005652DB"/>
    <w:rsid w:val="005652F2"/>
    <w:rsid w:val="005658D0"/>
    <w:rsid w:val="00565B85"/>
    <w:rsid w:val="00566748"/>
    <w:rsid w:val="00566E39"/>
    <w:rsid w:val="00571666"/>
    <w:rsid w:val="005720AE"/>
    <w:rsid w:val="0057228E"/>
    <w:rsid w:val="005734C1"/>
    <w:rsid w:val="0057409C"/>
    <w:rsid w:val="00575358"/>
    <w:rsid w:val="00575C3C"/>
    <w:rsid w:val="00576979"/>
    <w:rsid w:val="00576F75"/>
    <w:rsid w:val="005773A5"/>
    <w:rsid w:val="005809D4"/>
    <w:rsid w:val="00580F44"/>
    <w:rsid w:val="00582D0B"/>
    <w:rsid w:val="005838B4"/>
    <w:rsid w:val="00583DE6"/>
    <w:rsid w:val="00584227"/>
    <w:rsid w:val="00585071"/>
    <w:rsid w:val="005855D3"/>
    <w:rsid w:val="00585CF9"/>
    <w:rsid w:val="00585E53"/>
    <w:rsid w:val="0058611F"/>
    <w:rsid w:val="0058671D"/>
    <w:rsid w:val="0059074B"/>
    <w:rsid w:val="00591F54"/>
    <w:rsid w:val="00592777"/>
    <w:rsid w:val="00592C28"/>
    <w:rsid w:val="00592DA3"/>
    <w:rsid w:val="00593BB4"/>
    <w:rsid w:val="00594D77"/>
    <w:rsid w:val="00595ACC"/>
    <w:rsid w:val="00595DC4"/>
    <w:rsid w:val="005969E4"/>
    <w:rsid w:val="00596C76"/>
    <w:rsid w:val="00597724"/>
    <w:rsid w:val="005A06B7"/>
    <w:rsid w:val="005A1759"/>
    <w:rsid w:val="005A52D3"/>
    <w:rsid w:val="005A649B"/>
    <w:rsid w:val="005A68A7"/>
    <w:rsid w:val="005A6CEE"/>
    <w:rsid w:val="005B1100"/>
    <w:rsid w:val="005B1C0B"/>
    <w:rsid w:val="005B1D54"/>
    <w:rsid w:val="005B1F62"/>
    <w:rsid w:val="005B3B72"/>
    <w:rsid w:val="005B4D07"/>
    <w:rsid w:val="005B5320"/>
    <w:rsid w:val="005B6993"/>
    <w:rsid w:val="005B75E5"/>
    <w:rsid w:val="005B7922"/>
    <w:rsid w:val="005B7B02"/>
    <w:rsid w:val="005B7C0A"/>
    <w:rsid w:val="005C082D"/>
    <w:rsid w:val="005C17E4"/>
    <w:rsid w:val="005C1994"/>
    <w:rsid w:val="005C2220"/>
    <w:rsid w:val="005C29EF"/>
    <w:rsid w:val="005C319D"/>
    <w:rsid w:val="005C3B59"/>
    <w:rsid w:val="005C46A2"/>
    <w:rsid w:val="005C5759"/>
    <w:rsid w:val="005C62C3"/>
    <w:rsid w:val="005C6E11"/>
    <w:rsid w:val="005C7182"/>
    <w:rsid w:val="005D05AB"/>
    <w:rsid w:val="005D10B7"/>
    <w:rsid w:val="005D2403"/>
    <w:rsid w:val="005D34AD"/>
    <w:rsid w:val="005D36AB"/>
    <w:rsid w:val="005D3CB3"/>
    <w:rsid w:val="005D4FBC"/>
    <w:rsid w:val="005D5433"/>
    <w:rsid w:val="005D6254"/>
    <w:rsid w:val="005E0773"/>
    <w:rsid w:val="005E0CB6"/>
    <w:rsid w:val="005E1B32"/>
    <w:rsid w:val="005E6282"/>
    <w:rsid w:val="005E64B3"/>
    <w:rsid w:val="005E6F03"/>
    <w:rsid w:val="005E7403"/>
    <w:rsid w:val="005F0FDD"/>
    <w:rsid w:val="005F1BE3"/>
    <w:rsid w:val="005F21B4"/>
    <w:rsid w:val="005F21BA"/>
    <w:rsid w:val="005F25ED"/>
    <w:rsid w:val="005F2FB0"/>
    <w:rsid w:val="005F5399"/>
    <w:rsid w:val="005F5AAE"/>
    <w:rsid w:val="005F5ED4"/>
    <w:rsid w:val="005F6793"/>
    <w:rsid w:val="005F6CA7"/>
    <w:rsid w:val="005F74B9"/>
    <w:rsid w:val="00601E47"/>
    <w:rsid w:val="006028A3"/>
    <w:rsid w:val="00603BB3"/>
    <w:rsid w:val="00603FFE"/>
    <w:rsid w:val="0060452B"/>
    <w:rsid w:val="00610614"/>
    <w:rsid w:val="00612BAC"/>
    <w:rsid w:val="00614901"/>
    <w:rsid w:val="00615177"/>
    <w:rsid w:val="006151C2"/>
    <w:rsid w:val="006153AF"/>
    <w:rsid w:val="006171E8"/>
    <w:rsid w:val="006176E4"/>
    <w:rsid w:val="00617CC3"/>
    <w:rsid w:val="006220AC"/>
    <w:rsid w:val="006234D4"/>
    <w:rsid w:val="006237FF"/>
    <w:rsid w:val="00625B4C"/>
    <w:rsid w:val="00625EA3"/>
    <w:rsid w:val="00626CF4"/>
    <w:rsid w:val="00630CCF"/>
    <w:rsid w:val="0063233C"/>
    <w:rsid w:val="006335BF"/>
    <w:rsid w:val="00633F39"/>
    <w:rsid w:val="00634732"/>
    <w:rsid w:val="0063568B"/>
    <w:rsid w:val="00635FBD"/>
    <w:rsid w:val="00636B69"/>
    <w:rsid w:val="00637190"/>
    <w:rsid w:val="006377A6"/>
    <w:rsid w:val="0063789A"/>
    <w:rsid w:val="00637A3D"/>
    <w:rsid w:val="00640749"/>
    <w:rsid w:val="006411EF"/>
    <w:rsid w:val="0064412C"/>
    <w:rsid w:val="006449D0"/>
    <w:rsid w:val="00645DCF"/>
    <w:rsid w:val="006465CA"/>
    <w:rsid w:val="00646D70"/>
    <w:rsid w:val="00647039"/>
    <w:rsid w:val="00647195"/>
    <w:rsid w:val="00647661"/>
    <w:rsid w:val="00647C50"/>
    <w:rsid w:val="00650272"/>
    <w:rsid w:val="00651064"/>
    <w:rsid w:val="006530CA"/>
    <w:rsid w:val="00653F3A"/>
    <w:rsid w:val="006544C8"/>
    <w:rsid w:val="00654544"/>
    <w:rsid w:val="00655108"/>
    <w:rsid w:val="00656497"/>
    <w:rsid w:val="00662DD7"/>
    <w:rsid w:val="00664196"/>
    <w:rsid w:val="00665DD4"/>
    <w:rsid w:val="00667823"/>
    <w:rsid w:val="006701DA"/>
    <w:rsid w:val="00671911"/>
    <w:rsid w:val="00673E2F"/>
    <w:rsid w:val="006748B8"/>
    <w:rsid w:val="00675333"/>
    <w:rsid w:val="00675A6C"/>
    <w:rsid w:val="0067712E"/>
    <w:rsid w:val="0067756A"/>
    <w:rsid w:val="0067759E"/>
    <w:rsid w:val="006775C3"/>
    <w:rsid w:val="006803FB"/>
    <w:rsid w:val="0068202A"/>
    <w:rsid w:val="0068216D"/>
    <w:rsid w:val="00686137"/>
    <w:rsid w:val="00690903"/>
    <w:rsid w:val="00691633"/>
    <w:rsid w:val="0069270B"/>
    <w:rsid w:val="0069290A"/>
    <w:rsid w:val="0069352F"/>
    <w:rsid w:val="00693CA3"/>
    <w:rsid w:val="00693FAB"/>
    <w:rsid w:val="00694B41"/>
    <w:rsid w:val="006951B5"/>
    <w:rsid w:val="00695C45"/>
    <w:rsid w:val="00696D18"/>
    <w:rsid w:val="00697710"/>
    <w:rsid w:val="0069775A"/>
    <w:rsid w:val="00697813"/>
    <w:rsid w:val="006A1174"/>
    <w:rsid w:val="006A18B7"/>
    <w:rsid w:val="006A1E4B"/>
    <w:rsid w:val="006A1FF5"/>
    <w:rsid w:val="006A3844"/>
    <w:rsid w:val="006A3EE8"/>
    <w:rsid w:val="006A428C"/>
    <w:rsid w:val="006A431B"/>
    <w:rsid w:val="006A441D"/>
    <w:rsid w:val="006A47B9"/>
    <w:rsid w:val="006A72BF"/>
    <w:rsid w:val="006B03F2"/>
    <w:rsid w:val="006B09C8"/>
    <w:rsid w:val="006B1936"/>
    <w:rsid w:val="006B2128"/>
    <w:rsid w:val="006B37B1"/>
    <w:rsid w:val="006B37DC"/>
    <w:rsid w:val="006B4011"/>
    <w:rsid w:val="006B4908"/>
    <w:rsid w:val="006B4F68"/>
    <w:rsid w:val="006B585E"/>
    <w:rsid w:val="006C0592"/>
    <w:rsid w:val="006C0D95"/>
    <w:rsid w:val="006C272E"/>
    <w:rsid w:val="006C3F93"/>
    <w:rsid w:val="006C5479"/>
    <w:rsid w:val="006C57AE"/>
    <w:rsid w:val="006C5814"/>
    <w:rsid w:val="006C6443"/>
    <w:rsid w:val="006C69EC"/>
    <w:rsid w:val="006C6F06"/>
    <w:rsid w:val="006C6F07"/>
    <w:rsid w:val="006C6F24"/>
    <w:rsid w:val="006D13B5"/>
    <w:rsid w:val="006D24AD"/>
    <w:rsid w:val="006D2BFA"/>
    <w:rsid w:val="006D348D"/>
    <w:rsid w:val="006D382C"/>
    <w:rsid w:val="006D44F1"/>
    <w:rsid w:val="006D5B3F"/>
    <w:rsid w:val="006D7F32"/>
    <w:rsid w:val="006E12FF"/>
    <w:rsid w:val="006E1564"/>
    <w:rsid w:val="006E2E4E"/>
    <w:rsid w:val="006E4A2C"/>
    <w:rsid w:val="006E59BC"/>
    <w:rsid w:val="006E607E"/>
    <w:rsid w:val="006E64BC"/>
    <w:rsid w:val="006E6DC3"/>
    <w:rsid w:val="006E75A0"/>
    <w:rsid w:val="006F2B5C"/>
    <w:rsid w:val="006F325F"/>
    <w:rsid w:val="006F4513"/>
    <w:rsid w:val="006F5969"/>
    <w:rsid w:val="006F5DB2"/>
    <w:rsid w:val="006F6010"/>
    <w:rsid w:val="006F755A"/>
    <w:rsid w:val="00701277"/>
    <w:rsid w:val="00701A15"/>
    <w:rsid w:val="007026F7"/>
    <w:rsid w:val="0070283C"/>
    <w:rsid w:val="00702A7F"/>
    <w:rsid w:val="00703B85"/>
    <w:rsid w:val="00706C5D"/>
    <w:rsid w:val="00707590"/>
    <w:rsid w:val="00707C5F"/>
    <w:rsid w:val="0071181F"/>
    <w:rsid w:val="00712B10"/>
    <w:rsid w:val="00714407"/>
    <w:rsid w:val="007154C4"/>
    <w:rsid w:val="007157A5"/>
    <w:rsid w:val="007179FB"/>
    <w:rsid w:val="007201B9"/>
    <w:rsid w:val="00720D6C"/>
    <w:rsid w:val="00722FBE"/>
    <w:rsid w:val="00726360"/>
    <w:rsid w:val="00726CE2"/>
    <w:rsid w:val="00726D98"/>
    <w:rsid w:val="00727769"/>
    <w:rsid w:val="00730018"/>
    <w:rsid w:val="00732922"/>
    <w:rsid w:val="007329B2"/>
    <w:rsid w:val="00733044"/>
    <w:rsid w:val="00734076"/>
    <w:rsid w:val="0073502D"/>
    <w:rsid w:val="00736843"/>
    <w:rsid w:val="00737441"/>
    <w:rsid w:val="00740216"/>
    <w:rsid w:val="00740AB5"/>
    <w:rsid w:val="00743811"/>
    <w:rsid w:val="00743C7F"/>
    <w:rsid w:val="00745BEA"/>
    <w:rsid w:val="007471BF"/>
    <w:rsid w:val="00751133"/>
    <w:rsid w:val="0075126B"/>
    <w:rsid w:val="00751470"/>
    <w:rsid w:val="0075162E"/>
    <w:rsid w:val="00751A45"/>
    <w:rsid w:val="00754034"/>
    <w:rsid w:val="007547BD"/>
    <w:rsid w:val="0075513B"/>
    <w:rsid w:val="007562B7"/>
    <w:rsid w:val="00756556"/>
    <w:rsid w:val="00756DF9"/>
    <w:rsid w:val="00757320"/>
    <w:rsid w:val="007618C4"/>
    <w:rsid w:val="00761B40"/>
    <w:rsid w:val="00761BF9"/>
    <w:rsid w:val="00762618"/>
    <w:rsid w:val="00764025"/>
    <w:rsid w:val="007640E6"/>
    <w:rsid w:val="00764C04"/>
    <w:rsid w:val="00764E26"/>
    <w:rsid w:val="00765C35"/>
    <w:rsid w:val="00765F6A"/>
    <w:rsid w:val="007663E7"/>
    <w:rsid w:val="007676FC"/>
    <w:rsid w:val="00767980"/>
    <w:rsid w:val="00767D91"/>
    <w:rsid w:val="0077003C"/>
    <w:rsid w:val="00770B19"/>
    <w:rsid w:val="007712C0"/>
    <w:rsid w:val="00772209"/>
    <w:rsid w:val="0077288D"/>
    <w:rsid w:val="00772CFE"/>
    <w:rsid w:val="007739AD"/>
    <w:rsid w:val="00774492"/>
    <w:rsid w:val="0077463F"/>
    <w:rsid w:val="00774EE2"/>
    <w:rsid w:val="00775476"/>
    <w:rsid w:val="00776585"/>
    <w:rsid w:val="00776E35"/>
    <w:rsid w:val="00777639"/>
    <w:rsid w:val="00781471"/>
    <w:rsid w:val="00781709"/>
    <w:rsid w:val="00781E15"/>
    <w:rsid w:val="00782C3F"/>
    <w:rsid w:val="007836EA"/>
    <w:rsid w:val="007841D0"/>
    <w:rsid w:val="00784964"/>
    <w:rsid w:val="00784CDA"/>
    <w:rsid w:val="00785305"/>
    <w:rsid w:val="007854CC"/>
    <w:rsid w:val="00787464"/>
    <w:rsid w:val="007906C4"/>
    <w:rsid w:val="00792556"/>
    <w:rsid w:val="0079363F"/>
    <w:rsid w:val="007940EA"/>
    <w:rsid w:val="00794946"/>
    <w:rsid w:val="00794D8F"/>
    <w:rsid w:val="007967E8"/>
    <w:rsid w:val="007969BD"/>
    <w:rsid w:val="00797CA0"/>
    <w:rsid w:val="007A0916"/>
    <w:rsid w:val="007A2170"/>
    <w:rsid w:val="007A22BF"/>
    <w:rsid w:val="007A3323"/>
    <w:rsid w:val="007A4FFA"/>
    <w:rsid w:val="007A62EC"/>
    <w:rsid w:val="007A65D2"/>
    <w:rsid w:val="007A7082"/>
    <w:rsid w:val="007A7E1D"/>
    <w:rsid w:val="007B0454"/>
    <w:rsid w:val="007B0A18"/>
    <w:rsid w:val="007B2F4C"/>
    <w:rsid w:val="007B4E17"/>
    <w:rsid w:val="007B620C"/>
    <w:rsid w:val="007B6B61"/>
    <w:rsid w:val="007B72B8"/>
    <w:rsid w:val="007B7A58"/>
    <w:rsid w:val="007C0B17"/>
    <w:rsid w:val="007C12AC"/>
    <w:rsid w:val="007C194B"/>
    <w:rsid w:val="007C1A89"/>
    <w:rsid w:val="007C21B5"/>
    <w:rsid w:val="007C27A5"/>
    <w:rsid w:val="007C2887"/>
    <w:rsid w:val="007C2C71"/>
    <w:rsid w:val="007C3914"/>
    <w:rsid w:val="007C393A"/>
    <w:rsid w:val="007C418C"/>
    <w:rsid w:val="007C5CF7"/>
    <w:rsid w:val="007C5FA3"/>
    <w:rsid w:val="007D02D9"/>
    <w:rsid w:val="007D0684"/>
    <w:rsid w:val="007D32F6"/>
    <w:rsid w:val="007D4E2B"/>
    <w:rsid w:val="007D55A0"/>
    <w:rsid w:val="007D6BBB"/>
    <w:rsid w:val="007D76D0"/>
    <w:rsid w:val="007D79BC"/>
    <w:rsid w:val="007E1332"/>
    <w:rsid w:val="007E15FE"/>
    <w:rsid w:val="007E3086"/>
    <w:rsid w:val="007E3595"/>
    <w:rsid w:val="007E379A"/>
    <w:rsid w:val="007E3A5E"/>
    <w:rsid w:val="007E44D9"/>
    <w:rsid w:val="007E4AB0"/>
    <w:rsid w:val="007E4BD2"/>
    <w:rsid w:val="007E5102"/>
    <w:rsid w:val="007E5204"/>
    <w:rsid w:val="007E529A"/>
    <w:rsid w:val="007E5330"/>
    <w:rsid w:val="007E5A4B"/>
    <w:rsid w:val="007E6346"/>
    <w:rsid w:val="007E66F5"/>
    <w:rsid w:val="007E6BCC"/>
    <w:rsid w:val="007F2B35"/>
    <w:rsid w:val="007F3F35"/>
    <w:rsid w:val="007F42D7"/>
    <w:rsid w:val="007F5080"/>
    <w:rsid w:val="007F777A"/>
    <w:rsid w:val="00800690"/>
    <w:rsid w:val="008006DC"/>
    <w:rsid w:val="00800B21"/>
    <w:rsid w:val="00801393"/>
    <w:rsid w:val="008029F3"/>
    <w:rsid w:val="00802F88"/>
    <w:rsid w:val="00803E63"/>
    <w:rsid w:val="00805E79"/>
    <w:rsid w:val="00807BDC"/>
    <w:rsid w:val="00807C99"/>
    <w:rsid w:val="00810FCB"/>
    <w:rsid w:val="0081293E"/>
    <w:rsid w:val="00813259"/>
    <w:rsid w:val="00813C46"/>
    <w:rsid w:val="00814780"/>
    <w:rsid w:val="00815465"/>
    <w:rsid w:val="00815C46"/>
    <w:rsid w:val="00815E38"/>
    <w:rsid w:val="00816F54"/>
    <w:rsid w:val="00817E9A"/>
    <w:rsid w:val="00821119"/>
    <w:rsid w:val="0082121A"/>
    <w:rsid w:val="0082274D"/>
    <w:rsid w:val="008227D3"/>
    <w:rsid w:val="00822F17"/>
    <w:rsid w:val="00824069"/>
    <w:rsid w:val="008245AA"/>
    <w:rsid w:val="00824A03"/>
    <w:rsid w:val="00824B3C"/>
    <w:rsid w:val="008257E6"/>
    <w:rsid w:val="008261A3"/>
    <w:rsid w:val="00826D83"/>
    <w:rsid w:val="00827FDC"/>
    <w:rsid w:val="00830255"/>
    <w:rsid w:val="008306BD"/>
    <w:rsid w:val="0083152B"/>
    <w:rsid w:val="00831A80"/>
    <w:rsid w:val="008321D0"/>
    <w:rsid w:val="00832348"/>
    <w:rsid w:val="00833743"/>
    <w:rsid w:val="008340A4"/>
    <w:rsid w:val="0083471F"/>
    <w:rsid w:val="00835267"/>
    <w:rsid w:val="008354B4"/>
    <w:rsid w:val="008358ED"/>
    <w:rsid w:val="008363D7"/>
    <w:rsid w:val="00837D33"/>
    <w:rsid w:val="00840362"/>
    <w:rsid w:val="00842B0F"/>
    <w:rsid w:val="00844919"/>
    <w:rsid w:val="00845862"/>
    <w:rsid w:val="00846E3B"/>
    <w:rsid w:val="00850AEE"/>
    <w:rsid w:val="00854424"/>
    <w:rsid w:val="00854E72"/>
    <w:rsid w:val="0085595E"/>
    <w:rsid w:val="00855C40"/>
    <w:rsid w:val="00856322"/>
    <w:rsid w:val="00856F84"/>
    <w:rsid w:val="00856FC9"/>
    <w:rsid w:val="00857576"/>
    <w:rsid w:val="00857A98"/>
    <w:rsid w:val="008609A9"/>
    <w:rsid w:val="00860D06"/>
    <w:rsid w:val="00861AFD"/>
    <w:rsid w:val="00861BAD"/>
    <w:rsid w:val="00861E0F"/>
    <w:rsid w:val="008621A6"/>
    <w:rsid w:val="00863EFC"/>
    <w:rsid w:val="00865E51"/>
    <w:rsid w:val="00866B41"/>
    <w:rsid w:val="00866F79"/>
    <w:rsid w:val="0087135F"/>
    <w:rsid w:val="0087222F"/>
    <w:rsid w:val="00872D94"/>
    <w:rsid w:val="0087369A"/>
    <w:rsid w:val="0087502A"/>
    <w:rsid w:val="008752B7"/>
    <w:rsid w:val="008758F5"/>
    <w:rsid w:val="00875AAC"/>
    <w:rsid w:val="008761AB"/>
    <w:rsid w:val="0087627C"/>
    <w:rsid w:val="00877B73"/>
    <w:rsid w:val="008802C1"/>
    <w:rsid w:val="00880364"/>
    <w:rsid w:val="00881170"/>
    <w:rsid w:val="00881239"/>
    <w:rsid w:val="0088269F"/>
    <w:rsid w:val="008839A2"/>
    <w:rsid w:val="00884762"/>
    <w:rsid w:val="00887795"/>
    <w:rsid w:val="008877CB"/>
    <w:rsid w:val="008902D9"/>
    <w:rsid w:val="00890910"/>
    <w:rsid w:val="0089104D"/>
    <w:rsid w:val="00891592"/>
    <w:rsid w:val="00891E9E"/>
    <w:rsid w:val="008939B1"/>
    <w:rsid w:val="00893E0D"/>
    <w:rsid w:val="00896CDE"/>
    <w:rsid w:val="00897313"/>
    <w:rsid w:val="008A099A"/>
    <w:rsid w:val="008A1033"/>
    <w:rsid w:val="008A19A0"/>
    <w:rsid w:val="008A2167"/>
    <w:rsid w:val="008A257E"/>
    <w:rsid w:val="008A2C94"/>
    <w:rsid w:val="008A2F68"/>
    <w:rsid w:val="008A3535"/>
    <w:rsid w:val="008A4103"/>
    <w:rsid w:val="008A4977"/>
    <w:rsid w:val="008A6242"/>
    <w:rsid w:val="008A6A1E"/>
    <w:rsid w:val="008A7953"/>
    <w:rsid w:val="008B0689"/>
    <w:rsid w:val="008B13B5"/>
    <w:rsid w:val="008B1B5E"/>
    <w:rsid w:val="008B3EF8"/>
    <w:rsid w:val="008B4FA6"/>
    <w:rsid w:val="008B5282"/>
    <w:rsid w:val="008B5C06"/>
    <w:rsid w:val="008B7C17"/>
    <w:rsid w:val="008C078F"/>
    <w:rsid w:val="008C0C0A"/>
    <w:rsid w:val="008C18D6"/>
    <w:rsid w:val="008C2986"/>
    <w:rsid w:val="008C2D01"/>
    <w:rsid w:val="008C37D6"/>
    <w:rsid w:val="008C3F1B"/>
    <w:rsid w:val="008C40E6"/>
    <w:rsid w:val="008C4121"/>
    <w:rsid w:val="008C4400"/>
    <w:rsid w:val="008C4B10"/>
    <w:rsid w:val="008C4EB3"/>
    <w:rsid w:val="008C52CC"/>
    <w:rsid w:val="008C552E"/>
    <w:rsid w:val="008C559C"/>
    <w:rsid w:val="008C5FB6"/>
    <w:rsid w:val="008C60F2"/>
    <w:rsid w:val="008C6810"/>
    <w:rsid w:val="008C6ADA"/>
    <w:rsid w:val="008D0F7A"/>
    <w:rsid w:val="008D1D69"/>
    <w:rsid w:val="008D2443"/>
    <w:rsid w:val="008D2C28"/>
    <w:rsid w:val="008D397E"/>
    <w:rsid w:val="008D3C7B"/>
    <w:rsid w:val="008D3F7C"/>
    <w:rsid w:val="008D54F6"/>
    <w:rsid w:val="008D68E4"/>
    <w:rsid w:val="008D730A"/>
    <w:rsid w:val="008D7345"/>
    <w:rsid w:val="008D7DCA"/>
    <w:rsid w:val="008E0506"/>
    <w:rsid w:val="008E0718"/>
    <w:rsid w:val="008E0CFF"/>
    <w:rsid w:val="008E244D"/>
    <w:rsid w:val="008E3A19"/>
    <w:rsid w:val="008E3B1D"/>
    <w:rsid w:val="008E44AD"/>
    <w:rsid w:val="008E5C42"/>
    <w:rsid w:val="008E5D6B"/>
    <w:rsid w:val="008E687D"/>
    <w:rsid w:val="008E76F0"/>
    <w:rsid w:val="008F15FE"/>
    <w:rsid w:val="008F24AF"/>
    <w:rsid w:val="008F2B6E"/>
    <w:rsid w:val="008F2D29"/>
    <w:rsid w:val="008F300B"/>
    <w:rsid w:val="008F3A9C"/>
    <w:rsid w:val="008F3E01"/>
    <w:rsid w:val="008F5187"/>
    <w:rsid w:val="008F5AA5"/>
    <w:rsid w:val="008F60D8"/>
    <w:rsid w:val="008F79BA"/>
    <w:rsid w:val="00900919"/>
    <w:rsid w:val="00901782"/>
    <w:rsid w:val="00902727"/>
    <w:rsid w:val="00902B3C"/>
    <w:rsid w:val="0090312B"/>
    <w:rsid w:val="0090613E"/>
    <w:rsid w:val="00910EBB"/>
    <w:rsid w:val="00911D85"/>
    <w:rsid w:val="00912440"/>
    <w:rsid w:val="00912A1C"/>
    <w:rsid w:val="00912EDA"/>
    <w:rsid w:val="009133E7"/>
    <w:rsid w:val="00914112"/>
    <w:rsid w:val="009155D9"/>
    <w:rsid w:val="0091595A"/>
    <w:rsid w:val="00916EE9"/>
    <w:rsid w:val="0091736D"/>
    <w:rsid w:val="00920417"/>
    <w:rsid w:val="009215F7"/>
    <w:rsid w:val="0092265E"/>
    <w:rsid w:val="009233F4"/>
    <w:rsid w:val="00923EC9"/>
    <w:rsid w:val="00926A95"/>
    <w:rsid w:val="00926DAB"/>
    <w:rsid w:val="00927007"/>
    <w:rsid w:val="00927296"/>
    <w:rsid w:val="00927704"/>
    <w:rsid w:val="0093037A"/>
    <w:rsid w:val="009303AA"/>
    <w:rsid w:val="00931CD1"/>
    <w:rsid w:val="00932844"/>
    <w:rsid w:val="00933B00"/>
    <w:rsid w:val="00934001"/>
    <w:rsid w:val="00934F07"/>
    <w:rsid w:val="00935ED0"/>
    <w:rsid w:val="009367F6"/>
    <w:rsid w:val="0094154D"/>
    <w:rsid w:val="0094172E"/>
    <w:rsid w:val="009426C7"/>
    <w:rsid w:val="0094306A"/>
    <w:rsid w:val="009434B9"/>
    <w:rsid w:val="00943E28"/>
    <w:rsid w:val="009443ED"/>
    <w:rsid w:val="009463F9"/>
    <w:rsid w:val="0094663D"/>
    <w:rsid w:val="00946970"/>
    <w:rsid w:val="00947BA8"/>
    <w:rsid w:val="00947CC8"/>
    <w:rsid w:val="00950223"/>
    <w:rsid w:val="0095074F"/>
    <w:rsid w:val="00950D4C"/>
    <w:rsid w:val="00951183"/>
    <w:rsid w:val="0095155F"/>
    <w:rsid w:val="00951ABF"/>
    <w:rsid w:val="00952E2D"/>
    <w:rsid w:val="009537BE"/>
    <w:rsid w:val="00954429"/>
    <w:rsid w:val="009563CE"/>
    <w:rsid w:val="00957082"/>
    <w:rsid w:val="00960B56"/>
    <w:rsid w:val="009644CA"/>
    <w:rsid w:val="00964B2C"/>
    <w:rsid w:val="00964BEA"/>
    <w:rsid w:val="00965823"/>
    <w:rsid w:val="009676C3"/>
    <w:rsid w:val="00967F4F"/>
    <w:rsid w:val="00974A80"/>
    <w:rsid w:val="009754A9"/>
    <w:rsid w:val="00976265"/>
    <w:rsid w:val="00976328"/>
    <w:rsid w:val="0097680D"/>
    <w:rsid w:val="009768BE"/>
    <w:rsid w:val="00980502"/>
    <w:rsid w:val="009807A0"/>
    <w:rsid w:val="009821B8"/>
    <w:rsid w:val="00982438"/>
    <w:rsid w:val="009833E8"/>
    <w:rsid w:val="0098404C"/>
    <w:rsid w:val="0098488A"/>
    <w:rsid w:val="00985283"/>
    <w:rsid w:val="0098634B"/>
    <w:rsid w:val="0098709C"/>
    <w:rsid w:val="00987788"/>
    <w:rsid w:val="009905F1"/>
    <w:rsid w:val="009911C9"/>
    <w:rsid w:val="00991BAE"/>
    <w:rsid w:val="00992014"/>
    <w:rsid w:val="0099397D"/>
    <w:rsid w:val="0099495A"/>
    <w:rsid w:val="00995992"/>
    <w:rsid w:val="00995D64"/>
    <w:rsid w:val="00996AAC"/>
    <w:rsid w:val="00997CE8"/>
    <w:rsid w:val="009A03E5"/>
    <w:rsid w:val="009A0CEB"/>
    <w:rsid w:val="009A0E92"/>
    <w:rsid w:val="009A0F3B"/>
    <w:rsid w:val="009A1BB4"/>
    <w:rsid w:val="009A1F7C"/>
    <w:rsid w:val="009A2628"/>
    <w:rsid w:val="009A3200"/>
    <w:rsid w:val="009A3ABD"/>
    <w:rsid w:val="009A3F6E"/>
    <w:rsid w:val="009A4A81"/>
    <w:rsid w:val="009A4B06"/>
    <w:rsid w:val="009A5401"/>
    <w:rsid w:val="009A7E3B"/>
    <w:rsid w:val="009B0897"/>
    <w:rsid w:val="009B08F7"/>
    <w:rsid w:val="009B0BCD"/>
    <w:rsid w:val="009B0D1D"/>
    <w:rsid w:val="009B0FBF"/>
    <w:rsid w:val="009B2B6E"/>
    <w:rsid w:val="009B5B7B"/>
    <w:rsid w:val="009B7A99"/>
    <w:rsid w:val="009B7BD9"/>
    <w:rsid w:val="009C0AC5"/>
    <w:rsid w:val="009C1CC7"/>
    <w:rsid w:val="009C226B"/>
    <w:rsid w:val="009C3128"/>
    <w:rsid w:val="009C33CE"/>
    <w:rsid w:val="009C3FD6"/>
    <w:rsid w:val="009C77D9"/>
    <w:rsid w:val="009C7DD5"/>
    <w:rsid w:val="009D1CA3"/>
    <w:rsid w:val="009D20A9"/>
    <w:rsid w:val="009D234C"/>
    <w:rsid w:val="009D249A"/>
    <w:rsid w:val="009D6952"/>
    <w:rsid w:val="009D6A54"/>
    <w:rsid w:val="009D7174"/>
    <w:rsid w:val="009E0142"/>
    <w:rsid w:val="009E124C"/>
    <w:rsid w:val="009E227D"/>
    <w:rsid w:val="009E23AA"/>
    <w:rsid w:val="009E5019"/>
    <w:rsid w:val="009E5EF1"/>
    <w:rsid w:val="009E607D"/>
    <w:rsid w:val="009E76CB"/>
    <w:rsid w:val="009E7AC1"/>
    <w:rsid w:val="009F09EC"/>
    <w:rsid w:val="009F1928"/>
    <w:rsid w:val="009F1A64"/>
    <w:rsid w:val="009F1D40"/>
    <w:rsid w:val="009F290B"/>
    <w:rsid w:val="009F2A66"/>
    <w:rsid w:val="009F380F"/>
    <w:rsid w:val="009F3E17"/>
    <w:rsid w:val="009F507C"/>
    <w:rsid w:val="009F69B4"/>
    <w:rsid w:val="009F710E"/>
    <w:rsid w:val="009F7380"/>
    <w:rsid w:val="00A01159"/>
    <w:rsid w:val="00A018B3"/>
    <w:rsid w:val="00A01BC1"/>
    <w:rsid w:val="00A027B3"/>
    <w:rsid w:val="00A0292D"/>
    <w:rsid w:val="00A02EAD"/>
    <w:rsid w:val="00A03086"/>
    <w:rsid w:val="00A035A2"/>
    <w:rsid w:val="00A03DD5"/>
    <w:rsid w:val="00A04F1B"/>
    <w:rsid w:val="00A0501B"/>
    <w:rsid w:val="00A06CBC"/>
    <w:rsid w:val="00A07D33"/>
    <w:rsid w:val="00A1279E"/>
    <w:rsid w:val="00A1455F"/>
    <w:rsid w:val="00A14947"/>
    <w:rsid w:val="00A15B62"/>
    <w:rsid w:val="00A1636C"/>
    <w:rsid w:val="00A20C07"/>
    <w:rsid w:val="00A216B7"/>
    <w:rsid w:val="00A26E86"/>
    <w:rsid w:val="00A31430"/>
    <w:rsid w:val="00A32991"/>
    <w:rsid w:val="00A32A83"/>
    <w:rsid w:val="00A32B18"/>
    <w:rsid w:val="00A331D4"/>
    <w:rsid w:val="00A33E10"/>
    <w:rsid w:val="00A33E2C"/>
    <w:rsid w:val="00A3418B"/>
    <w:rsid w:val="00A3478E"/>
    <w:rsid w:val="00A368DB"/>
    <w:rsid w:val="00A3751D"/>
    <w:rsid w:val="00A37B0A"/>
    <w:rsid w:val="00A410BA"/>
    <w:rsid w:val="00A41B01"/>
    <w:rsid w:val="00A423AA"/>
    <w:rsid w:val="00A42EA7"/>
    <w:rsid w:val="00A454EC"/>
    <w:rsid w:val="00A45B60"/>
    <w:rsid w:val="00A46A3B"/>
    <w:rsid w:val="00A479D3"/>
    <w:rsid w:val="00A50F99"/>
    <w:rsid w:val="00A51197"/>
    <w:rsid w:val="00A5161F"/>
    <w:rsid w:val="00A51A58"/>
    <w:rsid w:val="00A532DB"/>
    <w:rsid w:val="00A53EC6"/>
    <w:rsid w:val="00A54AB1"/>
    <w:rsid w:val="00A54F3E"/>
    <w:rsid w:val="00A55C0F"/>
    <w:rsid w:val="00A55D28"/>
    <w:rsid w:val="00A56F2D"/>
    <w:rsid w:val="00A57DB5"/>
    <w:rsid w:val="00A6177F"/>
    <w:rsid w:val="00A62113"/>
    <w:rsid w:val="00A63562"/>
    <w:rsid w:val="00A637ED"/>
    <w:rsid w:val="00A63E24"/>
    <w:rsid w:val="00A66104"/>
    <w:rsid w:val="00A66E96"/>
    <w:rsid w:val="00A679BF"/>
    <w:rsid w:val="00A67A28"/>
    <w:rsid w:val="00A702E8"/>
    <w:rsid w:val="00A7186A"/>
    <w:rsid w:val="00A723F6"/>
    <w:rsid w:val="00A7256C"/>
    <w:rsid w:val="00A72E52"/>
    <w:rsid w:val="00A73912"/>
    <w:rsid w:val="00A73DD2"/>
    <w:rsid w:val="00A741A8"/>
    <w:rsid w:val="00A762E9"/>
    <w:rsid w:val="00A77BE4"/>
    <w:rsid w:val="00A80448"/>
    <w:rsid w:val="00A80C41"/>
    <w:rsid w:val="00A82791"/>
    <w:rsid w:val="00A82B08"/>
    <w:rsid w:val="00A82B2D"/>
    <w:rsid w:val="00A82F44"/>
    <w:rsid w:val="00A83839"/>
    <w:rsid w:val="00A843A1"/>
    <w:rsid w:val="00A84E85"/>
    <w:rsid w:val="00A85D54"/>
    <w:rsid w:val="00A8619F"/>
    <w:rsid w:val="00A8652A"/>
    <w:rsid w:val="00A86B3E"/>
    <w:rsid w:val="00A8713F"/>
    <w:rsid w:val="00A8766A"/>
    <w:rsid w:val="00A87AA0"/>
    <w:rsid w:val="00A90952"/>
    <w:rsid w:val="00A90BA1"/>
    <w:rsid w:val="00A9391D"/>
    <w:rsid w:val="00A93A46"/>
    <w:rsid w:val="00A94F6D"/>
    <w:rsid w:val="00A95181"/>
    <w:rsid w:val="00A96BD8"/>
    <w:rsid w:val="00A97A9A"/>
    <w:rsid w:val="00A97ED6"/>
    <w:rsid w:val="00AA000C"/>
    <w:rsid w:val="00AA0671"/>
    <w:rsid w:val="00AA20A4"/>
    <w:rsid w:val="00AA2531"/>
    <w:rsid w:val="00AA33B8"/>
    <w:rsid w:val="00AA3B0F"/>
    <w:rsid w:val="00AA423E"/>
    <w:rsid w:val="00AA5279"/>
    <w:rsid w:val="00AA567A"/>
    <w:rsid w:val="00AA6265"/>
    <w:rsid w:val="00AA6282"/>
    <w:rsid w:val="00AB1E09"/>
    <w:rsid w:val="00AB4958"/>
    <w:rsid w:val="00AB5330"/>
    <w:rsid w:val="00AB62C3"/>
    <w:rsid w:val="00AB6A51"/>
    <w:rsid w:val="00AB6F81"/>
    <w:rsid w:val="00AB71CB"/>
    <w:rsid w:val="00AB7747"/>
    <w:rsid w:val="00AC046A"/>
    <w:rsid w:val="00AC0540"/>
    <w:rsid w:val="00AC0619"/>
    <w:rsid w:val="00AC14CE"/>
    <w:rsid w:val="00AC2A56"/>
    <w:rsid w:val="00AC2EA0"/>
    <w:rsid w:val="00AC39EC"/>
    <w:rsid w:val="00AC3D7E"/>
    <w:rsid w:val="00AC54D2"/>
    <w:rsid w:val="00AC6CB1"/>
    <w:rsid w:val="00AD055E"/>
    <w:rsid w:val="00AD068B"/>
    <w:rsid w:val="00AD3C09"/>
    <w:rsid w:val="00AD47A7"/>
    <w:rsid w:val="00AD664D"/>
    <w:rsid w:val="00AD7449"/>
    <w:rsid w:val="00AD77BB"/>
    <w:rsid w:val="00AD782F"/>
    <w:rsid w:val="00AE02D2"/>
    <w:rsid w:val="00AE0B3C"/>
    <w:rsid w:val="00AE1942"/>
    <w:rsid w:val="00AE1B42"/>
    <w:rsid w:val="00AE2BF4"/>
    <w:rsid w:val="00AE43AE"/>
    <w:rsid w:val="00AE4564"/>
    <w:rsid w:val="00AE649B"/>
    <w:rsid w:val="00AE7963"/>
    <w:rsid w:val="00AF00A0"/>
    <w:rsid w:val="00AF07CA"/>
    <w:rsid w:val="00AF0CBF"/>
    <w:rsid w:val="00AF185C"/>
    <w:rsid w:val="00AF1AFB"/>
    <w:rsid w:val="00AF1ED1"/>
    <w:rsid w:val="00AF24ED"/>
    <w:rsid w:val="00AF257F"/>
    <w:rsid w:val="00AF26F0"/>
    <w:rsid w:val="00AF272E"/>
    <w:rsid w:val="00AF280D"/>
    <w:rsid w:val="00AF33CF"/>
    <w:rsid w:val="00AF4B82"/>
    <w:rsid w:val="00AF4D4E"/>
    <w:rsid w:val="00AF4D50"/>
    <w:rsid w:val="00AF5DFF"/>
    <w:rsid w:val="00AF6061"/>
    <w:rsid w:val="00AF6179"/>
    <w:rsid w:val="00AF6CA9"/>
    <w:rsid w:val="00AF747F"/>
    <w:rsid w:val="00B00041"/>
    <w:rsid w:val="00B002BB"/>
    <w:rsid w:val="00B006ED"/>
    <w:rsid w:val="00B019F0"/>
    <w:rsid w:val="00B01FBF"/>
    <w:rsid w:val="00B03E0C"/>
    <w:rsid w:val="00B04146"/>
    <w:rsid w:val="00B04C8D"/>
    <w:rsid w:val="00B05008"/>
    <w:rsid w:val="00B05055"/>
    <w:rsid w:val="00B06BF3"/>
    <w:rsid w:val="00B07CBE"/>
    <w:rsid w:val="00B10BFC"/>
    <w:rsid w:val="00B120B1"/>
    <w:rsid w:val="00B126B0"/>
    <w:rsid w:val="00B1295A"/>
    <w:rsid w:val="00B12A6A"/>
    <w:rsid w:val="00B134E5"/>
    <w:rsid w:val="00B20201"/>
    <w:rsid w:val="00B20A45"/>
    <w:rsid w:val="00B21C55"/>
    <w:rsid w:val="00B22C5C"/>
    <w:rsid w:val="00B22EFA"/>
    <w:rsid w:val="00B235A4"/>
    <w:rsid w:val="00B23DC8"/>
    <w:rsid w:val="00B241EE"/>
    <w:rsid w:val="00B247F3"/>
    <w:rsid w:val="00B2496F"/>
    <w:rsid w:val="00B24F30"/>
    <w:rsid w:val="00B2611A"/>
    <w:rsid w:val="00B2630D"/>
    <w:rsid w:val="00B2723D"/>
    <w:rsid w:val="00B30211"/>
    <w:rsid w:val="00B302B3"/>
    <w:rsid w:val="00B30AD8"/>
    <w:rsid w:val="00B31313"/>
    <w:rsid w:val="00B31ABF"/>
    <w:rsid w:val="00B3238A"/>
    <w:rsid w:val="00B335F8"/>
    <w:rsid w:val="00B33BE3"/>
    <w:rsid w:val="00B33D85"/>
    <w:rsid w:val="00B33DC9"/>
    <w:rsid w:val="00B37482"/>
    <w:rsid w:val="00B37F3D"/>
    <w:rsid w:val="00B40242"/>
    <w:rsid w:val="00B40E53"/>
    <w:rsid w:val="00B415A8"/>
    <w:rsid w:val="00B4224A"/>
    <w:rsid w:val="00B4367F"/>
    <w:rsid w:val="00B44076"/>
    <w:rsid w:val="00B45DDC"/>
    <w:rsid w:val="00B45FED"/>
    <w:rsid w:val="00B460FD"/>
    <w:rsid w:val="00B477E6"/>
    <w:rsid w:val="00B51233"/>
    <w:rsid w:val="00B52867"/>
    <w:rsid w:val="00B53682"/>
    <w:rsid w:val="00B53B5D"/>
    <w:rsid w:val="00B5473E"/>
    <w:rsid w:val="00B54BBF"/>
    <w:rsid w:val="00B55011"/>
    <w:rsid w:val="00B553F7"/>
    <w:rsid w:val="00B568C7"/>
    <w:rsid w:val="00B57648"/>
    <w:rsid w:val="00B6055E"/>
    <w:rsid w:val="00B609D6"/>
    <w:rsid w:val="00B62048"/>
    <w:rsid w:val="00B62D3F"/>
    <w:rsid w:val="00B6317D"/>
    <w:rsid w:val="00B634D7"/>
    <w:rsid w:val="00B635F9"/>
    <w:rsid w:val="00B6431F"/>
    <w:rsid w:val="00B6521F"/>
    <w:rsid w:val="00B6790D"/>
    <w:rsid w:val="00B70ACE"/>
    <w:rsid w:val="00B7171F"/>
    <w:rsid w:val="00B71AD4"/>
    <w:rsid w:val="00B72420"/>
    <w:rsid w:val="00B72FE7"/>
    <w:rsid w:val="00B730E6"/>
    <w:rsid w:val="00B73DF0"/>
    <w:rsid w:val="00B7723F"/>
    <w:rsid w:val="00B778F3"/>
    <w:rsid w:val="00B77C9F"/>
    <w:rsid w:val="00B80534"/>
    <w:rsid w:val="00B8098A"/>
    <w:rsid w:val="00B81248"/>
    <w:rsid w:val="00B818E2"/>
    <w:rsid w:val="00B81A20"/>
    <w:rsid w:val="00B82454"/>
    <w:rsid w:val="00B82A1E"/>
    <w:rsid w:val="00B83962"/>
    <w:rsid w:val="00B8433C"/>
    <w:rsid w:val="00B84639"/>
    <w:rsid w:val="00B84E71"/>
    <w:rsid w:val="00B862C3"/>
    <w:rsid w:val="00B86489"/>
    <w:rsid w:val="00B8699E"/>
    <w:rsid w:val="00B87491"/>
    <w:rsid w:val="00B90454"/>
    <w:rsid w:val="00B90A2A"/>
    <w:rsid w:val="00B92BC5"/>
    <w:rsid w:val="00B9386E"/>
    <w:rsid w:val="00B94322"/>
    <w:rsid w:val="00B9521D"/>
    <w:rsid w:val="00B966F9"/>
    <w:rsid w:val="00B96A39"/>
    <w:rsid w:val="00BA13B1"/>
    <w:rsid w:val="00BA1A84"/>
    <w:rsid w:val="00BA29E9"/>
    <w:rsid w:val="00BA3A72"/>
    <w:rsid w:val="00BA4217"/>
    <w:rsid w:val="00BA6E8C"/>
    <w:rsid w:val="00BA7142"/>
    <w:rsid w:val="00BA7839"/>
    <w:rsid w:val="00BB0046"/>
    <w:rsid w:val="00BB0400"/>
    <w:rsid w:val="00BB095B"/>
    <w:rsid w:val="00BB1BE4"/>
    <w:rsid w:val="00BB237C"/>
    <w:rsid w:val="00BB282F"/>
    <w:rsid w:val="00BB2E4A"/>
    <w:rsid w:val="00BB41A2"/>
    <w:rsid w:val="00BB41A3"/>
    <w:rsid w:val="00BB4470"/>
    <w:rsid w:val="00BB4CA7"/>
    <w:rsid w:val="00BB513B"/>
    <w:rsid w:val="00BB5243"/>
    <w:rsid w:val="00BB53B4"/>
    <w:rsid w:val="00BB5704"/>
    <w:rsid w:val="00BB6DB7"/>
    <w:rsid w:val="00BC16BC"/>
    <w:rsid w:val="00BC1F2A"/>
    <w:rsid w:val="00BC2447"/>
    <w:rsid w:val="00BC2E93"/>
    <w:rsid w:val="00BC32DC"/>
    <w:rsid w:val="00BC35B6"/>
    <w:rsid w:val="00BC3C19"/>
    <w:rsid w:val="00BC56D2"/>
    <w:rsid w:val="00BC5C52"/>
    <w:rsid w:val="00BC5E6A"/>
    <w:rsid w:val="00BD04BA"/>
    <w:rsid w:val="00BD1B51"/>
    <w:rsid w:val="00BD1E32"/>
    <w:rsid w:val="00BD44C8"/>
    <w:rsid w:val="00BD4550"/>
    <w:rsid w:val="00BD4596"/>
    <w:rsid w:val="00BD513F"/>
    <w:rsid w:val="00BD5F15"/>
    <w:rsid w:val="00BD62BA"/>
    <w:rsid w:val="00BD692B"/>
    <w:rsid w:val="00BD6B75"/>
    <w:rsid w:val="00BD6ED2"/>
    <w:rsid w:val="00BD7E5D"/>
    <w:rsid w:val="00BE0692"/>
    <w:rsid w:val="00BE1405"/>
    <w:rsid w:val="00BE1695"/>
    <w:rsid w:val="00BE1FAF"/>
    <w:rsid w:val="00BE312D"/>
    <w:rsid w:val="00BE4686"/>
    <w:rsid w:val="00BE4B31"/>
    <w:rsid w:val="00BE4BA0"/>
    <w:rsid w:val="00BE6B8E"/>
    <w:rsid w:val="00BE6FBA"/>
    <w:rsid w:val="00BF0237"/>
    <w:rsid w:val="00BF046D"/>
    <w:rsid w:val="00BF14F0"/>
    <w:rsid w:val="00BF1A91"/>
    <w:rsid w:val="00BF1C20"/>
    <w:rsid w:val="00BF1C43"/>
    <w:rsid w:val="00BF31BE"/>
    <w:rsid w:val="00BF3826"/>
    <w:rsid w:val="00BF3B74"/>
    <w:rsid w:val="00BF3DA1"/>
    <w:rsid w:val="00BF406C"/>
    <w:rsid w:val="00BF5184"/>
    <w:rsid w:val="00C009D6"/>
    <w:rsid w:val="00C01770"/>
    <w:rsid w:val="00C032D4"/>
    <w:rsid w:val="00C03DF5"/>
    <w:rsid w:val="00C03E86"/>
    <w:rsid w:val="00C05D5B"/>
    <w:rsid w:val="00C06039"/>
    <w:rsid w:val="00C06627"/>
    <w:rsid w:val="00C06849"/>
    <w:rsid w:val="00C06FA7"/>
    <w:rsid w:val="00C07E67"/>
    <w:rsid w:val="00C10578"/>
    <w:rsid w:val="00C10914"/>
    <w:rsid w:val="00C10E92"/>
    <w:rsid w:val="00C11AC2"/>
    <w:rsid w:val="00C12E6F"/>
    <w:rsid w:val="00C135BC"/>
    <w:rsid w:val="00C13DA5"/>
    <w:rsid w:val="00C13E15"/>
    <w:rsid w:val="00C1494F"/>
    <w:rsid w:val="00C15C95"/>
    <w:rsid w:val="00C15FE4"/>
    <w:rsid w:val="00C179EB"/>
    <w:rsid w:val="00C203E4"/>
    <w:rsid w:val="00C20E0B"/>
    <w:rsid w:val="00C2279D"/>
    <w:rsid w:val="00C23532"/>
    <w:rsid w:val="00C2360E"/>
    <w:rsid w:val="00C23E7D"/>
    <w:rsid w:val="00C24B86"/>
    <w:rsid w:val="00C24C1F"/>
    <w:rsid w:val="00C254CF"/>
    <w:rsid w:val="00C2596A"/>
    <w:rsid w:val="00C25BC2"/>
    <w:rsid w:val="00C26561"/>
    <w:rsid w:val="00C26B7E"/>
    <w:rsid w:val="00C27537"/>
    <w:rsid w:val="00C27A86"/>
    <w:rsid w:val="00C30FDA"/>
    <w:rsid w:val="00C31A9C"/>
    <w:rsid w:val="00C328FE"/>
    <w:rsid w:val="00C32C44"/>
    <w:rsid w:val="00C33346"/>
    <w:rsid w:val="00C33507"/>
    <w:rsid w:val="00C3380C"/>
    <w:rsid w:val="00C3422C"/>
    <w:rsid w:val="00C34565"/>
    <w:rsid w:val="00C3567B"/>
    <w:rsid w:val="00C36A1A"/>
    <w:rsid w:val="00C36E45"/>
    <w:rsid w:val="00C37A6A"/>
    <w:rsid w:val="00C37B03"/>
    <w:rsid w:val="00C37DD2"/>
    <w:rsid w:val="00C40BA6"/>
    <w:rsid w:val="00C411A1"/>
    <w:rsid w:val="00C4154F"/>
    <w:rsid w:val="00C41962"/>
    <w:rsid w:val="00C4409D"/>
    <w:rsid w:val="00C44E72"/>
    <w:rsid w:val="00C452AB"/>
    <w:rsid w:val="00C45A06"/>
    <w:rsid w:val="00C45F7A"/>
    <w:rsid w:val="00C47E5B"/>
    <w:rsid w:val="00C5031E"/>
    <w:rsid w:val="00C51D82"/>
    <w:rsid w:val="00C53609"/>
    <w:rsid w:val="00C53852"/>
    <w:rsid w:val="00C53C26"/>
    <w:rsid w:val="00C54587"/>
    <w:rsid w:val="00C56E9C"/>
    <w:rsid w:val="00C5771B"/>
    <w:rsid w:val="00C57CCF"/>
    <w:rsid w:val="00C57E8E"/>
    <w:rsid w:val="00C60027"/>
    <w:rsid w:val="00C61274"/>
    <w:rsid w:val="00C61E4B"/>
    <w:rsid w:val="00C620FF"/>
    <w:rsid w:val="00C63441"/>
    <w:rsid w:val="00C6373B"/>
    <w:rsid w:val="00C63C50"/>
    <w:rsid w:val="00C64BFF"/>
    <w:rsid w:val="00C65959"/>
    <w:rsid w:val="00C66115"/>
    <w:rsid w:val="00C67B55"/>
    <w:rsid w:val="00C704E9"/>
    <w:rsid w:val="00C70E4D"/>
    <w:rsid w:val="00C71802"/>
    <w:rsid w:val="00C7303A"/>
    <w:rsid w:val="00C763C9"/>
    <w:rsid w:val="00C77028"/>
    <w:rsid w:val="00C77489"/>
    <w:rsid w:val="00C776E4"/>
    <w:rsid w:val="00C77F00"/>
    <w:rsid w:val="00C80057"/>
    <w:rsid w:val="00C8020B"/>
    <w:rsid w:val="00C804B8"/>
    <w:rsid w:val="00C80716"/>
    <w:rsid w:val="00C813CB"/>
    <w:rsid w:val="00C8171F"/>
    <w:rsid w:val="00C82232"/>
    <w:rsid w:val="00C82913"/>
    <w:rsid w:val="00C832DE"/>
    <w:rsid w:val="00C83FB0"/>
    <w:rsid w:val="00C84DD8"/>
    <w:rsid w:val="00C857B2"/>
    <w:rsid w:val="00C8600E"/>
    <w:rsid w:val="00C86658"/>
    <w:rsid w:val="00C87BC8"/>
    <w:rsid w:val="00C93264"/>
    <w:rsid w:val="00C9419E"/>
    <w:rsid w:val="00C95399"/>
    <w:rsid w:val="00C95705"/>
    <w:rsid w:val="00C971B2"/>
    <w:rsid w:val="00C972B1"/>
    <w:rsid w:val="00C97B6A"/>
    <w:rsid w:val="00CA04A5"/>
    <w:rsid w:val="00CA0BE3"/>
    <w:rsid w:val="00CA0D92"/>
    <w:rsid w:val="00CA2CCE"/>
    <w:rsid w:val="00CA3588"/>
    <w:rsid w:val="00CA3816"/>
    <w:rsid w:val="00CA43FD"/>
    <w:rsid w:val="00CA448B"/>
    <w:rsid w:val="00CA44E3"/>
    <w:rsid w:val="00CA45FD"/>
    <w:rsid w:val="00CA5C2E"/>
    <w:rsid w:val="00CA6363"/>
    <w:rsid w:val="00CA6BE4"/>
    <w:rsid w:val="00CA71FE"/>
    <w:rsid w:val="00CA7EF8"/>
    <w:rsid w:val="00CB01BF"/>
    <w:rsid w:val="00CB201B"/>
    <w:rsid w:val="00CB44A4"/>
    <w:rsid w:val="00CB4748"/>
    <w:rsid w:val="00CB4845"/>
    <w:rsid w:val="00CB787F"/>
    <w:rsid w:val="00CB79E4"/>
    <w:rsid w:val="00CC14AB"/>
    <w:rsid w:val="00CC489B"/>
    <w:rsid w:val="00CC4C5B"/>
    <w:rsid w:val="00CC6F1E"/>
    <w:rsid w:val="00CC7017"/>
    <w:rsid w:val="00CC7389"/>
    <w:rsid w:val="00CC74F6"/>
    <w:rsid w:val="00CC752B"/>
    <w:rsid w:val="00CC7705"/>
    <w:rsid w:val="00CD26A0"/>
    <w:rsid w:val="00CD27CE"/>
    <w:rsid w:val="00CD2BCD"/>
    <w:rsid w:val="00CD3A4C"/>
    <w:rsid w:val="00CD3BFE"/>
    <w:rsid w:val="00CD4E9D"/>
    <w:rsid w:val="00CD509A"/>
    <w:rsid w:val="00CD5320"/>
    <w:rsid w:val="00CE0BF7"/>
    <w:rsid w:val="00CE10E9"/>
    <w:rsid w:val="00CE12E5"/>
    <w:rsid w:val="00CE1ECB"/>
    <w:rsid w:val="00CE2910"/>
    <w:rsid w:val="00CE2A69"/>
    <w:rsid w:val="00CE2AEB"/>
    <w:rsid w:val="00CE369B"/>
    <w:rsid w:val="00CE41EF"/>
    <w:rsid w:val="00CE5393"/>
    <w:rsid w:val="00CE5E43"/>
    <w:rsid w:val="00CE6A3F"/>
    <w:rsid w:val="00CE7542"/>
    <w:rsid w:val="00CE7805"/>
    <w:rsid w:val="00CF1113"/>
    <w:rsid w:val="00CF2695"/>
    <w:rsid w:val="00CF36BE"/>
    <w:rsid w:val="00CF3C18"/>
    <w:rsid w:val="00CF592F"/>
    <w:rsid w:val="00CF6000"/>
    <w:rsid w:val="00CF6446"/>
    <w:rsid w:val="00CF65EB"/>
    <w:rsid w:val="00CF72B5"/>
    <w:rsid w:val="00CF7309"/>
    <w:rsid w:val="00CF77B1"/>
    <w:rsid w:val="00D003F3"/>
    <w:rsid w:val="00D0087C"/>
    <w:rsid w:val="00D01327"/>
    <w:rsid w:val="00D01398"/>
    <w:rsid w:val="00D0364F"/>
    <w:rsid w:val="00D03865"/>
    <w:rsid w:val="00D03FEF"/>
    <w:rsid w:val="00D0496F"/>
    <w:rsid w:val="00D051DB"/>
    <w:rsid w:val="00D05658"/>
    <w:rsid w:val="00D06834"/>
    <w:rsid w:val="00D07D08"/>
    <w:rsid w:val="00D10B38"/>
    <w:rsid w:val="00D13D45"/>
    <w:rsid w:val="00D145FC"/>
    <w:rsid w:val="00D15EE7"/>
    <w:rsid w:val="00D164B4"/>
    <w:rsid w:val="00D166AF"/>
    <w:rsid w:val="00D167A2"/>
    <w:rsid w:val="00D176A7"/>
    <w:rsid w:val="00D20580"/>
    <w:rsid w:val="00D21914"/>
    <w:rsid w:val="00D2366E"/>
    <w:rsid w:val="00D239BF"/>
    <w:rsid w:val="00D239C9"/>
    <w:rsid w:val="00D2411D"/>
    <w:rsid w:val="00D26332"/>
    <w:rsid w:val="00D27702"/>
    <w:rsid w:val="00D308ED"/>
    <w:rsid w:val="00D30B9B"/>
    <w:rsid w:val="00D30EAB"/>
    <w:rsid w:val="00D31090"/>
    <w:rsid w:val="00D3112A"/>
    <w:rsid w:val="00D31D67"/>
    <w:rsid w:val="00D32473"/>
    <w:rsid w:val="00D3251C"/>
    <w:rsid w:val="00D328FB"/>
    <w:rsid w:val="00D32FA8"/>
    <w:rsid w:val="00D347F6"/>
    <w:rsid w:val="00D34826"/>
    <w:rsid w:val="00D34AF1"/>
    <w:rsid w:val="00D34F73"/>
    <w:rsid w:val="00D354D1"/>
    <w:rsid w:val="00D36ADF"/>
    <w:rsid w:val="00D36D86"/>
    <w:rsid w:val="00D370CE"/>
    <w:rsid w:val="00D378D4"/>
    <w:rsid w:val="00D37C13"/>
    <w:rsid w:val="00D408D7"/>
    <w:rsid w:val="00D428AA"/>
    <w:rsid w:val="00D4312C"/>
    <w:rsid w:val="00D435C7"/>
    <w:rsid w:val="00D4370A"/>
    <w:rsid w:val="00D44082"/>
    <w:rsid w:val="00D448B0"/>
    <w:rsid w:val="00D451F7"/>
    <w:rsid w:val="00D45354"/>
    <w:rsid w:val="00D45465"/>
    <w:rsid w:val="00D467D6"/>
    <w:rsid w:val="00D47016"/>
    <w:rsid w:val="00D50A34"/>
    <w:rsid w:val="00D50E34"/>
    <w:rsid w:val="00D50F07"/>
    <w:rsid w:val="00D5123F"/>
    <w:rsid w:val="00D51288"/>
    <w:rsid w:val="00D527B2"/>
    <w:rsid w:val="00D52BBB"/>
    <w:rsid w:val="00D52FF3"/>
    <w:rsid w:val="00D53EFA"/>
    <w:rsid w:val="00D540D8"/>
    <w:rsid w:val="00D544A2"/>
    <w:rsid w:val="00D55475"/>
    <w:rsid w:val="00D55653"/>
    <w:rsid w:val="00D55EE6"/>
    <w:rsid w:val="00D56D45"/>
    <w:rsid w:val="00D57E82"/>
    <w:rsid w:val="00D601FD"/>
    <w:rsid w:val="00D621D6"/>
    <w:rsid w:val="00D62672"/>
    <w:rsid w:val="00D63C06"/>
    <w:rsid w:val="00D641A9"/>
    <w:rsid w:val="00D6501C"/>
    <w:rsid w:val="00D652E1"/>
    <w:rsid w:val="00D65AF3"/>
    <w:rsid w:val="00D65BAF"/>
    <w:rsid w:val="00D71AE7"/>
    <w:rsid w:val="00D7225E"/>
    <w:rsid w:val="00D729C3"/>
    <w:rsid w:val="00D75596"/>
    <w:rsid w:val="00D7621C"/>
    <w:rsid w:val="00D76BD2"/>
    <w:rsid w:val="00D76BF6"/>
    <w:rsid w:val="00D76F17"/>
    <w:rsid w:val="00D77669"/>
    <w:rsid w:val="00D8154D"/>
    <w:rsid w:val="00D83B2C"/>
    <w:rsid w:val="00D85961"/>
    <w:rsid w:val="00D87067"/>
    <w:rsid w:val="00D9073B"/>
    <w:rsid w:val="00D908DF"/>
    <w:rsid w:val="00D90E08"/>
    <w:rsid w:val="00D91222"/>
    <w:rsid w:val="00D94A7C"/>
    <w:rsid w:val="00D95012"/>
    <w:rsid w:val="00D95896"/>
    <w:rsid w:val="00D97802"/>
    <w:rsid w:val="00DA0BB7"/>
    <w:rsid w:val="00DA13CD"/>
    <w:rsid w:val="00DA1AB7"/>
    <w:rsid w:val="00DA2A4A"/>
    <w:rsid w:val="00DA2BBD"/>
    <w:rsid w:val="00DA382C"/>
    <w:rsid w:val="00DA3B64"/>
    <w:rsid w:val="00DA4953"/>
    <w:rsid w:val="00DA4D02"/>
    <w:rsid w:val="00DA4FD6"/>
    <w:rsid w:val="00DA7230"/>
    <w:rsid w:val="00DA78EF"/>
    <w:rsid w:val="00DA7E0C"/>
    <w:rsid w:val="00DB2983"/>
    <w:rsid w:val="00DB35CD"/>
    <w:rsid w:val="00DB48AF"/>
    <w:rsid w:val="00DB4FE0"/>
    <w:rsid w:val="00DB4FF4"/>
    <w:rsid w:val="00DB63E0"/>
    <w:rsid w:val="00DB79AF"/>
    <w:rsid w:val="00DC1257"/>
    <w:rsid w:val="00DC1A21"/>
    <w:rsid w:val="00DC1A93"/>
    <w:rsid w:val="00DC29CC"/>
    <w:rsid w:val="00DC342D"/>
    <w:rsid w:val="00DC3B16"/>
    <w:rsid w:val="00DC3DC0"/>
    <w:rsid w:val="00DC4393"/>
    <w:rsid w:val="00DC5B2B"/>
    <w:rsid w:val="00DC63AC"/>
    <w:rsid w:val="00DD0101"/>
    <w:rsid w:val="00DD033F"/>
    <w:rsid w:val="00DD0B2A"/>
    <w:rsid w:val="00DD11B3"/>
    <w:rsid w:val="00DD2179"/>
    <w:rsid w:val="00DD318D"/>
    <w:rsid w:val="00DD40CB"/>
    <w:rsid w:val="00DD4CB7"/>
    <w:rsid w:val="00DD5284"/>
    <w:rsid w:val="00DD7F3C"/>
    <w:rsid w:val="00DE0A42"/>
    <w:rsid w:val="00DE0E62"/>
    <w:rsid w:val="00DE236A"/>
    <w:rsid w:val="00DE6017"/>
    <w:rsid w:val="00DE6B42"/>
    <w:rsid w:val="00DE7514"/>
    <w:rsid w:val="00DE7A6D"/>
    <w:rsid w:val="00DE7B74"/>
    <w:rsid w:val="00DF007B"/>
    <w:rsid w:val="00DF140D"/>
    <w:rsid w:val="00DF172A"/>
    <w:rsid w:val="00DF1CB1"/>
    <w:rsid w:val="00DF229F"/>
    <w:rsid w:val="00DF2E12"/>
    <w:rsid w:val="00DF514A"/>
    <w:rsid w:val="00DF5E2F"/>
    <w:rsid w:val="00DF6690"/>
    <w:rsid w:val="00DF6804"/>
    <w:rsid w:val="00DF6E8D"/>
    <w:rsid w:val="00DF75C0"/>
    <w:rsid w:val="00DF7A95"/>
    <w:rsid w:val="00E002DE"/>
    <w:rsid w:val="00E00E8B"/>
    <w:rsid w:val="00E02E59"/>
    <w:rsid w:val="00E03479"/>
    <w:rsid w:val="00E0358D"/>
    <w:rsid w:val="00E03F18"/>
    <w:rsid w:val="00E04323"/>
    <w:rsid w:val="00E04A0E"/>
    <w:rsid w:val="00E06429"/>
    <w:rsid w:val="00E070A2"/>
    <w:rsid w:val="00E07EA3"/>
    <w:rsid w:val="00E10075"/>
    <w:rsid w:val="00E101FE"/>
    <w:rsid w:val="00E116B7"/>
    <w:rsid w:val="00E12912"/>
    <w:rsid w:val="00E12FD7"/>
    <w:rsid w:val="00E144E5"/>
    <w:rsid w:val="00E16E66"/>
    <w:rsid w:val="00E174E7"/>
    <w:rsid w:val="00E17827"/>
    <w:rsid w:val="00E17CF7"/>
    <w:rsid w:val="00E20A84"/>
    <w:rsid w:val="00E20F1B"/>
    <w:rsid w:val="00E2275C"/>
    <w:rsid w:val="00E22A60"/>
    <w:rsid w:val="00E2656A"/>
    <w:rsid w:val="00E30292"/>
    <w:rsid w:val="00E307BA"/>
    <w:rsid w:val="00E3088E"/>
    <w:rsid w:val="00E32904"/>
    <w:rsid w:val="00E337D4"/>
    <w:rsid w:val="00E33C08"/>
    <w:rsid w:val="00E3516E"/>
    <w:rsid w:val="00E35B61"/>
    <w:rsid w:val="00E36A25"/>
    <w:rsid w:val="00E412D0"/>
    <w:rsid w:val="00E41E20"/>
    <w:rsid w:val="00E42433"/>
    <w:rsid w:val="00E437F4"/>
    <w:rsid w:val="00E439D8"/>
    <w:rsid w:val="00E4410B"/>
    <w:rsid w:val="00E44669"/>
    <w:rsid w:val="00E45503"/>
    <w:rsid w:val="00E46935"/>
    <w:rsid w:val="00E50D38"/>
    <w:rsid w:val="00E5119E"/>
    <w:rsid w:val="00E53199"/>
    <w:rsid w:val="00E56322"/>
    <w:rsid w:val="00E57987"/>
    <w:rsid w:val="00E60982"/>
    <w:rsid w:val="00E60B2B"/>
    <w:rsid w:val="00E624EE"/>
    <w:rsid w:val="00E6259E"/>
    <w:rsid w:val="00E62A5B"/>
    <w:rsid w:val="00E62C62"/>
    <w:rsid w:val="00E63EEF"/>
    <w:rsid w:val="00E641C4"/>
    <w:rsid w:val="00E65427"/>
    <w:rsid w:val="00E654C1"/>
    <w:rsid w:val="00E65D97"/>
    <w:rsid w:val="00E67551"/>
    <w:rsid w:val="00E7006B"/>
    <w:rsid w:val="00E700CF"/>
    <w:rsid w:val="00E712F8"/>
    <w:rsid w:val="00E72536"/>
    <w:rsid w:val="00E72A5A"/>
    <w:rsid w:val="00E72DC8"/>
    <w:rsid w:val="00E72FD7"/>
    <w:rsid w:val="00E73354"/>
    <w:rsid w:val="00E74996"/>
    <w:rsid w:val="00E7604B"/>
    <w:rsid w:val="00E76E3B"/>
    <w:rsid w:val="00E807F8"/>
    <w:rsid w:val="00E80A9F"/>
    <w:rsid w:val="00E80ACA"/>
    <w:rsid w:val="00E80CC9"/>
    <w:rsid w:val="00E80CE3"/>
    <w:rsid w:val="00E8106F"/>
    <w:rsid w:val="00E81CB2"/>
    <w:rsid w:val="00E81DCC"/>
    <w:rsid w:val="00E81F7B"/>
    <w:rsid w:val="00E82C72"/>
    <w:rsid w:val="00E8441F"/>
    <w:rsid w:val="00E8476A"/>
    <w:rsid w:val="00E84898"/>
    <w:rsid w:val="00E86898"/>
    <w:rsid w:val="00E86E1E"/>
    <w:rsid w:val="00E879BF"/>
    <w:rsid w:val="00E90B13"/>
    <w:rsid w:val="00E9242D"/>
    <w:rsid w:val="00E926A8"/>
    <w:rsid w:val="00E93564"/>
    <w:rsid w:val="00E93A7F"/>
    <w:rsid w:val="00E95644"/>
    <w:rsid w:val="00E96041"/>
    <w:rsid w:val="00E961E4"/>
    <w:rsid w:val="00E970AC"/>
    <w:rsid w:val="00EA0805"/>
    <w:rsid w:val="00EA4D0C"/>
    <w:rsid w:val="00EA64BF"/>
    <w:rsid w:val="00EB0053"/>
    <w:rsid w:val="00EB0893"/>
    <w:rsid w:val="00EB19CE"/>
    <w:rsid w:val="00EB2088"/>
    <w:rsid w:val="00EB220A"/>
    <w:rsid w:val="00EB25F0"/>
    <w:rsid w:val="00EB33C0"/>
    <w:rsid w:val="00EB358E"/>
    <w:rsid w:val="00EB5255"/>
    <w:rsid w:val="00EB55BD"/>
    <w:rsid w:val="00EB5C47"/>
    <w:rsid w:val="00EB60D9"/>
    <w:rsid w:val="00EB6A15"/>
    <w:rsid w:val="00EC10CF"/>
    <w:rsid w:val="00EC27FF"/>
    <w:rsid w:val="00EC3074"/>
    <w:rsid w:val="00EC36B0"/>
    <w:rsid w:val="00EC51C3"/>
    <w:rsid w:val="00EC54B9"/>
    <w:rsid w:val="00EC5640"/>
    <w:rsid w:val="00EC6591"/>
    <w:rsid w:val="00EC7A05"/>
    <w:rsid w:val="00EC7E14"/>
    <w:rsid w:val="00ED046D"/>
    <w:rsid w:val="00ED0639"/>
    <w:rsid w:val="00ED125A"/>
    <w:rsid w:val="00ED1596"/>
    <w:rsid w:val="00ED176F"/>
    <w:rsid w:val="00ED2448"/>
    <w:rsid w:val="00ED2CBD"/>
    <w:rsid w:val="00ED4204"/>
    <w:rsid w:val="00ED48A4"/>
    <w:rsid w:val="00ED4A85"/>
    <w:rsid w:val="00ED745A"/>
    <w:rsid w:val="00ED78E5"/>
    <w:rsid w:val="00ED79CA"/>
    <w:rsid w:val="00ED7FEE"/>
    <w:rsid w:val="00EE0A1F"/>
    <w:rsid w:val="00EE0FFC"/>
    <w:rsid w:val="00EE112E"/>
    <w:rsid w:val="00EE1BD2"/>
    <w:rsid w:val="00EE1BE1"/>
    <w:rsid w:val="00EE1FC7"/>
    <w:rsid w:val="00EE2E00"/>
    <w:rsid w:val="00EE4F6F"/>
    <w:rsid w:val="00EE53F1"/>
    <w:rsid w:val="00EE5691"/>
    <w:rsid w:val="00EE591B"/>
    <w:rsid w:val="00EE5F9D"/>
    <w:rsid w:val="00EE633F"/>
    <w:rsid w:val="00EF3287"/>
    <w:rsid w:val="00EF3E00"/>
    <w:rsid w:val="00EF40B5"/>
    <w:rsid w:val="00EF4755"/>
    <w:rsid w:val="00EF48FA"/>
    <w:rsid w:val="00EF65F4"/>
    <w:rsid w:val="00EF7135"/>
    <w:rsid w:val="00EF765C"/>
    <w:rsid w:val="00EF7E58"/>
    <w:rsid w:val="00F00080"/>
    <w:rsid w:val="00F021DB"/>
    <w:rsid w:val="00F02528"/>
    <w:rsid w:val="00F027DB"/>
    <w:rsid w:val="00F02B7D"/>
    <w:rsid w:val="00F02E6A"/>
    <w:rsid w:val="00F04D08"/>
    <w:rsid w:val="00F0597B"/>
    <w:rsid w:val="00F06816"/>
    <w:rsid w:val="00F078B4"/>
    <w:rsid w:val="00F07A01"/>
    <w:rsid w:val="00F101F4"/>
    <w:rsid w:val="00F146A4"/>
    <w:rsid w:val="00F14A7A"/>
    <w:rsid w:val="00F15696"/>
    <w:rsid w:val="00F16CF0"/>
    <w:rsid w:val="00F16CFA"/>
    <w:rsid w:val="00F17540"/>
    <w:rsid w:val="00F20014"/>
    <w:rsid w:val="00F22985"/>
    <w:rsid w:val="00F22D1A"/>
    <w:rsid w:val="00F2334C"/>
    <w:rsid w:val="00F23647"/>
    <w:rsid w:val="00F23D54"/>
    <w:rsid w:val="00F24401"/>
    <w:rsid w:val="00F250BE"/>
    <w:rsid w:val="00F27920"/>
    <w:rsid w:val="00F30898"/>
    <w:rsid w:val="00F308CE"/>
    <w:rsid w:val="00F319BC"/>
    <w:rsid w:val="00F3208B"/>
    <w:rsid w:val="00F32C98"/>
    <w:rsid w:val="00F32EF4"/>
    <w:rsid w:val="00F332C6"/>
    <w:rsid w:val="00F3383E"/>
    <w:rsid w:val="00F344D7"/>
    <w:rsid w:val="00F37945"/>
    <w:rsid w:val="00F37C88"/>
    <w:rsid w:val="00F408CA"/>
    <w:rsid w:val="00F414DE"/>
    <w:rsid w:val="00F421A5"/>
    <w:rsid w:val="00F422AC"/>
    <w:rsid w:val="00F42585"/>
    <w:rsid w:val="00F42EB6"/>
    <w:rsid w:val="00F443F0"/>
    <w:rsid w:val="00F4578F"/>
    <w:rsid w:val="00F45943"/>
    <w:rsid w:val="00F45A65"/>
    <w:rsid w:val="00F465A7"/>
    <w:rsid w:val="00F47664"/>
    <w:rsid w:val="00F5093D"/>
    <w:rsid w:val="00F509C4"/>
    <w:rsid w:val="00F50B7C"/>
    <w:rsid w:val="00F5233E"/>
    <w:rsid w:val="00F52557"/>
    <w:rsid w:val="00F550E6"/>
    <w:rsid w:val="00F556FB"/>
    <w:rsid w:val="00F56E6E"/>
    <w:rsid w:val="00F571CB"/>
    <w:rsid w:val="00F57536"/>
    <w:rsid w:val="00F57BF2"/>
    <w:rsid w:val="00F6005A"/>
    <w:rsid w:val="00F60EFB"/>
    <w:rsid w:val="00F633A4"/>
    <w:rsid w:val="00F635D5"/>
    <w:rsid w:val="00F637CE"/>
    <w:rsid w:val="00F65015"/>
    <w:rsid w:val="00F6564A"/>
    <w:rsid w:val="00F66509"/>
    <w:rsid w:val="00F702CD"/>
    <w:rsid w:val="00F71537"/>
    <w:rsid w:val="00F71FEF"/>
    <w:rsid w:val="00F72BB8"/>
    <w:rsid w:val="00F74345"/>
    <w:rsid w:val="00F74746"/>
    <w:rsid w:val="00F75BDA"/>
    <w:rsid w:val="00F7602B"/>
    <w:rsid w:val="00F80A0A"/>
    <w:rsid w:val="00F81543"/>
    <w:rsid w:val="00F81664"/>
    <w:rsid w:val="00F8182D"/>
    <w:rsid w:val="00F82B19"/>
    <w:rsid w:val="00F84098"/>
    <w:rsid w:val="00F84AA7"/>
    <w:rsid w:val="00F862CE"/>
    <w:rsid w:val="00F90919"/>
    <w:rsid w:val="00F91754"/>
    <w:rsid w:val="00F9212D"/>
    <w:rsid w:val="00F93327"/>
    <w:rsid w:val="00F93A6F"/>
    <w:rsid w:val="00F94966"/>
    <w:rsid w:val="00F959AB"/>
    <w:rsid w:val="00F95B9E"/>
    <w:rsid w:val="00F96244"/>
    <w:rsid w:val="00F965DA"/>
    <w:rsid w:val="00FA084D"/>
    <w:rsid w:val="00FA1AD8"/>
    <w:rsid w:val="00FA2CF2"/>
    <w:rsid w:val="00FA2EDD"/>
    <w:rsid w:val="00FA3FFF"/>
    <w:rsid w:val="00FA406A"/>
    <w:rsid w:val="00FA5F64"/>
    <w:rsid w:val="00FA6387"/>
    <w:rsid w:val="00FA6781"/>
    <w:rsid w:val="00FA6AFD"/>
    <w:rsid w:val="00FA6DA2"/>
    <w:rsid w:val="00FA74E8"/>
    <w:rsid w:val="00FA7502"/>
    <w:rsid w:val="00FA7D7C"/>
    <w:rsid w:val="00FB00B7"/>
    <w:rsid w:val="00FB0116"/>
    <w:rsid w:val="00FB0AB4"/>
    <w:rsid w:val="00FB1125"/>
    <w:rsid w:val="00FB14A7"/>
    <w:rsid w:val="00FB14C9"/>
    <w:rsid w:val="00FB1EE0"/>
    <w:rsid w:val="00FB1FCB"/>
    <w:rsid w:val="00FB466F"/>
    <w:rsid w:val="00FB503A"/>
    <w:rsid w:val="00FB516C"/>
    <w:rsid w:val="00FB5249"/>
    <w:rsid w:val="00FB5736"/>
    <w:rsid w:val="00FB5DE7"/>
    <w:rsid w:val="00FB6456"/>
    <w:rsid w:val="00FB7923"/>
    <w:rsid w:val="00FB7D16"/>
    <w:rsid w:val="00FC0EFD"/>
    <w:rsid w:val="00FC3BBE"/>
    <w:rsid w:val="00FC3F45"/>
    <w:rsid w:val="00FC4413"/>
    <w:rsid w:val="00FC47BD"/>
    <w:rsid w:val="00FC548C"/>
    <w:rsid w:val="00FC5521"/>
    <w:rsid w:val="00FC604B"/>
    <w:rsid w:val="00FC71B5"/>
    <w:rsid w:val="00FD0236"/>
    <w:rsid w:val="00FD0DE7"/>
    <w:rsid w:val="00FD18F4"/>
    <w:rsid w:val="00FD235C"/>
    <w:rsid w:val="00FD3C92"/>
    <w:rsid w:val="00FD496D"/>
    <w:rsid w:val="00FD54DB"/>
    <w:rsid w:val="00FD5A97"/>
    <w:rsid w:val="00FD619F"/>
    <w:rsid w:val="00FD7E34"/>
    <w:rsid w:val="00FE125B"/>
    <w:rsid w:val="00FE1C79"/>
    <w:rsid w:val="00FE1E99"/>
    <w:rsid w:val="00FE2D66"/>
    <w:rsid w:val="00FE2F59"/>
    <w:rsid w:val="00FF069D"/>
    <w:rsid w:val="00FF11DB"/>
    <w:rsid w:val="00FF1DE3"/>
    <w:rsid w:val="00FF297F"/>
    <w:rsid w:val="00FF31C6"/>
    <w:rsid w:val="00FF384D"/>
    <w:rsid w:val="00FF6FE0"/>
    <w:rsid w:val="00FF7D3D"/>
    <w:rsid w:val="011C330E"/>
    <w:rsid w:val="01290F7E"/>
    <w:rsid w:val="013066EB"/>
    <w:rsid w:val="015D1E09"/>
    <w:rsid w:val="016F0A91"/>
    <w:rsid w:val="01AA2CD3"/>
    <w:rsid w:val="01B370EF"/>
    <w:rsid w:val="020351FF"/>
    <w:rsid w:val="025119EA"/>
    <w:rsid w:val="025177BF"/>
    <w:rsid w:val="02533F0F"/>
    <w:rsid w:val="02697903"/>
    <w:rsid w:val="028228C0"/>
    <w:rsid w:val="02B20C36"/>
    <w:rsid w:val="02F96569"/>
    <w:rsid w:val="02FC015F"/>
    <w:rsid w:val="030371E9"/>
    <w:rsid w:val="031D0048"/>
    <w:rsid w:val="032F2286"/>
    <w:rsid w:val="033169AF"/>
    <w:rsid w:val="03353615"/>
    <w:rsid w:val="0361440A"/>
    <w:rsid w:val="036C4012"/>
    <w:rsid w:val="039B791C"/>
    <w:rsid w:val="03B04DA6"/>
    <w:rsid w:val="03C2759E"/>
    <w:rsid w:val="03EA7B21"/>
    <w:rsid w:val="043024A3"/>
    <w:rsid w:val="04535F62"/>
    <w:rsid w:val="04C2712A"/>
    <w:rsid w:val="04D356AB"/>
    <w:rsid w:val="057C5AAF"/>
    <w:rsid w:val="05CC1268"/>
    <w:rsid w:val="05F83EAE"/>
    <w:rsid w:val="063E7D85"/>
    <w:rsid w:val="06893643"/>
    <w:rsid w:val="068B428A"/>
    <w:rsid w:val="06AA1CCB"/>
    <w:rsid w:val="06AF0CB0"/>
    <w:rsid w:val="06BC6A39"/>
    <w:rsid w:val="06E84FF7"/>
    <w:rsid w:val="070D0668"/>
    <w:rsid w:val="07293586"/>
    <w:rsid w:val="07295285"/>
    <w:rsid w:val="073937D7"/>
    <w:rsid w:val="07636392"/>
    <w:rsid w:val="07705129"/>
    <w:rsid w:val="07770C56"/>
    <w:rsid w:val="07D642EC"/>
    <w:rsid w:val="07F817E1"/>
    <w:rsid w:val="07FE1B7C"/>
    <w:rsid w:val="08404B65"/>
    <w:rsid w:val="08BB1E7B"/>
    <w:rsid w:val="08E40BFB"/>
    <w:rsid w:val="092217DD"/>
    <w:rsid w:val="093A7294"/>
    <w:rsid w:val="095135E2"/>
    <w:rsid w:val="09A05A83"/>
    <w:rsid w:val="09D57E25"/>
    <w:rsid w:val="0A0F4096"/>
    <w:rsid w:val="0A263993"/>
    <w:rsid w:val="0A287A2F"/>
    <w:rsid w:val="0A2D3AC2"/>
    <w:rsid w:val="0A4F3B8A"/>
    <w:rsid w:val="0AA755DF"/>
    <w:rsid w:val="0AEF2FD3"/>
    <w:rsid w:val="0B120D44"/>
    <w:rsid w:val="0B1F0E32"/>
    <w:rsid w:val="0B7D3DAB"/>
    <w:rsid w:val="0BD27BF6"/>
    <w:rsid w:val="0BF73B5D"/>
    <w:rsid w:val="0C3923C8"/>
    <w:rsid w:val="0C3B3C7D"/>
    <w:rsid w:val="0C53652B"/>
    <w:rsid w:val="0CAB2EAE"/>
    <w:rsid w:val="0D166366"/>
    <w:rsid w:val="0D554274"/>
    <w:rsid w:val="0D621C7D"/>
    <w:rsid w:val="0DC67C8B"/>
    <w:rsid w:val="0DE8533E"/>
    <w:rsid w:val="0DFA5954"/>
    <w:rsid w:val="0E54248E"/>
    <w:rsid w:val="0E73034D"/>
    <w:rsid w:val="0EAC6E81"/>
    <w:rsid w:val="0ECA67E1"/>
    <w:rsid w:val="0ED65CAC"/>
    <w:rsid w:val="0ED70B10"/>
    <w:rsid w:val="0EE54141"/>
    <w:rsid w:val="0F13775A"/>
    <w:rsid w:val="0F5F45FE"/>
    <w:rsid w:val="0F9A112B"/>
    <w:rsid w:val="0FEA5B60"/>
    <w:rsid w:val="10001781"/>
    <w:rsid w:val="102418C6"/>
    <w:rsid w:val="102E7F44"/>
    <w:rsid w:val="105913C1"/>
    <w:rsid w:val="106D2F64"/>
    <w:rsid w:val="10B63710"/>
    <w:rsid w:val="10C06024"/>
    <w:rsid w:val="10F10820"/>
    <w:rsid w:val="111C2F7A"/>
    <w:rsid w:val="11665CA1"/>
    <w:rsid w:val="11A71B81"/>
    <w:rsid w:val="11AC631F"/>
    <w:rsid w:val="120B3C17"/>
    <w:rsid w:val="121865DB"/>
    <w:rsid w:val="128D7E4F"/>
    <w:rsid w:val="12902E6F"/>
    <w:rsid w:val="129C0FBA"/>
    <w:rsid w:val="12A67CD4"/>
    <w:rsid w:val="12C8390D"/>
    <w:rsid w:val="130A4823"/>
    <w:rsid w:val="13314556"/>
    <w:rsid w:val="133B7D6A"/>
    <w:rsid w:val="13951726"/>
    <w:rsid w:val="139F14E1"/>
    <w:rsid w:val="140B71A1"/>
    <w:rsid w:val="14221782"/>
    <w:rsid w:val="14396509"/>
    <w:rsid w:val="14397A4F"/>
    <w:rsid w:val="149F5980"/>
    <w:rsid w:val="14B54578"/>
    <w:rsid w:val="14C96A6D"/>
    <w:rsid w:val="14DD2C3C"/>
    <w:rsid w:val="14F21366"/>
    <w:rsid w:val="150D0672"/>
    <w:rsid w:val="15774F65"/>
    <w:rsid w:val="1585667E"/>
    <w:rsid w:val="16087E1D"/>
    <w:rsid w:val="161F0C44"/>
    <w:rsid w:val="16227A29"/>
    <w:rsid w:val="164E1C26"/>
    <w:rsid w:val="16567F69"/>
    <w:rsid w:val="16AF26F4"/>
    <w:rsid w:val="16EA50F6"/>
    <w:rsid w:val="16F65E53"/>
    <w:rsid w:val="17701D14"/>
    <w:rsid w:val="17735226"/>
    <w:rsid w:val="17783F1F"/>
    <w:rsid w:val="179F7F9D"/>
    <w:rsid w:val="17B06645"/>
    <w:rsid w:val="17DB540F"/>
    <w:rsid w:val="1815300E"/>
    <w:rsid w:val="182025F6"/>
    <w:rsid w:val="184B3C95"/>
    <w:rsid w:val="18773E3B"/>
    <w:rsid w:val="187D0BF6"/>
    <w:rsid w:val="18817477"/>
    <w:rsid w:val="18834DEF"/>
    <w:rsid w:val="189F624C"/>
    <w:rsid w:val="18FC6C57"/>
    <w:rsid w:val="191F370D"/>
    <w:rsid w:val="194F6BCB"/>
    <w:rsid w:val="19514C21"/>
    <w:rsid w:val="19DE6500"/>
    <w:rsid w:val="1A032F57"/>
    <w:rsid w:val="1A1C66C0"/>
    <w:rsid w:val="1A42393B"/>
    <w:rsid w:val="1A571B14"/>
    <w:rsid w:val="1A8F1971"/>
    <w:rsid w:val="1AA83853"/>
    <w:rsid w:val="1AAD45DE"/>
    <w:rsid w:val="1AC571B0"/>
    <w:rsid w:val="1ADF7D57"/>
    <w:rsid w:val="1B046F80"/>
    <w:rsid w:val="1B0C5CC5"/>
    <w:rsid w:val="1B2F79AF"/>
    <w:rsid w:val="1B3267B5"/>
    <w:rsid w:val="1B40161D"/>
    <w:rsid w:val="1B441859"/>
    <w:rsid w:val="1B6606B1"/>
    <w:rsid w:val="1BA22630"/>
    <w:rsid w:val="1BA43815"/>
    <w:rsid w:val="1C057BD0"/>
    <w:rsid w:val="1C5E7925"/>
    <w:rsid w:val="1C914208"/>
    <w:rsid w:val="1CA5033E"/>
    <w:rsid w:val="1CB54E7E"/>
    <w:rsid w:val="1CE40F2B"/>
    <w:rsid w:val="1CEE3DDB"/>
    <w:rsid w:val="1CFD070F"/>
    <w:rsid w:val="1D13456F"/>
    <w:rsid w:val="1D48594E"/>
    <w:rsid w:val="1D5F6196"/>
    <w:rsid w:val="1D6132A5"/>
    <w:rsid w:val="1D6E17A5"/>
    <w:rsid w:val="1D8E56D5"/>
    <w:rsid w:val="1DA56E94"/>
    <w:rsid w:val="1DB46A0E"/>
    <w:rsid w:val="1DBA468C"/>
    <w:rsid w:val="1DDF02D2"/>
    <w:rsid w:val="1DE71C83"/>
    <w:rsid w:val="1E014B69"/>
    <w:rsid w:val="1E744035"/>
    <w:rsid w:val="1E7A43DA"/>
    <w:rsid w:val="1E933AF2"/>
    <w:rsid w:val="1E98213B"/>
    <w:rsid w:val="1ECB5101"/>
    <w:rsid w:val="1F225BEA"/>
    <w:rsid w:val="1F2A4721"/>
    <w:rsid w:val="1FE7539E"/>
    <w:rsid w:val="205C5288"/>
    <w:rsid w:val="20671BE0"/>
    <w:rsid w:val="20963CB8"/>
    <w:rsid w:val="20A81A1B"/>
    <w:rsid w:val="20B07FB6"/>
    <w:rsid w:val="20B646FB"/>
    <w:rsid w:val="20BA736B"/>
    <w:rsid w:val="20CD3E35"/>
    <w:rsid w:val="20D420DD"/>
    <w:rsid w:val="21087DC4"/>
    <w:rsid w:val="210E543E"/>
    <w:rsid w:val="213B74B1"/>
    <w:rsid w:val="215A2310"/>
    <w:rsid w:val="21DE318A"/>
    <w:rsid w:val="21EF5B80"/>
    <w:rsid w:val="22576990"/>
    <w:rsid w:val="225F4548"/>
    <w:rsid w:val="22F47480"/>
    <w:rsid w:val="23212376"/>
    <w:rsid w:val="23401B0E"/>
    <w:rsid w:val="23DE1C48"/>
    <w:rsid w:val="240210CD"/>
    <w:rsid w:val="24620D52"/>
    <w:rsid w:val="24BF09F7"/>
    <w:rsid w:val="24D35DF1"/>
    <w:rsid w:val="252D53FE"/>
    <w:rsid w:val="25D45D97"/>
    <w:rsid w:val="25EC2D81"/>
    <w:rsid w:val="26220971"/>
    <w:rsid w:val="262536D3"/>
    <w:rsid w:val="2679746A"/>
    <w:rsid w:val="268220D1"/>
    <w:rsid w:val="26C012C4"/>
    <w:rsid w:val="2705425E"/>
    <w:rsid w:val="277057A2"/>
    <w:rsid w:val="27F31225"/>
    <w:rsid w:val="27FE2637"/>
    <w:rsid w:val="2831283F"/>
    <w:rsid w:val="284A5A36"/>
    <w:rsid w:val="289C4E14"/>
    <w:rsid w:val="29206EB8"/>
    <w:rsid w:val="294A30C6"/>
    <w:rsid w:val="29595666"/>
    <w:rsid w:val="298567F4"/>
    <w:rsid w:val="29874881"/>
    <w:rsid w:val="29934A6D"/>
    <w:rsid w:val="29C9048F"/>
    <w:rsid w:val="29E325E0"/>
    <w:rsid w:val="2A452503"/>
    <w:rsid w:val="2A97233B"/>
    <w:rsid w:val="2AAC739F"/>
    <w:rsid w:val="2ABF22A4"/>
    <w:rsid w:val="2B17347C"/>
    <w:rsid w:val="2B6C7C6C"/>
    <w:rsid w:val="2BA936A8"/>
    <w:rsid w:val="2BBD4C62"/>
    <w:rsid w:val="2BCC4267"/>
    <w:rsid w:val="2C315A5A"/>
    <w:rsid w:val="2C4B1C25"/>
    <w:rsid w:val="2C972138"/>
    <w:rsid w:val="2CCD3F5D"/>
    <w:rsid w:val="2CF2438B"/>
    <w:rsid w:val="2D23435A"/>
    <w:rsid w:val="2D6F75A0"/>
    <w:rsid w:val="2D9B5BFA"/>
    <w:rsid w:val="2D9E56F5"/>
    <w:rsid w:val="2DAC205C"/>
    <w:rsid w:val="2E667F96"/>
    <w:rsid w:val="2E766568"/>
    <w:rsid w:val="2E8226AB"/>
    <w:rsid w:val="2EC333BF"/>
    <w:rsid w:val="2ED21A89"/>
    <w:rsid w:val="2EDA313F"/>
    <w:rsid w:val="2EF02962"/>
    <w:rsid w:val="2F0C278F"/>
    <w:rsid w:val="2F480860"/>
    <w:rsid w:val="2F4D5D54"/>
    <w:rsid w:val="2FD065E6"/>
    <w:rsid w:val="2FD96870"/>
    <w:rsid w:val="3019196D"/>
    <w:rsid w:val="30244258"/>
    <w:rsid w:val="30580BC9"/>
    <w:rsid w:val="30D03288"/>
    <w:rsid w:val="30F027A5"/>
    <w:rsid w:val="30F06F36"/>
    <w:rsid w:val="311E2ED7"/>
    <w:rsid w:val="31561180"/>
    <w:rsid w:val="315619EE"/>
    <w:rsid w:val="315C449C"/>
    <w:rsid w:val="31B82709"/>
    <w:rsid w:val="31D05482"/>
    <w:rsid w:val="31D72142"/>
    <w:rsid w:val="32192A17"/>
    <w:rsid w:val="32400B34"/>
    <w:rsid w:val="3252160A"/>
    <w:rsid w:val="326E6078"/>
    <w:rsid w:val="329E6876"/>
    <w:rsid w:val="32A87D58"/>
    <w:rsid w:val="32BA5C48"/>
    <w:rsid w:val="333015F2"/>
    <w:rsid w:val="3344327C"/>
    <w:rsid w:val="334A0979"/>
    <w:rsid w:val="334B6320"/>
    <w:rsid w:val="33957A45"/>
    <w:rsid w:val="33D934D4"/>
    <w:rsid w:val="33F54A84"/>
    <w:rsid w:val="33FE2F6A"/>
    <w:rsid w:val="340E07E5"/>
    <w:rsid w:val="34193714"/>
    <w:rsid w:val="341B1908"/>
    <w:rsid w:val="34235BF7"/>
    <w:rsid w:val="344F389B"/>
    <w:rsid w:val="34B20B82"/>
    <w:rsid w:val="34BC5799"/>
    <w:rsid w:val="350605A3"/>
    <w:rsid w:val="357D23CF"/>
    <w:rsid w:val="35855AF1"/>
    <w:rsid w:val="358C5FA8"/>
    <w:rsid w:val="35C15DF1"/>
    <w:rsid w:val="35CA4B8B"/>
    <w:rsid w:val="36074A7F"/>
    <w:rsid w:val="360A51C2"/>
    <w:rsid w:val="362178A5"/>
    <w:rsid w:val="363C540D"/>
    <w:rsid w:val="367D2610"/>
    <w:rsid w:val="36923549"/>
    <w:rsid w:val="36981DB9"/>
    <w:rsid w:val="369E4A52"/>
    <w:rsid w:val="36B75FBF"/>
    <w:rsid w:val="36BD0C45"/>
    <w:rsid w:val="36D96CD3"/>
    <w:rsid w:val="36F80606"/>
    <w:rsid w:val="36FB1342"/>
    <w:rsid w:val="3789228D"/>
    <w:rsid w:val="37BD5282"/>
    <w:rsid w:val="37D04F1F"/>
    <w:rsid w:val="37E00298"/>
    <w:rsid w:val="38146DE5"/>
    <w:rsid w:val="381B0A50"/>
    <w:rsid w:val="383010C2"/>
    <w:rsid w:val="38545D10"/>
    <w:rsid w:val="387F1F35"/>
    <w:rsid w:val="38A001F4"/>
    <w:rsid w:val="38B302F9"/>
    <w:rsid w:val="38F12CD3"/>
    <w:rsid w:val="38F94775"/>
    <w:rsid w:val="38FB1FB4"/>
    <w:rsid w:val="390874D7"/>
    <w:rsid w:val="392971ED"/>
    <w:rsid w:val="39325651"/>
    <w:rsid w:val="399531BF"/>
    <w:rsid w:val="399D5494"/>
    <w:rsid w:val="39AD1B7B"/>
    <w:rsid w:val="39AD70A3"/>
    <w:rsid w:val="39B37D29"/>
    <w:rsid w:val="39DE2AA3"/>
    <w:rsid w:val="3A024242"/>
    <w:rsid w:val="3A0948D8"/>
    <w:rsid w:val="3A811F62"/>
    <w:rsid w:val="3A872856"/>
    <w:rsid w:val="3A995C5C"/>
    <w:rsid w:val="3AA23541"/>
    <w:rsid w:val="3AB807D8"/>
    <w:rsid w:val="3AE911A6"/>
    <w:rsid w:val="3B3763D1"/>
    <w:rsid w:val="3B3949B4"/>
    <w:rsid w:val="3C1771A5"/>
    <w:rsid w:val="3C2F6E1E"/>
    <w:rsid w:val="3C4B742A"/>
    <w:rsid w:val="3C4F64BA"/>
    <w:rsid w:val="3CC1149A"/>
    <w:rsid w:val="3CDA245A"/>
    <w:rsid w:val="3D1E06B7"/>
    <w:rsid w:val="3D3640CC"/>
    <w:rsid w:val="3D8259B2"/>
    <w:rsid w:val="3DC2695E"/>
    <w:rsid w:val="3DD1570D"/>
    <w:rsid w:val="3E573E64"/>
    <w:rsid w:val="3E6912FB"/>
    <w:rsid w:val="3EA951B0"/>
    <w:rsid w:val="3EDA0523"/>
    <w:rsid w:val="3F5D194E"/>
    <w:rsid w:val="3F6351A2"/>
    <w:rsid w:val="3FA04F69"/>
    <w:rsid w:val="3FFC40F9"/>
    <w:rsid w:val="3FFD0A3B"/>
    <w:rsid w:val="3FFE0639"/>
    <w:rsid w:val="400228A4"/>
    <w:rsid w:val="400E0E9A"/>
    <w:rsid w:val="401157AC"/>
    <w:rsid w:val="401B7113"/>
    <w:rsid w:val="401C35B7"/>
    <w:rsid w:val="405A7C3B"/>
    <w:rsid w:val="407A6407"/>
    <w:rsid w:val="409E155D"/>
    <w:rsid w:val="40B31B76"/>
    <w:rsid w:val="415B1EBD"/>
    <w:rsid w:val="416858B2"/>
    <w:rsid w:val="41885787"/>
    <w:rsid w:val="41AD023F"/>
    <w:rsid w:val="41E27EF2"/>
    <w:rsid w:val="41FA5FAD"/>
    <w:rsid w:val="4200449D"/>
    <w:rsid w:val="423A3BCC"/>
    <w:rsid w:val="42417678"/>
    <w:rsid w:val="42443F31"/>
    <w:rsid w:val="424E57D2"/>
    <w:rsid w:val="42686914"/>
    <w:rsid w:val="42AB5E9B"/>
    <w:rsid w:val="42B26C49"/>
    <w:rsid w:val="42E44134"/>
    <w:rsid w:val="43336A7A"/>
    <w:rsid w:val="4335673E"/>
    <w:rsid w:val="433A6FE6"/>
    <w:rsid w:val="43480868"/>
    <w:rsid w:val="4350713C"/>
    <w:rsid w:val="436653E0"/>
    <w:rsid w:val="4378619D"/>
    <w:rsid w:val="437C436D"/>
    <w:rsid w:val="43C4431A"/>
    <w:rsid w:val="43F14F7B"/>
    <w:rsid w:val="43F263DD"/>
    <w:rsid w:val="44122E4A"/>
    <w:rsid w:val="4439400C"/>
    <w:rsid w:val="44567C14"/>
    <w:rsid w:val="44700E3D"/>
    <w:rsid w:val="447F2366"/>
    <w:rsid w:val="44814974"/>
    <w:rsid w:val="448F5BA7"/>
    <w:rsid w:val="44B951CC"/>
    <w:rsid w:val="44CD14E0"/>
    <w:rsid w:val="44F20B0B"/>
    <w:rsid w:val="452E5F4C"/>
    <w:rsid w:val="453E5356"/>
    <w:rsid w:val="45577EB3"/>
    <w:rsid w:val="45612018"/>
    <w:rsid w:val="458946E9"/>
    <w:rsid w:val="45A47C0E"/>
    <w:rsid w:val="45E06741"/>
    <w:rsid w:val="45F95599"/>
    <w:rsid w:val="46472A10"/>
    <w:rsid w:val="46577FD6"/>
    <w:rsid w:val="46932A1A"/>
    <w:rsid w:val="46C52171"/>
    <w:rsid w:val="46D955A7"/>
    <w:rsid w:val="47040901"/>
    <w:rsid w:val="471072A6"/>
    <w:rsid w:val="47133957"/>
    <w:rsid w:val="47A07E0C"/>
    <w:rsid w:val="47AB6FCE"/>
    <w:rsid w:val="47C620B2"/>
    <w:rsid w:val="484418FD"/>
    <w:rsid w:val="4870272E"/>
    <w:rsid w:val="49247038"/>
    <w:rsid w:val="495F62C2"/>
    <w:rsid w:val="49AB69B6"/>
    <w:rsid w:val="49DC7715"/>
    <w:rsid w:val="49E26132"/>
    <w:rsid w:val="49EB7B56"/>
    <w:rsid w:val="4A023139"/>
    <w:rsid w:val="4A2D7DE7"/>
    <w:rsid w:val="4A3E6324"/>
    <w:rsid w:val="4A6F4C2B"/>
    <w:rsid w:val="4A7034F6"/>
    <w:rsid w:val="4A7B576F"/>
    <w:rsid w:val="4AC00935"/>
    <w:rsid w:val="4AF561A9"/>
    <w:rsid w:val="4AFB201B"/>
    <w:rsid w:val="4B282C94"/>
    <w:rsid w:val="4C435F68"/>
    <w:rsid w:val="4C4A0649"/>
    <w:rsid w:val="4C7E5ECA"/>
    <w:rsid w:val="4C876AA5"/>
    <w:rsid w:val="4C9A533B"/>
    <w:rsid w:val="4CB92AEE"/>
    <w:rsid w:val="4CDA19A5"/>
    <w:rsid w:val="4CE213BE"/>
    <w:rsid w:val="4D0E00FB"/>
    <w:rsid w:val="4D176606"/>
    <w:rsid w:val="4D5D0D6B"/>
    <w:rsid w:val="4D721285"/>
    <w:rsid w:val="4DEC4FB0"/>
    <w:rsid w:val="4E063BA1"/>
    <w:rsid w:val="4E075D8A"/>
    <w:rsid w:val="4E775D34"/>
    <w:rsid w:val="4EA41913"/>
    <w:rsid w:val="4EC00FAD"/>
    <w:rsid w:val="4F005E52"/>
    <w:rsid w:val="4F1D0895"/>
    <w:rsid w:val="4F294A04"/>
    <w:rsid w:val="4F7A22DF"/>
    <w:rsid w:val="4F863BEA"/>
    <w:rsid w:val="4F8847DA"/>
    <w:rsid w:val="4F9843DC"/>
    <w:rsid w:val="4FA03191"/>
    <w:rsid w:val="4FAF3FF1"/>
    <w:rsid w:val="4FB94960"/>
    <w:rsid w:val="4FBC446F"/>
    <w:rsid w:val="4FC62A8C"/>
    <w:rsid w:val="4FE20F0D"/>
    <w:rsid w:val="4FE51552"/>
    <w:rsid w:val="503C59E2"/>
    <w:rsid w:val="504735D0"/>
    <w:rsid w:val="50504C4B"/>
    <w:rsid w:val="50652F0C"/>
    <w:rsid w:val="506B19F1"/>
    <w:rsid w:val="508023C1"/>
    <w:rsid w:val="5085200E"/>
    <w:rsid w:val="509C6E7C"/>
    <w:rsid w:val="5162104E"/>
    <w:rsid w:val="51870FE5"/>
    <w:rsid w:val="518920CE"/>
    <w:rsid w:val="51A56B8A"/>
    <w:rsid w:val="526C4DBF"/>
    <w:rsid w:val="52917F8D"/>
    <w:rsid w:val="52CC2C1B"/>
    <w:rsid w:val="52D40070"/>
    <w:rsid w:val="530A729F"/>
    <w:rsid w:val="53A039CC"/>
    <w:rsid w:val="53A1505A"/>
    <w:rsid w:val="53EA3B9A"/>
    <w:rsid w:val="54063E08"/>
    <w:rsid w:val="542D1DD8"/>
    <w:rsid w:val="54307A4C"/>
    <w:rsid w:val="543437E8"/>
    <w:rsid w:val="548F25D6"/>
    <w:rsid w:val="54B947E0"/>
    <w:rsid w:val="54BC305C"/>
    <w:rsid w:val="54F73313"/>
    <w:rsid w:val="54F80955"/>
    <w:rsid w:val="55050666"/>
    <w:rsid w:val="555170A7"/>
    <w:rsid w:val="5587536D"/>
    <w:rsid w:val="558A46C7"/>
    <w:rsid w:val="559B174B"/>
    <w:rsid w:val="55CE0CF4"/>
    <w:rsid w:val="56061755"/>
    <w:rsid w:val="56AF0889"/>
    <w:rsid w:val="56B22A9C"/>
    <w:rsid w:val="56D227CA"/>
    <w:rsid w:val="573757DF"/>
    <w:rsid w:val="57643691"/>
    <w:rsid w:val="57980AF6"/>
    <w:rsid w:val="57B72A76"/>
    <w:rsid w:val="57C3426C"/>
    <w:rsid w:val="57CC7219"/>
    <w:rsid w:val="57CE1F93"/>
    <w:rsid w:val="58445001"/>
    <w:rsid w:val="586B0251"/>
    <w:rsid w:val="588743D1"/>
    <w:rsid w:val="5887701A"/>
    <w:rsid w:val="58CC429A"/>
    <w:rsid w:val="58ED3B83"/>
    <w:rsid w:val="594F4A95"/>
    <w:rsid w:val="595857A7"/>
    <w:rsid w:val="59610B2F"/>
    <w:rsid w:val="597E2CD0"/>
    <w:rsid w:val="59C0439F"/>
    <w:rsid w:val="59C52A05"/>
    <w:rsid w:val="59E051FD"/>
    <w:rsid w:val="5A2C21F1"/>
    <w:rsid w:val="5A2C3F9F"/>
    <w:rsid w:val="5A810EDD"/>
    <w:rsid w:val="5AAA1D25"/>
    <w:rsid w:val="5ABE2233"/>
    <w:rsid w:val="5ADF1011"/>
    <w:rsid w:val="5B205DE2"/>
    <w:rsid w:val="5B6120D0"/>
    <w:rsid w:val="5B9841B2"/>
    <w:rsid w:val="5BC52797"/>
    <w:rsid w:val="5BDF5D95"/>
    <w:rsid w:val="5BFE7528"/>
    <w:rsid w:val="5C2C64D8"/>
    <w:rsid w:val="5C4557EC"/>
    <w:rsid w:val="5C4A7907"/>
    <w:rsid w:val="5CF662E4"/>
    <w:rsid w:val="5D666567"/>
    <w:rsid w:val="5DB46785"/>
    <w:rsid w:val="5DBF39CE"/>
    <w:rsid w:val="5DCB3ACF"/>
    <w:rsid w:val="5DFA7998"/>
    <w:rsid w:val="5E2467F1"/>
    <w:rsid w:val="5E8E6FD6"/>
    <w:rsid w:val="5EB01481"/>
    <w:rsid w:val="5EF00A9F"/>
    <w:rsid w:val="5F155101"/>
    <w:rsid w:val="5F1A2B43"/>
    <w:rsid w:val="5F290005"/>
    <w:rsid w:val="5FA459CF"/>
    <w:rsid w:val="5FB837BB"/>
    <w:rsid w:val="5FEA58F1"/>
    <w:rsid w:val="5FF11F12"/>
    <w:rsid w:val="60583010"/>
    <w:rsid w:val="60CC405A"/>
    <w:rsid w:val="610726FE"/>
    <w:rsid w:val="611063C8"/>
    <w:rsid w:val="61733EC9"/>
    <w:rsid w:val="618E3791"/>
    <w:rsid w:val="61E215D8"/>
    <w:rsid w:val="61E82EA1"/>
    <w:rsid w:val="61EE67DE"/>
    <w:rsid w:val="621B3775"/>
    <w:rsid w:val="62364782"/>
    <w:rsid w:val="62A328E3"/>
    <w:rsid w:val="62EC5DE5"/>
    <w:rsid w:val="63157231"/>
    <w:rsid w:val="632A5196"/>
    <w:rsid w:val="6394356A"/>
    <w:rsid w:val="63B31C17"/>
    <w:rsid w:val="63C61B2C"/>
    <w:rsid w:val="63D40BE9"/>
    <w:rsid w:val="640C444F"/>
    <w:rsid w:val="64102431"/>
    <w:rsid w:val="642D19EB"/>
    <w:rsid w:val="64383165"/>
    <w:rsid w:val="64495BAF"/>
    <w:rsid w:val="64A132A0"/>
    <w:rsid w:val="64A5243A"/>
    <w:rsid w:val="64C5571C"/>
    <w:rsid w:val="64F531DE"/>
    <w:rsid w:val="64F63191"/>
    <w:rsid w:val="65373578"/>
    <w:rsid w:val="65411462"/>
    <w:rsid w:val="65BA6903"/>
    <w:rsid w:val="66384BF3"/>
    <w:rsid w:val="66601602"/>
    <w:rsid w:val="66EE1F90"/>
    <w:rsid w:val="671F124A"/>
    <w:rsid w:val="67277FC8"/>
    <w:rsid w:val="67356902"/>
    <w:rsid w:val="677A33C6"/>
    <w:rsid w:val="6791267E"/>
    <w:rsid w:val="680447AD"/>
    <w:rsid w:val="681F6961"/>
    <w:rsid w:val="68224C33"/>
    <w:rsid w:val="68610A2F"/>
    <w:rsid w:val="68805514"/>
    <w:rsid w:val="68C65505"/>
    <w:rsid w:val="68CB0E27"/>
    <w:rsid w:val="69316E2F"/>
    <w:rsid w:val="693B07E9"/>
    <w:rsid w:val="694E2071"/>
    <w:rsid w:val="69766163"/>
    <w:rsid w:val="697A3B33"/>
    <w:rsid w:val="69C33E4E"/>
    <w:rsid w:val="69D44760"/>
    <w:rsid w:val="6A1B2C1B"/>
    <w:rsid w:val="6A520EC7"/>
    <w:rsid w:val="6A60436C"/>
    <w:rsid w:val="6A682DD1"/>
    <w:rsid w:val="6AF87E20"/>
    <w:rsid w:val="6B322639"/>
    <w:rsid w:val="6B5B72DC"/>
    <w:rsid w:val="6B90525F"/>
    <w:rsid w:val="6B921E65"/>
    <w:rsid w:val="6B9B71D6"/>
    <w:rsid w:val="6C5910F6"/>
    <w:rsid w:val="6C636C38"/>
    <w:rsid w:val="6C894182"/>
    <w:rsid w:val="6C94559A"/>
    <w:rsid w:val="6CC83FFB"/>
    <w:rsid w:val="6CFC5A53"/>
    <w:rsid w:val="6D231231"/>
    <w:rsid w:val="6D4B2536"/>
    <w:rsid w:val="6D8B6DD7"/>
    <w:rsid w:val="6D986A42"/>
    <w:rsid w:val="6DB34098"/>
    <w:rsid w:val="6DB545B6"/>
    <w:rsid w:val="6DB84D72"/>
    <w:rsid w:val="6DD778D4"/>
    <w:rsid w:val="6DE02FB4"/>
    <w:rsid w:val="6E514CED"/>
    <w:rsid w:val="6E5378F4"/>
    <w:rsid w:val="6E815015"/>
    <w:rsid w:val="6EB563D5"/>
    <w:rsid w:val="6ED92677"/>
    <w:rsid w:val="6EE90B67"/>
    <w:rsid w:val="6EEA07A5"/>
    <w:rsid w:val="6F0357BE"/>
    <w:rsid w:val="6F0532E4"/>
    <w:rsid w:val="6F161502"/>
    <w:rsid w:val="6F225983"/>
    <w:rsid w:val="6F6618A9"/>
    <w:rsid w:val="6FAF65C8"/>
    <w:rsid w:val="6FF065DD"/>
    <w:rsid w:val="6FFC5590"/>
    <w:rsid w:val="6FFD62B5"/>
    <w:rsid w:val="700A66D9"/>
    <w:rsid w:val="705B0CE2"/>
    <w:rsid w:val="7069711D"/>
    <w:rsid w:val="706D1DD0"/>
    <w:rsid w:val="70856B87"/>
    <w:rsid w:val="70B40D39"/>
    <w:rsid w:val="70D527EE"/>
    <w:rsid w:val="70D57966"/>
    <w:rsid w:val="71186BD3"/>
    <w:rsid w:val="715B5300"/>
    <w:rsid w:val="71A87F57"/>
    <w:rsid w:val="71B80399"/>
    <w:rsid w:val="71C60B20"/>
    <w:rsid w:val="71D27F8A"/>
    <w:rsid w:val="71DC7758"/>
    <w:rsid w:val="71E15A52"/>
    <w:rsid w:val="72553024"/>
    <w:rsid w:val="72710C91"/>
    <w:rsid w:val="73122968"/>
    <w:rsid w:val="731F5D5E"/>
    <w:rsid w:val="73676D8F"/>
    <w:rsid w:val="73707B04"/>
    <w:rsid w:val="73936BA2"/>
    <w:rsid w:val="73AF2E50"/>
    <w:rsid w:val="73C51AD5"/>
    <w:rsid w:val="741E793C"/>
    <w:rsid w:val="74503451"/>
    <w:rsid w:val="745E3944"/>
    <w:rsid w:val="74B42C29"/>
    <w:rsid w:val="75894508"/>
    <w:rsid w:val="759417EE"/>
    <w:rsid w:val="75F25C45"/>
    <w:rsid w:val="762D4ECF"/>
    <w:rsid w:val="7635099D"/>
    <w:rsid w:val="76535382"/>
    <w:rsid w:val="766823AB"/>
    <w:rsid w:val="768B2AE2"/>
    <w:rsid w:val="77257379"/>
    <w:rsid w:val="774358F6"/>
    <w:rsid w:val="774829C5"/>
    <w:rsid w:val="77672662"/>
    <w:rsid w:val="77762421"/>
    <w:rsid w:val="77A64208"/>
    <w:rsid w:val="77B56B1F"/>
    <w:rsid w:val="780F09F4"/>
    <w:rsid w:val="78236289"/>
    <w:rsid w:val="784A1D68"/>
    <w:rsid w:val="78A90480"/>
    <w:rsid w:val="78D34203"/>
    <w:rsid w:val="793E6893"/>
    <w:rsid w:val="795B674A"/>
    <w:rsid w:val="7A1349CC"/>
    <w:rsid w:val="7A266097"/>
    <w:rsid w:val="7A305C70"/>
    <w:rsid w:val="7A321CF8"/>
    <w:rsid w:val="7A364017"/>
    <w:rsid w:val="7A8265E1"/>
    <w:rsid w:val="7AAE4BC6"/>
    <w:rsid w:val="7AEF124B"/>
    <w:rsid w:val="7AFB390F"/>
    <w:rsid w:val="7B686D42"/>
    <w:rsid w:val="7B841746"/>
    <w:rsid w:val="7BB3231A"/>
    <w:rsid w:val="7BDD52DA"/>
    <w:rsid w:val="7C32217F"/>
    <w:rsid w:val="7C40143F"/>
    <w:rsid w:val="7C6C5AC7"/>
    <w:rsid w:val="7C8D5BA7"/>
    <w:rsid w:val="7C9B4DB4"/>
    <w:rsid w:val="7CC6544B"/>
    <w:rsid w:val="7CD25682"/>
    <w:rsid w:val="7CEC79C2"/>
    <w:rsid w:val="7D0239FF"/>
    <w:rsid w:val="7D200066"/>
    <w:rsid w:val="7D5E40CD"/>
    <w:rsid w:val="7DCD56F2"/>
    <w:rsid w:val="7E6416AA"/>
    <w:rsid w:val="7E731FF2"/>
    <w:rsid w:val="7E945A37"/>
    <w:rsid w:val="7F001CE7"/>
    <w:rsid w:val="7FAA7590"/>
    <w:rsid w:val="7FDF723A"/>
    <w:rsid w:val="7FE1016D"/>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iPriority="99" w:semiHidden="0" w:name="index 8"/>
    <w:lsdException w:unhideWhenUsed="0" w:uiPriority="0" w:semiHidden="0" w:name="index 9"/>
    <w:lsdException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unhideWhenUsed="0" w:uiPriority="39" w:semiHidden="0" w:name="toc 7"/>
    <w:lsdException w:unhideWhenUsed="0" w:uiPriority="39" w:semiHidden="0" w:name="toc 8"/>
    <w:lsdException w:qFormat="1" w:unhideWhenUsed="0" w:uiPriority="39" w:semiHidden="0" w:name="toc 9"/>
    <w:lsdException w:qFormat="1" w:unhideWhenUsed="0" w:uiPriority="99" w:semiHidden="0" w:name="Normal Indent"/>
    <w:lsdException w:qFormat="1" w:unhideWhenUsed="0" w:uiPriority="99"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unhideWhenUsed="0" w:uiPriority="0" w:semiHidden="0" w:name="endnote text"/>
    <w:lsdException w:unhideWhenUsed="0" w:uiPriority="0" w:semiHidden="0" w:name="table of authorities"/>
    <w:lsdException w:qFormat="1" w:unhideWhenUsed="0" w:uiPriority="99"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qFormat="1"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iPriority="99"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99" w:semiHidden="0" w:name="Body Text 3"/>
    <w:lsdException w:unhideWhenUsed="0" w:uiPriority="0" w:semiHidden="0" w:name="Body Text Indent 2"/>
    <w:lsdException w:qFormat="1" w:unhideWhenUsed="0" w:uiPriority="99" w:semiHidden="0" w:name="Body Text Indent 3"/>
    <w:lsdException w:qFormat="1" w:uiPriority="99"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39"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7"/>
    <w:qFormat/>
    <w:uiPriority w:val="0"/>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46"/>
    <w:qFormat/>
    <w:uiPriority w:val="0"/>
    <w:pPr>
      <w:keepNext/>
      <w:keepLines/>
      <w:spacing w:before="260" w:after="260" w:line="416" w:lineRule="auto"/>
      <w:outlineLvl w:val="1"/>
    </w:pPr>
    <w:rPr>
      <w:rFonts w:ascii="等线 Light" w:hAnsi="等线 Light" w:eastAsia="等线 Light"/>
      <w:b/>
      <w:bCs/>
      <w:sz w:val="32"/>
      <w:szCs w:val="32"/>
    </w:rPr>
  </w:style>
  <w:style w:type="paragraph" w:styleId="4">
    <w:name w:val="heading 3"/>
    <w:basedOn w:val="1"/>
    <w:next w:val="1"/>
    <w:link w:val="64"/>
    <w:qFormat/>
    <w:uiPriority w:val="0"/>
    <w:pPr>
      <w:keepNext/>
      <w:keepLines/>
      <w:spacing w:before="260" w:after="260" w:line="416" w:lineRule="auto"/>
      <w:outlineLvl w:val="2"/>
    </w:pPr>
    <w:rPr>
      <w:b/>
      <w:bCs/>
      <w:sz w:val="32"/>
      <w:szCs w:val="32"/>
    </w:rPr>
  </w:style>
  <w:style w:type="paragraph" w:styleId="5">
    <w:name w:val="heading 4"/>
    <w:basedOn w:val="1"/>
    <w:next w:val="1"/>
    <w:link w:val="63"/>
    <w:qFormat/>
    <w:uiPriority w:val="0"/>
    <w:pPr>
      <w:keepNext/>
      <w:keepLines/>
      <w:spacing w:before="280" w:after="290" w:line="376" w:lineRule="auto"/>
      <w:outlineLvl w:val="3"/>
    </w:pPr>
    <w:rPr>
      <w:rFonts w:ascii="等线 Light" w:hAnsi="等线 Light" w:eastAsia="等线 Light"/>
      <w:b/>
      <w:bCs/>
      <w:sz w:val="28"/>
      <w:szCs w:val="28"/>
    </w:rPr>
  </w:style>
  <w:style w:type="paragraph" w:styleId="6">
    <w:name w:val="heading 5"/>
    <w:basedOn w:val="1"/>
    <w:next w:val="1"/>
    <w:link w:val="65"/>
    <w:qFormat/>
    <w:uiPriority w:val="0"/>
    <w:pPr>
      <w:keepNext/>
      <w:keepLines/>
      <w:spacing w:before="280" w:after="290" w:line="376" w:lineRule="auto"/>
      <w:outlineLvl w:val="4"/>
    </w:pPr>
    <w:rPr>
      <w:b/>
      <w:bCs/>
      <w:sz w:val="28"/>
      <w:szCs w:val="28"/>
    </w:rPr>
  </w:style>
  <w:style w:type="paragraph" w:styleId="7">
    <w:name w:val="heading 6"/>
    <w:basedOn w:val="1"/>
    <w:next w:val="1"/>
    <w:link w:val="66"/>
    <w:qFormat/>
    <w:uiPriority w:val="0"/>
    <w:pPr>
      <w:keepNext/>
      <w:keepLines/>
      <w:spacing w:before="240" w:after="64" w:line="320" w:lineRule="auto"/>
      <w:outlineLvl w:val="5"/>
    </w:pPr>
    <w:rPr>
      <w:rFonts w:ascii="等线 Light" w:hAnsi="等线 Light" w:eastAsia="等线 Light"/>
      <w:b/>
      <w:bCs/>
      <w:sz w:val="24"/>
    </w:rPr>
  </w:style>
  <w:style w:type="paragraph" w:styleId="8">
    <w:name w:val="heading 7"/>
    <w:basedOn w:val="1"/>
    <w:next w:val="1"/>
    <w:link w:val="144"/>
    <w:unhideWhenUsed/>
    <w:qFormat/>
    <w:uiPriority w:val="0"/>
    <w:pPr>
      <w:keepNext/>
      <w:keepLines/>
      <w:spacing w:before="240" w:after="64" w:line="320" w:lineRule="auto"/>
      <w:outlineLvl w:val="6"/>
    </w:pPr>
    <w:rPr>
      <w:rFonts w:asciiTheme="minorHAnsi" w:hAnsiTheme="minorHAnsi" w:eastAsiaTheme="minorEastAsia" w:cstheme="minorBidi"/>
      <w:b/>
      <w:bCs/>
      <w:sz w:val="24"/>
    </w:rPr>
  </w:style>
  <w:style w:type="character" w:default="1" w:styleId="34">
    <w:name w:val="Default Paragraph Font"/>
    <w:unhideWhenUsed/>
    <w:qFormat/>
    <w:uiPriority w:val="1"/>
  </w:style>
  <w:style w:type="table" w:default="1" w:styleId="42">
    <w:name w:val="Normal Table"/>
    <w:unhideWhenUsed/>
    <w:qFormat/>
    <w:uiPriority w:val="99"/>
    <w:tblPr>
      <w:tblLayout w:type="fixed"/>
      <w:tblCellMar>
        <w:top w:w="0" w:type="dxa"/>
        <w:left w:w="108" w:type="dxa"/>
        <w:bottom w:w="0" w:type="dxa"/>
        <w:right w:w="108" w:type="dxa"/>
      </w:tblCellMar>
    </w:tblPr>
  </w:style>
  <w:style w:type="paragraph" w:styleId="9">
    <w:name w:val="annotation subject"/>
    <w:basedOn w:val="10"/>
    <w:next w:val="10"/>
    <w:link w:val="74"/>
    <w:qFormat/>
    <w:uiPriority w:val="99"/>
    <w:rPr>
      <w:b/>
    </w:rPr>
  </w:style>
  <w:style w:type="paragraph" w:styleId="10">
    <w:name w:val="annotation text"/>
    <w:basedOn w:val="1"/>
    <w:link w:val="67"/>
    <w:qFormat/>
    <w:uiPriority w:val="0"/>
    <w:pPr>
      <w:jc w:val="left"/>
    </w:pPr>
    <w:rPr>
      <w:kern w:val="0"/>
      <w:sz w:val="24"/>
      <w:szCs w:val="20"/>
    </w:rPr>
  </w:style>
  <w:style w:type="paragraph" w:styleId="11">
    <w:name w:val="Body Text First Indent"/>
    <w:basedOn w:val="12"/>
    <w:link w:val="75"/>
    <w:qFormat/>
    <w:uiPriority w:val="0"/>
    <w:pPr>
      <w:widowControl w:val="0"/>
      <w:snapToGrid/>
      <w:spacing w:before="0" w:after="120" w:line="240" w:lineRule="auto"/>
      <w:ind w:right="0" w:firstLine="420" w:firstLineChars="100"/>
    </w:pPr>
    <w:rPr>
      <w:kern w:val="2"/>
      <w:sz w:val="21"/>
      <w:szCs w:val="24"/>
    </w:rPr>
  </w:style>
  <w:style w:type="paragraph" w:styleId="12">
    <w:name w:val="Body Text"/>
    <w:basedOn w:val="1"/>
    <w:next w:val="1"/>
    <w:link w:val="68"/>
    <w:qFormat/>
    <w:uiPriority w:val="0"/>
    <w:pPr>
      <w:widowControl/>
      <w:snapToGrid w:val="0"/>
      <w:spacing w:before="60" w:after="160" w:line="259" w:lineRule="auto"/>
      <w:ind w:right="113"/>
    </w:pPr>
    <w:rPr>
      <w:kern w:val="0"/>
      <w:sz w:val="18"/>
      <w:szCs w:val="20"/>
    </w:rPr>
  </w:style>
  <w:style w:type="paragraph" w:styleId="13">
    <w:name w:val="macro"/>
    <w:link w:val="176"/>
    <w:qFormat/>
    <w:uiPriority w:val="9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宋体" w:hAnsi="Times New Roman" w:eastAsia="Times New Roman" w:cs="Times New Roman"/>
      <w:spacing w:val="5"/>
      <w:kern w:val="2"/>
      <w:sz w:val="18"/>
      <w:lang w:val="en-US" w:eastAsia="zh-CN" w:bidi="ar-SA"/>
    </w:rPr>
  </w:style>
  <w:style w:type="paragraph" w:styleId="14">
    <w:name w:val="index 8"/>
    <w:basedOn w:val="1"/>
    <w:next w:val="1"/>
    <w:unhideWhenUsed/>
    <w:qFormat/>
    <w:uiPriority w:val="99"/>
    <w:pPr>
      <w:ind w:left="1400" w:leftChars="1400"/>
    </w:pPr>
    <w:rPr>
      <w:rFonts w:asciiTheme="minorHAnsi" w:hAnsiTheme="minorHAnsi" w:eastAsiaTheme="minorEastAsia" w:cstheme="minorBidi"/>
      <w:szCs w:val="22"/>
    </w:rPr>
  </w:style>
  <w:style w:type="paragraph" w:styleId="15">
    <w:name w:val="Normal Indent"/>
    <w:basedOn w:val="1"/>
    <w:next w:val="5"/>
    <w:link w:val="62"/>
    <w:qFormat/>
    <w:uiPriority w:val="99"/>
    <w:pPr>
      <w:adjustRightInd w:val="0"/>
      <w:spacing w:line="480" w:lineRule="atLeast"/>
      <w:ind w:firstLine="595"/>
      <w:textAlignment w:val="baseline"/>
    </w:pPr>
    <w:rPr>
      <w:kern w:val="0"/>
      <w:sz w:val="24"/>
      <w:szCs w:val="20"/>
    </w:rPr>
  </w:style>
  <w:style w:type="paragraph" w:styleId="16">
    <w:name w:val="caption"/>
    <w:basedOn w:val="1"/>
    <w:next w:val="1"/>
    <w:link w:val="152"/>
    <w:unhideWhenUsed/>
    <w:qFormat/>
    <w:uiPriority w:val="0"/>
    <w:pPr>
      <w:keepNext/>
      <w:snapToGrid w:val="0"/>
      <w:jc w:val="center"/>
    </w:pPr>
    <w:rPr>
      <w:rFonts w:cstheme="majorBidi"/>
      <w:b/>
      <w:sz w:val="24"/>
      <w:szCs w:val="20"/>
    </w:rPr>
  </w:style>
  <w:style w:type="paragraph" w:styleId="17">
    <w:name w:val="List Bullet 3"/>
    <w:basedOn w:val="1"/>
    <w:qFormat/>
    <w:uiPriority w:val="0"/>
    <w:pPr>
      <w:tabs>
        <w:tab w:val="left" w:pos="1200"/>
      </w:tabs>
      <w:ind w:left="1200" w:leftChars="400" w:hanging="360" w:hangingChars="200"/>
    </w:pPr>
  </w:style>
  <w:style w:type="paragraph" w:styleId="18">
    <w:name w:val="Body Text Indent"/>
    <w:basedOn w:val="1"/>
    <w:next w:val="16"/>
    <w:qFormat/>
    <w:uiPriority w:val="0"/>
    <w:pPr>
      <w:spacing w:after="120"/>
      <w:ind w:left="420" w:leftChars="200"/>
    </w:pPr>
    <w:rPr>
      <w:kern w:val="0"/>
      <w:sz w:val="24"/>
      <w:szCs w:val="20"/>
    </w:rPr>
  </w:style>
  <w:style w:type="paragraph" w:styleId="19">
    <w:name w:val="List Continue"/>
    <w:basedOn w:val="1"/>
    <w:unhideWhenUsed/>
    <w:qFormat/>
    <w:uiPriority w:val="99"/>
    <w:pPr>
      <w:spacing w:after="120"/>
      <w:ind w:left="420" w:leftChars="200"/>
      <w:contextualSpacing/>
    </w:pPr>
    <w:rPr>
      <w:rFonts w:asciiTheme="minorHAnsi" w:hAnsiTheme="minorHAnsi" w:eastAsiaTheme="minorEastAsia" w:cstheme="minorBidi"/>
      <w:szCs w:val="22"/>
    </w:rPr>
  </w:style>
  <w:style w:type="paragraph" w:styleId="20">
    <w:name w:val="Block Text"/>
    <w:basedOn w:val="1"/>
    <w:next w:val="12"/>
    <w:unhideWhenUsed/>
    <w:qFormat/>
    <w:uiPriority w:val="99"/>
    <w:pPr>
      <w:widowControl/>
      <w:spacing w:line="330" w:lineRule="exact"/>
      <w:ind w:left="-57" w:right="-57"/>
      <w:jc w:val="center"/>
    </w:pPr>
    <w:rPr>
      <w:rFonts w:ascii="宋体" w:hAnsiTheme="minorHAnsi" w:eastAsiaTheme="minorEastAsia" w:cstheme="minorBidi"/>
      <w:kern w:val="0"/>
      <w:sz w:val="24"/>
      <w:szCs w:val="20"/>
    </w:rPr>
  </w:style>
  <w:style w:type="paragraph" w:styleId="21">
    <w:name w:val="index 4"/>
    <w:basedOn w:val="1"/>
    <w:next w:val="1"/>
    <w:qFormat/>
    <w:uiPriority w:val="0"/>
    <w:pPr>
      <w:ind w:left="600" w:leftChars="600" w:firstLine="883" w:firstLineChars="200"/>
      <w:jc w:val="left"/>
    </w:pPr>
    <w:rPr>
      <w:sz w:val="24"/>
      <w:szCs w:val="20"/>
    </w:rPr>
  </w:style>
  <w:style w:type="paragraph" w:styleId="22">
    <w:name w:val="Plain Text"/>
    <w:basedOn w:val="1"/>
    <w:link w:val="175"/>
    <w:qFormat/>
    <w:uiPriority w:val="0"/>
    <w:rPr>
      <w:rFonts w:ascii="宋体" w:hAnsi="Courier New"/>
      <w:spacing w:val="5"/>
      <w:sz w:val="25"/>
      <w:szCs w:val="25"/>
    </w:rPr>
  </w:style>
  <w:style w:type="paragraph" w:styleId="23">
    <w:name w:val="List Bullet 5"/>
    <w:basedOn w:val="1"/>
    <w:qFormat/>
    <w:uiPriority w:val="0"/>
    <w:pPr>
      <w:numPr>
        <w:ilvl w:val="0"/>
        <w:numId w:val="1"/>
      </w:numPr>
    </w:pPr>
  </w:style>
  <w:style w:type="paragraph" w:styleId="24">
    <w:name w:val="Date"/>
    <w:basedOn w:val="1"/>
    <w:next w:val="1"/>
    <w:link w:val="69"/>
    <w:qFormat/>
    <w:uiPriority w:val="99"/>
    <w:pPr>
      <w:ind w:left="100" w:leftChars="2500"/>
    </w:pPr>
    <w:rPr>
      <w:kern w:val="0"/>
      <w:sz w:val="24"/>
      <w:szCs w:val="20"/>
    </w:rPr>
  </w:style>
  <w:style w:type="paragraph" w:styleId="25">
    <w:name w:val="Balloon Text"/>
    <w:basedOn w:val="1"/>
    <w:link w:val="70"/>
    <w:qFormat/>
    <w:uiPriority w:val="99"/>
    <w:rPr>
      <w:kern w:val="0"/>
      <w:sz w:val="18"/>
      <w:szCs w:val="20"/>
    </w:rPr>
  </w:style>
  <w:style w:type="paragraph" w:styleId="26">
    <w:name w:val="footer"/>
    <w:basedOn w:val="1"/>
    <w:link w:val="71"/>
    <w:qFormat/>
    <w:uiPriority w:val="99"/>
    <w:pPr>
      <w:tabs>
        <w:tab w:val="center" w:pos="4153"/>
        <w:tab w:val="right" w:pos="8306"/>
      </w:tabs>
      <w:snapToGrid w:val="0"/>
      <w:jc w:val="left"/>
    </w:pPr>
    <w:rPr>
      <w:kern w:val="0"/>
      <w:sz w:val="18"/>
      <w:szCs w:val="20"/>
    </w:rPr>
  </w:style>
  <w:style w:type="paragraph" w:styleId="27">
    <w:name w:val="Body Text First Indent 2"/>
    <w:basedOn w:val="18"/>
    <w:next w:val="1"/>
    <w:link w:val="134"/>
    <w:unhideWhenUsed/>
    <w:qFormat/>
    <w:uiPriority w:val="99"/>
    <w:pPr>
      <w:spacing w:after="120"/>
      <w:ind w:left="420" w:leftChars="200" w:firstLine="420" w:firstLineChars="200"/>
    </w:pPr>
  </w:style>
  <w:style w:type="paragraph" w:styleId="28">
    <w:name w:val="header"/>
    <w:basedOn w:val="1"/>
    <w:link w:val="72"/>
    <w:qFormat/>
    <w:uiPriority w:val="99"/>
    <w:pPr>
      <w:tabs>
        <w:tab w:val="center" w:pos="4153"/>
        <w:tab w:val="right" w:pos="8306"/>
      </w:tabs>
      <w:snapToGrid w:val="0"/>
      <w:jc w:val="center"/>
    </w:pPr>
    <w:rPr>
      <w:kern w:val="0"/>
      <w:sz w:val="18"/>
      <w:szCs w:val="20"/>
    </w:rPr>
  </w:style>
  <w:style w:type="paragraph" w:styleId="29">
    <w:name w:val="Subtitle"/>
    <w:basedOn w:val="1"/>
    <w:next w:val="1"/>
    <w:link w:val="127"/>
    <w:qFormat/>
    <w:uiPriority w:val="0"/>
    <w:pPr>
      <w:snapToGrid w:val="0"/>
      <w:contextualSpacing/>
      <w:jc w:val="center"/>
    </w:pPr>
    <w:rPr>
      <w:bCs/>
      <w:kern w:val="28"/>
      <w:szCs w:val="32"/>
      <w:lang w:val="zh-CN"/>
    </w:rPr>
  </w:style>
  <w:style w:type="paragraph" w:styleId="30">
    <w:name w:val="List"/>
    <w:basedOn w:val="1"/>
    <w:unhideWhenUsed/>
    <w:qFormat/>
    <w:uiPriority w:val="99"/>
    <w:pPr>
      <w:spacing w:line="360" w:lineRule="auto"/>
      <w:ind w:left="200" w:hanging="200" w:hangingChars="200"/>
      <w:contextualSpacing/>
    </w:pPr>
    <w:rPr>
      <w:rFonts w:ascii="Arial" w:hAnsi="Arial"/>
      <w:sz w:val="24"/>
    </w:rPr>
  </w:style>
  <w:style w:type="paragraph" w:styleId="31">
    <w:name w:val="footnote text"/>
    <w:basedOn w:val="1"/>
    <w:link w:val="186"/>
    <w:qFormat/>
    <w:uiPriority w:val="99"/>
    <w:pPr>
      <w:snapToGrid w:val="0"/>
      <w:jc w:val="left"/>
    </w:pPr>
    <w:rPr>
      <w:rFonts w:ascii="宋体"/>
      <w:spacing w:val="5"/>
      <w:sz w:val="18"/>
      <w:szCs w:val="18"/>
    </w:rPr>
  </w:style>
  <w:style w:type="paragraph" w:styleId="32">
    <w:name w:val="Normal (Web)"/>
    <w:basedOn w:val="1"/>
    <w:link w:val="73"/>
    <w:qFormat/>
    <w:uiPriority w:val="99"/>
    <w:pPr>
      <w:widowControl/>
      <w:spacing w:before="100" w:beforeAutospacing="1" w:after="100" w:afterAutospacing="1"/>
      <w:jc w:val="left"/>
    </w:pPr>
    <w:rPr>
      <w:rFonts w:ascii="宋体" w:hAnsi="宋体"/>
      <w:kern w:val="0"/>
      <w:sz w:val="24"/>
      <w:szCs w:val="20"/>
    </w:rPr>
  </w:style>
  <w:style w:type="paragraph" w:styleId="33">
    <w:name w:val="Title"/>
    <w:basedOn w:val="1"/>
    <w:link w:val="147"/>
    <w:qFormat/>
    <w:uiPriority w:val="1"/>
    <w:pPr>
      <w:ind w:left="1587" w:right="1681"/>
      <w:jc w:val="center"/>
    </w:pPr>
    <w:rPr>
      <w:rFonts w:ascii="宋体" w:hAnsi="宋体" w:cs="宋体"/>
      <w:b/>
      <w:bCs/>
      <w:sz w:val="56"/>
      <w:szCs w:val="56"/>
    </w:rPr>
  </w:style>
  <w:style w:type="character" w:styleId="35">
    <w:name w:val="Strong"/>
    <w:basedOn w:val="34"/>
    <w:qFormat/>
    <w:uiPriority w:val="22"/>
    <w:rPr>
      <w:b/>
      <w:bCs/>
    </w:rPr>
  </w:style>
  <w:style w:type="character" w:styleId="36">
    <w:name w:val="endnote reference"/>
    <w:qFormat/>
    <w:uiPriority w:val="0"/>
    <w:rPr>
      <w:vertAlign w:val="superscript"/>
    </w:rPr>
  </w:style>
  <w:style w:type="character" w:styleId="37">
    <w:name w:val="page number"/>
    <w:qFormat/>
    <w:uiPriority w:val="0"/>
    <w:rPr>
      <w:rFonts w:ascii="Times New Roman" w:hAnsi="Times New Roman" w:eastAsia="宋体" w:cs="Times New Roman"/>
    </w:rPr>
  </w:style>
  <w:style w:type="character" w:styleId="38">
    <w:name w:val="FollowedHyperlink"/>
    <w:basedOn w:val="34"/>
    <w:qFormat/>
    <w:uiPriority w:val="0"/>
    <w:rPr>
      <w:color w:val="000000"/>
      <w:u w:val="none"/>
    </w:rPr>
  </w:style>
  <w:style w:type="character" w:styleId="39">
    <w:name w:val="Emphasis"/>
    <w:basedOn w:val="34"/>
    <w:qFormat/>
    <w:uiPriority w:val="20"/>
    <w:rPr>
      <w:color w:val="CC0000"/>
    </w:rPr>
  </w:style>
  <w:style w:type="character" w:styleId="40">
    <w:name w:val="Hyperlink"/>
    <w:basedOn w:val="34"/>
    <w:qFormat/>
    <w:uiPriority w:val="99"/>
    <w:rPr>
      <w:color w:val="0000FF"/>
      <w:u w:val="single"/>
    </w:rPr>
  </w:style>
  <w:style w:type="character" w:styleId="41">
    <w:name w:val="annotation reference"/>
    <w:qFormat/>
    <w:uiPriority w:val="0"/>
    <w:rPr>
      <w:rFonts w:ascii="Times New Roman" w:hAnsi="Times New Roman" w:eastAsia="宋体" w:cs="Times New Roman"/>
      <w:sz w:val="21"/>
    </w:rPr>
  </w:style>
  <w:style w:type="table" w:styleId="43">
    <w:name w:val="Table Grid"/>
    <w:basedOn w:val="4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styleId="44">
    <w:name w:val="Table Theme"/>
    <w:basedOn w:val="4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45">
    <w:name w:val="List Paragraph"/>
    <w:basedOn w:val="1"/>
    <w:link w:val="174"/>
    <w:qFormat/>
    <w:uiPriority w:val="0"/>
    <w:pPr>
      <w:ind w:firstLine="420" w:firstLineChars="200"/>
    </w:pPr>
  </w:style>
  <w:style w:type="character" w:customStyle="1" w:styleId="46">
    <w:name w:val="标题 2 字符"/>
    <w:link w:val="3"/>
    <w:qFormat/>
    <w:uiPriority w:val="0"/>
    <w:rPr>
      <w:rFonts w:ascii="等线 Light" w:hAnsi="等线 Light" w:eastAsia="等线 Light" w:cs="Times New Roman"/>
      <w:b/>
      <w:bCs/>
      <w:kern w:val="2"/>
      <w:sz w:val="32"/>
      <w:szCs w:val="32"/>
    </w:rPr>
  </w:style>
  <w:style w:type="character" w:customStyle="1" w:styleId="47">
    <w:name w:val="标题 1 字符"/>
    <w:link w:val="2"/>
    <w:qFormat/>
    <w:uiPriority w:val="0"/>
    <w:rPr>
      <w:rFonts w:eastAsia="黑体"/>
      <w:b/>
      <w:bCs/>
      <w:color w:val="000000"/>
      <w:kern w:val="44"/>
      <w:sz w:val="30"/>
      <w:szCs w:val="30"/>
    </w:rPr>
  </w:style>
  <w:style w:type="paragraph" w:customStyle="1" w:styleId="48">
    <w:name w:val="标题5-MB"/>
    <w:basedOn w:val="49"/>
    <w:next w:val="51"/>
    <w:link w:val="112"/>
    <w:qFormat/>
    <w:uiPriority w:val="0"/>
    <w:pPr>
      <w:tabs>
        <w:tab w:val="left" w:pos="0"/>
      </w:tabs>
    </w:pPr>
    <w:rPr>
      <w:bCs w:val="0"/>
      <w:kern w:val="0"/>
      <w:sz w:val="21"/>
      <w:lang w:val="zh-CN"/>
    </w:rPr>
  </w:style>
  <w:style w:type="paragraph" w:customStyle="1" w:styleId="49">
    <w:name w:val="标题5-C"/>
    <w:basedOn w:val="6"/>
    <w:next w:val="50"/>
    <w:qFormat/>
    <w:uiPriority w:val="0"/>
    <w:pPr>
      <w:numPr>
        <w:ilvl w:val="4"/>
        <w:numId w:val="2"/>
      </w:numPr>
    </w:pPr>
    <w:rPr>
      <w:sz w:val="21"/>
    </w:rPr>
  </w:style>
  <w:style w:type="paragraph" w:customStyle="1" w:styleId="50">
    <w:name w:val="表格内-C"/>
    <w:basedOn w:val="1"/>
    <w:link w:val="215"/>
    <w:qFormat/>
    <w:uiPriority w:val="0"/>
    <w:pPr>
      <w:widowControl/>
      <w:adjustRightInd w:val="0"/>
      <w:snapToGrid w:val="0"/>
      <w:contextualSpacing/>
      <w:jc w:val="center"/>
    </w:pPr>
    <w:rPr>
      <w:kern w:val="0"/>
      <w:sz w:val="20"/>
      <w:szCs w:val="20"/>
    </w:rPr>
  </w:style>
  <w:style w:type="paragraph" w:customStyle="1" w:styleId="51">
    <w:name w:val="表格内-MB"/>
    <w:basedOn w:val="1"/>
    <w:link w:val="79"/>
    <w:qFormat/>
    <w:uiPriority w:val="0"/>
    <w:pPr>
      <w:widowControl/>
      <w:adjustRightInd w:val="0"/>
      <w:snapToGrid w:val="0"/>
      <w:contextualSpacing/>
      <w:jc w:val="center"/>
    </w:pPr>
    <w:rPr>
      <w:szCs w:val="22"/>
    </w:rPr>
  </w:style>
  <w:style w:type="paragraph" w:customStyle="1" w:styleId="52">
    <w:name w:val="样式 正文文本 + 首行缩进:  2 字符"/>
    <w:basedOn w:val="12"/>
    <w:qFormat/>
    <w:uiPriority w:val="0"/>
    <w:pPr>
      <w:spacing w:after="200" w:afterLines="0" w:line="480" w:lineRule="exact"/>
      <w:ind w:firstLine="480" w:firstLineChars="200"/>
    </w:pPr>
    <w:rPr>
      <w:rFonts w:ascii="宋体" w:hAnsi="宋体" w:eastAsia="宋体" w:cs="Times New Roman"/>
      <w:sz w:val="24"/>
      <w:lang w:val="en-US" w:eastAsia="zh-CN" w:bidi="ar-SA"/>
    </w:rPr>
  </w:style>
  <w:style w:type="paragraph" w:customStyle="1" w:styleId="53">
    <w:name w:val="标题1-MB"/>
    <w:basedOn w:val="2"/>
    <w:next w:val="11"/>
    <w:qFormat/>
    <w:uiPriority w:val="0"/>
    <w:pPr>
      <w:keepLines/>
      <w:overflowPunct/>
      <w:snapToGrid/>
      <w:spacing w:before="0" w:after="0" w:line="360" w:lineRule="auto"/>
      <w:ind w:left="0" w:firstLine="0"/>
    </w:pPr>
    <w:rPr>
      <w:rFonts w:eastAsia="宋体"/>
      <w:color w:val="auto"/>
      <w:sz w:val="32"/>
      <w:szCs w:val="44"/>
      <w:lang w:val="zh-CN"/>
    </w:rPr>
  </w:style>
  <w:style w:type="paragraph" w:customStyle="1" w:styleId="54">
    <w:name w:val="标题2-MB"/>
    <w:basedOn w:val="3"/>
    <w:next w:val="11"/>
    <w:link w:val="58"/>
    <w:qFormat/>
    <w:uiPriority w:val="0"/>
    <w:pPr>
      <w:spacing w:before="0" w:after="0" w:line="360" w:lineRule="auto"/>
    </w:pPr>
    <w:rPr>
      <w:rFonts w:ascii="Times New Roman" w:hAnsi="Times New Roman" w:eastAsia="宋体"/>
      <w:kern w:val="0"/>
      <w:sz w:val="30"/>
      <w:lang w:val="zh-CN"/>
    </w:rPr>
  </w:style>
  <w:style w:type="paragraph" w:customStyle="1" w:styleId="55">
    <w:name w:val="标题3-MB"/>
    <w:basedOn w:val="4"/>
    <w:next w:val="11"/>
    <w:qFormat/>
    <w:uiPriority w:val="0"/>
    <w:pPr>
      <w:spacing w:before="0" w:after="0" w:line="360" w:lineRule="auto"/>
    </w:pPr>
    <w:rPr>
      <w:kern w:val="0"/>
      <w:sz w:val="28"/>
      <w:lang w:val="zh-CN"/>
    </w:rPr>
  </w:style>
  <w:style w:type="paragraph" w:customStyle="1" w:styleId="56">
    <w:name w:val="标题4-MB"/>
    <w:basedOn w:val="5"/>
    <w:next w:val="11"/>
    <w:qFormat/>
    <w:uiPriority w:val="0"/>
    <w:pPr>
      <w:spacing w:before="0" w:after="0" w:line="360" w:lineRule="auto"/>
    </w:pPr>
    <w:rPr>
      <w:rFonts w:ascii="Times New Roman" w:hAnsi="Times New Roman" w:eastAsia="宋体"/>
      <w:sz w:val="24"/>
      <w:lang w:val="zh-CN"/>
    </w:rPr>
  </w:style>
  <w:style w:type="paragraph" w:customStyle="1" w:styleId="57">
    <w:name w:val="标题6-MB"/>
    <w:basedOn w:val="7"/>
    <w:next w:val="11"/>
    <w:qFormat/>
    <w:uiPriority w:val="0"/>
    <w:pPr>
      <w:spacing w:before="0" w:after="0" w:line="240" w:lineRule="auto"/>
      <w:jc w:val="center"/>
    </w:pPr>
    <w:rPr>
      <w:rFonts w:ascii="Times New Roman" w:hAnsi="Times New Roman" w:eastAsia="黑体"/>
      <w:sz w:val="21"/>
      <w:lang w:val="zh-CN"/>
    </w:rPr>
  </w:style>
  <w:style w:type="character" w:customStyle="1" w:styleId="58">
    <w:name w:val="标题2-MB 字符"/>
    <w:link w:val="54"/>
    <w:qFormat/>
    <w:uiPriority w:val="0"/>
    <w:rPr>
      <w:b/>
      <w:bCs/>
      <w:sz w:val="30"/>
      <w:szCs w:val="32"/>
      <w:lang w:val="zh-CN"/>
    </w:rPr>
  </w:style>
  <w:style w:type="paragraph" w:customStyle="1" w:styleId="59">
    <w:name w:val="正文格式"/>
    <w:basedOn w:val="1"/>
    <w:link w:val="85"/>
    <w:qFormat/>
    <w:uiPriority w:val="0"/>
    <w:pPr>
      <w:spacing w:line="360" w:lineRule="auto"/>
      <w:ind w:firstLine="544" w:firstLineChars="200"/>
    </w:pPr>
    <w:rPr>
      <w:rFonts w:cs="宋体"/>
      <w:sz w:val="24"/>
    </w:rPr>
  </w:style>
  <w:style w:type="paragraph" w:customStyle="1" w:styleId="60">
    <w:name w:val="aaa正文"/>
    <w:basedOn w:val="1"/>
    <w:qFormat/>
    <w:uiPriority w:val="0"/>
    <w:pPr>
      <w:spacing w:line="480" w:lineRule="exact"/>
      <w:ind w:firstLine="200" w:firstLineChars="200"/>
    </w:pPr>
    <w:rPr>
      <w:kern w:val="0"/>
      <w:sz w:val="24"/>
    </w:rPr>
  </w:style>
  <w:style w:type="paragraph" w:customStyle="1" w:styleId="61">
    <w:name w:val="默认段落"/>
    <w:basedOn w:val="1"/>
    <w:qFormat/>
    <w:uiPriority w:val="99"/>
  </w:style>
  <w:style w:type="character" w:customStyle="1" w:styleId="62">
    <w:name w:val="正文缩进 字符"/>
    <w:link w:val="15"/>
    <w:qFormat/>
    <w:uiPriority w:val="0"/>
    <w:rPr>
      <w:rFonts w:ascii="Times New Roman" w:hAnsi="Times New Roman" w:eastAsia="宋体" w:cs="Times New Roman"/>
      <w:sz w:val="24"/>
    </w:rPr>
  </w:style>
  <w:style w:type="character" w:customStyle="1" w:styleId="63">
    <w:name w:val="标题 4 字符"/>
    <w:link w:val="5"/>
    <w:qFormat/>
    <w:uiPriority w:val="0"/>
    <w:rPr>
      <w:rFonts w:ascii="等线 Light" w:hAnsi="等线 Light" w:eastAsia="等线 Light" w:cs="Times New Roman"/>
      <w:b/>
      <w:bCs/>
      <w:kern w:val="2"/>
      <w:sz w:val="28"/>
      <w:szCs w:val="28"/>
    </w:rPr>
  </w:style>
  <w:style w:type="character" w:customStyle="1" w:styleId="64">
    <w:name w:val="标题 3 字符"/>
    <w:link w:val="4"/>
    <w:qFormat/>
    <w:uiPriority w:val="0"/>
    <w:rPr>
      <w:rFonts w:ascii="Times New Roman" w:hAnsi="Times New Roman" w:eastAsia="宋体" w:cs="Times New Roman"/>
      <w:b/>
      <w:bCs/>
      <w:kern w:val="2"/>
      <w:sz w:val="32"/>
      <w:szCs w:val="32"/>
    </w:rPr>
  </w:style>
  <w:style w:type="character" w:customStyle="1" w:styleId="65">
    <w:name w:val="标题 5 字符"/>
    <w:link w:val="6"/>
    <w:qFormat/>
    <w:uiPriority w:val="0"/>
    <w:rPr>
      <w:rFonts w:ascii="Times New Roman" w:hAnsi="Times New Roman" w:eastAsia="宋体" w:cs="Times New Roman"/>
      <w:b/>
      <w:bCs/>
      <w:kern w:val="2"/>
      <w:sz w:val="28"/>
      <w:szCs w:val="28"/>
    </w:rPr>
  </w:style>
  <w:style w:type="character" w:customStyle="1" w:styleId="66">
    <w:name w:val="标题 6 字符"/>
    <w:link w:val="7"/>
    <w:qFormat/>
    <w:uiPriority w:val="0"/>
    <w:rPr>
      <w:rFonts w:ascii="等线 Light" w:hAnsi="等线 Light" w:eastAsia="等线 Light" w:cs="Times New Roman"/>
      <w:b/>
      <w:bCs/>
      <w:kern w:val="2"/>
      <w:sz w:val="24"/>
      <w:szCs w:val="24"/>
    </w:rPr>
  </w:style>
  <w:style w:type="character" w:customStyle="1" w:styleId="67">
    <w:name w:val="批注文字 字符"/>
    <w:link w:val="10"/>
    <w:qFormat/>
    <w:uiPriority w:val="0"/>
    <w:rPr>
      <w:rFonts w:ascii="Times New Roman" w:hAnsi="Times New Roman" w:eastAsia="宋体" w:cs="Times New Roman"/>
      <w:sz w:val="24"/>
    </w:rPr>
  </w:style>
  <w:style w:type="character" w:customStyle="1" w:styleId="68">
    <w:name w:val="正文文本 字符"/>
    <w:link w:val="12"/>
    <w:qFormat/>
    <w:uiPriority w:val="0"/>
    <w:rPr>
      <w:rFonts w:ascii="Times New Roman" w:hAnsi="Times New Roman" w:eastAsia="宋体" w:cs="Times New Roman"/>
      <w:sz w:val="18"/>
    </w:rPr>
  </w:style>
  <w:style w:type="character" w:customStyle="1" w:styleId="69">
    <w:name w:val="日期 字符1"/>
    <w:link w:val="24"/>
    <w:qFormat/>
    <w:uiPriority w:val="0"/>
    <w:rPr>
      <w:rFonts w:ascii="Times New Roman" w:hAnsi="Times New Roman" w:eastAsia="宋体" w:cs="Times New Roman"/>
      <w:sz w:val="24"/>
    </w:rPr>
  </w:style>
  <w:style w:type="character" w:customStyle="1" w:styleId="70">
    <w:name w:val="批注框文本 字符"/>
    <w:link w:val="25"/>
    <w:qFormat/>
    <w:uiPriority w:val="99"/>
    <w:rPr>
      <w:rFonts w:ascii="Times New Roman" w:hAnsi="Times New Roman" w:eastAsia="宋体" w:cs="Times New Roman"/>
      <w:sz w:val="18"/>
    </w:rPr>
  </w:style>
  <w:style w:type="character" w:customStyle="1" w:styleId="71">
    <w:name w:val="页脚 字符1"/>
    <w:link w:val="26"/>
    <w:qFormat/>
    <w:uiPriority w:val="0"/>
    <w:rPr>
      <w:rFonts w:ascii="Times New Roman" w:hAnsi="Times New Roman" w:eastAsia="宋体" w:cs="Times New Roman"/>
      <w:sz w:val="18"/>
    </w:rPr>
  </w:style>
  <w:style w:type="character" w:customStyle="1" w:styleId="72">
    <w:name w:val="页眉 字符"/>
    <w:link w:val="28"/>
    <w:qFormat/>
    <w:uiPriority w:val="99"/>
    <w:rPr>
      <w:sz w:val="18"/>
    </w:rPr>
  </w:style>
  <w:style w:type="character" w:customStyle="1" w:styleId="73">
    <w:name w:val="普通(网站) 字符"/>
    <w:link w:val="32"/>
    <w:qFormat/>
    <w:uiPriority w:val="0"/>
    <w:rPr>
      <w:rFonts w:ascii="宋体" w:hAnsi="宋体" w:eastAsia="宋体" w:cs="Times New Roman"/>
      <w:sz w:val="24"/>
    </w:rPr>
  </w:style>
  <w:style w:type="character" w:customStyle="1" w:styleId="74">
    <w:name w:val="批注主题 字符"/>
    <w:link w:val="9"/>
    <w:qFormat/>
    <w:uiPriority w:val="99"/>
    <w:rPr>
      <w:rFonts w:ascii="Times New Roman" w:hAnsi="Times New Roman" w:eastAsia="宋体" w:cs="Times New Roman"/>
      <w:b/>
      <w:kern w:val="2"/>
      <w:sz w:val="24"/>
    </w:rPr>
  </w:style>
  <w:style w:type="character" w:customStyle="1" w:styleId="75">
    <w:name w:val="正文文本首行缩进 字符"/>
    <w:link w:val="11"/>
    <w:qFormat/>
    <w:uiPriority w:val="99"/>
    <w:rPr>
      <w:rFonts w:ascii="Times New Roman" w:hAnsi="Times New Roman" w:eastAsia="宋体" w:cs="Times New Roman"/>
      <w:kern w:val="2"/>
      <w:sz w:val="21"/>
      <w:szCs w:val="24"/>
    </w:rPr>
  </w:style>
  <w:style w:type="paragraph" w:customStyle="1" w:styleId="76">
    <w:name w:val="wfs正文"/>
    <w:basedOn w:val="1"/>
    <w:qFormat/>
    <w:uiPriority w:val="0"/>
    <w:pPr>
      <w:ind w:firstLine="676" w:firstLineChars="200"/>
    </w:pPr>
    <w:rPr>
      <w:rFonts w:eastAsia="仿宋_GB2312"/>
      <w:sz w:val="30"/>
      <w:szCs w:val="20"/>
    </w:rPr>
  </w:style>
  <w:style w:type="character" w:customStyle="1" w:styleId="77">
    <w:name w:val="表字-GC 字符"/>
    <w:link w:val="78"/>
    <w:qFormat/>
    <w:uiPriority w:val="0"/>
    <w:rPr>
      <w:rFonts w:ascii="Times New Roman" w:hAnsi="Times New Roman" w:eastAsia="宋体" w:cs="宋体"/>
      <w:color w:val="000000"/>
      <w:kern w:val="2"/>
      <w:sz w:val="21"/>
      <w:lang w:bidi="en-US"/>
    </w:rPr>
  </w:style>
  <w:style w:type="paragraph" w:customStyle="1" w:styleId="78">
    <w:name w:val="表字-GC"/>
    <w:basedOn w:val="1"/>
    <w:next w:val="1"/>
    <w:link w:val="77"/>
    <w:qFormat/>
    <w:uiPriority w:val="0"/>
    <w:pPr>
      <w:widowControl/>
      <w:contextualSpacing/>
      <w:jc w:val="center"/>
    </w:pPr>
    <w:rPr>
      <w:rFonts w:cs="宋体"/>
      <w:color w:val="000000"/>
      <w:szCs w:val="20"/>
      <w:lang w:bidi="en-US"/>
    </w:rPr>
  </w:style>
  <w:style w:type="character" w:customStyle="1" w:styleId="79">
    <w:name w:val="表格内-MB 字符"/>
    <w:link w:val="51"/>
    <w:qFormat/>
    <w:uiPriority w:val="0"/>
    <w:rPr>
      <w:rFonts w:ascii="Times New Roman" w:hAnsi="Times New Roman" w:eastAsia="宋体" w:cs="Times New Roman"/>
      <w:kern w:val="2"/>
      <w:sz w:val="21"/>
      <w:szCs w:val="22"/>
    </w:rPr>
  </w:style>
  <w:style w:type="character" w:customStyle="1" w:styleId="80">
    <w:name w:val="Aaaa表格内-C 字符"/>
    <w:link w:val="81"/>
    <w:qFormat/>
    <w:uiPriority w:val="0"/>
    <w:rPr>
      <w:rFonts w:ascii="Times New Roman" w:hAnsi="Times New Roman" w:eastAsia="宋体" w:cs="Times New Roman"/>
      <w:kern w:val="2"/>
      <w:sz w:val="21"/>
      <w:lang w:val="zh-CN"/>
    </w:rPr>
  </w:style>
  <w:style w:type="paragraph" w:customStyle="1" w:styleId="81">
    <w:name w:val="Aaaa表格内-C"/>
    <w:basedOn w:val="1"/>
    <w:link w:val="80"/>
    <w:qFormat/>
    <w:uiPriority w:val="0"/>
    <w:pPr>
      <w:widowControl/>
      <w:adjustRightInd w:val="0"/>
      <w:snapToGrid w:val="0"/>
      <w:jc w:val="center"/>
    </w:pPr>
    <w:rPr>
      <w:szCs w:val="20"/>
      <w:lang w:val="zh-CN"/>
    </w:rPr>
  </w:style>
  <w:style w:type="character" w:customStyle="1" w:styleId="82">
    <w:name w:val="Aaaa正文 字符"/>
    <w:link w:val="83"/>
    <w:qFormat/>
    <w:uiPriority w:val="0"/>
    <w:rPr>
      <w:rFonts w:ascii="Times New Roman" w:hAnsi="Times New Roman" w:eastAsia="宋体" w:cs="Times New Roman"/>
      <w:sz w:val="24"/>
      <w:szCs w:val="24"/>
      <w:lang w:val="zh-CN" w:bidi="en-US"/>
    </w:rPr>
  </w:style>
  <w:style w:type="paragraph" w:customStyle="1" w:styleId="83">
    <w:name w:val="Aaaa正文"/>
    <w:basedOn w:val="1"/>
    <w:link w:val="82"/>
    <w:qFormat/>
    <w:uiPriority w:val="0"/>
    <w:pPr>
      <w:widowControl/>
      <w:overflowPunct w:val="0"/>
      <w:autoSpaceDE w:val="0"/>
      <w:autoSpaceDN w:val="0"/>
      <w:spacing w:line="360" w:lineRule="auto"/>
      <w:ind w:firstLine="480" w:firstLineChars="200"/>
      <w:textAlignment w:val="baseline"/>
    </w:pPr>
    <w:rPr>
      <w:kern w:val="0"/>
      <w:sz w:val="24"/>
      <w:lang w:val="zh-CN" w:bidi="en-US"/>
    </w:rPr>
  </w:style>
  <w:style w:type="paragraph" w:customStyle="1" w:styleId="84">
    <w:name w:val="表格内的字体"/>
    <w:basedOn w:val="1"/>
    <w:link w:val="189"/>
    <w:qFormat/>
    <w:uiPriority w:val="0"/>
    <w:pPr>
      <w:widowControl/>
      <w:jc w:val="center"/>
    </w:pPr>
    <w:rPr>
      <w:rFonts w:ascii="Calibri" w:hAnsi="Calibri"/>
      <w:szCs w:val="20"/>
    </w:rPr>
  </w:style>
  <w:style w:type="character" w:customStyle="1" w:styleId="85">
    <w:name w:val="正文格式 Char"/>
    <w:link w:val="59"/>
    <w:qFormat/>
    <w:uiPriority w:val="99"/>
    <w:rPr>
      <w:rFonts w:ascii="Times New Roman" w:hAnsi="Times New Roman" w:eastAsia="宋体" w:cs="宋体"/>
      <w:kern w:val="2"/>
      <w:sz w:val="24"/>
      <w:szCs w:val="24"/>
    </w:rPr>
  </w:style>
  <w:style w:type="character" w:customStyle="1" w:styleId="86">
    <w:name w:val="表格 Char"/>
    <w:link w:val="87"/>
    <w:qFormat/>
    <w:uiPriority w:val="99"/>
    <w:rPr>
      <w:rFonts w:ascii="宋体" w:hAnsi="Times New Roman" w:eastAsia="宋体" w:cs="Times New Roman"/>
      <w:sz w:val="21"/>
    </w:rPr>
  </w:style>
  <w:style w:type="paragraph" w:customStyle="1" w:styleId="87">
    <w:name w:val="表格"/>
    <w:basedOn w:val="88"/>
    <w:next w:val="1"/>
    <w:link w:val="86"/>
    <w:qFormat/>
    <w:uiPriority w:val="99"/>
    <w:pPr>
      <w:adjustRightInd w:val="0"/>
      <w:snapToGrid w:val="0"/>
      <w:spacing w:beforeLines="10" w:afterLines="10" w:line="259" w:lineRule="auto"/>
      <w:jc w:val="center"/>
    </w:pPr>
    <w:rPr>
      <w:rFonts w:ascii="宋体"/>
      <w:kern w:val="0"/>
      <w:szCs w:val="20"/>
    </w:rPr>
  </w:style>
  <w:style w:type="paragraph" w:customStyle="1" w:styleId="88">
    <w:name w:val="Table Paragraph"/>
    <w:basedOn w:val="1"/>
    <w:qFormat/>
    <w:uiPriority w:val="1"/>
    <w:pPr>
      <w:autoSpaceDE w:val="0"/>
      <w:autoSpaceDN w:val="0"/>
      <w:adjustRightInd w:val="0"/>
      <w:jc w:val="left"/>
    </w:pPr>
    <w:rPr>
      <w:rFonts w:eastAsiaTheme="minorEastAsia"/>
      <w:kern w:val="0"/>
      <w:sz w:val="24"/>
    </w:rPr>
  </w:style>
  <w:style w:type="character" w:customStyle="1" w:styleId="89">
    <w:name w:val="Aaaa标题5-C 字符"/>
    <w:link w:val="90"/>
    <w:qFormat/>
    <w:uiPriority w:val="0"/>
    <w:rPr>
      <w:b/>
      <w:bCs/>
      <w:sz w:val="21"/>
      <w:szCs w:val="28"/>
      <w:lang w:val="zh-CN"/>
    </w:rPr>
  </w:style>
  <w:style w:type="paragraph" w:customStyle="1" w:styleId="90">
    <w:name w:val="Aaaa标题5-C"/>
    <w:basedOn w:val="6"/>
    <w:next w:val="81"/>
    <w:link w:val="89"/>
    <w:qFormat/>
    <w:uiPriority w:val="0"/>
    <w:pPr>
      <w:numPr>
        <w:ilvl w:val="4"/>
        <w:numId w:val="3"/>
      </w:numPr>
      <w:tabs>
        <w:tab w:val="left" w:pos="2100"/>
      </w:tabs>
      <w:adjustRightInd w:val="0"/>
      <w:snapToGrid w:val="0"/>
      <w:spacing w:before="0" w:after="0" w:line="240" w:lineRule="auto"/>
      <w:ind w:left="0"/>
      <w:jc w:val="center"/>
    </w:pPr>
    <w:rPr>
      <w:kern w:val="0"/>
      <w:sz w:val="21"/>
      <w:lang w:val="zh-CN"/>
    </w:rPr>
  </w:style>
  <w:style w:type="paragraph" w:customStyle="1" w:styleId="91">
    <w:name w:val="表格标题"/>
    <w:basedOn w:val="1"/>
    <w:link w:val="122"/>
    <w:qFormat/>
    <w:uiPriority w:val="0"/>
    <w:pPr>
      <w:numPr>
        <w:ilvl w:val="0"/>
        <w:numId w:val="4"/>
      </w:numPr>
      <w:spacing w:line="360" w:lineRule="auto"/>
      <w:jc w:val="center"/>
    </w:pPr>
    <w:rPr>
      <w:rFonts w:hAnsi="宋体"/>
      <w:bCs/>
      <w:sz w:val="24"/>
    </w:rPr>
  </w:style>
  <w:style w:type="paragraph" w:customStyle="1" w:styleId="92">
    <w:name w:val="表题"/>
    <w:basedOn w:val="1"/>
    <w:next w:val="91"/>
    <w:qFormat/>
    <w:uiPriority w:val="0"/>
    <w:pPr>
      <w:numPr>
        <w:ilvl w:val="0"/>
        <w:numId w:val="5"/>
      </w:numPr>
      <w:spacing w:line="360" w:lineRule="auto"/>
      <w:jc w:val="center"/>
    </w:pPr>
    <w:rPr>
      <w:b/>
      <w:color w:val="000000"/>
      <w:szCs w:val="21"/>
    </w:rPr>
  </w:style>
  <w:style w:type="character" w:customStyle="1" w:styleId="93">
    <w:name w:val="页脚 字符"/>
    <w:qFormat/>
    <w:uiPriority w:val="99"/>
    <w:rPr>
      <w:rFonts w:ascii="Times New Roman" w:hAnsi="Times New Roman" w:eastAsia="宋体" w:cs="Times New Roman"/>
    </w:rPr>
  </w:style>
  <w:style w:type="character" w:customStyle="1" w:styleId="94">
    <w:name w:val="日期 字符"/>
    <w:qFormat/>
    <w:uiPriority w:val="99"/>
    <w:rPr>
      <w:rFonts w:ascii="Times New Roman" w:hAnsi="Times New Roman" w:eastAsia="宋体" w:cs="Times New Roman"/>
      <w:sz w:val="24"/>
    </w:rPr>
  </w:style>
  <w:style w:type="character" w:customStyle="1" w:styleId="95">
    <w:name w:val="批注文字 字符1"/>
    <w:qFormat/>
    <w:uiPriority w:val="0"/>
    <w:rPr>
      <w:rFonts w:ascii="Times New Roman" w:hAnsi="Times New Roman" w:eastAsia="宋体" w:cs="Times New Roman"/>
      <w:sz w:val="24"/>
    </w:rPr>
  </w:style>
  <w:style w:type="paragraph" w:customStyle="1" w:styleId="96">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97">
    <w:name w:val="批注文字 Char"/>
    <w:qFormat/>
    <w:uiPriority w:val="0"/>
    <w:rPr>
      <w:rFonts w:ascii="Times New Roman" w:hAnsi="Times New Roman" w:eastAsia="宋体" w:cs="宋体"/>
      <w:sz w:val="28"/>
    </w:rPr>
  </w:style>
  <w:style w:type="paragraph" w:customStyle="1" w:styleId="98">
    <w:name w:val="Aaaa标题2-C"/>
    <w:basedOn w:val="3"/>
    <w:next w:val="11"/>
    <w:link w:val="99"/>
    <w:qFormat/>
    <w:uiPriority w:val="0"/>
    <w:pPr>
      <w:numPr>
        <w:ilvl w:val="1"/>
        <w:numId w:val="3"/>
      </w:numPr>
      <w:tabs>
        <w:tab w:val="left" w:pos="840"/>
      </w:tabs>
      <w:spacing w:before="50" w:beforeLines="50" w:after="0" w:line="360" w:lineRule="auto"/>
    </w:pPr>
    <w:rPr>
      <w:rFonts w:ascii="Times New Roman" w:hAnsi="Times New Roman" w:eastAsia="宋体"/>
      <w:kern w:val="0"/>
      <w:sz w:val="30"/>
    </w:rPr>
  </w:style>
  <w:style w:type="character" w:customStyle="1" w:styleId="99">
    <w:name w:val="Aaaa标题2-C 字符"/>
    <w:link w:val="98"/>
    <w:qFormat/>
    <w:uiPriority w:val="0"/>
    <w:rPr>
      <w:b/>
      <w:bCs/>
      <w:sz w:val="30"/>
      <w:szCs w:val="32"/>
    </w:rPr>
  </w:style>
  <w:style w:type="paragraph" w:customStyle="1" w:styleId="100">
    <w:name w:val="Aaaa标题3-C"/>
    <w:basedOn w:val="4"/>
    <w:next w:val="11"/>
    <w:link w:val="101"/>
    <w:qFormat/>
    <w:uiPriority w:val="0"/>
    <w:pPr>
      <w:numPr>
        <w:ilvl w:val="2"/>
        <w:numId w:val="3"/>
      </w:numPr>
      <w:tabs>
        <w:tab w:val="left" w:pos="1260"/>
      </w:tabs>
      <w:spacing w:before="120" w:after="0" w:line="360" w:lineRule="auto"/>
      <w:ind w:left="0"/>
    </w:pPr>
    <w:rPr>
      <w:kern w:val="0"/>
      <w:sz w:val="28"/>
      <w:szCs w:val="28"/>
    </w:rPr>
  </w:style>
  <w:style w:type="character" w:customStyle="1" w:styleId="101">
    <w:name w:val="Aaaa标题3-C 字符"/>
    <w:link w:val="100"/>
    <w:qFormat/>
    <w:uiPriority w:val="0"/>
    <w:rPr>
      <w:b/>
      <w:bCs/>
      <w:sz w:val="28"/>
      <w:szCs w:val="28"/>
    </w:rPr>
  </w:style>
  <w:style w:type="paragraph" w:customStyle="1" w:styleId="102">
    <w:name w:val="Aaaa标题4-C"/>
    <w:basedOn w:val="5"/>
    <w:next w:val="11"/>
    <w:qFormat/>
    <w:uiPriority w:val="0"/>
    <w:pPr>
      <w:spacing w:before="120" w:after="0" w:line="360" w:lineRule="auto"/>
      <w:ind w:left="284"/>
    </w:pPr>
    <w:rPr>
      <w:rFonts w:ascii="Calibri" w:hAnsi="Calibri" w:eastAsia="宋体"/>
      <w:sz w:val="24"/>
      <w:lang w:val="zh-CN"/>
    </w:rPr>
  </w:style>
  <w:style w:type="paragraph" w:customStyle="1" w:styleId="103">
    <w:name w:val="Aaaa标题1-C"/>
    <w:basedOn w:val="2"/>
    <w:next w:val="11"/>
    <w:qFormat/>
    <w:uiPriority w:val="0"/>
    <w:pPr>
      <w:keepLines/>
      <w:tabs>
        <w:tab w:val="left" w:pos="420"/>
      </w:tabs>
      <w:overflowPunct/>
      <w:snapToGrid/>
      <w:spacing w:before="0" w:after="0" w:line="360" w:lineRule="auto"/>
      <w:ind w:left="0" w:firstLine="0"/>
    </w:pPr>
    <w:rPr>
      <w:rFonts w:ascii="Calibri" w:hAnsi="Calibri" w:eastAsia="宋体"/>
      <w:color w:val="auto"/>
      <w:sz w:val="32"/>
      <w:szCs w:val="44"/>
      <w:lang w:val="zh-CN"/>
    </w:rPr>
  </w:style>
  <w:style w:type="character" w:customStyle="1" w:styleId="104">
    <w:name w:val="Aaaa标题6-C 字符"/>
    <w:link w:val="105"/>
    <w:qFormat/>
    <w:uiPriority w:val="0"/>
    <w:rPr>
      <w:rFonts w:ascii="Times New Roman" w:hAnsi="Times New Roman" w:eastAsia="宋体" w:cs="Times New Roman"/>
      <w:b/>
      <w:bCs/>
      <w:kern w:val="2"/>
      <w:sz w:val="21"/>
      <w:szCs w:val="24"/>
      <w:lang w:val="zh-CN"/>
    </w:rPr>
  </w:style>
  <w:style w:type="paragraph" w:customStyle="1" w:styleId="105">
    <w:name w:val="Aaaa标题6-C"/>
    <w:basedOn w:val="7"/>
    <w:next w:val="11"/>
    <w:link w:val="104"/>
    <w:qFormat/>
    <w:uiPriority w:val="0"/>
    <w:pPr>
      <w:keepNext w:val="0"/>
      <w:tabs>
        <w:tab w:val="left" w:pos="2520"/>
      </w:tabs>
      <w:kinsoku w:val="0"/>
      <w:overflowPunct w:val="0"/>
      <w:autoSpaceDE w:val="0"/>
      <w:adjustRightInd w:val="0"/>
      <w:snapToGrid w:val="0"/>
      <w:spacing w:before="0" w:after="0" w:line="240" w:lineRule="auto"/>
      <w:jc w:val="center"/>
    </w:pPr>
    <w:rPr>
      <w:rFonts w:ascii="Times New Roman" w:hAnsi="Times New Roman" w:eastAsia="宋体"/>
      <w:sz w:val="21"/>
      <w:lang w:val="zh-CN"/>
    </w:rPr>
  </w:style>
  <w:style w:type="character" w:customStyle="1" w:styleId="106">
    <w:name w:val="NormalCharacter"/>
    <w:qFormat/>
    <w:uiPriority w:val="0"/>
    <w:rPr>
      <w:rFonts w:ascii="Times New Roman" w:hAnsi="Times New Roman" w:eastAsia="宋体" w:cs="Times New Roman"/>
    </w:rPr>
  </w:style>
  <w:style w:type="paragraph" w:customStyle="1" w:styleId="107">
    <w:name w:val="No Spacing"/>
    <w:qFormat/>
    <w:uiPriority w:val="1"/>
    <w:pPr>
      <w:widowControl w:val="0"/>
      <w:spacing w:line="440" w:lineRule="exact"/>
      <w:jc w:val="center"/>
    </w:pPr>
    <w:rPr>
      <w:rFonts w:ascii="Times New Roman" w:hAnsi="Times New Roman" w:eastAsia="宋体" w:cs="Times New Roman"/>
      <w:b/>
      <w:kern w:val="2"/>
      <w:sz w:val="24"/>
      <w:szCs w:val="22"/>
      <w:lang w:val="en-US" w:eastAsia="zh-CN" w:bidi="ar-SA"/>
    </w:rPr>
  </w:style>
  <w:style w:type="paragraph" w:customStyle="1" w:styleId="108">
    <w:name w:val="Default"/>
    <w:basedOn w:val="109"/>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09">
    <w:name w:val="批注文字1"/>
    <w:qFormat/>
    <w:locked/>
    <w:uiPriority w:val="0"/>
    <w:pPr>
      <w:widowControl w:val="0"/>
    </w:pPr>
    <w:rPr>
      <w:rFonts w:ascii="Times New Roman" w:hAnsi="Times New Roman" w:eastAsia="宋体" w:cs="Times New Roman"/>
      <w:color w:val="000000"/>
      <w:kern w:val="2"/>
      <w:sz w:val="21"/>
      <w:szCs w:val="24"/>
      <w:lang w:val="en-US" w:eastAsia="zh-CN" w:bidi="ar-SA"/>
    </w:rPr>
  </w:style>
  <w:style w:type="character" w:customStyle="1" w:styleId="110">
    <w:name w:val="正文格式 字符"/>
    <w:qFormat/>
    <w:uiPriority w:val="0"/>
    <w:rPr>
      <w:rFonts w:ascii="Times New Roman" w:hAnsi="Times New Roman" w:eastAsia="宋体" w:cs="Times New Roman"/>
      <w:kern w:val="0"/>
      <w:sz w:val="24"/>
      <w:szCs w:val="24"/>
    </w:rPr>
  </w:style>
  <w:style w:type="table" w:customStyle="1" w:styleId="111">
    <w:name w:val="表格样式100"/>
    <w:basedOn w:val="43"/>
    <w:qFormat/>
    <w:uiPriority w:val="0"/>
    <w:pPr>
      <w:widowControl w:val="0"/>
      <w:overflowPunct w:val="0"/>
      <w:topLinePunct/>
      <w:autoSpaceDE w:val="0"/>
      <w:autoSpaceDN w:val="0"/>
      <w:adjustRightInd w:val="0"/>
      <w:snapToGrid w:val="0"/>
      <w:jc w:val="center"/>
    </w:pPr>
    <w:rPr>
      <w:sz w:val="21"/>
    </w:rPr>
    <w:tblPr>
      <w:jc w:val="center"/>
      <w:tblBorders>
        <w:top w:val="single" w:color="auto" w:sz="12" w:space="0"/>
        <w:bottom w:val="single" w:color="auto" w:sz="12" w:space="0"/>
      </w:tblBorders>
      <w:tblLayout w:type="fixed"/>
    </w:tblPr>
    <w:trPr>
      <w:jc w:val="center"/>
    </w:trPr>
    <w:tcPr>
      <w:vAlign w:val="center"/>
    </w:tcPr>
  </w:style>
  <w:style w:type="character" w:customStyle="1" w:styleId="112">
    <w:name w:val="标题5-MB 字符"/>
    <w:link w:val="48"/>
    <w:qFormat/>
    <w:uiPriority w:val="0"/>
    <w:rPr>
      <w:b/>
      <w:sz w:val="21"/>
      <w:szCs w:val="28"/>
      <w:lang w:val="zh-CN"/>
    </w:rPr>
  </w:style>
  <w:style w:type="paragraph" w:customStyle="1" w:styleId="113">
    <w:name w:val="正文内容新"/>
    <w:basedOn w:val="1"/>
    <w:link w:val="114"/>
    <w:qFormat/>
    <w:uiPriority w:val="0"/>
    <w:pPr>
      <w:spacing w:line="480" w:lineRule="exact"/>
      <w:ind w:firstLine="200" w:firstLineChars="200"/>
      <w:contextualSpacing/>
    </w:pPr>
  </w:style>
  <w:style w:type="character" w:customStyle="1" w:styleId="114">
    <w:name w:val="正文内容新 字符"/>
    <w:link w:val="113"/>
    <w:qFormat/>
    <w:uiPriority w:val="0"/>
    <w:rPr>
      <w:rFonts w:ascii="Times New Roman" w:hAnsi="Times New Roman"/>
    </w:rPr>
  </w:style>
  <w:style w:type="character" w:customStyle="1" w:styleId="115">
    <w:name w:val="页眉 Char"/>
    <w:qFormat/>
    <w:locked/>
    <w:uiPriority w:val="0"/>
    <w:rPr>
      <w:rFonts w:ascii="楷体_GB2312" w:eastAsia="楷体_GB2312"/>
      <w:spacing w:val="5"/>
      <w:kern w:val="2"/>
      <w:sz w:val="23"/>
      <w:szCs w:val="23"/>
      <w:lang w:val="en-US" w:eastAsia="zh-CN" w:bidi="ar-SA"/>
    </w:rPr>
  </w:style>
  <w:style w:type="character" w:customStyle="1" w:styleId="116">
    <w:name w:val="表格正文 Char"/>
    <w:link w:val="117"/>
    <w:qFormat/>
    <w:uiPriority w:val="0"/>
    <w:rPr>
      <w:rFonts w:hAnsi="宋体"/>
      <w:kern w:val="2"/>
      <w:sz w:val="21"/>
      <w:szCs w:val="24"/>
    </w:rPr>
  </w:style>
  <w:style w:type="paragraph" w:customStyle="1" w:styleId="117">
    <w:name w:val="表格正文"/>
    <w:basedOn w:val="1"/>
    <w:link w:val="116"/>
    <w:qFormat/>
    <w:uiPriority w:val="0"/>
    <w:pPr>
      <w:spacing w:line="240" w:lineRule="exact"/>
      <w:jc w:val="center"/>
    </w:pPr>
    <w:rPr>
      <w:rFonts w:hAnsi="宋体"/>
    </w:rPr>
  </w:style>
  <w:style w:type="paragraph" w:customStyle="1" w:styleId="118">
    <w:name w:val="表标题2-1"/>
    <w:basedOn w:val="1"/>
    <w:link w:val="119"/>
    <w:qFormat/>
    <w:uiPriority w:val="0"/>
    <w:pPr>
      <w:spacing w:line="480" w:lineRule="exact"/>
      <w:jc w:val="center"/>
    </w:pPr>
    <w:rPr>
      <w:b/>
      <w:sz w:val="24"/>
    </w:rPr>
  </w:style>
  <w:style w:type="character" w:customStyle="1" w:styleId="119">
    <w:name w:val="表标题2-1 字符"/>
    <w:link w:val="118"/>
    <w:qFormat/>
    <w:uiPriority w:val="0"/>
    <w:rPr>
      <w:b/>
      <w:kern w:val="2"/>
      <w:sz w:val="24"/>
      <w:szCs w:val="24"/>
    </w:rPr>
  </w:style>
  <w:style w:type="paragraph" w:customStyle="1" w:styleId="120">
    <w:name w:val="样式1"/>
    <w:basedOn w:val="91"/>
    <w:link w:val="123"/>
    <w:qFormat/>
    <w:uiPriority w:val="0"/>
    <w:rPr>
      <w:rFonts w:hAnsi="Times New Roman"/>
      <w:b/>
      <w:kern w:val="0"/>
    </w:rPr>
  </w:style>
  <w:style w:type="paragraph" w:customStyle="1" w:styleId="121">
    <w:name w:val="样式2"/>
    <w:basedOn w:val="91"/>
    <w:link w:val="124"/>
    <w:qFormat/>
    <w:uiPriority w:val="0"/>
    <w:pPr>
      <w:numPr>
        <w:ilvl w:val="0"/>
        <w:numId w:val="6"/>
      </w:numPr>
      <w:spacing w:line="480" w:lineRule="exact"/>
      <w:ind w:left="0" w:firstLine="480"/>
      <w:outlineLvl w:val="3"/>
    </w:pPr>
    <w:rPr>
      <w:b/>
      <w:bCs w:val="0"/>
    </w:rPr>
  </w:style>
  <w:style w:type="character" w:customStyle="1" w:styleId="122">
    <w:name w:val="表格标题 字符"/>
    <w:basedOn w:val="34"/>
    <w:link w:val="91"/>
    <w:qFormat/>
    <w:uiPriority w:val="0"/>
    <w:rPr>
      <w:rFonts w:hAnsi="宋体"/>
      <w:bCs/>
      <w:kern w:val="2"/>
      <w:sz w:val="24"/>
      <w:szCs w:val="24"/>
    </w:rPr>
  </w:style>
  <w:style w:type="character" w:customStyle="1" w:styleId="123">
    <w:name w:val="样式1 字符"/>
    <w:basedOn w:val="122"/>
    <w:link w:val="120"/>
    <w:qFormat/>
    <w:uiPriority w:val="0"/>
    <w:rPr>
      <w:rFonts w:hAnsi="宋体"/>
      <w:b/>
      <w:kern w:val="2"/>
      <w:sz w:val="24"/>
      <w:szCs w:val="24"/>
    </w:rPr>
  </w:style>
  <w:style w:type="character" w:customStyle="1" w:styleId="124">
    <w:name w:val="样式2 字符"/>
    <w:basedOn w:val="122"/>
    <w:link w:val="121"/>
    <w:qFormat/>
    <w:uiPriority w:val="0"/>
    <w:rPr>
      <w:rFonts w:hAnsi="宋体"/>
      <w:b/>
      <w:bCs w:val="0"/>
      <w:kern w:val="2"/>
      <w:sz w:val="24"/>
      <w:szCs w:val="24"/>
    </w:rPr>
  </w:style>
  <w:style w:type="character" w:customStyle="1" w:styleId="125">
    <w:name w:val="纯文本 字符"/>
    <w:basedOn w:val="34"/>
    <w:link w:val="126"/>
    <w:qFormat/>
    <w:uiPriority w:val="99"/>
    <w:rPr>
      <w:rFonts w:hAnsi="Courier New" w:cs="Courier New" w:asciiTheme="minorEastAsia" w:eastAsiaTheme="minorEastAsia"/>
      <w:kern w:val="2"/>
      <w:sz w:val="21"/>
      <w:szCs w:val="24"/>
    </w:rPr>
  </w:style>
  <w:style w:type="paragraph" w:customStyle="1" w:styleId="126">
    <w:name w:val="纯文本1"/>
    <w:basedOn w:val="1"/>
    <w:next w:val="22"/>
    <w:link w:val="125"/>
    <w:unhideWhenUsed/>
    <w:qFormat/>
    <w:uiPriority w:val="99"/>
    <w:pPr>
      <w:spacing w:line="360" w:lineRule="auto"/>
      <w:ind w:firstLine="883" w:firstLineChars="200"/>
      <w:jc w:val="left"/>
    </w:pPr>
    <w:rPr>
      <w:rFonts w:hAnsi="Courier New" w:cs="Courier New" w:asciiTheme="minorEastAsia" w:eastAsiaTheme="minorEastAsia"/>
    </w:rPr>
  </w:style>
  <w:style w:type="character" w:customStyle="1" w:styleId="127">
    <w:name w:val="副标题 字符"/>
    <w:basedOn w:val="34"/>
    <w:link w:val="29"/>
    <w:qFormat/>
    <w:uiPriority w:val="0"/>
    <w:rPr>
      <w:bCs/>
      <w:kern w:val="28"/>
      <w:sz w:val="21"/>
      <w:szCs w:val="32"/>
      <w:lang w:val="zh-CN"/>
    </w:rPr>
  </w:style>
  <w:style w:type="paragraph" w:customStyle="1" w:styleId="128">
    <w:name w:val="2"/>
    <w:basedOn w:val="1"/>
    <w:next w:val="1"/>
    <w:qFormat/>
    <w:uiPriority w:val="0"/>
    <w:pPr>
      <w:snapToGrid w:val="0"/>
      <w:spacing w:line="360" w:lineRule="auto"/>
      <w:ind w:firstLine="529" w:firstLineChars="200"/>
    </w:pPr>
  </w:style>
  <w:style w:type="paragraph" w:customStyle="1" w:styleId="129">
    <w:name w:val="yxl正文"/>
    <w:basedOn w:val="1"/>
    <w:qFormat/>
    <w:uiPriority w:val="0"/>
    <w:pPr>
      <w:spacing w:line="520" w:lineRule="exact"/>
      <w:ind w:firstLine="200" w:firstLineChars="200"/>
    </w:pPr>
    <w:rPr>
      <w:kern w:val="0"/>
      <w:sz w:val="24"/>
    </w:rPr>
  </w:style>
  <w:style w:type="paragraph" w:customStyle="1" w:styleId="130">
    <w:name w:val="+正文"/>
    <w:basedOn w:val="1"/>
    <w:qFormat/>
    <w:uiPriority w:val="0"/>
    <w:pPr>
      <w:spacing w:line="360" w:lineRule="auto"/>
      <w:ind w:firstLine="200" w:firstLineChars="200"/>
    </w:pPr>
    <w:rPr>
      <w:kern w:val="0"/>
      <w:sz w:val="24"/>
      <w:szCs w:val="28"/>
    </w:rPr>
  </w:style>
  <w:style w:type="paragraph" w:customStyle="1" w:styleId="131">
    <w:name w:val="xl24"/>
    <w:basedOn w:val="1"/>
    <w:qFormat/>
    <w:uiPriority w:val="0"/>
    <w:pPr>
      <w:widowControl/>
      <w:spacing w:before="100" w:beforeAutospacing="1" w:after="100" w:afterAutospacing="1"/>
      <w:jc w:val="center"/>
    </w:pPr>
    <w:rPr>
      <w:rFonts w:ascii="宋体" w:hAnsi="宋体"/>
      <w:kern w:val="0"/>
      <w:sz w:val="24"/>
    </w:rPr>
  </w:style>
  <w:style w:type="paragraph" w:customStyle="1" w:styleId="132">
    <w:name w:val="表格文字"/>
    <w:basedOn w:val="1"/>
    <w:link w:val="133"/>
    <w:qFormat/>
    <w:uiPriority w:val="0"/>
    <w:pPr>
      <w:jc w:val="center"/>
    </w:pPr>
    <w:rPr>
      <w:color w:val="000000"/>
      <w:szCs w:val="21"/>
      <w:lang w:bidi="en-US"/>
    </w:rPr>
  </w:style>
  <w:style w:type="character" w:customStyle="1" w:styleId="133">
    <w:name w:val="表格文字 字符"/>
    <w:basedOn w:val="34"/>
    <w:link w:val="132"/>
    <w:qFormat/>
    <w:uiPriority w:val="0"/>
    <w:rPr>
      <w:color w:val="000000"/>
      <w:kern w:val="2"/>
      <w:sz w:val="21"/>
      <w:szCs w:val="21"/>
      <w:lang w:bidi="en-US"/>
    </w:rPr>
  </w:style>
  <w:style w:type="character" w:customStyle="1" w:styleId="134">
    <w:name w:val="正文文本首行缩进 2 字符"/>
    <w:basedOn w:val="34"/>
    <w:link w:val="27"/>
    <w:qFormat/>
    <w:uiPriority w:val="99"/>
    <w:rPr>
      <w:rFonts w:ascii="Times New Roman" w:hAnsi="Times New Roman" w:eastAsia="宋体" w:cs="Times New Roman"/>
      <w:kern w:val="2"/>
      <w:sz w:val="21"/>
      <w:szCs w:val="24"/>
    </w:rPr>
  </w:style>
  <w:style w:type="paragraph" w:customStyle="1" w:styleId="135">
    <w:name w:val="环评正文"/>
    <w:basedOn w:val="1"/>
    <w:qFormat/>
    <w:uiPriority w:val="0"/>
    <w:pPr>
      <w:spacing w:line="360" w:lineRule="auto"/>
      <w:ind w:firstLine="200" w:firstLineChars="200"/>
    </w:pPr>
    <w:rPr>
      <w:sz w:val="24"/>
    </w:rPr>
  </w:style>
  <w:style w:type="character" w:customStyle="1" w:styleId="136">
    <w:name w:val="样式21 Char"/>
    <w:basedOn w:val="34"/>
    <w:link w:val="137"/>
    <w:qFormat/>
    <w:uiPriority w:val="0"/>
    <w:rPr>
      <w:rFonts w:eastAsia="楷体_GB2312"/>
      <w:b/>
      <w:bCs/>
      <w:kern w:val="2"/>
      <w:sz w:val="21"/>
      <w:szCs w:val="18"/>
    </w:rPr>
  </w:style>
  <w:style w:type="paragraph" w:customStyle="1" w:styleId="137">
    <w:name w:val="样式21"/>
    <w:basedOn w:val="26"/>
    <w:link w:val="136"/>
    <w:qFormat/>
    <w:uiPriority w:val="0"/>
    <w:pPr>
      <w:pBdr>
        <w:top w:val="double" w:color="auto" w:sz="4" w:space="1"/>
      </w:pBdr>
      <w:jc w:val="both"/>
    </w:pPr>
    <w:rPr>
      <w:rFonts w:eastAsia="楷体_GB2312"/>
      <w:b/>
      <w:bCs/>
      <w:kern w:val="2"/>
      <w:sz w:val="21"/>
      <w:szCs w:val="18"/>
    </w:rPr>
  </w:style>
  <w:style w:type="paragraph" w:customStyle="1" w:styleId="138">
    <w:name w:val="表格标题行"/>
    <w:basedOn w:val="87"/>
    <w:qFormat/>
    <w:uiPriority w:val="99"/>
    <w:pPr>
      <w:autoSpaceDE w:val="0"/>
      <w:autoSpaceDN w:val="0"/>
      <w:snapToGrid/>
      <w:spacing w:beforeLines="0" w:afterLines="0" w:line="240" w:lineRule="auto"/>
    </w:pPr>
    <w:rPr>
      <w:rFonts w:ascii="Times New Roman"/>
      <w:b/>
      <w:kern w:val="2"/>
      <w:sz w:val="24"/>
      <w:szCs w:val="28"/>
    </w:rPr>
  </w:style>
  <w:style w:type="character" w:customStyle="1" w:styleId="139">
    <w:name w:val="apple-style-span"/>
    <w:qFormat/>
    <w:uiPriority w:val="0"/>
  </w:style>
  <w:style w:type="paragraph" w:customStyle="1" w:styleId="140">
    <w:name w:val="表内容111"/>
    <w:basedOn w:val="1"/>
    <w:link w:val="141"/>
    <w:qFormat/>
    <w:uiPriority w:val="0"/>
    <w:pPr>
      <w:widowControl/>
      <w:autoSpaceDE w:val="0"/>
      <w:autoSpaceDN w:val="0"/>
      <w:adjustRightInd w:val="0"/>
      <w:spacing w:line="240" w:lineRule="atLeast"/>
      <w:jc w:val="center"/>
    </w:pPr>
    <w:rPr>
      <w:rFonts w:cs="宋体"/>
      <w:kern w:val="0"/>
      <w:szCs w:val="21"/>
    </w:rPr>
  </w:style>
  <w:style w:type="character" w:customStyle="1" w:styleId="141">
    <w:name w:val="表内容111 字符"/>
    <w:link w:val="140"/>
    <w:qFormat/>
    <w:uiPriority w:val="0"/>
    <w:rPr>
      <w:rFonts w:cs="宋体"/>
      <w:sz w:val="21"/>
      <w:szCs w:val="21"/>
    </w:rPr>
  </w:style>
  <w:style w:type="paragraph" w:customStyle="1" w:styleId="142">
    <w:name w:val="正文 111"/>
    <w:basedOn w:val="1"/>
    <w:link w:val="143"/>
    <w:qFormat/>
    <w:uiPriority w:val="0"/>
    <w:pPr>
      <w:widowControl/>
      <w:autoSpaceDE w:val="0"/>
      <w:autoSpaceDN w:val="0"/>
      <w:adjustRightInd w:val="0"/>
      <w:spacing w:line="480" w:lineRule="exact"/>
      <w:ind w:firstLine="200" w:firstLineChars="200"/>
    </w:pPr>
    <w:rPr>
      <w:rFonts w:cs="宋体"/>
      <w:kern w:val="0"/>
      <w:sz w:val="24"/>
      <w:szCs w:val="21"/>
    </w:rPr>
  </w:style>
  <w:style w:type="character" w:customStyle="1" w:styleId="143">
    <w:name w:val="正文 111 字符"/>
    <w:link w:val="142"/>
    <w:qFormat/>
    <w:uiPriority w:val="0"/>
    <w:rPr>
      <w:rFonts w:cs="宋体"/>
      <w:sz w:val="24"/>
      <w:szCs w:val="21"/>
    </w:rPr>
  </w:style>
  <w:style w:type="character" w:customStyle="1" w:styleId="144">
    <w:name w:val="标题 7 字符"/>
    <w:basedOn w:val="34"/>
    <w:link w:val="8"/>
    <w:qFormat/>
    <w:uiPriority w:val="0"/>
    <w:rPr>
      <w:rFonts w:asciiTheme="minorHAnsi" w:hAnsiTheme="minorHAnsi" w:eastAsiaTheme="minorEastAsia" w:cstheme="minorBidi"/>
      <w:b/>
      <w:bCs/>
      <w:kern w:val="2"/>
      <w:sz w:val="24"/>
      <w:szCs w:val="24"/>
    </w:rPr>
  </w:style>
  <w:style w:type="character" w:customStyle="1" w:styleId="145">
    <w:name w:val="宏文本 字符"/>
    <w:basedOn w:val="34"/>
    <w:qFormat/>
    <w:uiPriority w:val="99"/>
    <w:rPr>
      <w:rFonts w:ascii="Courier New" w:hAnsi="Courier New" w:cs="Courier New"/>
      <w:kern w:val="2"/>
      <w:sz w:val="24"/>
      <w:szCs w:val="24"/>
    </w:rPr>
  </w:style>
  <w:style w:type="character" w:customStyle="1" w:styleId="146">
    <w:name w:val="脚注文本 字符"/>
    <w:basedOn w:val="34"/>
    <w:qFormat/>
    <w:uiPriority w:val="99"/>
    <w:rPr>
      <w:kern w:val="2"/>
      <w:sz w:val="18"/>
      <w:szCs w:val="18"/>
    </w:rPr>
  </w:style>
  <w:style w:type="character" w:customStyle="1" w:styleId="147">
    <w:name w:val="标题 字符"/>
    <w:basedOn w:val="34"/>
    <w:link w:val="33"/>
    <w:qFormat/>
    <w:uiPriority w:val="1"/>
    <w:rPr>
      <w:rFonts w:ascii="宋体" w:hAnsi="宋体" w:cs="宋体"/>
      <w:b/>
      <w:bCs/>
      <w:kern w:val="2"/>
      <w:sz w:val="56"/>
      <w:szCs w:val="56"/>
    </w:rPr>
  </w:style>
  <w:style w:type="character" w:customStyle="1" w:styleId="148">
    <w:name w:val="正文(首行缩进) Char1"/>
    <w:link w:val="149"/>
    <w:qFormat/>
    <w:uiPriority w:val="0"/>
    <w:rPr>
      <w:color w:val="000000"/>
      <w:sz w:val="24"/>
      <w:szCs w:val="24"/>
    </w:rPr>
  </w:style>
  <w:style w:type="paragraph" w:customStyle="1" w:styleId="149">
    <w:name w:val="正文(首行缩进)"/>
    <w:basedOn w:val="1"/>
    <w:link w:val="148"/>
    <w:qFormat/>
    <w:uiPriority w:val="0"/>
    <w:pPr>
      <w:widowControl/>
      <w:spacing w:line="480" w:lineRule="exact"/>
      <w:ind w:firstLine="200" w:firstLineChars="200"/>
    </w:pPr>
    <w:rPr>
      <w:color w:val="000000"/>
      <w:kern w:val="0"/>
      <w:sz w:val="24"/>
    </w:rPr>
  </w:style>
  <w:style w:type="paragraph" w:customStyle="1" w:styleId="150">
    <w:name w:val="三级标题"/>
    <w:next w:val="1"/>
    <w:qFormat/>
    <w:uiPriority w:val="0"/>
    <w:pPr>
      <w:adjustRightInd w:val="0"/>
      <w:spacing w:before="50" w:after="50" w:line="480" w:lineRule="exact"/>
      <w:outlineLvl w:val="2"/>
    </w:pPr>
    <w:rPr>
      <w:rFonts w:ascii="Times New Roman" w:hAnsi="Times New Roman" w:eastAsia="宋体" w:cstheme="minorBidi"/>
      <w:b/>
      <w:kern w:val="2"/>
      <w:sz w:val="28"/>
      <w:szCs w:val="21"/>
      <w:lang w:val="en-US" w:eastAsia="zh-CN" w:bidi="ar-SA"/>
    </w:rPr>
  </w:style>
  <w:style w:type="paragraph" w:customStyle="1" w:styleId="151">
    <w:name w:val="四级标题"/>
    <w:basedOn w:val="1"/>
    <w:qFormat/>
    <w:uiPriority w:val="0"/>
    <w:pPr>
      <w:spacing w:line="480" w:lineRule="exact"/>
      <w:jc w:val="left"/>
      <w:outlineLvl w:val="3"/>
    </w:pPr>
    <w:rPr>
      <w:rFonts w:cstheme="minorBidi"/>
      <w:b/>
      <w:sz w:val="24"/>
      <w:szCs w:val="21"/>
    </w:rPr>
  </w:style>
  <w:style w:type="character" w:customStyle="1" w:styleId="152">
    <w:name w:val="题注 字符"/>
    <w:link w:val="16"/>
    <w:qFormat/>
    <w:uiPriority w:val="0"/>
    <w:rPr>
      <w:rFonts w:cstheme="majorBidi"/>
      <w:b/>
      <w:kern w:val="2"/>
      <w:sz w:val="24"/>
    </w:rPr>
  </w:style>
  <w:style w:type="paragraph" w:customStyle="1" w:styleId="153">
    <w:name w:val="一级"/>
    <w:next w:val="1"/>
    <w:link w:val="155"/>
    <w:qFormat/>
    <w:uiPriority w:val="0"/>
    <w:pPr>
      <w:numPr>
        <w:ilvl w:val="0"/>
        <w:numId w:val="7"/>
      </w:numPr>
      <w:spacing w:before="120" w:after="120" w:line="480" w:lineRule="exact"/>
      <w:ind w:left="0" w:firstLine="0"/>
      <w:outlineLvl w:val="0"/>
    </w:pPr>
    <w:rPr>
      <w:rFonts w:ascii="Times New Roman" w:hAnsi="Times New Roman" w:eastAsia="宋体" w:cstheme="minorBidi"/>
      <w:b/>
      <w:kern w:val="28"/>
      <w:sz w:val="32"/>
      <w:szCs w:val="44"/>
      <w:lang w:val="en-US" w:eastAsia="zh-CN" w:bidi="ar-SA"/>
    </w:rPr>
  </w:style>
  <w:style w:type="paragraph" w:customStyle="1" w:styleId="154">
    <w:name w:val="二级"/>
    <w:next w:val="1"/>
    <w:link w:val="157"/>
    <w:qFormat/>
    <w:uiPriority w:val="0"/>
    <w:pPr>
      <w:spacing w:before="100" w:after="50" w:line="480" w:lineRule="exact"/>
      <w:outlineLvl w:val="1"/>
    </w:pPr>
    <w:rPr>
      <w:rFonts w:ascii="Times New Roman" w:hAnsi="Times New Roman" w:eastAsia="宋体" w:cstheme="majorBidi"/>
      <w:b/>
      <w:bCs/>
      <w:kern w:val="10"/>
      <w:sz w:val="30"/>
      <w:szCs w:val="32"/>
      <w:lang w:val="en-US" w:eastAsia="zh-CN" w:bidi="ar-SA"/>
    </w:rPr>
  </w:style>
  <w:style w:type="character" w:customStyle="1" w:styleId="155">
    <w:name w:val="一级 字符"/>
    <w:basedOn w:val="34"/>
    <w:link w:val="153"/>
    <w:qFormat/>
    <w:uiPriority w:val="0"/>
    <w:rPr>
      <w:rFonts w:cstheme="minorBidi"/>
      <w:b/>
      <w:kern w:val="28"/>
      <w:sz w:val="32"/>
      <w:szCs w:val="44"/>
    </w:rPr>
  </w:style>
  <w:style w:type="paragraph" w:customStyle="1" w:styleId="156">
    <w:name w:val="三级"/>
    <w:next w:val="1"/>
    <w:link w:val="159"/>
    <w:qFormat/>
    <w:uiPriority w:val="0"/>
    <w:pPr>
      <w:numPr>
        <w:ilvl w:val="0"/>
        <w:numId w:val="8"/>
      </w:numPr>
      <w:spacing w:before="50" w:after="50" w:line="480" w:lineRule="exact"/>
      <w:ind w:left="0" w:firstLine="0"/>
      <w:outlineLvl w:val="2"/>
    </w:pPr>
    <w:rPr>
      <w:rFonts w:ascii="Times New Roman" w:hAnsi="Times New Roman" w:eastAsia="宋体" w:cstheme="minorBidi"/>
      <w:b/>
      <w:kern w:val="10"/>
      <w:sz w:val="28"/>
      <w:szCs w:val="21"/>
      <w:lang w:val="en-US" w:eastAsia="zh-CN" w:bidi="ar-SA"/>
    </w:rPr>
  </w:style>
  <w:style w:type="character" w:customStyle="1" w:styleId="157">
    <w:name w:val="二级 字符"/>
    <w:basedOn w:val="34"/>
    <w:link w:val="154"/>
    <w:qFormat/>
    <w:uiPriority w:val="0"/>
    <w:rPr>
      <w:rFonts w:cstheme="majorBidi"/>
      <w:b/>
      <w:bCs/>
      <w:kern w:val="10"/>
      <w:sz w:val="30"/>
      <w:szCs w:val="32"/>
    </w:rPr>
  </w:style>
  <w:style w:type="paragraph" w:customStyle="1" w:styleId="158">
    <w:name w:val="四级"/>
    <w:next w:val="1"/>
    <w:link w:val="160"/>
    <w:qFormat/>
    <w:uiPriority w:val="0"/>
    <w:pPr>
      <w:numPr>
        <w:ilvl w:val="0"/>
        <w:numId w:val="9"/>
      </w:numPr>
      <w:spacing w:line="480" w:lineRule="exact"/>
      <w:outlineLvl w:val="3"/>
    </w:pPr>
    <w:rPr>
      <w:rFonts w:ascii="Times New Roman" w:hAnsi="Times New Roman" w:eastAsia="宋体" w:cstheme="minorBidi"/>
      <w:b/>
      <w:kern w:val="2"/>
      <w:sz w:val="24"/>
      <w:szCs w:val="21"/>
      <w:lang w:val="en-US" w:eastAsia="zh-CN" w:bidi="ar-SA"/>
    </w:rPr>
  </w:style>
  <w:style w:type="character" w:customStyle="1" w:styleId="159">
    <w:name w:val="三级 字符"/>
    <w:basedOn w:val="34"/>
    <w:link w:val="156"/>
    <w:qFormat/>
    <w:uiPriority w:val="0"/>
    <w:rPr>
      <w:rFonts w:cstheme="minorBidi"/>
      <w:b/>
      <w:kern w:val="10"/>
      <w:sz w:val="28"/>
      <w:szCs w:val="21"/>
    </w:rPr>
  </w:style>
  <w:style w:type="character" w:customStyle="1" w:styleId="160">
    <w:name w:val="四级 字符"/>
    <w:basedOn w:val="34"/>
    <w:link w:val="158"/>
    <w:qFormat/>
    <w:uiPriority w:val="0"/>
    <w:rPr>
      <w:rFonts w:cstheme="minorBidi"/>
      <w:b/>
      <w:kern w:val="2"/>
      <w:sz w:val="24"/>
      <w:szCs w:val="21"/>
    </w:rPr>
  </w:style>
  <w:style w:type="paragraph" w:customStyle="1" w:styleId="161">
    <w:name w:val="图表标题"/>
    <w:next w:val="59"/>
    <w:link w:val="162"/>
    <w:qFormat/>
    <w:uiPriority w:val="0"/>
    <w:pPr>
      <w:spacing w:line="480" w:lineRule="exact"/>
      <w:jc w:val="center"/>
      <w:outlineLvl w:val="5"/>
    </w:pPr>
    <w:rPr>
      <w:rFonts w:ascii="Times New Roman" w:hAnsi="Times New Roman" w:eastAsia="宋体" w:cs="Times New Roman"/>
      <w:b/>
      <w:sz w:val="24"/>
      <w:szCs w:val="24"/>
      <w:lang w:val="en-US" w:eastAsia="zh-CN" w:bidi="ar-SA"/>
    </w:rPr>
  </w:style>
  <w:style w:type="character" w:customStyle="1" w:styleId="162">
    <w:name w:val="图表标题 字符"/>
    <w:basedOn w:val="34"/>
    <w:link w:val="161"/>
    <w:qFormat/>
    <w:uiPriority w:val="0"/>
    <w:rPr>
      <w:b/>
      <w:sz w:val="24"/>
      <w:szCs w:val="24"/>
    </w:rPr>
  </w:style>
  <w:style w:type="table" w:customStyle="1" w:styleId="163">
    <w:name w:val="网格型9"/>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4">
    <w:name w:val="网格型10"/>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5">
    <w:name w:val="网格型12"/>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6">
    <w:name w:val="网格型13"/>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7">
    <w:name w:val="网格型14"/>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8">
    <w:name w:val="网格型15"/>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table" w:customStyle="1" w:styleId="169">
    <w:name w:val="网格型16"/>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character" w:customStyle="1" w:styleId="170">
    <w:name w:val="未处理的提及1"/>
    <w:basedOn w:val="34"/>
    <w:unhideWhenUsed/>
    <w:qFormat/>
    <w:uiPriority w:val="99"/>
    <w:rPr>
      <w:color w:val="605E5C"/>
      <w:shd w:val="clear" w:color="auto" w:fill="E1DFDD"/>
    </w:rPr>
  </w:style>
  <w:style w:type="character" w:customStyle="1" w:styleId="171">
    <w:name w:val="未处理的提及2"/>
    <w:basedOn w:val="34"/>
    <w:unhideWhenUsed/>
    <w:qFormat/>
    <w:uiPriority w:val="99"/>
    <w:rPr>
      <w:color w:val="605E5C"/>
      <w:shd w:val="clear" w:color="auto" w:fill="E1DFDD"/>
    </w:rPr>
  </w:style>
  <w:style w:type="character" w:customStyle="1" w:styleId="172">
    <w:name w:val="Placeholder Text"/>
    <w:basedOn w:val="34"/>
    <w:semiHidden/>
    <w:qFormat/>
    <w:uiPriority w:val="99"/>
    <w:rPr>
      <w:color w:val="808080"/>
    </w:rPr>
  </w:style>
  <w:style w:type="table" w:customStyle="1" w:styleId="173">
    <w:name w:val="word1"/>
    <w:basedOn w:val="42"/>
    <w:qFormat/>
    <w:uiPriority w:val="39"/>
    <w:pPr>
      <w:jc w:val="center"/>
    </w:pPr>
    <w:tblPr>
      <w:tblBorders>
        <w:top w:val="single" w:color="auto" w:sz="12" w:space="0"/>
        <w:bottom w:val="single" w:color="auto" w:sz="12" w:space="0"/>
        <w:insideH w:val="single" w:color="auto" w:sz="4" w:space="0"/>
        <w:insideV w:val="single" w:color="auto" w:sz="4" w:space="0"/>
      </w:tblBorders>
      <w:tblLayout w:type="fixed"/>
    </w:tblPr>
    <w:tcPr>
      <w:vAlign w:val="center"/>
    </w:tcPr>
  </w:style>
  <w:style w:type="character" w:customStyle="1" w:styleId="174">
    <w:name w:val="列表段落 字符"/>
    <w:link w:val="45"/>
    <w:qFormat/>
    <w:uiPriority w:val="0"/>
    <w:rPr>
      <w:kern w:val="2"/>
      <w:sz w:val="21"/>
      <w:szCs w:val="24"/>
    </w:rPr>
  </w:style>
  <w:style w:type="character" w:customStyle="1" w:styleId="175">
    <w:name w:val="纯文本 字符1"/>
    <w:link w:val="22"/>
    <w:qFormat/>
    <w:uiPriority w:val="0"/>
    <w:rPr>
      <w:rFonts w:ascii="宋体" w:hAnsi="Courier New"/>
      <w:spacing w:val="5"/>
      <w:kern w:val="2"/>
      <w:sz w:val="25"/>
      <w:szCs w:val="25"/>
    </w:rPr>
  </w:style>
  <w:style w:type="character" w:customStyle="1" w:styleId="176">
    <w:name w:val="宏文本 字符1"/>
    <w:link w:val="13"/>
    <w:qFormat/>
    <w:uiPriority w:val="99"/>
    <w:rPr>
      <w:rFonts w:ascii="宋体" w:eastAsia="Times New Roman"/>
      <w:spacing w:val="5"/>
      <w:kern w:val="2"/>
      <w:sz w:val="18"/>
    </w:rPr>
  </w:style>
  <w:style w:type="paragraph" w:customStyle="1" w:styleId="177">
    <w:name w:val="正文修改111"/>
    <w:basedOn w:val="1"/>
    <w:qFormat/>
    <w:uiPriority w:val="99"/>
    <w:pPr>
      <w:tabs>
        <w:tab w:val="left" w:pos="4680"/>
      </w:tabs>
      <w:adjustRightInd w:val="0"/>
      <w:snapToGrid w:val="0"/>
      <w:spacing w:line="480" w:lineRule="exact"/>
    </w:pPr>
    <w:rPr>
      <w:rFonts w:ascii="宋体" w:hAnsi="宋体" w:cs="宋体"/>
      <w:color w:val="000000"/>
      <w:sz w:val="24"/>
      <w:lang w:val="zh-CN"/>
    </w:rPr>
  </w:style>
  <w:style w:type="character" w:customStyle="1" w:styleId="178">
    <w:name w:val="日期 Char"/>
    <w:qFormat/>
    <w:uiPriority w:val="99"/>
    <w:rPr>
      <w:rFonts w:eastAsia="仿宋_GB2312"/>
      <w:kern w:val="2"/>
      <w:sz w:val="32"/>
    </w:rPr>
  </w:style>
  <w:style w:type="character" w:customStyle="1" w:styleId="179">
    <w:name w:val="干标题(a) Char1"/>
    <w:qFormat/>
    <w:uiPriority w:val="99"/>
    <w:rPr>
      <w:rFonts w:ascii="Arial" w:hAnsi="Arial" w:eastAsia="黑体"/>
      <w:kern w:val="2"/>
      <w:sz w:val="21"/>
      <w:lang w:val="en-US" w:eastAsia="zh-CN"/>
    </w:rPr>
  </w:style>
  <w:style w:type="character" w:customStyle="1" w:styleId="180">
    <w:name w:val="_正文格式 Char Char Char"/>
    <w:link w:val="181"/>
    <w:qFormat/>
    <w:uiPriority w:val="0"/>
    <w:rPr>
      <w:rFonts w:eastAsia="仿宋_GB2312"/>
      <w:kern w:val="2"/>
      <w:sz w:val="28"/>
    </w:rPr>
  </w:style>
  <w:style w:type="paragraph" w:customStyle="1" w:styleId="181">
    <w:name w:val="_正文格式"/>
    <w:basedOn w:val="1"/>
    <w:link w:val="180"/>
    <w:qFormat/>
    <w:uiPriority w:val="0"/>
    <w:pPr>
      <w:spacing w:line="560" w:lineRule="exact"/>
      <w:ind w:firstLine="200" w:firstLineChars="200"/>
    </w:pPr>
    <w:rPr>
      <w:rFonts w:eastAsia="仿宋_GB2312"/>
      <w:sz w:val="28"/>
      <w:szCs w:val="20"/>
    </w:rPr>
  </w:style>
  <w:style w:type="character" w:customStyle="1" w:styleId="182">
    <w:name w:val="Char Char113"/>
    <w:qFormat/>
    <w:uiPriority w:val="0"/>
    <w:rPr>
      <w:rFonts w:ascii="黑体" w:hAnsi="Arial" w:eastAsia="黑体"/>
      <w:bCs/>
      <w:kern w:val="2"/>
      <w:sz w:val="30"/>
      <w:szCs w:val="30"/>
      <w:lang w:val="en-US" w:eastAsia="zh-CN" w:bidi="ar-SA"/>
    </w:rPr>
  </w:style>
  <w:style w:type="character" w:customStyle="1" w:styleId="183">
    <w:name w:val="纯文本 Char1"/>
    <w:qFormat/>
    <w:uiPriority w:val="0"/>
    <w:rPr>
      <w:rFonts w:ascii="宋体" w:hAnsi="Courier New" w:eastAsia="宋体"/>
      <w:spacing w:val="5"/>
      <w:kern w:val="2"/>
      <w:sz w:val="25"/>
      <w:szCs w:val="25"/>
      <w:lang w:val="en-US" w:eastAsia="zh-CN" w:bidi="ar-SA"/>
    </w:rPr>
  </w:style>
  <w:style w:type="character" w:customStyle="1" w:styleId="184">
    <w:name w:val="！正文ctrl-4 Char"/>
    <w:link w:val="185"/>
    <w:qFormat/>
    <w:uiPriority w:val="0"/>
    <w:rPr>
      <w:kern w:val="2"/>
      <w:sz w:val="24"/>
      <w:szCs w:val="24"/>
    </w:rPr>
  </w:style>
  <w:style w:type="paragraph" w:customStyle="1" w:styleId="185">
    <w:name w:val="！正文ctrl-4"/>
    <w:basedOn w:val="1"/>
    <w:link w:val="184"/>
    <w:qFormat/>
    <w:uiPriority w:val="0"/>
    <w:pPr>
      <w:widowControl/>
      <w:spacing w:before="156" w:beforeLines="50" w:line="360" w:lineRule="auto"/>
      <w:ind w:firstLine="480" w:firstLineChars="200"/>
      <w:jc w:val="left"/>
    </w:pPr>
    <w:rPr>
      <w:sz w:val="24"/>
    </w:rPr>
  </w:style>
  <w:style w:type="character" w:customStyle="1" w:styleId="186">
    <w:name w:val="脚注文本 字符1"/>
    <w:link w:val="31"/>
    <w:qFormat/>
    <w:uiPriority w:val="99"/>
    <w:rPr>
      <w:rFonts w:ascii="宋体"/>
      <w:spacing w:val="5"/>
      <w:kern w:val="2"/>
      <w:sz w:val="18"/>
      <w:szCs w:val="18"/>
    </w:rPr>
  </w:style>
  <w:style w:type="paragraph" w:customStyle="1" w:styleId="187">
    <w:name w:val="正文（首行缩进）"/>
    <w:basedOn w:val="1"/>
    <w:link w:val="188"/>
    <w:qFormat/>
    <w:uiPriority w:val="0"/>
    <w:pPr>
      <w:spacing w:line="360" w:lineRule="auto"/>
      <w:ind w:firstLine="200" w:firstLineChars="200"/>
    </w:pPr>
    <w:rPr>
      <w:sz w:val="24"/>
      <w:szCs w:val="20"/>
    </w:rPr>
  </w:style>
  <w:style w:type="character" w:customStyle="1" w:styleId="188">
    <w:name w:val="正文（首行缩进） 字符"/>
    <w:basedOn w:val="34"/>
    <w:link w:val="187"/>
    <w:qFormat/>
    <w:uiPriority w:val="0"/>
    <w:rPr>
      <w:kern w:val="2"/>
      <w:sz w:val="24"/>
    </w:rPr>
  </w:style>
  <w:style w:type="character" w:customStyle="1" w:styleId="189">
    <w:name w:val="表格内的字体 Char"/>
    <w:link w:val="84"/>
    <w:qFormat/>
    <w:uiPriority w:val="0"/>
    <w:rPr>
      <w:rFonts w:ascii="Calibri" w:hAnsi="Calibri"/>
      <w:kern w:val="2"/>
      <w:sz w:val="21"/>
    </w:rPr>
  </w:style>
  <w:style w:type="character" w:customStyle="1" w:styleId="190">
    <w:name w:val="fontstyle01"/>
    <w:basedOn w:val="34"/>
    <w:qFormat/>
    <w:uiPriority w:val="0"/>
    <w:rPr>
      <w:rFonts w:hint="eastAsia" w:ascii="宋体" w:hAnsi="宋体" w:eastAsia="宋体"/>
      <w:color w:val="000000"/>
      <w:sz w:val="24"/>
      <w:szCs w:val="24"/>
    </w:rPr>
  </w:style>
  <w:style w:type="character" w:customStyle="1" w:styleId="191">
    <w:name w:val="fontstyle21"/>
    <w:basedOn w:val="34"/>
    <w:qFormat/>
    <w:uiPriority w:val="0"/>
    <w:rPr>
      <w:rFonts w:hint="default" w:ascii="TimesNewRomanPSMT" w:hAnsi="TimesNewRomanPSMT"/>
      <w:color w:val="000000"/>
      <w:sz w:val="24"/>
      <w:szCs w:val="24"/>
    </w:rPr>
  </w:style>
  <w:style w:type="character" w:customStyle="1" w:styleId="192">
    <w:name w:val="fontstyle11"/>
    <w:basedOn w:val="34"/>
    <w:qFormat/>
    <w:uiPriority w:val="0"/>
    <w:rPr>
      <w:rFonts w:hint="eastAsia" w:ascii="宋体" w:hAnsi="宋体" w:eastAsia="宋体"/>
      <w:color w:val="000000"/>
      <w:sz w:val="24"/>
      <w:szCs w:val="24"/>
    </w:rPr>
  </w:style>
  <w:style w:type="character" w:customStyle="1" w:styleId="193">
    <w:name w:val="脚注文本 Char"/>
    <w:qFormat/>
    <w:uiPriority w:val="99"/>
    <w:rPr>
      <w:rFonts w:ascii="宋体"/>
      <w:spacing w:val="5"/>
      <w:kern w:val="2"/>
      <w:sz w:val="18"/>
      <w:szCs w:val="18"/>
    </w:rPr>
  </w:style>
  <w:style w:type="paragraph" w:customStyle="1" w:styleId="194">
    <w:name w:val="1"/>
    <w:basedOn w:val="1"/>
    <w:next w:val="1"/>
    <w:qFormat/>
    <w:uiPriority w:val="0"/>
    <w:pPr>
      <w:spacing w:line="200" w:lineRule="exact"/>
    </w:pPr>
    <w:rPr>
      <w:sz w:val="18"/>
      <w:szCs w:val="20"/>
    </w:rPr>
  </w:style>
  <w:style w:type="paragraph" w:customStyle="1" w:styleId="195">
    <w:name w:val="zw"/>
    <w:basedOn w:val="1"/>
    <w:qFormat/>
    <w:uiPriority w:val="0"/>
    <w:pPr>
      <w:widowControl/>
      <w:spacing w:before="100" w:beforeAutospacing="1" w:after="100" w:afterAutospacing="1" w:line="440" w:lineRule="atLeast"/>
      <w:jc w:val="left"/>
    </w:pPr>
    <w:rPr>
      <w:rFonts w:ascii="宋体" w:hAnsi="宋体" w:cs="宋体"/>
      <w:kern w:val="0"/>
      <w:sz w:val="22"/>
      <w:szCs w:val="22"/>
    </w:rPr>
  </w:style>
  <w:style w:type="character" w:customStyle="1" w:styleId="196">
    <w:name w:val="zw1"/>
    <w:qFormat/>
    <w:uiPriority w:val="0"/>
    <w:rPr>
      <w:rFonts w:hint="eastAsia" w:ascii="宋体" w:hAnsi="宋体" w:eastAsia="宋体"/>
      <w:sz w:val="22"/>
      <w:szCs w:val="22"/>
    </w:rPr>
  </w:style>
  <w:style w:type="character" w:customStyle="1" w:styleId="197">
    <w:name w:val="bt21"/>
    <w:qFormat/>
    <w:uiPriority w:val="0"/>
    <w:rPr>
      <w:rFonts w:hint="eastAsia" w:ascii="黑体" w:eastAsia="黑体"/>
      <w:sz w:val="24"/>
      <w:szCs w:val="24"/>
    </w:rPr>
  </w:style>
  <w:style w:type="character" w:customStyle="1" w:styleId="198">
    <w:name w:val="表格内-X 字符"/>
    <w:link w:val="199"/>
    <w:qFormat/>
    <w:locked/>
    <w:uiPriority w:val="0"/>
    <w:rPr>
      <w:rFonts w:cstheme="minorBidi"/>
      <w:kern w:val="2"/>
      <w:sz w:val="21"/>
      <w:szCs w:val="22"/>
    </w:rPr>
  </w:style>
  <w:style w:type="paragraph" w:customStyle="1" w:styleId="199">
    <w:name w:val="表格内-X"/>
    <w:basedOn w:val="1"/>
    <w:link w:val="198"/>
    <w:qFormat/>
    <w:uiPriority w:val="0"/>
    <w:pPr>
      <w:widowControl/>
      <w:adjustRightInd w:val="0"/>
      <w:snapToGrid w:val="0"/>
      <w:contextualSpacing/>
      <w:jc w:val="center"/>
    </w:pPr>
    <w:rPr>
      <w:rFonts w:cstheme="minorBidi"/>
      <w:szCs w:val="22"/>
    </w:rPr>
  </w:style>
  <w:style w:type="paragraph" w:customStyle="1" w:styleId="200">
    <w:name w:val="标题1-X"/>
    <w:basedOn w:val="2"/>
    <w:next w:val="11"/>
    <w:qFormat/>
    <w:uiPriority w:val="0"/>
    <w:pPr>
      <w:keepLines/>
      <w:overflowPunct/>
      <w:snapToGrid/>
      <w:spacing w:before="0" w:after="0" w:line="360" w:lineRule="auto"/>
      <w:ind w:left="0" w:firstLine="0"/>
    </w:pPr>
    <w:rPr>
      <w:rFonts w:eastAsia="宋体"/>
      <w:color w:val="auto"/>
      <w:sz w:val="32"/>
      <w:szCs w:val="44"/>
      <w:lang w:val="zh-CN"/>
    </w:rPr>
  </w:style>
  <w:style w:type="paragraph" w:customStyle="1" w:styleId="201">
    <w:name w:val="标题2-X"/>
    <w:basedOn w:val="3"/>
    <w:next w:val="11"/>
    <w:qFormat/>
    <w:uiPriority w:val="0"/>
    <w:pPr>
      <w:spacing w:before="0" w:after="0" w:line="360" w:lineRule="auto"/>
    </w:pPr>
    <w:rPr>
      <w:rFonts w:ascii="Times New Roman" w:hAnsi="Times New Roman" w:eastAsia="宋体"/>
      <w:kern w:val="0"/>
      <w:sz w:val="30"/>
      <w:lang w:val="zh-CN"/>
    </w:rPr>
  </w:style>
  <w:style w:type="paragraph" w:customStyle="1" w:styleId="202">
    <w:name w:val="标题3-X"/>
    <w:basedOn w:val="4"/>
    <w:next w:val="11"/>
    <w:qFormat/>
    <w:uiPriority w:val="0"/>
    <w:pPr>
      <w:spacing w:before="0" w:after="0" w:line="360" w:lineRule="auto"/>
    </w:pPr>
    <w:rPr>
      <w:kern w:val="0"/>
      <w:sz w:val="28"/>
      <w:lang w:val="zh-CN"/>
    </w:rPr>
  </w:style>
  <w:style w:type="paragraph" w:customStyle="1" w:styleId="203">
    <w:name w:val="标题4-X"/>
    <w:basedOn w:val="5"/>
    <w:next w:val="11"/>
    <w:qFormat/>
    <w:uiPriority w:val="0"/>
    <w:pPr>
      <w:spacing w:before="0" w:after="0" w:line="360" w:lineRule="auto"/>
    </w:pPr>
    <w:rPr>
      <w:rFonts w:ascii="Times New Roman" w:hAnsi="Times New Roman" w:eastAsia="宋体"/>
      <w:sz w:val="24"/>
      <w:lang w:val="zh-CN"/>
    </w:rPr>
  </w:style>
  <w:style w:type="paragraph" w:customStyle="1" w:styleId="204">
    <w:name w:val="标题5-X"/>
    <w:basedOn w:val="6"/>
    <w:next w:val="199"/>
    <w:link w:val="206"/>
    <w:qFormat/>
    <w:uiPriority w:val="0"/>
    <w:pPr>
      <w:spacing w:before="0" w:after="0" w:line="240" w:lineRule="auto"/>
      <w:jc w:val="center"/>
    </w:pPr>
    <w:rPr>
      <w:rFonts w:eastAsia="黑体"/>
      <w:kern w:val="0"/>
      <w:sz w:val="21"/>
      <w:lang w:val="zh-CN"/>
    </w:rPr>
  </w:style>
  <w:style w:type="paragraph" w:customStyle="1" w:styleId="205">
    <w:name w:val="标题6-X"/>
    <w:basedOn w:val="7"/>
    <w:next w:val="11"/>
    <w:qFormat/>
    <w:uiPriority w:val="0"/>
    <w:pPr>
      <w:keepNext w:val="0"/>
      <w:spacing w:before="0" w:after="0" w:line="240" w:lineRule="auto"/>
      <w:jc w:val="center"/>
    </w:pPr>
    <w:rPr>
      <w:rFonts w:ascii="Times New Roman" w:hAnsi="Times New Roman" w:eastAsia="黑体"/>
      <w:sz w:val="21"/>
      <w:lang w:val="zh-CN"/>
    </w:rPr>
  </w:style>
  <w:style w:type="character" w:customStyle="1" w:styleId="206">
    <w:name w:val="标题5-X 字符"/>
    <w:link w:val="204"/>
    <w:qFormat/>
    <w:uiPriority w:val="0"/>
    <w:rPr>
      <w:rFonts w:eastAsia="黑体"/>
      <w:b/>
      <w:bCs/>
      <w:sz w:val="21"/>
      <w:szCs w:val="28"/>
      <w:lang w:val="zh-CN"/>
    </w:rPr>
  </w:style>
  <w:style w:type="character" w:customStyle="1" w:styleId="207">
    <w:name w:val="宏文本 Char"/>
    <w:qFormat/>
    <w:uiPriority w:val="99"/>
    <w:rPr>
      <w:rFonts w:ascii="宋体" w:eastAsia="Times New Roman"/>
      <w:spacing w:val="5"/>
      <w:kern w:val="2"/>
      <w:sz w:val="18"/>
      <w:lang w:val="en-US" w:eastAsia="zh-CN" w:bidi="ar-SA"/>
    </w:rPr>
  </w:style>
  <w:style w:type="character" w:customStyle="1" w:styleId="208">
    <w:name w:val="页脚 Char"/>
    <w:qFormat/>
    <w:uiPriority w:val="99"/>
    <w:rPr>
      <w:rFonts w:ascii="宋体" w:eastAsia="楷体_GB2312"/>
      <w:spacing w:val="5"/>
      <w:kern w:val="2"/>
      <w:sz w:val="23"/>
      <w:szCs w:val="23"/>
      <w:lang w:val="en-US" w:eastAsia="zh-CN" w:bidi="ar-SA"/>
    </w:rPr>
  </w:style>
  <w:style w:type="paragraph" w:customStyle="1" w:styleId="209">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0">
    <w:name w:val="Char2"/>
    <w:basedOn w:val="1"/>
    <w:qFormat/>
    <w:uiPriority w:val="0"/>
    <w:rPr>
      <w:rFonts w:ascii="宋体" w:hAnsi="宋体" w:cs="Courier New"/>
      <w:sz w:val="32"/>
      <w:szCs w:val="32"/>
    </w:rPr>
  </w:style>
  <w:style w:type="paragraph" w:customStyle="1" w:styleId="211">
    <w:name w:val="7表格(治)"/>
    <w:qFormat/>
    <w:uiPriority w:val="0"/>
    <w:pPr>
      <w:jc w:val="center"/>
    </w:pPr>
    <w:rPr>
      <w:rFonts w:ascii="Times New Roman" w:hAnsi="Times New Roman" w:eastAsia="宋体" w:cs="Times New Roman"/>
      <w:sz w:val="21"/>
      <w:lang w:val="en-US" w:eastAsia="zh-CN" w:bidi="ar-SA"/>
    </w:rPr>
  </w:style>
  <w:style w:type="table" w:customStyle="1" w:styleId="212">
    <w:name w:val="网格型!42"/>
    <w:basedOn w:val="42"/>
    <w:unhideWhenUsed/>
    <w:qFormat/>
    <w:uiPriority w:val="99"/>
    <w:pPr>
      <w:widowControl w:val="0"/>
      <w:spacing w:line="360" w:lineRule="auto"/>
      <w:jc w:val="both"/>
    </w:pPr>
    <w:rPr>
      <w:sz w:val="21"/>
    </w:rPr>
    <w:tblPr>
      <w:jc w:val="center"/>
      <w:tblBorders>
        <w:top w:val="single" w:color="auto" w:sz="12" w:space="0"/>
        <w:bottom w:val="single" w:color="auto" w:sz="12" w:space="0"/>
        <w:insideH w:val="single" w:color="auto" w:sz="4" w:space="0"/>
        <w:insideV w:val="single" w:color="auto" w:sz="4" w:space="0"/>
      </w:tblBorders>
      <w:tblLayout w:type="fixed"/>
    </w:tblPr>
    <w:trPr>
      <w:jc w:val="center"/>
    </w:trPr>
    <w:tcPr>
      <w:vAlign w:val="center"/>
    </w:tcPr>
  </w:style>
  <w:style w:type="table" w:customStyle="1" w:styleId="213">
    <w:name w:val="(环评报告表）4"/>
    <w:basedOn w:val="4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customStyle="1" w:styleId="214">
    <w:name w:val="word11"/>
    <w:basedOn w:val="42"/>
    <w:qFormat/>
    <w:uiPriority w:val="39"/>
    <w:pPr>
      <w:jc w:val="center"/>
    </w:pPr>
    <w:tblPr>
      <w:tblBorders>
        <w:top w:val="single" w:color="auto" w:sz="12" w:space="0"/>
        <w:bottom w:val="single" w:color="auto" w:sz="12" w:space="0"/>
        <w:insideH w:val="single" w:color="auto" w:sz="4" w:space="0"/>
        <w:insideV w:val="single" w:color="auto" w:sz="4" w:space="0"/>
      </w:tblBorders>
      <w:tblLayout w:type="fixed"/>
    </w:tblPr>
    <w:tcPr>
      <w:vAlign w:val="center"/>
    </w:tcPr>
  </w:style>
  <w:style w:type="character" w:customStyle="1" w:styleId="215">
    <w:name w:val="表格内-C 字符"/>
    <w:link w:val="50"/>
    <w:qFormat/>
    <w:locked/>
    <w:uiPriority w:val="0"/>
  </w:style>
  <w:style w:type="character" w:customStyle="1" w:styleId="216">
    <w:name w:val="未处理的提及3"/>
    <w:basedOn w:val="34"/>
    <w:unhideWhenUsed/>
    <w:qFormat/>
    <w:uiPriority w:val="99"/>
    <w:rPr>
      <w:color w:val="605E5C"/>
      <w:shd w:val="clear" w:color="auto" w:fill="E1DFDD"/>
    </w:rPr>
  </w:style>
  <w:style w:type="paragraph" w:customStyle="1" w:styleId="217">
    <w:name w:val="表格内字体格式"/>
    <w:basedOn w:val="1"/>
    <w:qFormat/>
    <w:uiPriority w:val="0"/>
    <w:pPr>
      <w:jc w:val="center"/>
    </w:pPr>
    <w:rPr>
      <w:szCs w:val="20"/>
    </w:rPr>
  </w:style>
  <w:style w:type="table" w:customStyle="1" w:styleId="218">
    <w:name w:val="网格型2"/>
    <w:basedOn w:val="42"/>
    <w:qFormat/>
    <w:uiPriority w:val="99"/>
    <w:pPr>
      <w:widowControl w:val="0"/>
      <w:spacing w:line="360" w:lineRule="auto"/>
      <w:jc w:val="both"/>
    </w:pPr>
    <w:rPr>
      <w:sz w:val="21"/>
    </w:rPr>
    <w:tblPr>
      <w:tblBorders>
        <w:top w:val="single" w:color="auto" w:sz="12" w:space="0"/>
        <w:bottom w:val="single" w:color="auto" w:sz="12" w:space="0"/>
        <w:insideH w:val="single" w:color="auto" w:sz="4" w:space="0"/>
        <w:insideV w:val="single" w:color="auto" w:sz="4" w:space="0"/>
      </w:tblBorders>
      <w:tblLayout w:type="fixed"/>
    </w:tblPr>
    <w:tcPr>
      <w:vAlign w:val="center"/>
    </w:tcPr>
  </w:style>
  <w:style w:type="paragraph" w:customStyle="1" w:styleId="219">
    <w:name w:val="表格内字体"/>
    <w:basedOn w:val="22"/>
    <w:link w:val="220"/>
    <w:qFormat/>
    <w:uiPriority w:val="0"/>
    <w:pPr>
      <w:adjustRightInd w:val="0"/>
      <w:snapToGrid w:val="0"/>
      <w:jc w:val="center"/>
    </w:pPr>
    <w:rPr>
      <w:rFonts w:ascii="Times New Roman" w:hAnsi="Times New Roman" w:cs="仿宋_GB2312"/>
      <w:spacing w:val="0"/>
      <w:sz w:val="21"/>
      <w:szCs w:val="21"/>
    </w:rPr>
  </w:style>
  <w:style w:type="character" w:customStyle="1" w:styleId="220">
    <w:name w:val="表格内字体 Char"/>
    <w:link w:val="219"/>
    <w:qFormat/>
    <w:uiPriority w:val="0"/>
    <w:rPr>
      <w:rFonts w:cs="仿宋_GB2312"/>
      <w:kern w:val="2"/>
      <w:sz w:val="21"/>
      <w:szCs w:val="21"/>
    </w:rPr>
  </w:style>
  <w:style w:type="character" w:customStyle="1" w:styleId="221">
    <w:name w:val="cucd-0 Char1"/>
    <w:link w:val="222"/>
    <w:qFormat/>
    <w:uiPriority w:val="0"/>
    <w:rPr>
      <w:kern w:val="2"/>
      <w:sz w:val="24"/>
      <w:szCs w:val="24"/>
    </w:rPr>
  </w:style>
  <w:style w:type="paragraph" w:customStyle="1" w:styleId="222">
    <w:name w:val="cucd-0"/>
    <w:basedOn w:val="60"/>
    <w:link w:val="221"/>
    <w:qFormat/>
    <w:uiPriority w:val="0"/>
    <w:pPr>
      <w:spacing w:line="360" w:lineRule="auto"/>
      <w:ind w:firstLine="480"/>
      <w:jc w:val="left"/>
    </w:pPr>
    <w:rPr>
      <w:kern w:val="2"/>
    </w:rPr>
  </w:style>
  <w:style w:type="paragraph" w:customStyle="1" w:styleId="223">
    <w:name w:val="表 格"/>
    <w:basedOn w:val="1"/>
    <w:qFormat/>
    <w:uiPriority w:val="0"/>
    <w:pPr>
      <w:spacing w:line="300" w:lineRule="auto"/>
      <w:ind w:firstLine="883" w:firstLineChars="200"/>
      <w:jc w:val="center"/>
    </w:pPr>
    <w:rPr>
      <w:rFonts w:cs="幼圆"/>
      <w:kern w:val="0"/>
      <w:sz w:val="20"/>
      <w:szCs w:val="20"/>
      <w:lang w:eastAsia="en-US" w:bidi="en-US"/>
    </w:rPr>
  </w:style>
  <w:style w:type="character" w:customStyle="1" w:styleId="224">
    <w:name w:val="表格内字体 Char Char"/>
    <w:qFormat/>
    <w:uiPriority w:val="0"/>
    <w:rPr>
      <w:rFonts w:eastAsia="宋体"/>
      <w:bCs/>
      <w:kern w:val="2"/>
      <w:sz w:val="21"/>
      <w:szCs w:val="21"/>
    </w:rPr>
  </w:style>
  <w:style w:type="paragraph" w:customStyle="1" w:styleId="225">
    <w:name w:val="表后备注字体"/>
    <w:basedOn w:val="1"/>
    <w:qFormat/>
    <w:uiPriority w:val="0"/>
    <w:pPr>
      <w:ind w:firstLine="560" w:firstLineChars="200"/>
    </w:pPr>
  </w:style>
  <w:style w:type="character" w:customStyle="1" w:styleId="226">
    <w:name w:val="样式 亚行正文 + 自动设置 Char"/>
    <w:link w:val="227"/>
    <w:semiHidden/>
    <w:qFormat/>
    <w:uiPriority w:val="0"/>
    <w:rPr>
      <w:spacing w:val="-2"/>
      <w:sz w:val="24"/>
      <w:szCs w:val="24"/>
    </w:rPr>
  </w:style>
  <w:style w:type="paragraph" w:customStyle="1" w:styleId="227">
    <w:name w:val="样式 亚行正文 + 自动设置"/>
    <w:basedOn w:val="1"/>
    <w:link w:val="226"/>
    <w:semiHidden/>
    <w:qFormat/>
    <w:uiPriority w:val="0"/>
    <w:pPr>
      <w:spacing w:line="360" w:lineRule="auto"/>
      <w:ind w:firstLine="200" w:firstLineChars="200"/>
      <w:jc w:val="left"/>
    </w:pPr>
    <w:rPr>
      <w:spacing w:val="-2"/>
      <w:kern w:val="0"/>
      <w:sz w:val="24"/>
    </w:rPr>
  </w:style>
  <w:style w:type="paragraph" w:customStyle="1" w:styleId="228">
    <w:name w:val="默认段落字体 Para Char Char Char Char Char Char Char"/>
    <w:basedOn w:val="1"/>
    <w:qFormat/>
    <w:uiPriority w:val="0"/>
    <w:rPr>
      <w:rFonts w:ascii="Arial" w:hAnsi="Arial" w:cs="Arial"/>
      <w:sz w:val="20"/>
      <w:szCs w:val="20"/>
    </w:rPr>
  </w:style>
  <w:style w:type="paragraph" w:customStyle="1" w:styleId="229">
    <w:name w:val="标准段落"/>
    <w:basedOn w:val="1"/>
    <w:next w:val="1"/>
    <w:qFormat/>
    <w:uiPriority w:val="99"/>
    <w:pPr>
      <w:snapToGrid w:val="0"/>
      <w:spacing w:line="360" w:lineRule="auto"/>
      <w:ind w:firstLine="480" w:firstLineChars="200"/>
      <w:jc w:val="left"/>
    </w:pPr>
    <w:rPr>
      <w:rFonts w:hAnsi="宋体"/>
      <w:sz w:val="24"/>
    </w:rPr>
  </w:style>
  <w:style w:type="paragraph" w:customStyle="1" w:styleId="230">
    <w:name w:val="默认段落字体 Para Char"/>
    <w:basedOn w:val="1"/>
    <w:qFormat/>
    <w:uiPriority w:val="0"/>
    <w:pPr>
      <w:ind w:firstLine="200"/>
    </w:pPr>
    <w:rPr>
      <w:rFonts w:ascii="宋体" w:hAnsi="宋体" w:cs="宋体" w:eastAsiaTheme="minorEastAsia"/>
    </w:rPr>
  </w:style>
  <w:style w:type="paragraph" w:customStyle="1" w:styleId="231">
    <w:name w:val="1正文段落"/>
    <w:basedOn w:val="1"/>
    <w:qFormat/>
    <w:uiPriority w:val="0"/>
    <w:pPr>
      <w:ind w:firstLine="480"/>
    </w:pPr>
    <w:rPr>
      <w:rFonts w:asciiTheme="minorHAnsi" w:hAnsiTheme="minorHAnsi" w:eastAsiaTheme="minorEastAsia" w:cstheme="minorBidi"/>
      <w:snapToGrid w:val="0"/>
      <w:kern w:val="0"/>
    </w:rPr>
  </w:style>
  <w:style w:type="paragraph" w:customStyle="1" w:styleId="232">
    <w:name w:val="Quote"/>
    <w:next w:val="1"/>
    <w:link w:val="233"/>
    <w:qFormat/>
    <w:uiPriority w:val="29"/>
    <w:pPr>
      <w:spacing w:line="240" w:lineRule="atLeast"/>
      <w:jc w:val="center"/>
    </w:pPr>
    <w:rPr>
      <w:rFonts w:ascii="Times New Roman" w:hAnsi="Times New Roman" w:eastAsia="宋体" w:cs="Times New Roman"/>
      <w:iCs/>
      <w:kern w:val="2"/>
      <w:sz w:val="21"/>
      <w:szCs w:val="21"/>
      <w:lang w:val="en-US" w:eastAsia="zh-CN" w:bidi="ar-SA"/>
    </w:rPr>
  </w:style>
  <w:style w:type="character" w:customStyle="1" w:styleId="233">
    <w:name w:val="引用 字符"/>
    <w:basedOn w:val="34"/>
    <w:link w:val="232"/>
    <w:qFormat/>
    <w:uiPriority w:val="29"/>
    <w:rPr>
      <w:iCs/>
      <w:kern w:val="2"/>
      <w:sz w:val="21"/>
      <w:szCs w:val="21"/>
    </w:rPr>
  </w:style>
  <w:style w:type="paragraph" w:customStyle="1" w:styleId="234">
    <w:name w:val="图片"/>
    <w:basedOn w:val="187"/>
    <w:qFormat/>
    <w:uiPriority w:val="0"/>
    <w:pPr>
      <w:spacing w:before="50" w:beforeLines="50" w:line="240" w:lineRule="auto"/>
      <w:ind w:firstLine="0" w:firstLineChars="0"/>
      <w:jc w:val="center"/>
    </w:pPr>
    <w:rPr>
      <w:rFonts w:asciiTheme="minorHAnsi" w:hAnsiTheme="minorHAnsi" w:eastAsiaTheme="minorEastAsia" w:cstheme="minorBidi"/>
      <w:sz w:val="21"/>
      <w:szCs w:val="22"/>
    </w:rPr>
  </w:style>
  <w:style w:type="paragraph" w:customStyle="1" w:styleId="235">
    <w:name w:val="题注0"/>
    <w:basedOn w:val="84"/>
    <w:qFormat/>
    <w:uiPriority w:val="0"/>
    <w:pPr>
      <w:jc w:val="left"/>
    </w:pPr>
    <w:rPr>
      <w:rFonts w:asciiTheme="minorHAnsi" w:hAnsiTheme="minorHAnsi" w:eastAsiaTheme="minorEastAsia" w:cstheme="minorBidi"/>
      <w:b/>
      <w:i/>
      <w:sz w:val="18"/>
      <w:szCs w:val="21"/>
    </w:rPr>
  </w:style>
  <w:style w:type="paragraph" w:customStyle="1" w:styleId="236">
    <w:name w:val="样式 正文缩进正文缩进 Char正文缩进1 Char正文缩进1正文（首行缩进两字） Char正文缩进 Char Cha..."/>
    <w:basedOn w:val="15"/>
    <w:qFormat/>
    <w:uiPriority w:val="0"/>
    <w:pPr>
      <w:adjustRightInd/>
      <w:spacing w:beforeLines="50" w:line="360" w:lineRule="auto"/>
      <w:ind w:firstLine="567"/>
      <w:jc w:val="left"/>
      <w:textAlignment w:val="auto"/>
    </w:pPr>
    <w:rPr>
      <w:rFonts w:asciiTheme="minorHAnsi" w:hAnsiTheme="minorHAnsi" w:cstheme="minorBidi"/>
      <w:kern w:val="2"/>
      <w:szCs w:val="22"/>
    </w:rPr>
  </w:style>
  <w:style w:type="paragraph" w:customStyle="1" w:styleId="237">
    <w:name w:val="xumz-正文"/>
    <w:basedOn w:val="1"/>
    <w:qFormat/>
    <w:uiPriority w:val="0"/>
    <w:pPr>
      <w:snapToGrid w:val="0"/>
      <w:spacing w:line="360" w:lineRule="auto"/>
      <w:ind w:firstLine="200" w:firstLineChars="200"/>
      <w:textAlignment w:val="baseline"/>
    </w:pPr>
    <w:rPr>
      <w:rFonts w:asciiTheme="minorHAnsi" w:hAnsiTheme="minorHAnsi" w:eastAsiaTheme="minorEastAsia" w:cstheme="minorBidi"/>
      <w:sz w:val="24"/>
      <w:szCs w:val="22"/>
    </w:rPr>
  </w:style>
  <w:style w:type="paragraph" w:customStyle="1" w:styleId="238">
    <w:name w:val="徐-正文"/>
    <w:basedOn w:val="1"/>
    <w:qFormat/>
    <w:uiPriority w:val="0"/>
    <w:pPr>
      <w:adjustRightInd w:val="0"/>
      <w:snapToGrid w:val="0"/>
      <w:spacing w:line="360" w:lineRule="auto"/>
      <w:ind w:firstLine="420" w:firstLineChars="200"/>
    </w:pPr>
    <w:rPr>
      <w:rFonts w:asciiTheme="minorHAnsi" w:hAnsiTheme="minorHAnsi" w:eastAsiaTheme="minorEastAsia" w:cstheme="minorBidi"/>
      <w:sz w:val="24"/>
      <w:szCs w:val="22"/>
    </w:rPr>
  </w:style>
  <w:style w:type="character" w:customStyle="1" w:styleId="239">
    <w:name w:val="font21"/>
    <w:basedOn w:val="34"/>
    <w:qFormat/>
    <w:uiPriority w:val="0"/>
    <w:rPr>
      <w:rFonts w:hint="eastAsia" w:ascii="宋体" w:hAnsi="宋体" w:eastAsia="宋体" w:cs="宋体"/>
      <w:color w:val="000000"/>
      <w:sz w:val="20"/>
      <w:szCs w:val="20"/>
      <w:u w:val="none"/>
    </w:rPr>
  </w:style>
  <w:style w:type="character" w:customStyle="1" w:styleId="240">
    <w:name w:val="font11"/>
    <w:basedOn w:val="34"/>
    <w:qFormat/>
    <w:uiPriority w:val="0"/>
    <w:rPr>
      <w:rFonts w:hint="default" w:ascii="Times New Roman" w:hAnsi="Times New Roman" w:cs="Times New Roman"/>
      <w:color w:val="000000"/>
      <w:sz w:val="20"/>
      <w:szCs w:val="20"/>
      <w:u w:val="none"/>
    </w:rPr>
  </w:style>
  <w:style w:type="paragraph" w:customStyle="1" w:styleId="241">
    <w:name w:val="保定正文"/>
    <w:basedOn w:val="1"/>
    <w:qFormat/>
    <w:uiPriority w:val="0"/>
    <w:pPr>
      <w:spacing w:line="360" w:lineRule="auto"/>
      <w:ind w:firstLine="200" w:firstLineChars="200"/>
    </w:pPr>
    <w:rPr>
      <w:kern w:val="0"/>
      <w:sz w:val="24"/>
      <w:szCs w:val="20"/>
    </w:rPr>
  </w:style>
  <w:style w:type="paragraph" w:customStyle="1" w:styleId="242">
    <w:name w:val="样式 段落1 + 左 首行缩进:  2 字符 加宽量  0.3 磅"/>
    <w:basedOn w:val="1"/>
    <w:semiHidden/>
    <w:qFormat/>
    <w:uiPriority w:val="99"/>
    <w:pPr>
      <w:tabs>
        <w:tab w:val="left" w:pos="4254"/>
      </w:tabs>
      <w:adjustRightInd w:val="0"/>
      <w:snapToGrid w:val="0"/>
      <w:spacing w:line="360" w:lineRule="auto"/>
      <w:textAlignment w:val="baseline"/>
    </w:pPr>
    <w:rPr>
      <w:rFonts w:ascii="宋体" w:hAnsi="宋体"/>
      <w:bCs/>
      <w:spacing w:val="6"/>
      <w:kern w:val="0"/>
      <w:sz w:val="24"/>
    </w:rPr>
  </w:style>
  <w:style w:type="paragraph" w:customStyle="1" w:styleId="243">
    <w:name w:val="正文首行缩进1"/>
    <w:basedOn w:val="12"/>
    <w:semiHidden/>
    <w:qFormat/>
    <w:uiPriority w:val="0"/>
    <w:pPr>
      <w:widowControl w:val="0"/>
      <w:snapToGrid/>
      <w:spacing w:before="100" w:beforeAutospacing="1" w:after="120" w:line="240" w:lineRule="auto"/>
      <w:ind w:right="0" w:firstLine="420" w:firstLineChars="100"/>
    </w:pPr>
    <w:rPr>
      <w:rFonts w:ascii="等线" w:hAnsi="等线" w:eastAsia="等线"/>
      <w:kern w:val="2"/>
      <w:sz w:val="21"/>
      <w:szCs w:val="21"/>
    </w:rPr>
  </w:style>
  <w:style w:type="table" w:customStyle="1" w:styleId="244">
    <w:name w:val="网格型1"/>
    <w:basedOn w:val="42"/>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245">
    <w:name w:val="表头文字"/>
    <w:basedOn w:val="1"/>
    <w:qFormat/>
    <w:uiPriority w:val="0"/>
    <w:pPr>
      <w:jc w:val="center"/>
    </w:pPr>
    <w:rPr>
      <w:rFonts w:eastAsia="黑体" w:asciiTheme="minorHAnsi" w:hAnsiTheme="minorHAnsi" w:cstheme="minorBidi"/>
      <w:sz w:val="24"/>
      <w:szCs w:val="22"/>
    </w:rPr>
  </w:style>
  <w:style w:type="character" w:customStyle="1" w:styleId="246">
    <w:name w:val="font41"/>
    <w:basedOn w:val="34"/>
    <w:qFormat/>
    <w:uiPriority w:val="0"/>
    <w:rPr>
      <w:rFonts w:ascii="Arial" w:hAnsi="Arial" w:cs="Arial"/>
      <w:color w:val="000000"/>
      <w:sz w:val="24"/>
      <w:szCs w:val="24"/>
      <w:u w:val="none"/>
    </w:rPr>
  </w:style>
  <w:style w:type="character" w:customStyle="1" w:styleId="247">
    <w:name w:val="font31"/>
    <w:basedOn w:val="34"/>
    <w:qFormat/>
    <w:uiPriority w:val="0"/>
    <w:rPr>
      <w:rFonts w:ascii="微软雅黑" w:hAnsi="微软雅黑" w:eastAsia="微软雅黑" w:cs="微软雅黑"/>
      <w:color w:val="000000"/>
      <w:sz w:val="24"/>
      <w:szCs w:val="24"/>
      <w:u w:val="none"/>
      <w:vertAlign w:val="superscript"/>
    </w:rPr>
  </w:style>
  <w:style w:type="character" w:customStyle="1" w:styleId="248">
    <w:name w:val="font01"/>
    <w:basedOn w:val="34"/>
    <w:qFormat/>
    <w:uiPriority w:val="0"/>
    <w:rPr>
      <w:rFonts w:ascii="微软雅黑" w:hAnsi="微软雅黑" w:eastAsia="微软雅黑" w:cs="微软雅黑"/>
      <w:color w:val="000000"/>
      <w:sz w:val="24"/>
      <w:szCs w:val="24"/>
      <w:u w:val="none"/>
    </w:rPr>
  </w:style>
  <w:style w:type="table" w:customStyle="1" w:styleId="249">
    <w:name w:val="网格型!421"/>
    <w:basedOn w:val="42"/>
    <w:unhideWhenUsed/>
    <w:qFormat/>
    <w:uiPriority w:val="99"/>
    <w:pPr>
      <w:widowControl w:val="0"/>
      <w:spacing w:line="360" w:lineRule="auto"/>
      <w:jc w:val="both"/>
    </w:pPr>
    <w:rPr>
      <w:sz w:val="21"/>
    </w:rPr>
    <w:tblPr>
      <w:jc w:val="center"/>
      <w:tblBorders>
        <w:top w:val="single" w:color="auto" w:sz="12" w:space="0"/>
        <w:bottom w:val="single" w:color="auto" w:sz="12" w:space="0"/>
        <w:insideH w:val="single" w:color="auto" w:sz="4" w:space="0"/>
        <w:insideV w:val="single" w:color="auto" w:sz="4" w:space="0"/>
      </w:tblBorders>
      <w:tblLayout w:type="fixed"/>
    </w:tblPr>
    <w:trPr>
      <w:jc w:val="center"/>
    </w:trPr>
    <w:tcPr>
      <w:vAlign w:val="center"/>
    </w:tcPr>
  </w:style>
  <w:style w:type="paragraph" w:customStyle="1" w:styleId="250">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51">
    <w:name w:val="正文啊啊啊"/>
    <w:basedOn w:val="1"/>
    <w:link w:val="252"/>
    <w:qFormat/>
    <w:uiPriority w:val="0"/>
    <w:pPr>
      <w:widowControl/>
      <w:jc w:val="center"/>
    </w:pPr>
    <w:rPr>
      <w:kern w:val="0"/>
      <w:sz w:val="15"/>
      <w:szCs w:val="15"/>
    </w:rPr>
  </w:style>
  <w:style w:type="character" w:customStyle="1" w:styleId="252">
    <w:name w:val="正文啊啊啊 字符"/>
    <w:basedOn w:val="34"/>
    <w:link w:val="251"/>
    <w:qFormat/>
    <w:uiPriority w:val="0"/>
    <w:rPr>
      <w:sz w:val="15"/>
      <w:szCs w:val="15"/>
    </w:rPr>
  </w:style>
  <w:style w:type="paragraph" w:customStyle="1" w:styleId="253">
    <w:name w:val="样式44"/>
    <w:basedOn w:val="120"/>
    <w:link w:val="255"/>
    <w:qFormat/>
    <w:uiPriority w:val="0"/>
    <w:pPr>
      <w:spacing w:line="240" w:lineRule="auto"/>
    </w:pPr>
    <w:rPr>
      <w:color w:val="FF0000"/>
    </w:rPr>
  </w:style>
  <w:style w:type="paragraph" w:customStyle="1" w:styleId="254">
    <w:name w:val="样式55"/>
    <w:basedOn w:val="91"/>
    <w:link w:val="256"/>
    <w:qFormat/>
    <w:uiPriority w:val="0"/>
    <w:pPr>
      <w:spacing w:line="240" w:lineRule="auto"/>
      <w:ind w:left="0" w:firstLine="0"/>
    </w:pPr>
    <w:rPr>
      <w:b/>
      <w:bCs w:val="0"/>
    </w:rPr>
  </w:style>
  <w:style w:type="character" w:customStyle="1" w:styleId="255">
    <w:name w:val="样式44 字符"/>
    <w:basedOn w:val="123"/>
    <w:link w:val="253"/>
    <w:qFormat/>
    <w:uiPriority w:val="0"/>
    <w:rPr>
      <w:rFonts w:hAnsi="宋体"/>
      <w:color w:val="FF0000"/>
      <w:kern w:val="2"/>
      <w:sz w:val="24"/>
      <w:szCs w:val="24"/>
    </w:rPr>
  </w:style>
  <w:style w:type="character" w:customStyle="1" w:styleId="256">
    <w:name w:val="样式55 字符"/>
    <w:basedOn w:val="122"/>
    <w:link w:val="254"/>
    <w:qFormat/>
    <w:uiPriority w:val="0"/>
    <w:rPr>
      <w:rFonts w:hAnsi="宋体"/>
      <w:b/>
      <w:bCs w:val="0"/>
      <w:kern w:val="2"/>
      <w:sz w:val="24"/>
      <w:szCs w:val="24"/>
    </w:rPr>
  </w:style>
  <w:style w:type="paragraph" w:customStyle="1" w:styleId="257">
    <w:name w:val="正文样式"/>
    <w:basedOn w:val="1"/>
    <w:qFormat/>
    <w:uiPriority w:val="0"/>
    <w:pPr>
      <w:adjustRightInd w:val="0"/>
      <w:snapToGrid w:val="0"/>
      <w:spacing w:before="156" w:beforeLines="50" w:after="156" w:afterLines="50" w:line="312" w:lineRule="auto"/>
      <w:ind w:firstLine="480" w:firstLineChars="200"/>
      <w:jc w:val="left"/>
    </w:pPr>
  </w:style>
  <w:style w:type="paragraph" w:customStyle="1" w:styleId="258">
    <w:name w:val="表－居中列"/>
    <w:basedOn w:val="259"/>
    <w:qFormat/>
    <w:uiPriority w:val="0"/>
    <w:pPr>
      <w:spacing w:before="0" w:after="0"/>
      <w:jc w:val="center"/>
    </w:pPr>
  </w:style>
  <w:style w:type="paragraph" w:customStyle="1" w:styleId="259">
    <w:name w:val="表－左对齐"/>
    <w:basedOn w:val="1"/>
    <w:qFormat/>
    <w:uiPriority w:val="0"/>
    <w:pPr>
      <w:suppressLineNumbers/>
      <w:suppressAutoHyphens/>
      <w:snapToGrid w:val="0"/>
      <w:spacing w:before="60" w:after="60"/>
      <w:jc w:val="left"/>
    </w:pPr>
    <w:rPr>
      <w:kern w:val="0"/>
      <w:sz w:val="21"/>
      <w:szCs w:val="21"/>
      <w:lang w:eastAsia="ja-JP"/>
    </w:rPr>
  </w:style>
  <w:style w:type="paragraph" w:customStyle="1" w:styleId="260">
    <w:name w:val="热电厂正文"/>
    <w:basedOn w:val="1"/>
    <w:qFormat/>
    <w:uiPriority w:val="0"/>
    <w:pPr>
      <w:spacing w:line="440" w:lineRule="exact"/>
      <w:ind w:firstLine="480" w:firstLineChars="200"/>
    </w:pPr>
    <w:rPr>
      <w:sz w:val="24"/>
      <w:szCs w:val="20"/>
    </w:rPr>
  </w:style>
  <w:style w:type="paragraph" w:customStyle="1" w:styleId="261">
    <w:name w:val="...表格内容"/>
    <w:next w:val="1"/>
    <w:qFormat/>
    <w:uiPriority w:val="0"/>
    <w:pPr>
      <w:spacing w:line="240" w:lineRule="atLeast"/>
      <w:jc w:val="center"/>
    </w:pPr>
    <w:rPr>
      <w:rFonts w:ascii="Times New Roman" w:hAnsi="Times New Roman" w:eastAsia="Times New Roman" w:cs="Times New Roman"/>
      <w:kern w:val="2"/>
      <w:sz w:val="21"/>
      <w:szCs w:val="24"/>
      <w:lang w:val="en-US" w:eastAsia="zh-CN" w:bidi="ar-SA"/>
    </w:rPr>
  </w:style>
  <w:style w:type="paragraph" w:customStyle="1" w:styleId="262">
    <w:name w:val="哼"/>
    <w:basedOn w:val="1"/>
    <w:qFormat/>
    <w:uiPriority w:val="0"/>
    <w:pPr>
      <w:spacing w:line="480" w:lineRule="exact"/>
      <w:ind w:firstLine="1440" w:firstLineChars="200"/>
    </w:pPr>
    <w:rPr>
      <w:sz w:val="24"/>
    </w:rPr>
  </w:style>
  <w:style w:type="paragraph" w:customStyle="1" w:styleId="263">
    <w:name w:val="样式 样式 样式 样式 正文@ + 首行缩进:  2 字符 字距调整小四 紧缩量  0.2 磅 + 首行缩进:  2 字符 + ...1"/>
    <w:basedOn w:val="1"/>
    <w:qFormat/>
    <w:uiPriority w:val="0"/>
    <w:pPr>
      <w:widowControl w:val="0"/>
      <w:spacing w:line="312" w:lineRule="auto"/>
      <w:ind w:firstLine="438" w:firstLineChars="200"/>
      <w:jc w:val="both"/>
    </w:pPr>
    <w:rPr>
      <w:rFonts w:ascii="宋体" w:hAnsi="宋体" w:cs="宋体"/>
      <w:sz w:val="24"/>
    </w:rPr>
  </w:style>
  <w:style w:type="table" w:customStyle="1" w:styleId="264">
    <w:name w:val="00-规划部规划环评模板"/>
    <w:basedOn w:val="43"/>
    <w:qFormat/>
    <w:uiPriority w:val="0"/>
    <w:pPr>
      <w:widowControl w:val="0"/>
      <w:overflowPunct w:val="0"/>
      <w:topLinePunct/>
      <w:autoSpaceDE w:val="0"/>
      <w:autoSpaceDN w:val="0"/>
      <w:adjustRightInd w:val="0"/>
      <w:snapToGrid w:val="0"/>
      <w:jc w:val="center"/>
    </w:pPr>
    <w:rPr>
      <w:sz w:val="21"/>
    </w:rPr>
    <w:tblPr>
      <w:jc w:val="center"/>
      <w:tblBorders>
        <w:top w:val="single" w:color="auto" w:sz="12" w:space="0"/>
        <w:bottom w:val="single" w:color="auto" w:sz="12" w:space="0"/>
        <w:insideH w:val="single" w:color="auto" w:sz="4" w:space="0"/>
        <w:insideV w:val="single" w:color="auto" w:sz="4" w:space="0"/>
      </w:tblBorders>
      <w:tblLayout w:type="fixed"/>
    </w:tblPr>
    <w:trPr>
      <w:jc w:val="center"/>
    </w:trPr>
    <w:tcPr>
      <w:vAlign w:val="center"/>
    </w:tcPr>
  </w:style>
  <w:style w:type="paragraph" w:customStyle="1" w:styleId="265">
    <w:name w:val="."/>
    <w:basedOn w:val="1"/>
    <w:qFormat/>
    <w:uiPriority w:val="0"/>
    <w:pPr>
      <w:spacing w:line="480" w:lineRule="exact"/>
      <w:ind w:firstLine="1440" w:firstLineChars="200"/>
    </w:pPr>
    <w:rPr>
      <w:sz w:val="24"/>
    </w:rPr>
  </w:style>
  <w:style w:type="paragraph" w:customStyle="1" w:styleId="266">
    <w:name w:val="图"/>
    <w:basedOn w:val="16"/>
    <w:semiHidden/>
    <w:qFormat/>
    <w:uiPriority w:val="0"/>
    <w:pPr>
      <w:keepNext w:val="0"/>
      <w:spacing w:before="0" w:after="0" w:line="360" w:lineRule="auto"/>
    </w:pPr>
    <w:rPr>
      <w:rFonts w:ascii="宋体" w:hAnsi="宋体" w:cs="Times New Roman"/>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9" Type="http://schemas.openxmlformats.org/officeDocument/2006/relationships/fontTable" Target="fontTable.xml"/><Relationship Id="rId68" Type="http://schemas.openxmlformats.org/officeDocument/2006/relationships/customXml" Target="../customXml/item4.xml"/><Relationship Id="rId67" Type="http://schemas.openxmlformats.org/officeDocument/2006/relationships/customXml" Target="../customXml/item3.xml"/><Relationship Id="rId66" Type="http://schemas.openxmlformats.org/officeDocument/2006/relationships/customXml" Target="../customXml/item2.xml"/><Relationship Id="rId65" Type="http://schemas.openxmlformats.org/officeDocument/2006/relationships/numbering" Target="numbering.xml"/><Relationship Id="rId64" Type="http://schemas.openxmlformats.org/officeDocument/2006/relationships/customXml" Target="../customXml/item1.xml"/><Relationship Id="rId63" Type="http://schemas.openxmlformats.org/officeDocument/2006/relationships/image" Target="media/image36.png"/><Relationship Id="rId62" Type="http://schemas.openxmlformats.org/officeDocument/2006/relationships/image" Target="media/image35.png"/><Relationship Id="rId61" Type="http://schemas.openxmlformats.org/officeDocument/2006/relationships/image" Target="media/image34.png"/><Relationship Id="rId60" Type="http://schemas.openxmlformats.org/officeDocument/2006/relationships/image" Target="media/image33.png"/><Relationship Id="rId6" Type="http://schemas.openxmlformats.org/officeDocument/2006/relationships/footer" Target="footer2.xml"/><Relationship Id="rId59" Type="http://schemas.openxmlformats.org/officeDocument/2006/relationships/image" Target="media/image32.png"/><Relationship Id="rId58" Type="http://schemas.openxmlformats.org/officeDocument/2006/relationships/image" Target="media/image31.png"/><Relationship Id="rId57" Type="http://schemas.openxmlformats.org/officeDocument/2006/relationships/image" Target="media/image30.png"/><Relationship Id="rId56" Type="http://schemas.openxmlformats.org/officeDocument/2006/relationships/image" Target="media/image29.wmf"/><Relationship Id="rId55" Type="http://schemas.openxmlformats.org/officeDocument/2006/relationships/oleObject" Target="embeddings/oleObject18.bin"/><Relationship Id="rId54" Type="http://schemas.openxmlformats.org/officeDocument/2006/relationships/image" Target="media/image28.wmf"/><Relationship Id="rId53" Type="http://schemas.openxmlformats.org/officeDocument/2006/relationships/oleObject" Target="embeddings/oleObject17.bin"/><Relationship Id="rId52" Type="http://schemas.openxmlformats.org/officeDocument/2006/relationships/image" Target="media/image27.wmf"/><Relationship Id="rId51" Type="http://schemas.openxmlformats.org/officeDocument/2006/relationships/oleObject" Target="embeddings/oleObject16.bin"/><Relationship Id="rId50" Type="http://schemas.openxmlformats.org/officeDocument/2006/relationships/image" Target="media/image26.wmf"/><Relationship Id="rId5" Type="http://schemas.openxmlformats.org/officeDocument/2006/relationships/footer" Target="footer1.xml"/><Relationship Id="rId49" Type="http://schemas.openxmlformats.org/officeDocument/2006/relationships/image" Target="media/image25.wmf"/><Relationship Id="rId48" Type="http://schemas.openxmlformats.org/officeDocument/2006/relationships/oleObject" Target="embeddings/oleObject15.bin"/><Relationship Id="rId47" Type="http://schemas.openxmlformats.org/officeDocument/2006/relationships/image" Target="media/image24.wmf"/><Relationship Id="rId46" Type="http://schemas.openxmlformats.org/officeDocument/2006/relationships/oleObject" Target="embeddings/oleObject14.bin"/><Relationship Id="rId45" Type="http://schemas.openxmlformats.org/officeDocument/2006/relationships/image" Target="media/image23.wmf"/><Relationship Id="rId44" Type="http://schemas.openxmlformats.org/officeDocument/2006/relationships/oleObject" Target="embeddings/oleObject13.bin"/><Relationship Id="rId43" Type="http://schemas.openxmlformats.org/officeDocument/2006/relationships/image" Target="media/image22.wmf"/><Relationship Id="rId42" Type="http://schemas.openxmlformats.org/officeDocument/2006/relationships/oleObject" Target="embeddings/oleObject12.bin"/><Relationship Id="rId41" Type="http://schemas.openxmlformats.org/officeDocument/2006/relationships/image" Target="media/image21.wmf"/><Relationship Id="rId40" Type="http://schemas.openxmlformats.org/officeDocument/2006/relationships/oleObject" Target="embeddings/oleObject11.bin"/><Relationship Id="rId4" Type="http://schemas.openxmlformats.org/officeDocument/2006/relationships/header" Target="header1.xml"/><Relationship Id="rId39" Type="http://schemas.openxmlformats.org/officeDocument/2006/relationships/image" Target="media/image20.wmf"/><Relationship Id="rId38" Type="http://schemas.openxmlformats.org/officeDocument/2006/relationships/oleObject" Target="embeddings/oleObject10.bin"/><Relationship Id="rId37" Type="http://schemas.openxmlformats.org/officeDocument/2006/relationships/image" Target="media/image19.wmf"/><Relationship Id="rId36" Type="http://schemas.openxmlformats.org/officeDocument/2006/relationships/oleObject" Target="embeddings/oleObject9.bin"/><Relationship Id="rId35" Type="http://schemas.openxmlformats.org/officeDocument/2006/relationships/image" Target="media/image18.wmf"/><Relationship Id="rId34" Type="http://schemas.openxmlformats.org/officeDocument/2006/relationships/oleObject" Target="embeddings/oleObject8.bin"/><Relationship Id="rId33" Type="http://schemas.openxmlformats.org/officeDocument/2006/relationships/image" Target="media/image17.wmf"/><Relationship Id="rId32" Type="http://schemas.openxmlformats.org/officeDocument/2006/relationships/oleObject" Target="embeddings/oleObject7.bin"/><Relationship Id="rId31" Type="http://schemas.openxmlformats.org/officeDocument/2006/relationships/image" Target="media/image16.wmf"/><Relationship Id="rId30" Type="http://schemas.openxmlformats.org/officeDocument/2006/relationships/oleObject" Target="embeddings/oleObject6.bin"/><Relationship Id="rId3" Type="http://schemas.openxmlformats.org/officeDocument/2006/relationships/comments" Target="comments.xml"/><Relationship Id="rId29" Type="http://schemas.openxmlformats.org/officeDocument/2006/relationships/image" Target="media/image15.wmf"/><Relationship Id="rId28" Type="http://schemas.openxmlformats.org/officeDocument/2006/relationships/oleObject" Target="embeddings/oleObject5.bin"/><Relationship Id="rId27" Type="http://schemas.openxmlformats.org/officeDocument/2006/relationships/image" Target="media/image14.wmf"/><Relationship Id="rId26" Type="http://schemas.openxmlformats.org/officeDocument/2006/relationships/oleObject" Target="embeddings/oleObject4.bin"/><Relationship Id="rId25" Type="http://schemas.openxmlformats.org/officeDocument/2006/relationships/image" Target="media/image13.wmf"/><Relationship Id="rId24" Type="http://schemas.openxmlformats.org/officeDocument/2006/relationships/oleObject" Target="embeddings/oleObject3.bin"/><Relationship Id="rId23" Type="http://schemas.openxmlformats.org/officeDocument/2006/relationships/image" Target="media/image12.wmf"/><Relationship Id="rId22" Type="http://schemas.openxmlformats.org/officeDocument/2006/relationships/oleObject" Target="embeddings/oleObject2.bin"/><Relationship Id="rId21" Type="http://schemas.openxmlformats.org/officeDocument/2006/relationships/image" Target="media/image11.wmf"/><Relationship Id="rId20" Type="http://schemas.openxmlformats.org/officeDocument/2006/relationships/oleObject" Target="embeddings/oleObject1.bin"/><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wmf"/><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extobjs>
    <extobj name="F360BE8B-6686-4F3D-AEAF-501FE73E4058-1">
      <extobjdata type="F360BE8B-6686-4F3D-AEAF-501FE73E4058" data="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"/>
    </extobj>
    <extobj name="F360BE8B-6686-4F3D-AEAF-501FE73E4058-2">
      <extobjdata type="F360BE8B-6686-4F3D-AEAF-501FE73E4058" data="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"/>
    </extobj>
    <extobj name="F360BE8B-6686-4F3D-AEAF-501FE73E4058-3">
      <extobjdata type="F360BE8B-6686-4F3D-AEAF-501FE73E4058" data="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"/>
    </extobj>
  </extobjs>
</s:custom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92CCEE1EE60B4CA585D860AFDDB185" ma:contentTypeVersion="2" ma:contentTypeDescription="Create a new document." ma:contentTypeScope="" ma:versionID="e1c6b5174b5246146b3e9ad2389e5269">
  <xsd:schema xmlns:xsd="http://www.w3.org/2001/XMLSchema" xmlns:xs="http://www.w3.org/2001/XMLSchema" xmlns:p="http://schemas.microsoft.com/office/2006/metadata/properties" xmlns:ns3="c0cff3ea-42fe-48a1-8e8b-91e05d84b0a4" targetNamespace="http://schemas.microsoft.com/office/2006/metadata/properties" ma:root="true" ma:fieldsID="2ca2657a7f23225f9a8a8d454d5c8480" ns3:_="">
    <xsd:import namespace="c0cff3ea-42fe-48a1-8e8b-91e05d84b0a4"/>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cff3ea-42fe-48a1-8e8b-91e05d84b0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C971A-E560-4D7A-BC34-C1BB0079A35B}">
  <ds:schemaRefs/>
</ds:datastoreItem>
</file>

<file path=customXml/itemProps3.xml><?xml version="1.0" encoding="utf-8"?>
<ds:datastoreItem xmlns:ds="http://schemas.openxmlformats.org/officeDocument/2006/customXml" ds:itemID="{D4F050C3-D179-4A1E-BC98-5DEFF6CFE9F7}">
  <ds:schemaRefs/>
</ds:datastoreItem>
</file>

<file path=customXml/itemProps4.xml><?xml version="1.0" encoding="utf-8"?>
<ds:datastoreItem xmlns:ds="http://schemas.openxmlformats.org/officeDocument/2006/customXml" ds:itemID="{211E62DB-B695-4822-ACB1-35FAF9660A2C}">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55</Pages>
  <Words>30985</Words>
  <Characters>37020</Characters>
  <Lines>461</Lines>
  <Paragraphs>130</Paragraphs>
  <TotalTime>0</TotalTime>
  <ScaleCrop>false</ScaleCrop>
  <LinksUpToDate>false</LinksUpToDate>
  <CharactersWithSpaces>37312</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2023-02-15T10:38:00Z</dcterms:created>
  <dc:creator>lhj</dc:creator>
  <cp:lastModifiedBy>xy</cp:lastModifiedBy>
  <cp:lastPrinted>2024-09-20T00:57:00Z</cp:lastPrinted>
  <dcterms:modified xsi:type="dcterms:W3CDTF">2025-03-27T08:15:35Z</dcterms:modified>
  <dc:title>附件2</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D51AFB175B414874A85C4BAE1D51DCA2_13</vt:lpwstr>
  </property>
  <property fmtid="{D5CDD505-2E9C-101B-9397-08002B2CF9AE}" pid="4" name="ContentTypeId">
    <vt:lpwstr>0x010100D792CCEE1EE60B4CA585D860AFDDB185</vt:lpwstr>
  </property>
</Properties>
</file>