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3D90E1">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14:paraId="6A8AE7A3">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D2F7B9">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高邑县</w:t>
                            </w: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水利局</w:t>
                            </w:r>
                          </w:p>
                          <w:p w14:paraId="42D0C781">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14:paraId="792E2C28">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v:fill on="f" focussize="0,0"/>
                <v:stroke on="f" weight="0.5pt"/>
                <v:imagedata o:title=""/>
                <o:lock v:ext="edit" aspectratio="f"/>
                <v:textbox>
                  <w:txbxContent>
                    <w:p w14:paraId="10D2F7B9">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高邑县</w:t>
                      </w: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水利局</w:t>
                      </w:r>
                    </w:p>
                    <w:p w14:paraId="42D0C781">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14:paraId="792E2C28">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14:paraId="16264610">
      <w:pPr>
        <w:widowControl/>
        <w:jc w:val="center"/>
        <w:rPr>
          <w:rFonts w:asciiTheme="minorEastAsia" w:hAnsiTheme="minorEastAsia" w:eastAsiaTheme="minorEastAsia"/>
          <w:b/>
          <w:sz w:val="72"/>
          <w:szCs w:val="72"/>
        </w:rPr>
      </w:pPr>
    </w:p>
    <w:p w14:paraId="12D89E2A">
      <w:pPr>
        <w:widowControl/>
        <w:jc w:val="center"/>
        <w:rPr>
          <w:rFonts w:asciiTheme="minorEastAsia" w:hAnsiTheme="minorEastAsia" w:eastAsiaTheme="minorEastAsia"/>
          <w:b/>
          <w:sz w:val="72"/>
          <w:szCs w:val="72"/>
        </w:rPr>
      </w:pPr>
    </w:p>
    <w:p w14:paraId="341477FE">
      <w:pPr>
        <w:widowControl/>
        <w:jc w:val="center"/>
        <w:rPr>
          <w:rFonts w:asciiTheme="minorEastAsia" w:hAnsiTheme="minorEastAsia" w:eastAsiaTheme="minorEastAsia"/>
          <w:b/>
          <w:sz w:val="72"/>
          <w:szCs w:val="72"/>
        </w:rPr>
      </w:pPr>
    </w:p>
    <w:p w14:paraId="7F825628">
      <w:pPr>
        <w:widowControl/>
        <w:jc w:val="center"/>
        <w:rPr>
          <w:rFonts w:asciiTheme="minorEastAsia" w:hAnsiTheme="minorEastAsia" w:eastAsiaTheme="minorEastAsia"/>
          <w:b/>
          <w:sz w:val="72"/>
          <w:szCs w:val="72"/>
        </w:rPr>
      </w:pPr>
    </w:p>
    <w:p w14:paraId="546B3526">
      <w:pPr>
        <w:widowControl/>
        <w:jc w:val="center"/>
        <w:rPr>
          <w:rFonts w:asciiTheme="minorEastAsia" w:hAnsiTheme="minorEastAsia" w:eastAsiaTheme="minorEastAsia"/>
          <w:b/>
          <w:sz w:val="72"/>
          <w:szCs w:val="72"/>
        </w:rPr>
      </w:pPr>
    </w:p>
    <w:p w14:paraId="21867AC3">
      <w:pPr>
        <w:widowControl/>
        <w:jc w:val="center"/>
        <w:rPr>
          <w:rFonts w:asciiTheme="minorEastAsia" w:hAnsiTheme="minorEastAsia" w:eastAsiaTheme="minorEastAsia"/>
          <w:b/>
          <w:sz w:val="72"/>
          <w:szCs w:val="72"/>
        </w:rPr>
      </w:pPr>
    </w:p>
    <w:p w14:paraId="0231FA63">
      <w:pPr>
        <w:widowControl/>
        <w:jc w:val="center"/>
        <w:rPr>
          <w:rFonts w:asciiTheme="minorEastAsia" w:hAnsiTheme="minorEastAsia" w:eastAsiaTheme="minorEastAsia"/>
          <w:b/>
          <w:sz w:val="72"/>
          <w:szCs w:val="72"/>
        </w:rPr>
      </w:pPr>
    </w:p>
    <w:p w14:paraId="445B8F0A">
      <w:pPr>
        <w:widowControl/>
        <w:jc w:val="center"/>
        <w:rPr>
          <w:rFonts w:asciiTheme="minorEastAsia" w:hAnsiTheme="minorEastAsia" w:eastAsiaTheme="minorEastAsia"/>
          <w:b/>
          <w:sz w:val="72"/>
          <w:szCs w:val="72"/>
        </w:rPr>
      </w:pPr>
    </w:p>
    <w:p w14:paraId="57072F34">
      <w:pPr>
        <w:widowControl/>
        <w:jc w:val="center"/>
        <w:rPr>
          <w:rFonts w:ascii="楷体" w:hAnsi="楷体" w:eastAsia="楷体" w:cs="楷体"/>
          <w:b/>
          <w:sz w:val="40"/>
          <w:szCs w:val="40"/>
        </w:rPr>
      </w:pPr>
    </w:p>
    <w:p w14:paraId="6BEC8DEF">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w:t>
      </w:r>
      <w:r>
        <w:rPr>
          <w:rFonts w:hint="eastAsia" w:ascii="楷体" w:hAnsi="楷体" w:eastAsia="楷体" w:cs="微软雅黑"/>
          <w:b/>
          <w:sz w:val="40"/>
          <w:szCs w:val="40"/>
        </w:rPr>
        <w:t>八</w:t>
      </w:r>
      <w:r>
        <w:rPr>
          <w:rFonts w:hint="eastAsia" w:ascii="楷体_GB2312" w:hAnsi="楷体" w:eastAsia="楷体_GB2312" w:cs="楷体"/>
          <w:b/>
          <w:sz w:val="40"/>
          <w:szCs w:val="40"/>
        </w:rPr>
        <w:t>日</w:t>
      </w:r>
    </w:p>
    <w:p w14:paraId="10ECE2AA">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5648"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58A73880">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14:paraId="485AA4EA">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564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58A73880">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14:paraId="485AA4EA">
                        <w:pPr>
                          <w:jc w:val="center"/>
                        </w:pPr>
                      </w:p>
                    </w:txbxContent>
                  </v:textbox>
                </v:rect>
                <w10:anchorlock/>
              </v:group>
            </w:pict>
          </mc:Fallback>
        </mc:AlternateContent>
      </w:r>
      <w:r>
        <w:rPr>
          <w:rFonts w:hint="eastAsia" w:ascii="黑体" w:eastAsia="黑体"/>
          <w:sz w:val="48"/>
          <w:szCs w:val="48"/>
        </w:rPr>
        <w:t>目    录</w:t>
      </w:r>
    </w:p>
    <w:p w14:paraId="53E2F53F">
      <w:pPr>
        <w:widowControl/>
        <w:spacing w:line="580" w:lineRule="exact"/>
        <w:ind w:firstLine="640" w:firstLineChars="200"/>
        <w:rPr>
          <w:rFonts w:eastAsia="黑体"/>
          <w:sz w:val="32"/>
          <w:szCs w:val="32"/>
        </w:rPr>
      </w:pPr>
    </w:p>
    <w:p w14:paraId="7319A103">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14:paraId="5940EBC8">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35F29049">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57E04FA6">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65A3E6C8">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63CE1824">
      <w:pPr>
        <w:widowControl/>
        <w:spacing w:line="580" w:lineRule="exact"/>
        <w:ind w:left="640" w:firstLine="640" w:firstLineChars="200"/>
        <w:rPr>
          <w:rFonts w:eastAsia="仿宋_GB2312"/>
          <w:sz w:val="32"/>
          <w:szCs w:val="32"/>
        </w:rPr>
      </w:pPr>
      <w:r>
        <w:rPr>
          <w:rFonts w:eastAsia="仿宋_GB2312"/>
          <w:sz w:val="32"/>
          <w:szCs w:val="32"/>
        </w:rPr>
        <w:t>二、收入决算表</w:t>
      </w:r>
    </w:p>
    <w:p w14:paraId="3EBC924D">
      <w:pPr>
        <w:widowControl/>
        <w:spacing w:line="580" w:lineRule="exact"/>
        <w:ind w:left="640" w:firstLine="640" w:firstLineChars="200"/>
        <w:rPr>
          <w:rFonts w:eastAsia="仿宋_GB2312"/>
          <w:sz w:val="32"/>
          <w:szCs w:val="32"/>
        </w:rPr>
      </w:pPr>
      <w:r>
        <w:rPr>
          <w:rFonts w:eastAsia="仿宋_GB2312"/>
          <w:sz w:val="32"/>
          <w:szCs w:val="32"/>
        </w:rPr>
        <w:t>三、支出决算表</w:t>
      </w:r>
    </w:p>
    <w:p w14:paraId="15559439">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2BF12A7E">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3CD01ED6">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6CED967D">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2591D713">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15351537">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4A47CBAC">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6704BE0B">
      <w:pPr>
        <w:widowControl/>
        <w:spacing w:line="580" w:lineRule="exact"/>
        <w:ind w:firstLine="640" w:firstLineChars="200"/>
        <w:rPr>
          <w:rFonts w:eastAsia="黑体"/>
          <w:sz w:val="32"/>
          <w:szCs w:val="32"/>
        </w:rPr>
      </w:pPr>
    </w:p>
    <w:p w14:paraId="703A1370">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高邑县水利局</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3600"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DCF5B2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14:paraId="7D65E6C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73600;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14:paraId="1DCF5B2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14:paraId="7D65E6CF">
                        <w:pPr>
                          <w:jc w:val="center"/>
                        </w:pPr>
                      </w:p>
                    </w:txbxContent>
                  </v:textbox>
                </v:rect>
                <w10:anchorlock/>
              </v:group>
            </w:pict>
          </mc:Fallback>
        </mc:AlternateContent>
      </w:r>
    </w:p>
    <w:p w14:paraId="45691EAD">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60399BBE">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26B8DFC1">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5907DCD2">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292394AE">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4883F97C">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70009E30">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22CEF7C7">
      <w:pPr>
        <w:widowControl/>
        <w:spacing w:line="580" w:lineRule="exact"/>
        <w:ind w:firstLine="640" w:firstLineChars="200"/>
        <w:rPr>
          <w:rFonts w:eastAsia="黑体"/>
          <w:sz w:val="32"/>
          <w:szCs w:val="32"/>
        </w:rPr>
      </w:pPr>
      <w:r>
        <w:rPr>
          <w:rFonts w:eastAsia="黑体"/>
          <w:sz w:val="32"/>
          <w:szCs w:val="32"/>
        </w:rPr>
        <w:t>第四部分  名词解释</w:t>
      </w:r>
    </w:p>
    <w:p w14:paraId="2894766B">
      <w:pPr>
        <w:widowControl/>
        <w:spacing w:line="580" w:lineRule="exact"/>
        <w:ind w:firstLine="640" w:firstLineChars="200"/>
        <w:rPr>
          <w:rFonts w:eastAsia="黑体"/>
          <w:sz w:val="32"/>
          <w:szCs w:val="32"/>
        </w:rPr>
      </w:pPr>
    </w:p>
    <w:p w14:paraId="1F6D9CF2">
      <w:pPr>
        <w:widowControl/>
        <w:spacing w:line="580" w:lineRule="exact"/>
        <w:ind w:firstLine="640" w:firstLineChars="200"/>
        <w:rPr>
          <w:rFonts w:eastAsia="黑体"/>
          <w:sz w:val="32"/>
          <w:szCs w:val="32"/>
        </w:rPr>
      </w:pPr>
    </w:p>
    <w:p w14:paraId="0F20FBDE">
      <w:pPr>
        <w:widowControl/>
        <w:spacing w:line="580" w:lineRule="exact"/>
        <w:ind w:firstLine="640" w:firstLineChars="200"/>
        <w:rPr>
          <w:rFonts w:eastAsia="黑体"/>
          <w:sz w:val="32"/>
          <w:szCs w:val="32"/>
        </w:rPr>
      </w:pPr>
    </w:p>
    <w:p w14:paraId="448DB690">
      <w:pPr>
        <w:widowControl/>
        <w:spacing w:line="580" w:lineRule="exact"/>
        <w:ind w:firstLine="640" w:firstLineChars="200"/>
        <w:rPr>
          <w:rFonts w:eastAsia="黑体"/>
          <w:sz w:val="32"/>
          <w:szCs w:val="32"/>
        </w:rPr>
      </w:pPr>
    </w:p>
    <w:p w14:paraId="557CB963">
      <w:r>
        <w:br w:type="page"/>
      </w:r>
    </w:p>
    <w:p w14:paraId="08CD0E4A">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1552"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F7A8AB">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155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fill on="f" focussize="0,0"/>
                <v:stroke on="f" weight="0.5pt"/>
                <v:imagedata o:title=""/>
                <o:lock v:ext="edit" aspectratio="f"/>
                <v:textbox>
                  <w:txbxContent>
                    <w:p w14:paraId="17F7A8AB">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14:paraId="44E82391"/>
    <w:p w14:paraId="24B274A9"/>
    <w:p w14:paraId="25E3E0FA"/>
    <w:p w14:paraId="7F0272CC"/>
    <w:p w14:paraId="43BF1CBF"/>
    <w:p w14:paraId="2E587FAF"/>
    <w:p w14:paraId="73997A76"/>
    <w:p w14:paraId="3B8AA6F2"/>
    <w:p w14:paraId="743AA523"/>
    <w:p w14:paraId="370C8F23"/>
    <w:p w14:paraId="522EA816"/>
    <w:p w14:paraId="50C8DA52"/>
    <w:p w14:paraId="222E20F8"/>
    <w:p w14:paraId="00D6B94C"/>
    <w:p w14:paraId="178BEF73"/>
    <w:p w14:paraId="510D384D">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7D249D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14:paraId="0F8956F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17D249D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14:paraId="0F8956F6">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14:paraId="037B689D">
      <w:pPr>
        <w:ind w:firstLine="480" w:firstLineChars="150"/>
        <w:rPr>
          <w:rFonts w:ascii="仿宋" w:eastAsia="仿宋"/>
          <w:sz w:val="32"/>
          <w:szCs w:val="32"/>
        </w:rPr>
      </w:pPr>
      <w:r>
        <w:rPr>
          <w:rFonts w:hint="eastAsia" w:ascii="仿宋" w:eastAsia="仿宋"/>
          <w:sz w:val="32"/>
          <w:szCs w:val="32"/>
        </w:rPr>
        <w:t>1、贯彻落实国家、省关于水务工作方面的法律、法规、规章和政策，起草相关地方性法规、政府规章草案，拟订水务中长期发展规划和年度计划，并组织实施。</w:t>
      </w:r>
    </w:p>
    <w:p w14:paraId="0F2A5857">
      <w:pPr>
        <w:rPr>
          <w:rFonts w:ascii="仿宋" w:eastAsia="仿宋"/>
          <w:sz w:val="32"/>
          <w:szCs w:val="32"/>
        </w:rPr>
      </w:pPr>
      <w:r>
        <w:rPr>
          <w:rFonts w:hint="eastAsia" w:ascii="仿宋" w:eastAsia="仿宋"/>
          <w:sz w:val="32"/>
          <w:szCs w:val="32"/>
        </w:rPr>
        <w:t xml:space="preserve">   2、 负责生活、生产经营和生态环境用水的统筹兼顾和保障。实施水资源的统一监督管理，拟订水中长期供求计划、水量分配方案并监督实施；组织开展水资源调查评价工作，按规定开展水能资源调查工作；组织实施取水许可、水资源有偿使用制度和水资源论证、防洪论证制度；按照国家有关规定对供水单位实施管理与监督；组织供水行业特许经营的具体实施工作；指导乡镇供水工作。</w:t>
      </w:r>
    </w:p>
    <w:p w14:paraId="64063466">
      <w:pPr>
        <w:ind w:firstLine="320" w:firstLineChars="100"/>
        <w:rPr>
          <w:rFonts w:ascii="仿宋" w:eastAsia="仿宋"/>
          <w:sz w:val="32"/>
          <w:szCs w:val="32"/>
        </w:rPr>
      </w:pPr>
      <w:r>
        <w:rPr>
          <w:rFonts w:hint="eastAsia" w:ascii="仿宋" w:eastAsia="仿宋"/>
          <w:sz w:val="32"/>
          <w:szCs w:val="32"/>
        </w:rPr>
        <w:t xml:space="preserve"> 3、负责水资源保护工作。组织编制水资源保护规划；组织拟订水功能区划并监督实施，核定水域纳污能力，提出限制排污总量建议；指导水资源保护工作；指导地下水开发利用和城市规划区地下水资源管理保护工作；负责入河排污口设置审批工作。</w:t>
      </w:r>
    </w:p>
    <w:p w14:paraId="39796B91">
      <w:pPr>
        <w:ind w:firstLine="640" w:firstLineChars="200"/>
        <w:rPr>
          <w:rFonts w:ascii="仿宋" w:eastAsia="仿宋"/>
          <w:sz w:val="32"/>
          <w:szCs w:val="32"/>
        </w:rPr>
      </w:pPr>
      <w:r>
        <w:rPr>
          <w:rFonts w:hint="eastAsia" w:ascii="仿宋" w:eastAsia="仿宋"/>
          <w:sz w:val="32"/>
          <w:szCs w:val="32"/>
        </w:rPr>
        <w:t>4、负责防治水旱灾害，承担县防汛抗旱指挥部的具体工作。组织、协调、监督、指挥全县防汛抗旱工作，对主要河道和重要水工程实施防汛抗旱调度和应急水量调度，编制全县防汛抗旱应急预案并组织实施；指导水务突发公共事件的应急管理工作。</w:t>
      </w:r>
    </w:p>
    <w:p w14:paraId="68B57123">
      <w:pPr>
        <w:ind w:firstLine="640" w:firstLineChars="200"/>
        <w:rPr>
          <w:rFonts w:ascii="仿宋" w:eastAsia="仿宋"/>
          <w:sz w:val="32"/>
          <w:szCs w:val="32"/>
        </w:rPr>
      </w:pPr>
      <w:r>
        <w:rPr>
          <w:rFonts w:hint="eastAsia" w:ascii="仿宋" w:eastAsia="仿宋"/>
          <w:sz w:val="32"/>
          <w:szCs w:val="32"/>
        </w:rPr>
        <w:t>5、负责全县节约用水工作。拟订节约用水政策，编制节约用水规划，制定有关标准，并监督实施；指导和推动节水型社会建设工作。</w:t>
      </w:r>
    </w:p>
    <w:p w14:paraId="55F835F2">
      <w:pPr>
        <w:ind w:firstLine="640" w:firstLineChars="200"/>
        <w:rPr>
          <w:rFonts w:ascii="仿宋" w:eastAsia="仿宋"/>
          <w:sz w:val="32"/>
          <w:szCs w:val="32"/>
        </w:rPr>
      </w:pPr>
      <w:r>
        <w:rPr>
          <w:rFonts w:hint="eastAsia" w:ascii="仿宋" w:eastAsia="仿宋"/>
          <w:sz w:val="32"/>
          <w:szCs w:val="32"/>
        </w:rPr>
        <w:t>6、负责提出水务固定资产投资规模和方向、县级财政性资金安排的意见；按规定权限审批、核准县规划内和年度计划规模内固定资产投资项目；提出县级水务建设投资安排建议并组织实施；按照国家有关规定监督管理水务系统国有资产。</w:t>
      </w:r>
    </w:p>
    <w:p w14:paraId="787C2C72">
      <w:pPr>
        <w:ind w:firstLine="640" w:firstLineChars="200"/>
        <w:rPr>
          <w:rFonts w:ascii="仿宋" w:eastAsia="仿宋"/>
          <w:sz w:val="32"/>
          <w:szCs w:val="32"/>
        </w:rPr>
      </w:pPr>
      <w:r>
        <w:rPr>
          <w:rFonts w:hint="eastAsia" w:ascii="仿宋" w:eastAsia="仿宋"/>
          <w:sz w:val="32"/>
          <w:szCs w:val="32"/>
        </w:rPr>
        <w:t>7、指导全县水利设施、水域及其岸线的管理与保护；指导主要河道的治理和开发；指导水利工程建设与运行管理；组织实施具有控制性的重要水利工程建设与运行管理；承担水库移民管理工作。</w:t>
      </w:r>
    </w:p>
    <w:p w14:paraId="44F4CD8D">
      <w:pPr>
        <w:ind w:firstLine="640" w:firstLineChars="200"/>
        <w:rPr>
          <w:rFonts w:ascii="仿宋" w:eastAsia="仿宋"/>
          <w:sz w:val="32"/>
          <w:szCs w:val="32"/>
        </w:rPr>
      </w:pPr>
      <w:r>
        <w:rPr>
          <w:rFonts w:hint="eastAsia" w:ascii="仿宋" w:eastAsia="仿宋"/>
          <w:sz w:val="32"/>
          <w:szCs w:val="32"/>
        </w:rPr>
        <w:t>8、指导农村水利工作。组织协调农田水利基本建设，指导农村饮水安全、节水灌溉等工程建设与管理工作；指导农村水利社会化服务体系建设；按规定指导农村水能资源开发工作，指导水电农村电气化和小水电代燃料工作。</w:t>
      </w:r>
    </w:p>
    <w:p w14:paraId="68410D54">
      <w:pPr>
        <w:ind w:firstLine="640" w:firstLineChars="200"/>
        <w:rPr>
          <w:rFonts w:ascii="仿宋" w:eastAsia="仿宋"/>
          <w:sz w:val="32"/>
          <w:szCs w:val="32"/>
        </w:rPr>
      </w:pPr>
      <w:r>
        <w:rPr>
          <w:rFonts w:hint="eastAsia" w:ascii="仿宋" w:eastAsia="仿宋"/>
          <w:sz w:val="32"/>
          <w:szCs w:val="32"/>
        </w:rPr>
        <w:t>9、负责监督协调重要水事案件的查处，协调、仲裁水事纠纷，指导水政监察和水行政执法工作；依法负责水务行业安全生产工作，组织指导水库、水电站的安全监管；指导水利建设市场的监督管理；组织实施水利工程建设的监督。</w:t>
      </w:r>
    </w:p>
    <w:p w14:paraId="0D9828AB">
      <w:pPr>
        <w:ind w:firstLine="640" w:firstLineChars="200"/>
        <w:rPr>
          <w:rFonts w:ascii="仿宋" w:eastAsia="仿宋"/>
          <w:sz w:val="32"/>
          <w:szCs w:val="32"/>
        </w:rPr>
      </w:pPr>
      <w:r>
        <w:rPr>
          <w:rFonts w:hint="eastAsia" w:ascii="仿宋" w:eastAsia="仿宋"/>
          <w:sz w:val="32"/>
          <w:szCs w:val="32"/>
        </w:rPr>
        <w:t>10、开展水务方面科技和外事工作。组织水务科技项目的研发，指导科技成果的推广应用；组织开展水务行业质量监督工作，监督实施水务行业的技术标准和规程规范；承担水务统计工作；指导全县水务队伍建设；办理有关水务涉外事务。</w:t>
      </w:r>
    </w:p>
    <w:p w14:paraId="53278571">
      <w:pPr>
        <w:ind w:firstLine="640" w:firstLineChars="200"/>
        <w:rPr>
          <w:rFonts w:ascii="仿宋" w:eastAsia="仿宋"/>
          <w:sz w:val="32"/>
          <w:szCs w:val="32"/>
        </w:rPr>
      </w:pPr>
      <w:r>
        <w:rPr>
          <w:rFonts w:hint="eastAsia" w:ascii="仿宋" w:eastAsia="仿宋"/>
          <w:sz w:val="32"/>
          <w:szCs w:val="32"/>
        </w:rPr>
        <w:t>11、组织对全县河流、水库和地下水的水量、水质实施监测，发布水文水资源信息和全县水资源公报。</w:t>
      </w:r>
    </w:p>
    <w:p w14:paraId="07FA954B">
      <w:pPr>
        <w:ind w:firstLine="640" w:firstLineChars="200"/>
        <w:rPr>
          <w:rFonts w:ascii="仿宋" w:eastAsia="仿宋"/>
          <w:sz w:val="32"/>
          <w:szCs w:val="32"/>
        </w:rPr>
      </w:pPr>
      <w:r>
        <w:rPr>
          <w:rFonts w:hint="eastAsia" w:ascii="仿宋" w:eastAsia="仿宋"/>
          <w:sz w:val="32"/>
          <w:szCs w:val="32"/>
        </w:rPr>
        <w:t>12、承办县政府交办的其他事项。</w:t>
      </w:r>
    </w:p>
    <w:p w14:paraId="65A8CDD4">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14:paraId="5A67039C">
      <w:pPr>
        <w:ind w:firstLine="640" w:firstLineChars="200"/>
        <w:outlineLvl w:val="0"/>
        <w:rPr>
          <w:rFonts w:ascii="仿宋" w:eastAsia="仿宋"/>
          <w:sz w:val="32"/>
          <w:szCs w:val="32"/>
        </w:rPr>
      </w:pPr>
      <w:r>
        <w:rPr>
          <w:rFonts w:hint="eastAsia" w:ascii="仿宋" w:eastAsia="仿宋"/>
          <w:sz w:val="32"/>
          <w:szCs w:val="32"/>
        </w:rPr>
        <w:t>从预算单位构成来看：高邑县水务局主要包括1个预算单位，具体情况如下：高邑县水务局为正科级事业单位（填写行政或事业）单位，经费保障形式为财政性资金基本保证。</w:t>
      </w:r>
    </w:p>
    <w:p w14:paraId="6990A62D">
      <w:pPr>
        <w:jc w:val="center"/>
        <w:outlineLvl w:val="0"/>
        <w:rPr>
          <w:rFonts w:ascii="宋体"/>
          <w:b/>
          <w:sz w:val="32"/>
        </w:rPr>
      </w:pPr>
      <w:r>
        <w:rPr>
          <w:rFonts w:hint="eastAsia" w:ascii="宋体"/>
          <w:b/>
          <w:sz w:val="32"/>
        </w:rPr>
        <w:t>部门机构设置情况</w:t>
      </w:r>
    </w:p>
    <w:tbl>
      <w:tblPr>
        <w:tblStyle w:val="1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93"/>
        <w:gridCol w:w="1578"/>
        <w:gridCol w:w="1540"/>
        <w:gridCol w:w="3402"/>
      </w:tblGrid>
      <w:tr w14:paraId="74B1D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0" w:hRule="atLeast"/>
          <w:tblHeader/>
          <w:jc w:val="center"/>
        </w:trPr>
        <w:tc>
          <w:tcPr>
            <w:tcW w:w="2093" w:type="dxa"/>
            <w:vMerge w:val="restart"/>
            <w:vAlign w:val="center"/>
          </w:tcPr>
          <w:p w14:paraId="270AF391">
            <w:pPr>
              <w:spacing w:line="300" w:lineRule="exact"/>
              <w:jc w:val="center"/>
              <w:rPr>
                <w:rFonts w:ascii="仿宋" w:eastAsia="仿宋"/>
                <w:b/>
                <w:sz w:val="28"/>
                <w:szCs w:val="28"/>
              </w:rPr>
            </w:pPr>
            <w:r>
              <w:rPr>
                <w:rFonts w:hint="eastAsia" w:ascii="仿宋" w:eastAsia="仿宋"/>
                <w:b/>
                <w:sz w:val="28"/>
                <w:szCs w:val="28"/>
              </w:rPr>
              <w:t>单位名称</w:t>
            </w:r>
          </w:p>
        </w:tc>
        <w:tc>
          <w:tcPr>
            <w:tcW w:w="1578" w:type="dxa"/>
            <w:vMerge w:val="restart"/>
            <w:vAlign w:val="center"/>
          </w:tcPr>
          <w:p w14:paraId="2C76CD58">
            <w:pPr>
              <w:spacing w:line="300" w:lineRule="exact"/>
              <w:jc w:val="center"/>
              <w:rPr>
                <w:rFonts w:ascii="仿宋" w:eastAsia="仿宋"/>
                <w:b/>
                <w:sz w:val="28"/>
                <w:szCs w:val="28"/>
              </w:rPr>
            </w:pPr>
            <w:r>
              <w:rPr>
                <w:rFonts w:hint="eastAsia" w:ascii="仿宋" w:eastAsia="仿宋"/>
                <w:b/>
                <w:sz w:val="28"/>
                <w:szCs w:val="28"/>
              </w:rPr>
              <w:t>单位性质</w:t>
            </w:r>
          </w:p>
        </w:tc>
        <w:tc>
          <w:tcPr>
            <w:tcW w:w="1540" w:type="dxa"/>
            <w:vMerge w:val="restart"/>
            <w:vAlign w:val="center"/>
          </w:tcPr>
          <w:p w14:paraId="746866A1">
            <w:pPr>
              <w:spacing w:line="300" w:lineRule="exact"/>
              <w:jc w:val="center"/>
              <w:rPr>
                <w:rFonts w:ascii="仿宋" w:eastAsia="仿宋"/>
                <w:b/>
                <w:sz w:val="28"/>
                <w:szCs w:val="28"/>
              </w:rPr>
            </w:pPr>
            <w:r>
              <w:rPr>
                <w:rFonts w:hint="eastAsia" w:ascii="仿宋" w:eastAsia="仿宋"/>
                <w:b/>
                <w:sz w:val="28"/>
                <w:szCs w:val="28"/>
              </w:rPr>
              <w:t>单位规格</w:t>
            </w:r>
          </w:p>
        </w:tc>
        <w:tc>
          <w:tcPr>
            <w:tcW w:w="3402" w:type="dxa"/>
            <w:vMerge w:val="restart"/>
            <w:vAlign w:val="center"/>
          </w:tcPr>
          <w:p w14:paraId="3CEF750A">
            <w:pPr>
              <w:spacing w:line="300" w:lineRule="exact"/>
              <w:jc w:val="center"/>
              <w:rPr>
                <w:rFonts w:ascii="仿宋" w:eastAsia="仿宋"/>
                <w:b/>
                <w:sz w:val="28"/>
                <w:szCs w:val="28"/>
              </w:rPr>
            </w:pPr>
            <w:r>
              <w:rPr>
                <w:rFonts w:hint="eastAsia" w:ascii="仿宋" w:eastAsia="仿宋"/>
                <w:b/>
                <w:sz w:val="28"/>
                <w:szCs w:val="28"/>
              </w:rPr>
              <w:t>经费保障形式</w:t>
            </w:r>
          </w:p>
        </w:tc>
      </w:tr>
      <w:tr w14:paraId="12D86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4" w:hRule="atLeast"/>
          <w:tblHeader/>
          <w:jc w:val="center"/>
        </w:trPr>
        <w:tc>
          <w:tcPr>
            <w:tcW w:w="2093" w:type="dxa"/>
            <w:vMerge w:val="continue"/>
            <w:vAlign w:val="center"/>
          </w:tcPr>
          <w:p w14:paraId="7D1FCD8C"/>
        </w:tc>
        <w:tc>
          <w:tcPr>
            <w:tcW w:w="1578" w:type="dxa"/>
            <w:vMerge w:val="continue"/>
            <w:vAlign w:val="center"/>
          </w:tcPr>
          <w:p w14:paraId="77768217"/>
        </w:tc>
        <w:tc>
          <w:tcPr>
            <w:tcW w:w="1540" w:type="dxa"/>
            <w:vMerge w:val="continue"/>
            <w:vAlign w:val="center"/>
          </w:tcPr>
          <w:p w14:paraId="742D6FF6"/>
        </w:tc>
        <w:tc>
          <w:tcPr>
            <w:tcW w:w="3402" w:type="dxa"/>
            <w:vMerge w:val="continue"/>
            <w:vAlign w:val="center"/>
          </w:tcPr>
          <w:p w14:paraId="32E62600"/>
        </w:tc>
      </w:tr>
      <w:tr w14:paraId="4882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093" w:type="dxa"/>
            <w:vAlign w:val="center"/>
          </w:tcPr>
          <w:p w14:paraId="77FFE17D">
            <w:pPr>
              <w:jc w:val="center"/>
              <w:rPr>
                <w:rFonts w:ascii="仿宋" w:eastAsia="仿宋"/>
                <w:sz w:val="28"/>
                <w:szCs w:val="28"/>
              </w:rPr>
            </w:pPr>
            <w:r>
              <w:rPr>
                <w:rFonts w:hint="eastAsia" w:ascii="仿宋" w:eastAsia="仿宋"/>
                <w:sz w:val="28"/>
                <w:szCs w:val="28"/>
              </w:rPr>
              <w:t>高邑县水务局</w:t>
            </w:r>
          </w:p>
        </w:tc>
        <w:tc>
          <w:tcPr>
            <w:tcW w:w="1578" w:type="dxa"/>
            <w:vAlign w:val="center"/>
          </w:tcPr>
          <w:p w14:paraId="455187AC">
            <w:pPr>
              <w:jc w:val="center"/>
              <w:rPr>
                <w:rFonts w:ascii="仿宋" w:eastAsia="仿宋"/>
                <w:sz w:val="28"/>
                <w:szCs w:val="28"/>
              </w:rPr>
            </w:pPr>
            <w:r>
              <w:rPr>
                <w:rFonts w:hint="eastAsia" w:ascii="仿宋" w:eastAsia="仿宋"/>
                <w:sz w:val="28"/>
                <w:szCs w:val="28"/>
              </w:rPr>
              <w:t>事业</w:t>
            </w:r>
          </w:p>
        </w:tc>
        <w:tc>
          <w:tcPr>
            <w:tcW w:w="1540" w:type="dxa"/>
            <w:vAlign w:val="center"/>
          </w:tcPr>
          <w:p w14:paraId="684C6C56">
            <w:pPr>
              <w:jc w:val="center"/>
              <w:rPr>
                <w:rFonts w:ascii="仿宋" w:eastAsia="仿宋"/>
                <w:sz w:val="28"/>
                <w:szCs w:val="28"/>
              </w:rPr>
            </w:pPr>
            <w:r>
              <w:rPr>
                <w:rFonts w:hint="eastAsia" w:ascii="仿宋" w:eastAsia="仿宋"/>
                <w:sz w:val="28"/>
                <w:szCs w:val="28"/>
              </w:rPr>
              <w:t>正科级</w:t>
            </w:r>
          </w:p>
        </w:tc>
        <w:tc>
          <w:tcPr>
            <w:tcW w:w="3402" w:type="dxa"/>
            <w:vAlign w:val="center"/>
          </w:tcPr>
          <w:p w14:paraId="41224FC8">
            <w:pPr>
              <w:jc w:val="center"/>
              <w:rPr>
                <w:rFonts w:ascii="仿宋" w:eastAsia="仿宋"/>
                <w:sz w:val="28"/>
                <w:szCs w:val="28"/>
              </w:rPr>
            </w:pPr>
            <w:r>
              <w:rPr>
                <w:rFonts w:hint="eastAsia" w:ascii="仿宋" w:eastAsia="仿宋"/>
                <w:sz w:val="28"/>
                <w:szCs w:val="28"/>
              </w:rPr>
              <w:t>财政性资金基本保证</w:t>
            </w:r>
          </w:p>
        </w:tc>
      </w:tr>
    </w:tbl>
    <w:p w14:paraId="1DF3ECAC">
      <w:pPr>
        <w:spacing w:after="0" w:line="560" w:lineRule="exact"/>
        <w:rPr>
          <w:rFonts w:ascii="仿宋_GB2312" w:eastAsia="仿宋_GB2312" w:cs="ArialUnicodeMS" w:hAnsiTheme="minorHAnsi"/>
          <w:kern w:val="0"/>
          <w:sz w:val="32"/>
          <w:szCs w:val="32"/>
        </w:rPr>
      </w:pPr>
    </w:p>
    <w:p w14:paraId="67FF695A">
      <w:pPr>
        <w:widowControl/>
        <w:spacing w:line="560" w:lineRule="exact"/>
        <w:jc w:val="center"/>
        <w:rPr>
          <w:rFonts w:ascii="黑体" w:eastAsia="黑体" w:cs="MS-UIGothic,Bold" w:hAnsiTheme="minorHAnsi"/>
          <w:bCs/>
          <w:kern w:val="0"/>
          <w:sz w:val="52"/>
          <w:szCs w:val="52"/>
        </w:rPr>
      </w:pPr>
    </w:p>
    <w:p w14:paraId="734E0BCD">
      <w:pPr>
        <w:widowControl/>
        <w:spacing w:line="560" w:lineRule="exact"/>
        <w:jc w:val="center"/>
        <w:rPr>
          <w:rFonts w:ascii="黑体" w:eastAsia="黑体" w:cs="MS-UIGothic,Bold" w:hAnsiTheme="minorHAnsi"/>
          <w:bCs/>
          <w:kern w:val="0"/>
          <w:sz w:val="52"/>
          <w:szCs w:val="52"/>
        </w:rPr>
      </w:pPr>
    </w:p>
    <w:p w14:paraId="0DA1ACCC">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14:paraId="0AC54C48">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14:paraId="4936FCB4">
      <w:pPr>
        <w:widowControl/>
        <w:spacing w:line="560" w:lineRule="exact"/>
        <w:jc w:val="center"/>
        <w:rPr>
          <w:rFonts w:ascii="黑体" w:eastAsia="黑体" w:cs="MS-UIGothic,Bold" w:hAnsiTheme="minorHAnsi"/>
          <w:bCs/>
          <w:kern w:val="0"/>
          <w:sz w:val="52"/>
          <w:szCs w:val="52"/>
        </w:rPr>
      </w:pPr>
    </w:p>
    <w:p w14:paraId="079BB1A4">
      <w:pPr>
        <w:rPr>
          <w:rFonts w:ascii="宋体" w:hAnsi="宋体" w:cs="ArialUnicodeMS"/>
          <w:color w:val="000000"/>
          <w:kern w:val="0"/>
        </w:rPr>
      </w:pPr>
    </w:p>
    <w:p w14:paraId="6B7C7541">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23C47C">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14:paraId="105A7AC4">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fill on="f" focussize="0,0"/>
                <v:stroke on="f" weight="0.5pt"/>
                <v:imagedata o:title=""/>
                <o:lock v:ext="edit" aspectratio="f"/>
                <v:textbox>
                  <w:txbxContent>
                    <w:p w14:paraId="2F23C47C">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14:paraId="105A7AC4">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p w14:paraId="72768B9D">
      <w:pPr>
        <w:tabs>
          <w:tab w:val="left" w:pos="1086"/>
        </w:tabs>
        <w:jc w:val="left"/>
        <w:rPr>
          <w:rFonts w:ascii="仿宋_GB2312" w:eastAsia="仿宋_GB2312" w:hAnsiTheme="majorEastAsia"/>
          <w:b/>
          <w:bCs/>
          <w:sz w:val="52"/>
          <w:szCs w:val="52"/>
          <w:highlight w:val="yellow"/>
        </w:rPr>
        <w:sectPr>
          <w:pgSz w:w="11906" w:h="16838"/>
          <w:pgMar w:top="2098" w:right="1474" w:bottom="1984" w:left="1588" w:header="851" w:footer="992" w:gutter="0"/>
          <w:cols w:space="0" w:num="1"/>
          <w:docGrid w:type="lines" w:linePitch="312" w:charSpace="0"/>
        </w:sectPr>
      </w:pPr>
      <w:r>
        <w:rPr>
          <w:rFonts w:hint="eastAsia"/>
          <w:b/>
          <w:bCs/>
          <w:sz w:val="52"/>
          <w:szCs w:val="52"/>
        </w:rPr>
        <w:t>见附表1—10</w:t>
      </w:r>
      <w:r>
        <w:rPr>
          <w:rFonts w:hint="eastAsia"/>
          <w:b/>
          <w:bCs/>
          <w:sz w:val="52"/>
          <w:szCs w:val="52"/>
        </w:rPr>
        <w:tab/>
      </w:r>
    </w:p>
    <w:p w14:paraId="64403969">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0AD2AC5">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14:paraId="6C162328">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fill on="f" focussize="0,0"/>
                <v:stroke on="f" weight="0.5pt"/>
                <v:imagedata o:title=""/>
                <o:lock v:ext="edit" aspectratio="f"/>
                <v:textbox>
                  <w:txbxContent>
                    <w:p w14:paraId="30AD2AC5">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14:paraId="6C162328">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14:paraId="379CB333">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8998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D90B6F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6B35630A">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998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1D90B6F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6B35630A">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14:paraId="2FABA0C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本部门2018年度收支总计（含结转和结余）1722</w:t>
      </w:r>
      <w:r>
        <w:rPr>
          <w:rFonts w:hint="eastAsia" w:ascii="仿宋" w:hAnsi="仿宋" w:eastAsia="仿宋" w:cs="Calibri"/>
          <w:sz w:val="32"/>
          <w:szCs w:val="32"/>
        </w:rPr>
        <w:t>9.34</w:t>
      </w:r>
      <w:r>
        <w:rPr>
          <w:rFonts w:hint="eastAsia" w:ascii="仿宋_GB2312" w:eastAsia="仿宋_GB2312" w:cs="DengXian-Regular"/>
          <w:sz w:val="32"/>
          <w:szCs w:val="32"/>
        </w:rPr>
        <w:t>万元。与2017年度决算相比，收支各减少312.52万元，下降3.5%，主要原因是18年在建项目支出减少，所以同比有差</w:t>
      </w:r>
      <w:r>
        <w:rPr>
          <w:rFonts w:hint="eastAsia" w:ascii="宋体" w:hAnsi="宋体" w:cs="微软雅黑"/>
          <w:sz w:val="32"/>
          <w:szCs w:val="32"/>
        </w:rPr>
        <w:t>异</w:t>
      </w:r>
      <w:r>
        <w:rPr>
          <w:rFonts w:hint="eastAsia" w:ascii="仿宋_GB2312" w:eastAsia="仿宋_GB2312" w:cs="DengXian-Regular"/>
          <w:sz w:val="32"/>
          <w:szCs w:val="32"/>
        </w:rPr>
        <w:t>。</w:t>
      </w:r>
    </w:p>
    <w:p w14:paraId="40596735">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0B17269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 w:hAnsi="仿宋" w:eastAsia="仿宋" w:cs="DengXian-Regular"/>
          <w:sz w:val="32"/>
          <w:szCs w:val="32"/>
        </w:rPr>
        <w:t>2951.44</w:t>
      </w:r>
      <w:r>
        <w:rPr>
          <w:rFonts w:hint="eastAsia" w:ascii="仿宋_GB2312" w:eastAsia="仿宋_GB2312" w:cs="DengXian-Regular"/>
          <w:sz w:val="32"/>
          <w:szCs w:val="32"/>
        </w:rPr>
        <w:t>万元，其中：财政拨款收入</w:t>
      </w:r>
      <w:r>
        <w:rPr>
          <w:rFonts w:hint="eastAsia" w:ascii="仿宋" w:hAnsi="仿宋" w:eastAsia="仿宋" w:cs="Calibri"/>
          <w:sz w:val="32"/>
          <w:szCs w:val="32"/>
        </w:rPr>
        <w:t>2951.44</w:t>
      </w:r>
      <w:r>
        <w:rPr>
          <w:rFonts w:hint="eastAsia" w:ascii="仿宋_GB2312" w:eastAsia="仿宋_GB2312" w:cs="DengXian-Regular"/>
          <w:sz w:val="32"/>
          <w:szCs w:val="32"/>
        </w:rPr>
        <w:t>万元，占100%；上级补助收入0万元，占0%；事业收入0万元，占0%；经营收入0万元，占0%；附</w:t>
      </w:r>
      <w:r>
        <w:rPr>
          <w:rFonts w:hint="eastAsia" w:ascii="仿宋" w:hAnsi="仿宋" w:eastAsia="仿宋" w:cs="DengXian-Regular"/>
          <w:sz w:val="32"/>
          <w:szCs w:val="32"/>
        </w:rPr>
        <w:t>属单位上</w:t>
      </w:r>
      <w:r>
        <w:rPr>
          <w:rFonts w:hint="eastAsia" w:ascii="仿宋_GB2312" w:eastAsia="仿宋_GB2312" w:cs="DengXian-Regular"/>
          <w:sz w:val="32"/>
          <w:szCs w:val="32"/>
        </w:rPr>
        <w:t>缴收入0万元，占0%；其他收入0万元，占0%。如图所示：</w:t>
      </w:r>
    </w:p>
    <w:p w14:paraId="29B74891">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78720" behindDoc="1" locked="0" layoutInCell="1" allowOverlap="1">
            <wp:simplePos x="0" y="0"/>
            <wp:positionH relativeFrom="column">
              <wp:posOffset>756920</wp:posOffset>
            </wp:positionH>
            <wp:positionV relativeFrom="paragraph">
              <wp:posOffset>7620</wp:posOffset>
            </wp:positionV>
            <wp:extent cx="4572000" cy="2743200"/>
            <wp:effectExtent l="38100" t="0" r="0" b="19050"/>
            <wp:wrapNone/>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14:paraId="499D3BE8">
      <w:pPr>
        <w:adjustRightInd w:val="0"/>
        <w:snapToGrid w:val="0"/>
        <w:spacing w:after="0" w:line="580" w:lineRule="exact"/>
        <w:ind w:firstLine="1920" w:firstLineChars="600"/>
        <w:rPr>
          <w:rFonts w:ascii="仿宋_GB2312" w:eastAsia="仿宋_GB2312" w:cs="DengXian-Regular"/>
          <w:sz w:val="32"/>
          <w:szCs w:val="32"/>
        </w:rPr>
      </w:pPr>
    </w:p>
    <w:p w14:paraId="6FC152E0">
      <w:pPr>
        <w:adjustRightInd w:val="0"/>
        <w:snapToGrid w:val="0"/>
        <w:spacing w:after="0" w:line="580" w:lineRule="exact"/>
        <w:ind w:firstLine="1920" w:firstLineChars="600"/>
        <w:rPr>
          <w:rFonts w:ascii="仿宋_GB2312" w:eastAsia="仿宋_GB2312" w:cs="DengXian-Regular"/>
          <w:sz w:val="32"/>
          <w:szCs w:val="32"/>
        </w:rPr>
      </w:pPr>
    </w:p>
    <w:p w14:paraId="6FC997E9">
      <w:pPr>
        <w:adjustRightInd w:val="0"/>
        <w:snapToGrid w:val="0"/>
        <w:spacing w:after="0" w:line="580" w:lineRule="exact"/>
        <w:rPr>
          <w:rFonts w:ascii="仿宋_GB2312" w:eastAsia="仿宋_GB2312" w:cs="DengXian-Regular"/>
          <w:sz w:val="32"/>
          <w:szCs w:val="32"/>
        </w:rPr>
      </w:pPr>
    </w:p>
    <w:p w14:paraId="06C60445">
      <w:pPr>
        <w:pStyle w:val="3"/>
        <w:spacing w:before="0" w:after="0" w:line="580" w:lineRule="exact"/>
        <w:rPr>
          <w:rFonts w:ascii="黑体" w:eastAsia="黑体"/>
        </w:rPr>
      </w:pPr>
    </w:p>
    <w:p w14:paraId="77EE578E">
      <w:pPr>
        <w:pStyle w:val="3"/>
        <w:spacing w:before="0" w:after="0" w:line="580" w:lineRule="exact"/>
        <w:ind w:firstLine="643" w:firstLineChars="200"/>
        <w:rPr>
          <w:rFonts w:ascii="黑体" w:eastAsia="黑体"/>
        </w:rPr>
      </w:pPr>
    </w:p>
    <w:p w14:paraId="60C2AE89">
      <w:pPr>
        <w:pStyle w:val="3"/>
        <w:spacing w:before="0" w:after="0" w:line="580" w:lineRule="exact"/>
        <w:ind w:firstLine="643" w:firstLineChars="200"/>
        <w:rPr>
          <w:rFonts w:ascii="黑体" w:eastAsia="黑体"/>
        </w:rPr>
      </w:pPr>
    </w:p>
    <w:p w14:paraId="5F431AA4">
      <w:pPr>
        <w:pStyle w:val="3"/>
        <w:spacing w:before="0" w:after="0" w:line="580" w:lineRule="exact"/>
        <w:ind w:firstLine="640" w:firstLineChars="200"/>
        <w:rPr>
          <w:rFonts w:ascii="黑体" w:eastAsia="黑体"/>
          <w:b w:val="0"/>
          <w:bCs w:val="0"/>
        </w:rPr>
      </w:pPr>
    </w:p>
    <w:p w14:paraId="59F8D721">
      <w:pPr>
        <w:pStyle w:val="3"/>
        <w:spacing w:before="0" w:after="0" w:line="580" w:lineRule="exact"/>
        <w:ind w:firstLine="643" w:firstLineChars="200"/>
        <w:rPr>
          <w:rFonts w:ascii="黑体" w:eastAsia="黑体"/>
          <w:b w:val="0"/>
          <w:bCs w:val="0"/>
        </w:rPr>
      </w:pPr>
      <w:r>
        <mc:AlternateContent>
          <mc:Choice Requires="wps">
            <w:drawing>
              <wp:anchor distT="0" distB="0" distL="114300" distR="114300" simplePos="0" relativeHeight="251679744" behindDoc="0" locked="0" layoutInCell="1" allowOverlap="1">
                <wp:simplePos x="0" y="0"/>
                <wp:positionH relativeFrom="column">
                  <wp:posOffset>1619250</wp:posOffset>
                </wp:positionH>
                <wp:positionV relativeFrom="paragraph">
                  <wp:posOffset>5715</wp:posOffset>
                </wp:positionV>
                <wp:extent cx="2465705" cy="40767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2465549" cy="407712"/>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3397FD9A">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61287E4D">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7.5pt;margin-top:0.45pt;height:32.1pt;width:194.15pt;z-index:251679744;mso-width-relative:page;mso-height-relative:page;" fillcolor="#FFFFFF [3201]" filled="t" stroked="f" coordsize="21600,21600" o:gfxdata="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AiCXP7UAAAABwEAAA8A&#10;AAAAAAAAAQAgAAAAIgAAAGRycy9kb3ducmV2LnhtbFBLAQIUABQAAAAIAIdO4kBEBrf8VAIAAJEE&#10;AAAOAAAAAAAAAAEAIAAAACMBAABkcnMvZTJvRG9jLnhtbFBLBQYAAAAABgAGAFkBAADpBQAAAAA=&#10;">
                <v:fill on="t" focussize="0,0"/>
                <v:stroke on="f" weight="0.5pt"/>
                <v:imagedata o:title=""/>
                <o:lock v:ext="edit" aspectratio="f"/>
                <v:textbox>
                  <w:txbxContent>
                    <w:p w14:paraId="3397FD9A">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14:paraId="61287E4D">
                      <w:pPr>
                        <w:rPr>
                          <w:sz w:val="20"/>
                          <w:szCs w:val="22"/>
                        </w:rPr>
                      </w:pPr>
                    </w:p>
                  </w:txbxContent>
                </v:textbox>
              </v:shape>
            </w:pict>
          </mc:Fallback>
        </mc:AlternateContent>
      </w:r>
    </w:p>
    <w:p w14:paraId="16940967">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14:paraId="6CE0B6F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本部门2018年度本年支出合计5488.88万元，其中：基本支出717.15万元，占13%；项目支出4771.73万元，占87%；上缴上级支出0万元，占0%；经营支出0万元，占0%；对附</w:t>
      </w:r>
      <w:r>
        <w:rPr>
          <w:rFonts w:hint="eastAsia" w:ascii="仿宋" w:hAnsi="仿宋" w:eastAsia="仿宋" w:cs="DengXian-Regular"/>
          <w:sz w:val="32"/>
          <w:szCs w:val="32"/>
        </w:rPr>
        <w:t>属单</w:t>
      </w:r>
      <w:r>
        <w:rPr>
          <w:rFonts w:hint="eastAsia" w:ascii="仿宋_GB2312" w:eastAsia="仿宋_GB2312" w:cs="DengXian-Regular"/>
          <w:sz w:val="32"/>
          <w:szCs w:val="32"/>
        </w:rPr>
        <w:t>位</w:t>
      </w:r>
      <w:r>
        <w:drawing>
          <wp:anchor distT="0" distB="0" distL="114300" distR="114300" simplePos="0" relativeHeight="251680768" behindDoc="1" locked="0" layoutInCell="1" allowOverlap="1">
            <wp:simplePos x="0" y="0"/>
            <wp:positionH relativeFrom="column">
              <wp:posOffset>521970</wp:posOffset>
            </wp:positionH>
            <wp:positionV relativeFrom="paragraph">
              <wp:posOffset>1093470</wp:posOffset>
            </wp:positionV>
            <wp:extent cx="4572000" cy="2743200"/>
            <wp:effectExtent l="0" t="0" r="0" b="0"/>
            <wp:wrapNone/>
            <wp:docPr id="68" name="图表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rFonts w:hint="eastAsia" w:ascii="仿宋_GB2312" w:eastAsia="仿宋_GB2312" w:cs="DengXian-Regular"/>
          <w:sz w:val="32"/>
          <w:szCs w:val="32"/>
        </w:rPr>
        <w:t>补助支出0万元，占0%。如图所示：</w:t>
      </w:r>
    </w:p>
    <w:p w14:paraId="3FFFAF57">
      <w:pPr>
        <w:adjustRightInd w:val="0"/>
        <w:snapToGrid w:val="0"/>
        <w:spacing w:after="0" w:line="580" w:lineRule="exact"/>
        <w:ind w:firstLine="1920" w:firstLineChars="600"/>
        <w:rPr>
          <w:rFonts w:ascii="仿宋_GB2312" w:eastAsia="仿宋_GB2312" w:cs="DengXian-Regular"/>
          <w:sz w:val="32"/>
          <w:szCs w:val="32"/>
        </w:rPr>
      </w:pPr>
    </w:p>
    <w:p w14:paraId="33A11EC0">
      <w:pPr>
        <w:adjustRightInd w:val="0"/>
        <w:snapToGrid w:val="0"/>
        <w:spacing w:after="0" w:line="580" w:lineRule="exact"/>
        <w:rPr>
          <w:rFonts w:ascii="仿宋_GB2312" w:eastAsia="仿宋_GB2312" w:cs="DengXian-Regular"/>
          <w:sz w:val="32"/>
          <w:szCs w:val="32"/>
        </w:rPr>
      </w:pPr>
      <w:r>
        <w:rPr>
          <w:sz w:val="44"/>
        </w:rPr>
        <mc:AlternateContent>
          <mc:Choice Requires="wpg">
            <w:drawing>
              <wp:anchor distT="0" distB="0" distL="114300" distR="114300" simplePos="0" relativeHeight="25167462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02C6E42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24EFB43D">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462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CLWTc4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14:paraId="02C6E42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24EFB43D">
                        <w:pPr>
                          <w:jc w:val="center"/>
                        </w:pPr>
                      </w:p>
                    </w:txbxContent>
                  </v:textbox>
                </v:rect>
                <w10:anchorlock/>
              </v:group>
            </w:pict>
          </mc:Fallback>
        </mc:AlternateContent>
      </w:r>
    </w:p>
    <w:p w14:paraId="243188F7">
      <w:pPr>
        <w:adjustRightInd w:val="0"/>
        <w:snapToGrid w:val="0"/>
        <w:spacing w:after="0" w:line="580" w:lineRule="exact"/>
        <w:ind w:firstLine="1920" w:firstLineChars="600"/>
        <w:rPr>
          <w:rFonts w:ascii="仿宋_GB2312" w:eastAsia="仿宋_GB2312" w:cs="DengXian-Regular"/>
          <w:sz w:val="32"/>
          <w:szCs w:val="32"/>
        </w:rPr>
      </w:pPr>
    </w:p>
    <w:p w14:paraId="66892384">
      <w:pPr>
        <w:pStyle w:val="3"/>
        <w:tabs>
          <w:tab w:val="left" w:pos="2860"/>
        </w:tabs>
        <w:spacing w:before="0" w:after="0" w:line="580" w:lineRule="exact"/>
        <w:ind w:firstLine="643" w:firstLineChars="200"/>
        <w:rPr>
          <w:rFonts w:ascii="黑体" w:eastAsia="黑体"/>
        </w:rPr>
      </w:pPr>
      <w:r>
        <w:rPr>
          <w:rFonts w:ascii="黑体" w:eastAsia="黑体"/>
        </w:rPr>
        <w:tab/>
      </w:r>
    </w:p>
    <w:p w14:paraId="1DEEA869">
      <w:pPr>
        <w:pStyle w:val="3"/>
        <w:tabs>
          <w:tab w:val="left" w:pos="3319"/>
        </w:tabs>
        <w:spacing w:before="0" w:after="0" w:line="580" w:lineRule="exact"/>
        <w:ind w:firstLine="643" w:firstLineChars="200"/>
        <w:rPr>
          <w:rFonts w:ascii="黑体" w:eastAsia="黑体"/>
        </w:rPr>
      </w:pPr>
      <w:r>
        <w:rPr>
          <w:rFonts w:ascii="黑体" w:eastAsia="黑体"/>
        </w:rPr>
        <w:tab/>
      </w:r>
    </w:p>
    <w:p w14:paraId="5764B67A">
      <w:pPr>
        <w:pStyle w:val="3"/>
        <w:spacing w:before="0" w:after="0" w:line="580" w:lineRule="exact"/>
        <w:ind w:firstLine="643" w:firstLineChars="200"/>
        <w:rPr>
          <w:rFonts w:ascii="黑体" w:eastAsia="黑体"/>
        </w:rPr>
      </w:pPr>
    </w:p>
    <w:p w14:paraId="065CC7E1">
      <w:pPr>
        <w:pStyle w:val="3"/>
        <w:spacing w:before="0" w:after="0" w:line="580" w:lineRule="exact"/>
        <w:ind w:firstLine="640" w:firstLineChars="200"/>
        <w:rPr>
          <w:rFonts w:ascii="黑体" w:eastAsia="黑体"/>
          <w:b w:val="0"/>
          <w:bCs w:val="0"/>
        </w:rPr>
      </w:pPr>
    </w:p>
    <w:p w14:paraId="0AC7EE41">
      <w:pPr>
        <w:pStyle w:val="3"/>
        <w:spacing w:before="0" w:after="0" w:line="580" w:lineRule="exact"/>
        <w:ind w:firstLine="640" w:firstLineChars="200"/>
        <w:rPr>
          <w:rFonts w:ascii="黑体" w:eastAsia="黑体"/>
          <w:b w:val="0"/>
          <w:bCs w:val="0"/>
        </w:rPr>
      </w:pPr>
      <w:r>
        <w:rPr>
          <w:rFonts w:ascii="黑体" w:eastAsia="黑体"/>
          <w:b w:val="0"/>
          <w:bCs w:val="0"/>
        </w:rPr>
        <mc:AlternateContent>
          <mc:Choice Requires="wps">
            <w:drawing>
              <wp:anchor distT="0" distB="0" distL="114300" distR="114300" simplePos="0" relativeHeight="251669504" behindDoc="1" locked="0" layoutInCell="1" allowOverlap="1">
                <wp:simplePos x="0" y="0"/>
                <wp:positionH relativeFrom="column">
                  <wp:posOffset>1046480</wp:posOffset>
                </wp:positionH>
                <wp:positionV relativeFrom="paragraph">
                  <wp:posOffset>177165</wp:posOffset>
                </wp:positionV>
                <wp:extent cx="3159125" cy="535940"/>
                <wp:effectExtent l="0" t="0" r="3810" b="0"/>
                <wp:wrapNone/>
                <wp:docPr id="30" name="文本框 30"/>
                <wp:cNvGraphicFramePr/>
                <a:graphic xmlns:a="http://schemas.openxmlformats.org/drawingml/2006/main">
                  <a:graphicData uri="http://schemas.microsoft.com/office/word/2010/wordprocessingShape">
                    <wps:wsp>
                      <wps:cNvSpPr txBox="1"/>
                      <wps:spPr>
                        <a:xfrm>
                          <a:off x="0" y="0"/>
                          <a:ext cx="3158937" cy="535784"/>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4C625FD1">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09E4FE3E">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2.4pt;margin-top:13.95pt;height:42.2pt;width:248.75pt;z-index:-251646976;mso-width-relative:page;mso-height-relative:page;" fillcolor="#FFFFFF [3201]" filled="t" stroked="f" coordsize="21600,21600" o:gfxdata="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">
                <v:fill on="t" focussize="0,0"/>
                <v:stroke on="f" weight="0.5pt"/>
                <v:imagedata o:title=""/>
                <o:lock v:ext="edit" aspectratio="f"/>
                <v:textbox>
                  <w:txbxContent>
                    <w:p w14:paraId="4C625FD1">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09E4FE3E">
                      <w:pPr>
                        <w:rPr>
                          <w:sz w:val="20"/>
                          <w:szCs w:val="22"/>
                        </w:rPr>
                      </w:pPr>
                    </w:p>
                  </w:txbxContent>
                </v:textbox>
              </v:shape>
            </w:pict>
          </mc:Fallback>
        </mc:AlternateContent>
      </w:r>
    </w:p>
    <w:p w14:paraId="39EC452C">
      <w:pPr>
        <w:pStyle w:val="3"/>
        <w:spacing w:before="0" w:after="0" w:line="580" w:lineRule="exact"/>
        <w:ind w:firstLine="640" w:firstLineChars="200"/>
        <w:rPr>
          <w:rFonts w:ascii="黑体" w:eastAsia="黑体"/>
          <w:b w:val="0"/>
          <w:bCs w:val="0"/>
        </w:rPr>
      </w:pPr>
    </w:p>
    <w:p w14:paraId="2AF6E14E">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4B5163A4">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169A936E">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本部门2018年度财政拨款本年收入2</w:t>
      </w:r>
      <w:r>
        <w:rPr>
          <w:rFonts w:hint="eastAsia" w:ascii="宋体" w:hAnsi="宋体" w:cs="Calibri"/>
          <w:sz w:val="32"/>
          <w:szCs w:val="32"/>
        </w:rPr>
        <w:t>951.44</w:t>
      </w:r>
      <w:r>
        <w:rPr>
          <w:rFonts w:hint="eastAsia" w:ascii="仿宋_GB2312" w:eastAsia="仿宋_GB2312" w:cs="DengXian-Regular"/>
          <w:sz w:val="32"/>
          <w:szCs w:val="32"/>
        </w:rPr>
        <w:t>万元,比2017年度减少4708.18万元，降低61.48%，主要是2018年年初结转和结余相比2017年增加较</w:t>
      </w:r>
      <w:r>
        <w:rPr>
          <w:rFonts w:hint="eastAsia" w:ascii="宋体" w:hAnsi="宋体" w:cs="微软雅黑"/>
          <w:sz w:val="32"/>
          <w:szCs w:val="32"/>
        </w:rPr>
        <w:t>多</w:t>
      </w:r>
      <w:r>
        <w:rPr>
          <w:rFonts w:hint="eastAsia" w:ascii="___WRD_EMBED_SUB_48" w:hAnsi="___WRD_EMBED_SUB_48" w:eastAsia="___WRD_EMBED_SUB_48" w:cs="___WRD_EMBED_SUB_48"/>
          <w:sz w:val="32"/>
          <w:szCs w:val="32"/>
        </w:rPr>
        <w:t>，</w:t>
      </w:r>
      <w:r>
        <w:rPr>
          <w:rFonts w:hint="eastAsia" w:ascii="仿宋_GB2312" w:eastAsia="仿宋_GB2312" w:cs="DengXian-Regular"/>
          <w:sz w:val="32"/>
          <w:szCs w:val="32"/>
        </w:rPr>
        <w:t>导致差</w:t>
      </w:r>
      <w:r>
        <w:rPr>
          <w:rFonts w:hint="eastAsia" w:ascii="宋体" w:hAnsi="宋体" w:cs="微软雅黑"/>
          <w:sz w:val="32"/>
          <w:szCs w:val="32"/>
        </w:rPr>
        <w:t>异</w:t>
      </w:r>
      <w:r>
        <w:rPr>
          <w:rFonts w:hint="eastAsia" w:ascii="仿宋_GB2312" w:eastAsia="仿宋_GB2312" w:cs="DengXian-Regular"/>
          <w:sz w:val="32"/>
          <w:szCs w:val="32"/>
        </w:rPr>
        <w:t>较大；本年支出5488.88万元，增加2224.</w:t>
      </w:r>
      <w:r>
        <w:rPr>
          <w:rFonts w:hint="eastAsia" w:ascii="宋体" w:hAnsi="宋体" w:cs="Calibri"/>
          <w:sz w:val="32"/>
          <w:szCs w:val="32"/>
        </w:rPr>
        <w:t>91</w:t>
      </w:r>
      <w:r>
        <w:rPr>
          <w:rFonts w:hint="eastAsia" w:ascii="仿宋_GB2312" w:eastAsia="仿宋_GB2312" w:cs="DengXian-Regular"/>
          <w:sz w:val="32"/>
          <w:szCs w:val="32"/>
        </w:rPr>
        <w:t>万元，增长68.17%，主要是由于2018年年</w:t>
      </w:r>
      <w:r>
        <w:rPr>
          <w:rFonts w:hint="eastAsia" w:ascii="宋体" w:hAnsi="宋体" w:cs="微软雅黑"/>
          <w:sz w:val="32"/>
          <w:szCs w:val="32"/>
        </w:rPr>
        <w:t>末</w:t>
      </w:r>
      <w:r>
        <w:rPr>
          <w:rFonts w:hint="eastAsia" w:ascii="仿宋_GB2312" w:eastAsia="仿宋_GB2312" w:cs="DengXian-Regular"/>
          <w:sz w:val="32"/>
          <w:szCs w:val="32"/>
        </w:rPr>
        <w:t>结转和结余相比2017年减少较</w:t>
      </w:r>
      <w:r>
        <w:rPr>
          <w:rFonts w:hint="eastAsia" w:ascii="宋体" w:hAnsi="宋体" w:cs="微软雅黑"/>
          <w:sz w:val="32"/>
          <w:szCs w:val="32"/>
        </w:rPr>
        <w:t>多</w:t>
      </w:r>
      <w:r>
        <w:rPr>
          <w:rFonts w:hint="eastAsia" w:ascii="___WRD_EMBED_SUB_48" w:hAnsi="___WRD_EMBED_SUB_48" w:eastAsia="___WRD_EMBED_SUB_48" w:cs="___WRD_EMBED_SUB_48"/>
          <w:sz w:val="32"/>
          <w:szCs w:val="32"/>
        </w:rPr>
        <w:t>，</w:t>
      </w:r>
      <w:r>
        <w:rPr>
          <w:rFonts w:hint="eastAsia" w:ascii="仿宋_GB2312" w:eastAsia="仿宋_GB2312" w:cs="DengXian-Regular"/>
          <w:sz w:val="32"/>
          <w:szCs w:val="32"/>
        </w:rPr>
        <w:t>导致差</w:t>
      </w:r>
      <w:r>
        <w:rPr>
          <w:rFonts w:hint="eastAsia" w:ascii="宋体" w:hAnsi="宋体" w:cs="微软雅黑"/>
          <w:sz w:val="32"/>
          <w:szCs w:val="32"/>
        </w:rPr>
        <w:t>异</w:t>
      </w:r>
      <w:r>
        <w:rPr>
          <w:rFonts w:hint="eastAsia" w:ascii="宋体" w:hAnsi="宋体" w:cs="___WRD_EMBED_SUB_48"/>
          <w:sz w:val="32"/>
          <w:szCs w:val="32"/>
        </w:rPr>
        <w:t>较大</w:t>
      </w:r>
      <w:r>
        <w:rPr>
          <w:rFonts w:hint="eastAsia" w:ascii="仿宋_GB2312" w:eastAsia="仿宋_GB2312" w:cs="DengXian-Regular"/>
          <w:sz w:val="32"/>
          <w:szCs w:val="32"/>
        </w:rPr>
        <w:t>。</w:t>
      </w:r>
    </w:p>
    <w:p w14:paraId="55817C5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其中：一般公共预算财政拨款本年收入2</w:t>
      </w:r>
      <w:r>
        <w:rPr>
          <w:rFonts w:hint="eastAsia" w:ascii="仿宋" w:hAnsi="仿宋" w:eastAsia="仿宋" w:cs="Calibri"/>
          <w:sz w:val="32"/>
          <w:szCs w:val="32"/>
        </w:rPr>
        <w:t>938.08</w:t>
      </w:r>
      <w:r>
        <w:rPr>
          <w:rFonts w:hint="eastAsia" w:ascii="仿宋_GB2312" w:eastAsia="仿宋_GB2312" w:cs="DengXian-Regular"/>
          <w:sz w:val="32"/>
          <w:szCs w:val="32"/>
        </w:rPr>
        <w:t>万元，比上年减少471</w:t>
      </w:r>
      <w:r>
        <w:rPr>
          <w:rFonts w:hint="eastAsia" w:ascii="仿宋" w:hAnsi="仿宋" w:eastAsia="仿宋" w:cs="Calibri"/>
          <w:sz w:val="32"/>
          <w:szCs w:val="32"/>
        </w:rPr>
        <w:t>9.54</w:t>
      </w:r>
      <w:r>
        <w:rPr>
          <w:rFonts w:hint="eastAsia" w:ascii="仿宋_GB2312" w:eastAsia="仿宋_GB2312" w:cs="DengXian-Regular"/>
          <w:sz w:val="32"/>
          <w:szCs w:val="32"/>
        </w:rPr>
        <w:t>万元；主要是2018年年初结转和结余相比2017年增加较</w:t>
      </w:r>
      <w:r>
        <w:rPr>
          <w:rFonts w:hint="eastAsia" w:ascii="宋体" w:hAnsi="宋体" w:cs="微软雅黑"/>
          <w:sz w:val="32"/>
          <w:szCs w:val="32"/>
        </w:rPr>
        <w:t>多</w:t>
      </w:r>
      <w:r>
        <w:rPr>
          <w:rFonts w:hint="eastAsia" w:ascii="仿宋_GB2312" w:eastAsia="仿宋_GB2312" w:cs="DengXian-Regular"/>
          <w:sz w:val="32"/>
          <w:szCs w:val="32"/>
        </w:rPr>
        <w:t>，导致2018年公共预算财政拨款相比2017年减少较</w:t>
      </w:r>
      <w:r>
        <w:rPr>
          <w:rFonts w:hint="eastAsia" w:ascii="宋体" w:hAnsi="宋体" w:cs="微软雅黑"/>
          <w:sz w:val="32"/>
          <w:szCs w:val="32"/>
        </w:rPr>
        <w:t>多</w:t>
      </w:r>
      <w:r>
        <w:rPr>
          <w:rFonts w:hint="eastAsia" w:ascii="仿宋_GB2312" w:eastAsia="仿宋_GB2312" w:cs="DengXian-Regular"/>
          <w:sz w:val="32"/>
          <w:szCs w:val="32"/>
        </w:rPr>
        <w:t>；本年支出5484.47万元，比上年增加2222.5万元，增长68.13%，因为在建项目支出增加，导致2018年支出大于2017年支出。政府性基金预算财政拨款本年收入13.36万元，比上年增加11.36万元，增长568%，主要原因是社会保障</w:t>
      </w:r>
      <w:r>
        <w:rPr>
          <w:rFonts w:hint="eastAsia" w:ascii="宋体" w:hAnsi="宋体" w:cs="微软雅黑"/>
          <w:sz w:val="32"/>
          <w:szCs w:val="32"/>
        </w:rPr>
        <w:t>和就业支出增加较多，导致2018年与2017年相差较大</w:t>
      </w:r>
      <w:r>
        <w:rPr>
          <w:rFonts w:hint="eastAsia" w:ascii="仿宋_GB2312" w:eastAsia="仿宋_GB2312" w:cs="DengXian-Regular"/>
          <w:sz w:val="32"/>
          <w:szCs w:val="32"/>
        </w:rPr>
        <w:t>；本年支出4.41万元，比上年增加2.21万元，增长100.5%，主要是2018城</w:t>
      </w:r>
      <w:r>
        <w:rPr>
          <w:rFonts w:hint="eastAsia" w:ascii="宋体" w:hAnsi="宋体" w:cs="DengXian-Regular"/>
          <w:sz w:val="32"/>
          <w:szCs w:val="32"/>
        </w:rPr>
        <w:t>乡社区支</w:t>
      </w:r>
      <w:r>
        <w:rPr>
          <w:rFonts w:hint="eastAsia" w:ascii="仿宋_GB2312" w:eastAsia="仿宋_GB2312" w:cs="DengXian-Regular"/>
          <w:sz w:val="32"/>
          <w:szCs w:val="32"/>
        </w:rPr>
        <w:t>出较2017年增加较</w:t>
      </w:r>
      <w:r>
        <w:rPr>
          <w:rFonts w:hint="eastAsia" w:ascii="宋体" w:hAnsi="宋体" w:cs="DengXian-Regular"/>
          <w:sz w:val="32"/>
          <w:szCs w:val="32"/>
        </w:rPr>
        <w:t>多</w:t>
      </w:r>
      <w:r>
        <w:rPr>
          <w:rFonts w:hint="eastAsia" w:ascii="仿宋_GB2312" w:eastAsia="仿宋_GB2312" w:cs="DengXian-Regular"/>
          <w:sz w:val="32"/>
          <w:szCs w:val="32"/>
        </w:rPr>
        <w:t>。</w:t>
      </w:r>
    </w:p>
    <w:p w14:paraId="0E6E728D">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81792" behindDoc="1" locked="0" layoutInCell="1" allowOverlap="1">
            <wp:simplePos x="0" y="0"/>
            <wp:positionH relativeFrom="column">
              <wp:posOffset>320040</wp:posOffset>
            </wp:positionH>
            <wp:positionV relativeFrom="paragraph">
              <wp:posOffset>191770</wp:posOffset>
            </wp:positionV>
            <wp:extent cx="4572000" cy="2743200"/>
            <wp:effectExtent l="0" t="0" r="0" b="0"/>
            <wp:wrapNone/>
            <wp:docPr id="69" name="图表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rFonts w:ascii="仿宋_GB2312" w:eastAsia="仿宋_GB2312" w:cs="DengXian-Regular"/>
          <w:sz w:val="32"/>
          <w:szCs w:val="32"/>
        </w:rPr>
        <w:t xml:space="preserve"> </w:t>
      </w:r>
    </w:p>
    <w:p w14:paraId="3D4DC2CC">
      <w:pPr>
        <w:adjustRightInd w:val="0"/>
        <w:snapToGrid w:val="0"/>
        <w:spacing w:after="0" w:line="580" w:lineRule="exact"/>
        <w:ind w:firstLine="640" w:firstLineChars="200"/>
        <w:rPr>
          <w:rFonts w:ascii="仿宋_GB2312" w:eastAsia="仿宋_GB2312" w:cs="DengXian-Regular"/>
          <w:sz w:val="32"/>
          <w:szCs w:val="32"/>
        </w:rPr>
      </w:pPr>
    </w:p>
    <w:p w14:paraId="1D42088A">
      <w:pPr>
        <w:adjustRightInd w:val="0"/>
        <w:snapToGrid w:val="0"/>
        <w:spacing w:after="0" w:line="580" w:lineRule="exact"/>
        <w:ind w:firstLine="640" w:firstLineChars="200"/>
        <w:rPr>
          <w:rFonts w:ascii="仿宋_GB2312" w:eastAsia="仿宋_GB2312" w:cs="DengXian-Regular"/>
          <w:sz w:val="32"/>
          <w:szCs w:val="32"/>
        </w:rPr>
      </w:pPr>
    </w:p>
    <w:p w14:paraId="634E274E">
      <w:pPr>
        <w:adjustRightInd w:val="0"/>
        <w:snapToGrid w:val="0"/>
        <w:spacing w:after="0" w:line="580" w:lineRule="exact"/>
        <w:ind w:firstLine="640" w:firstLineChars="200"/>
        <w:rPr>
          <w:rFonts w:ascii="仿宋_GB2312" w:eastAsia="仿宋_GB2312" w:cs="DengXian-Regular"/>
          <w:sz w:val="32"/>
          <w:szCs w:val="32"/>
        </w:rPr>
      </w:pPr>
    </w:p>
    <w:p w14:paraId="379918B0">
      <w:pPr>
        <w:adjustRightInd w:val="0"/>
        <w:snapToGrid w:val="0"/>
        <w:spacing w:after="0" w:line="580" w:lineRule="exact"/>
        <w:ind w:firstLine="640" w:firstLineChars="200"/>
        <w:rPr>
          <w:rFonts w:ascii="仿宋_GB2312" w:eastAsia="仿宋_GB2312" w:cs="DengXian-Regular"/>
          <w:sz w:val="32"/>
          <w:szCs w:val="32"/>
        </w:rPr>
      </w:pPr>
    </w:p>
    <w:p w14:paraId="10FF8DB1">
      <w:pPr>
        <w:adjustRightInd w:val="0"/>
        <w:snapToGrid w:val="0"/>
        <w:spacing w:after="0" w:line="580" w:lineRule="exact"/>
        <w:ind w:firstLine="640" w:firstLineChars="200"/>
        <w:rPr>
          <w:rFonts w:ascii="仿宋_GB2312" w:eastAsia="仿宋_GB2312" w:cs="DengXian-Regular"/>
          <w:sz w:val="32"/>
          <w:szCs w:val="32"/>
        </w:rPr>
      </w:pPr>
    </w:p>
    <w:p w14:paraId="5133FB13">
      <w:pPr>
        <w:adjustRightInd w:val="0"/>
        <w:snapToGrid w:val="0"/>
        <w:spacing w:after="0" w:line="580" w:lineRule="exact"/>
        <w:ind w:firstLine="640" w:firstLineChars="200"/>
        <w:rPr>
          <w:rFonts w:ascii="仿宋_GB2312" w:eastAsia="仿宋_GB2312" w:cs="DengXian-Regular"/>
          <w:sz w:val="32"/>
          <w:szCs w:val="32"/>
        </w:rPr>
      </w:pPr>
    </w:p>
    <w:p w14:paraId="746A8B32">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mc:AlternateContent>
          <mc:Choice Requires="wps">
            <w:drawing>
              <wp:anchor distT="0" distB="0" distL="114300" distR="114300" simplePos="0" relativeHeight="251691008" behindDoc="1" locked="0" layoutInCell="1" allowOverlap="1">
                <wp:simplePos x="0" y="0"/>
                <wp:positionH relativeFrom="column">
                  <wp:posOffset>648970</wp:posOffset>
                </wp:positionH>
                <wp:positionV relativeFrom="paragraph">
                  <wp:posOffset>285750</wp:posOffset>
                </wp:positionV>
                <wp:extent cx="4204970" cy="535305"/>
                <wp:effectExtent l="0" t="0" r="5080" b="0"/>
                <wp:wrapNone/>
                <wp:docPr id="66" name="文本框 66"/>
                <wp:cNvGraphicFramePr/>
                <a:graphic xmlns:a="http://schemas.openxmlformats.org/drawingml/2006/main">
                  <a:graphicData uri="http://schemas.microsoft.com/office/word/2010/wordprocessingShape">
                    <wps:wsp>
                      <wps:cNvSpPr txBox="1"/>
                      <wps:spPr>
                        <a:xfrm>
                          <a:off x="0" y="0"/>
                          <a:ext cx="4204970" cy="535109"/>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24B1D5E2">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06B40EDB">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1.1pt;margin-top:22.5pt;height:42.15pt;width:331.1pt;z-index:-251625472;mso-width-relative:page;mso-height-relative:page;" fillcolor="#FFFFFF [3201]" filled="t" stroked="f" coordsize="21600,21600" o:gfxdata="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Np6c2/VAAAACgEAAA8AAAAA&#10;AAAAAQAgAAAAIgAAAGRycy9kb3ducmV2LnhtbFBLAQIUABQAAAAIAIdO4kCYAvqQUAIAAJEEAAAO&#10;AAAAAAAAAAEAIAAAACQBAABkcnMvZTJvRG9jLnhtbFBLBQYAAAAABgAGAFkBAADmBQAAAAA=&#10;">
                <v:fill on="t" focussize="0,0"/>
                <v:stroke on="f" weight="0.5pt"/>
                <v:imagedata o:title=""/>
                <o:lock v:ext="edit" aspectratio="f"/>
                <v:textbox>
                  <w:txbxContent>
                    <w:p w14:paraId="24B1D5E2">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14:paraId="06B40EDB">
                      <w:pPr>
                        <w:rPr>
                          <w:sz w:val="20"/>
                          <w:szCs w:val="22"/>
                        </w:rPr>
                      </w:pPr>
                    </w:p>
                  </w:txbxContent>
                </v:textbox>
              </v:shape>
            </w:pict>
          </mc:Fallback>
        </mc:AlternateContent>
      </w:r>
    </w:p>
    <w:p w14:paraId="5BDA3FB4">
      <w:pPr>
        <w:adjustRightInd w:val="0"/>
        <w:snapToGrid w:val="0"/>
        <w:spacing w:after="0" w:line="580" w:lineRule="exact"/>
        <w:ind w:firstLine="640" w:firstLineChars="200"/>
        <w:rPr>
          <w:rFonts w:ascii="仿宋_GB2312" w:eastAsia="仿宋_GB2312" w:cs="DengXian-Regular"/>
          <w:sz w:val="32"/>
          <w:szCs w:val="32"/>
        </w:rPr>
      </w:pPr>
    </w:p>
    <w:p w14:paraId="04000BEF">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423A00B4">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宋体" w:hAnsi="宋体" w:cs="DengXian-Regular"/>
          <w:sz w:val="32"/>
          <w:szCs w:val="32"/>
        </w:rPr>
        <w:t>2951.44</w:t>
      </w:r>
      <w:r>
        <w:rPr>
          <w:rFonts w:hint="eastAsia" w:ascii="仿宋_GB2312" w:eastAsia="仿宋_GB2312" w:cs="DengXian-Regular"/>
          <w:sz w:val="32"/>
          <w:szCs w:val="32"/>
        </w:rPr>
        <w:t>万元，完成年初预算的176.</w:t>
      </w:r>
      <w:r>
        <w:rPr>
          <w:rFonts w:hint="eastAsia" w:ascii="宋体" w:hAnsi="宋体" w:cs="Calibri"/>
          <w:sz w:val="32"/>
          <w:szCs w:val="32"/>
        </w:rPr>
        <w:t>90</w:t>
      </w:r>
      <w:r>
        <w:rPr>
          <w:rFonts w:hint="eastAsia" w:ascii="仿宋_GB2312" w:eastAsia="仿宋_GB2312" w:cs="DengXian-Regular"/>
          <w:sz w:val="32"/>
          <w:szCs w:val="32"/>
        </w:rPr>
        <w:t>%,比年初预算增加1283.04万元，决算数大于预算数主要原因是</w:t>
      </w:r>
      <w:r>
        <w:rPr>
          <w:rFonts w:hint="eastAsia" w:ascii="宋体" w:hAnsi="宋体" w:cs="微软雅黑"/>
          <w:sz w:val="32"/>
          <w:szCs w:val="32"/>
        </w:rPr>
        <w:t>地下水超采综合治理项目和防汛预警体系建设项目支出增加</w:t>
      </w:r>
      <w:r>
        <w:rPr>
          <w:rFonts w:hint="eastAsia" w:ascii="仿宋_GB2312" w:eastAsia="仿宋_GB2312" w:cs="DengXian-Regular"/>
          <w:sz w:val="32"/>
          <w:szCs w:val="32"/>
        </w:rPr>
        <w:t>；本年支出5488.88万元，完成年初预算的328.</w:t>
      </w:r>
      <w:r>
        <w:rPr>
          <w:rFonts w:hint="eastAsia" w:ascii="Calibri" w:hAnsi="Calibri" w:eastAsia="仿宋_GB2312" w:cs="Calibri"/>
          <w:sz w:val="32"/>
          <w:szCs w:val="32"/>
        </w:rPr>
        <w:t>99</w:t>
      </w:r>
      <w:r>
        <w:rPr>
          <w:rFonts w:hint="eastAsia" w:ascii="仿宋_GB2312" w:eastAsia="仿宋_GB2312" w:cs="DengXian-Regular"/>
          <w:sz w:val="32"/>
          <w:szCs w:val="32"/>
        </w:rPr>
        <w:t>%,比年初预算增加3820.48万元，决算数大于预算数主要原因是主要是</w:t>
      </w:r>
      <w:r>
        <w:rPr>
          <w:rFonts w:hint="eastAsia" w:ascii="宋体" w:hAnsi="宋体" w:cs="微软雅黑"/>
          <w:sz w:val="32"/>
          <w:szCs w:val="32"/>
        </w:rPr>
        <w:t>地下水超采综合治理项目和防汛预警体系建设项目支出增加</w:t>
      </w:r>
      <w:r>
        <w:rPr>
          <w:rFonts w:hint="eastAsia" w:ascii="仿宋_GB2312" w:eastAsia="仿宋_GB2312" w:cs="DengXian-Regular"/>
          <w:sz w:val="32"/>
          <w:szCs w:val="32"/>
        </w:rPr>
        <w:t>。</w:t>
      </w:r>
    </w:p>
    <w:p w14:paraId="7E0CDB1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其中，一般公共预算财政拨款本年收入完成年初预算176.35%，比年初预算增加1272.04万元，主要是</w:t>
      </w:r>
      <w:r>
        <w:rPr>
          <w:rFonts w:hint="eastAsia" w:ascii="宋体" w:hAnsi="宋体" w:cs="微软雅黑"/>
          <w:sz w:val="32"/>
          <w:szCs w:val="32"/>
        </w:rPr>
        <w:t>地下水超采综合治理项目和防汛预警体系建设项目支出增加</w:t>
      </w:r>
      <w:r>
        <w:rPr>
          <w:rFonts w:hint="eastAsia" w:ascii="仿宋_GB2312" w:eastAsia="仿宋_GB2312" w:cs="DengXian-Regular"/>
          <w:sz w:val="32"/>
          <w:szCs w:val="32"/>
        </w:rPr>
        <w:t>；支出完成年初预算32</w:t>
      </w:r>
      <w:r>
        <w:rPr>
          <w:rFonts w:hint="eastAsia" w:ascii="Calibri" w:hAnsi="Calibri" w:eastAsia="仿宋_GB2312" w:cs="Calibri"/>
          <w:sz w:val="32"/>
          <w:szCs w:val="32"/>
        </w:rPr>
        <w:t>9.19</w:t>
      </w:r>
      <w:r>
        <w:rPr>
          <w:rFonts w:hint="eastAsia" w:ascii="仿宋_GB2312" w:eastAsia="仿宋_GB2312" w:cs="DengXian-Regular"/>
          <w:sz w:val="32"/>
          <w:szCs w:val="32"/>
        </w:rPr>
        <w:t>%，比年初预算增加3818.43万元，主要是</w:t>
      </w:r>
      <w:r>
        <w:rPr>
          <w:rFonts w:hint="eastAsia" w:ascii="宋体" w:hAnsi="宋体" w:cs="微软雅黑"/>
          <w:sz w:val="32"/>
          <w:szCs w:val="32"/>
        </w:rPr>
        <w:t>地下水超采综合治理项目和防汛预警体系建设项目支出增加</w:t>
      </w:r>
      <w:r>
        <w:rPr>
          <w:rFonts w:hint="eastAsia" w:ascii="仿宋_GB2312" w:eastAsia="仿宋_GB2312" w:cs="DengXian-Regular"/>
          <w:sz w:val="32"/>
          <w:szCs w:val="32"/>
        </w:rPr>
        <w:t>。政府性基金预算财政拨款本年收入完成年初预算566.10%，比年初预算增加11万元，主要是2018年城</w:t>
      </w:r>
      <w:r>
        <w:rPr>
          <w:rFonts w:hint="eastAsia" w:ascii="宋体" w:hAnsi="宋体" w:cs="DengXian-Regular"/>
          <w:sz w:val="32"/>
          <w:szCs w:val="32"/>
        </w:rPr>
        <w:t>乡社区支出增加；支出完成年初预算</w:t>
      </w:r>
      <w:r>
        <w:rPr>
          <w:rFonts w:hint="eastAsia" w:ascii="仿宋_GB2312" w:eastAsia="仿宋_GB2312" w:cs="DengXian-Regular"/>
          <w:sz w:val="32"/>
          <w:szCs w:val="32"/>
        </w:rPr>
        <w:t>186.86%，比年初预算增加2.05万元，主要是2018年城</w:t>
      </w:r>
      <w:r>
        <w:rPr>
          <w:rFonts w:hint="eastAsia" w:ascii="宋体" w:hAnsi="宋体" w:cs="DengXian-Regular"/>
          <w:sz w:val="32"/>
          <w:szCs w:val="32"/>
        </w:rPr>
        <w:t>乡社区</w:t>
      </w:r>
      <w:r>
        <w:rPr>
          <w:rFonts w:hint="eastAsia" w:ascii="仿宋_GB2312" w:eastAsia="仿宋_GB2312" w:cs="DengXian-Regular"/>
          <w:sz w:val="32"/>
          <w:szCs w:val="32"/>
        </w:rPr>
        <w:t>支出增加。</w:t>
      </w:r>
    </w:p>
    <w:p w14:paraId="16AD49B3">
      <w:pPr>
        <w:adjustRightInd w:val="0"/>
        <w:snapToGrid w:val="0"/>
        <w:spacing w:after="0" w:line="580" w:lineRule="exact"/>
        <w:rPr>
          <w:rFonts w:ascii="仿宋_GB2312" w:eastAsia="仿宋_GB2312" w:cs="DengXian-Regular"/>
          <w:sz w:val="32"/>
          <w:szCs w:val="32"/>
          <w:highlight w:val="yellow"/>
        </w:rPr>
      </w:pPr>
      <w:r>
        <w:drawing>
          <wp:anchor distT="0" distB="0" distL="114300" distR="114300" simplePos="0" relativeHeight="251682816" behindDoc="0" locked="0" layoutInCell="1" allowOverlap="1">
            <wp:simplePos x="0" y="0"/>
            <wp:positionH relativeFrom="column">
              <wp:posOffset>553720</wp:posOffset>
            </wp:positionH>
            <wp:positionV relativeFrom="paragraph">
              <wp:posOffset>7620</wp:posOffset>
            </wp:positionV>
            <wp:extent cx="4572000" cy="2743200"/>
            <wp:effectExtent l="0" t="0" r="0" b="0"/>
            <wp:wrapNone/>
            <wp:docPr id="100" name="图表 10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73D19A51">
      <w:pPr>
        <w:adjustRightInd w:val="0"/>
        <w:snapToGrid w:val="0"/>
        <w:spacing w:after="0" w:line="580" w:lineRule="exact"/>
        <w:ind w:firstLine="640" w:firstLineChars="200"/>
        <w:rPr>
          <w:rFonts w:ascii="仿宋_GB2312" w:eastAsia="仿宋_GB2312" w:cs="DengXian-Regular"/>
          <w:sz w:val="32"/>
          <w:szCs w:val="32"/>
          <w:highlight w:val="yellow"/>
        </w:rPr>
      </w:pPr>
    </w:p>
    <w:p w14:paraId="60033C3E">
      <w:pPr>
        <w:adjustRightInd w:val="0"/>
        <w:snapToGrid w:val="0"/>
        <w:spacing w:after="0" w:line="580" w:lineRule="exact"/>
        <w:ind w:firstLine="640" w:firstLineChars="200"/>
        <w:rPr>
          <w:rFonts w:ascii="仿宋_GB2312" w:eastAsia="仿宋_GB2312" w:cs="DengXian-Regular"/>
          <w:sz w:val="32"/>
          <w:szCs w:val="32"/>
          <w:highlight w:val="yellow"/>
        </w:rPr>
      </w:pPr>
    </w:p>
    <w:p w14:paraId="6EECAFE1">
      <w:pPr>
        <w:adjustRightInd w:val="0"/>
        <w:snapToGrid w:val="0"/>
        <w:spacing w:after="0" w:line="580" w:lineRule="exact"/>
        <w:ind w:firstLine="640" w:firstLineChars="200"/>
        <w:rPr>
          <w:rFonts w:ascii="仿宋_GB2312" w:eastAsia="仿宋_GB2312" w:cs="DengXian-Regular"/>
          <w:sz w:val="32"/>
          <w:szCs w:val="32"/>
          <w:highlight w:val="yellow"/>
        </w:rPr>
      </w:pPr>
    </w:p>
    <w:p w14:paraId="1DDB877F">
      <w:pPr>
        <w:adjustRightInd w:val="0"/>
        <w:snapToGrid w:val="0"/>
        <w:spacing w:after="0" w:line="580" w:lineRule="exact"/>
        <w:ind w:firstLine="640" w:firstLineChars="200"/>
        <w:rPr>
          <w:rFonts w:ascii="仿宋_GB2312" w:eastAsia="仿宋_GB2312" w:cs="DengXian-Regular"/>
          <w:sz w:val="32"/>
          <w:szCs w:val="32"/>
          <w:highlight w:val="yellow"/>
        </w:rPr>
      </w:pPr>
    </w:p>
    <w:p w14:paraId="180D2B97">
      <w:pPr>
        <w:adjustRightInd w:val="0"/>
        <w:snapToGrid w:val="0"/>
        <w:spacing w:after="0" w:line="580" w:lineRule="exact"/>
        <w:ind w:firstLine="640" w:firstLineChars="200"/>
        <w:rPr>
          <w:rFonts w:ascii="仿宋_GB2312" w:eastAsia="仿宋_GB2312" w:cs="DengXian-Regular"/>
          <w:sz w:val="32"/>
          <w:szCs w:val="32"/>
          <w:highlight w:val="yellow"/>
        </w:rPr>
      </w:pPr>
    </w:p>
    <w:p w14:paraId="48FB2F62">
      <w:pPr>
        <w:adjustRightInd w:val="0"/>
        <w:snapToGrid w:val="0"/>
        <w:spacing w:after="0" w:line="580" w:lineRule="exact"/>
        <w:ind w:firstLine="640" w:firstLineChars="200"/>
        <w:rPr>
          <w:rFonts w:ascii="仿宋_GB2312" w:eastAsia="仿宋_GB2312" w:cs="DengXian-Regular"/>
          <w:sz w:val="32"/>
          <w:szCs w:val="32"/>
          <w:highlight w:val="yellow"/>
        </w:rPr>
      </w:pPr>
    </w:p>
    <w:p w14:paraId="5EAF4DEE">
      <w:pPr>
        <w:adjustRightInd w:val="0"/>
        <w:snapToGrid w:val="0"/>
        <w:spacing w:after="0" w:line="580" w:lineRule="exact"/>
        <w:ind w:firstLine="640" w:firstLineChars="200"/>
        <w:rPr>
          <w:rFonts w:ascii="仿宋_GB2312" w:eastAsia="仿宋_GB2312" w:cs="DengXian-Regular"/>
          <w:sz w:val="32"/>
          <w:szCs w:val="32"/>
          <w:highlight w:val="yellow"/>
        </w:rPr>
      </w:pPr>
      <w:r>
        <w:rPr>
          <w:rFonts w:ascii="仿宋_GB2312" w:eastAsia="仿宋_GB2312" w:cs="DengXian-Regular"/>
          <w:sz w:val="32"/>
          <w:szCs w:val="32"/>
        </w:rPr>
        <mc:AlternateContent>
          <mc:Choice Requires="wps">
            <w:drawing>
              <wp:anchor distT="0" distB="0" distL="114300" distR="114300" simplePos="0" relativeHeight="251677696" behindDoc="1" locked="0" layoutInCell="1" allowOverlap="1">
                <wp:simplePos x="0" y="0"/>
                <wp:positionH relativeFrom="column">
                  <wp:posOffset>585470</wp:posOffset>
                </wp:positionH>
                <wp:positionV relativeFrom="paragraph">
                  <wp:posOffset>125095</wp:posOffset>
                </wp:positionV>
                <wp:extent cx="4358005" cy="494665"/>
                <wp:effectExtent l="0" t="0" r="4445" b="1270"/>
                <wp:wrapNone/>
                <wp:docPr id="37" name="文本框 28"/>
                <wp:cNvGraphicFramePr/>
                <a:graphic xmlns:a="http://schemas.openxmlformats.org/drawingml/2006/main">
                  <a:graphicData uri="http://schemas.microsoft.com/office/word/2010/wordprocessingShape">
                    <wps:wsp>
                      <wps:cNvSpPr txBox="1"/>
                      <wps:spPr>
                        <a:xfrm>
                          <a:off x="0" y="0"/>
                          <a:ext cx="4358057" cy="494489"/>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5EF3F6BE">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7860C58C">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28" o:spid="_x0000_s1026" o:spt="202" type="#_x0000_t202" style="position:absolute;left:0pt;margin-left:46.1pt;margin-top:9.85pt;height:38.95pt;width:343.15pt;z-index:-251638784;mso-width-relative:page;mso-height-relative:page;" fillcolor="#FFFFFF [3201]" filled="t" stroked="f" coordsize="21600,21600" o:gfxdata="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NcuxyHTAAAACAEAAA8AAAAA&#10;AAAAAQAgAAAAIgAAAGRycy9kb3ducmV2LnhtbFBLAQIUABQAAAAIAIdO4kAZczVDUgIAAJEEAAAO&#10;AAAAAAAAAAEAIAAAACIBAABkcnMvZTJvRG9jLnhtbFBLBQYAAAAABgAGAFkBAADmBQAAAAA=&#10;">
                <v:fill on="t" focussize="0,0"/>
                <v:stroke on="f" weight="0.5pt"/>
                <v:imagedata o:title=""/>
                <o:lock v:ext="edit" aspectratio="f"/>
                <v:textbox>
                  <w:txbxContent>
                    <w:p w14:paraId="5EF3F6BE">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7860C58C">
                      <w:pPr>
                        <w:rPr>
                          <w:sz w:val="18"/>
                          <w:szCs w:val="21"/>
                        </w:rPr>
                      </w:pPr>
                    </w:p>
                  </w:txbxContent>
                </v:textbox>
              </v:shape>
            </w:pict>
          </mc:Fallback>
        </mc:AlternateContent>
      </w:r>
    </w:p>
    <w:p w14:paraId="7653C185">
      <w:pPr>
        <w:adjustRightInd w:val="0"/>
        <w:snapToGrid w:val="0"/>
        <w:spacing w:after="0" w:line="580" w:lineRule="exact"/>
        <w:ind w:firstLine="640" w:firstLineChars="200"/>
        <w:rPr>
          <w:rFonts w:ascii="仿宋_GB2312" w:eastAsia="仿宋_GB2312" w:cs="DengXian-Regular"/>
          <w:sz w:val="32"/>
          <w:szCs w:val="32"/>
          <w:highlight w:val="yellow"/>
        </w:rPr>
      </w:pPr>
    </w:p>
    <w:p w14:paraId="684221C3">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3D6DC558">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年度财政拨款支出5488.88万元，主要用于以下方面城</w:t>
      </w:r>
      <w:r>
        <w:rPr>
          <w:rFonts w:hint="eastAsia" w:ascii="宋体" w:hAnsi="宋体" w:cs="DengXian-Regular"/>
          <w:sz w:val="32"/>
          <w:szCs w:val="32"/>
        </w:rPr>
        <w:t>乡社区支出</w:t>
      </w:r>
      <w:r>
        <w:rPr>
          <w:rFonts w:hint="eastAsia" w:ascii="宋体" w:hAnsi="宋体" w:cs="Calibri"/>
          <w:sz w:val="32"/>
          <w:szCs w:val="32"/>
        </w:rPr>
        <w:t>（类）344.05</w:t>
      </w:r>
      <w:r>
        <w:rPr>
          <w:rFonts w:hint="eastAsia" w:ascii="仿宋_GB2312" w:eastAsia="仿宋_GB2312" w:cs="DengXian-Regular"/>
          <w:sz w:val="32"/>
          <w:szCs w:val="32"/>
        </w:rPr>
        <w:t>万元，占 6%；社会保障和就业（类）支出 0.36万元，占0%；</w:t>
      </w:r>
      <w:r>
        <w:rPr>
          <w:rFonts w:hint="eastAsia" w:ascii="宋体" w:hAnsi="宋体" w:cs="微软雅黑"/>
          <w:sz w:val="32"/>
          <w:szCs w:val="32"/>
        </w:rPr>
        <w:t>农林水</w:t>
      </w:r>
      <w:r>
        <w:rPr>
          <w:rFonts w:hint="eastAsia" w:ascii="仿宋_GB2312" w:eastAsia="仿宋_GB2312" w:cs="DengXian-Regular"/>
          <w:sz w:val="32"/>
          <w:szCs w:val="32"/>
        </w:rPr>
        <w:t xml:space="preserve">（类）支出5144.47万元，占 </w:t>
      </w:r>
      <w:r>
        <w:rPr>
          <w:rFonts w:hint="eastAsia" w:ascii="宋体" w:hAnsi="宋体" w:cs="Calibri"/>
          <w:sz w:val="32"/>
          <w:szCs w:val="32"/>
        </w:rPr>
        <w:t>94</w:t>
      </w:r>
      <w:r>
        <w:rPr>
          <w:rFonts w:hint="eastAsia" w:ascii="仿宋_GB2312" w:eastAsia="仿宋_GB2312" w:cs="DengXian-Regular"/>
          <w:sz w:val="32"/>
          <w:szCs w:val="32"/>
        </w:rPr>
        <w:t>%。</w:t>
      </w:r>
    </w:p>
    <w:p w14:paraId="5690967A">
      <w:pPr>
        <w:tabs>
          <w:tab w:val="left" w:pos="6020"/>
        </w:tabs>
        <w:adjustRightInd w:val="0"/>
        <w:snapToGrid w:val="0"/>
        <w:spacing w:after="0" w:line="580" w:lineRule="exact"/>
        <w:rPr>
          <w:rFonts w:ascii="楷体_GB2312" w:eastAsia="楷体_GB2312" w:cs="DengXian-Bold"/>
          <w:b/>
          <w:bCs/>
          <w:sz w:val="32"/>
          <w:szCs w:val="32"/>
        </w:rPr>
      </w:pPr>
      <w:r>
        <w:drawing>
          <wp:anchor distT="0" distB="0" distL="114300" distR="114300" simplePos="0" relativeHeight="251684864" behindDoc="1" locked="0" layoutInCell="1" allowOverlap="1">
            <wp:simplePos x="0" y="0"/>
            <wp:positionH relativeFrom="column">
              <wp:posOffset>483870</wp:posOffset>
            </wp:positionH>
            <wp:positionV relativeFrom="paragraph">
              <wp:posOffset>198120</wp:posOffset>
            </wp:positionV>
            <wp:extent cx="4572000" cy="2482850"/>
            <wp:effectExtent l="0" t="0" r="0" b="12700"/>
            <wp:wrapNone/>
            <wp:docPr id="102" name="图表 10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ascii="楷体_GB2312" w:eastAsia="楷体_GB2312" w:cs="DengXian-Bold"/>
          <w:b/>
          <w:bCs/>
          <w:sz w:val="32"/>
          <w:szCs w:val="32"/>
        </w:rPr>
        <w:tab/>
      </w:r>
    </w:p>
    <w:p w14:paraId="62F75B12">
      <w:pPr>
        <w:adjustRightInd w:val="0"/>
        <w:snapToGrid w:val="0"/>
        <w:spacing w:after="0" w:line="580" w:lineRule="exact"/>
        <w:rPr>
          <w:rFonts w:ascii="楷体_GB2312" w:eastAsia="楷体_GB2312" w:cs="DengXian-Bold"/>
          <w:b/>
          <w:bCs/>
          <w:sz w:val="32"/>
          <w:szCs w:val="32"/>
        </w:rPr>
      </w:pPr>
    </w:p>
    <w:p w14:paraId="63D23F5D">
      <w:pPr>
        <w:adjustRightInd w:val="0"/>
        <w:snapToGrid w:val="0"/>
        <w:spacing w:after="0" w:line="580" w:lineRule="exact"/>
        <w:rPr>
          <w:rFonts w:ascii="楷体_GB2312" w:eastAsia="楷体_GB2312" w:cs="DengXian-Bold"/>
          <w:b/>
          <w:bCs/>
          <w:sz w:val="32"/>
          <w:szCs w:val="32"/>
        </w:rPr>
      </w:pPr>
    </w:p>
    <w:p w14:paraId="7204131B">
      <w:pPr>
        <w:adjustRightInd w:val="0"/>
        <w:snapToGrid w:val="0"/>
        <w:spacing w:after="0" w:line="580" w:lineRule="exact"/>
        <w:rPr>
          <w:rFonts w:ascii="楷体_GB2312" w:eastAsia="楷体_GB2312" w:cs="DengXian-Bold"/>
          <w:b/>
          <w:bCs/>
          <w:sz w:val="32"/>
          <w:szCs w:val="32"/>
        </w:rPr>
      </w:pPr>
    </w:p>
    <w:p w14:paraId="007C3B10">
      <w:pPr>
        <w:adjustRightInd w:val="0"/>
        <w:snapToGrid w:val="0"/>
        <w:spacing w:after="0" w:line="580" w:lineRule="exact"/>
        <w:ind w:left="420" w:leftChars="200"/>
        <w:rPr>
          <w:rFonts w:ascii="楷体_GB2312" w:eastAsia="楷体_GB2312" w:cs="DengXian-Bold"/>
          <w:b/>
          <w:bCs/>
          <w:sz w:val="32"/>
          <w:szCs w:val="32"/>
        </w:rPr>
      </w:pPr>
    </w:p>
    <w:p w14:paraId="42C2F2C4">
      <w:pPr>
        <w:adjustRightInd w:val="0"/>
        <w:snapToGrid w:val="0"/>
        <w:spacing w:after="0" w:line="580" w:lineRule="exact"/>
        <w:ind w:left="420" w:leftChars="200"/>
        <w:rPr>
          <w:rFonts w:ascii="楷体_GB2312" w:eastAsia="楷体_GB2312" w:cs="DengXian-Bold"/>
          <w:b/>
          <w:bCs/>
          <w:sz w:val="32"/>
          <w:szCs w:val="32"/>
        </w:rPr>
      </w:pPr>
    </w:p>
    <w:p w14:paraId="2AF6E069">
      <w:pPr>
        <w:adjustRightInd w:val="0"/>
        <w:snapToGrid w:val="0"/>
        <w:spacing w:after="0" w:line="580" w:lineRule="exact"/>
        <w:ind w:left="420" w:leftChars="200"/>
        <w:rPr>
          <w:rFonts w:ascii="楷体_GB2312" w:eastAsia="楷体_GB2312" w:cs="DengXian-Bold"/>
          <w:b/>
          <w:bCs/>
          <w:sz w:val="32"/>
          <w:szCs w:val="32"/>
        </w:rPr>
      </w:pPr>
    </w:p>
    <w:p w14:paraId="01E987C7">
      <w:pPr>
        <w:adjustRightInd w:val="0"/>
        <w:snapToGrid w:val="0"/>
        <w:spacing w:after="0" w:line="580" w:lineRule="exact"/>
        <w:ind w:left="420" w:leftChars="200"/>
        <w:rPr>
          <w:rFonts w:ascii="楷体_GB2312" w:eastAsia="楷体_GB2312" w:cs="DengXian-Bold"/>
          <w:b/>
          <w:bCs/>
          <w:sz w:val="32"/>
          <w:szCs w:val="32"/>
        </w:rPr>
      </w:pPr>
      <w:r>
        <w:rPr>
          <w:rFonts w:ascii="楷体_GB2312" w:eastAsia="楷体_GB2312" w:cs="DengXian-Bold"/>
          <w:b/>
          <w:bCs/>
          <w:sz w:val="32"/>
          <w:szCs w:val="32"/>
        </w:rPr>
        <mc:AlternateContent>
          <mc:Choice Requires="wps">
            <w:drawing>
              <wp:anchor distT="0" distB="0" distL="114300" distR="114300" simplePos="0" relativeHeight="251676672" behindDoc="1" locked="0" layoutInCell="1" allowOverlap="1">
                <wp:simplePos x="0" y="0"/>
                <wp:positionH relativeFrom="column">
                  <wp:posOffset>1144270</wp:posOffset>
                </wp:positionH>
                <wp:positionV relativeFrom="paragraph">
                  <wp:posOffset>134620</wp:posOffset>
                </wp:positionV>
                <wp:extent cx="3763645" cy="660400"/>
                <wp:effectExtent l="0" t="0" r="8255" b="6985"/>
                <wp:wrapNone/>
                <wp:docPr id="9" name="文本框 32"/>
                <wp:cNvGraphicFramePr/>
                <a:graphic xmlns:a="http://schemas.openxmlformats.org/drawingml/2006/main">
                  <a:graphicData uri="http://schemas.microsoft.com/office/word/2010/wordprocessingShape">
                    <wps:wsp>
                      <wps:cNvSpPr txBox="1"/>
                      <wps:spPr>
                        <a:xfrm>
                          <a:off x="0" y="0"/>
                          <a:ext cx="3763645" cy="660399"/>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1C353733">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1662C968">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90.1pt;margin-top:10.6pt;height:52pt;width:296.35pt;z-index:-251639808;mso-width-relative:page;mso-height-relative:page;" fillcolor="#FFFFFF [3201]" filled="t" stroked="f" coordsize="21600,21600" o:gfxdata="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HaftDPUAAAACgEAAA8AAAAA&#10;AAAAAQAgAAAAIgAAAGRycy9kb3ducmV2LnhtbFBLAQIUABQAAAAIAIdO4kD2+skcUQIAAJAEAAAO&#10;AAAAAAAAAAEAIAAAACMBAABkcnMvZTJvRG9jLnhtbFBLBQYAAAAABgAGAFkBAADmBQAAAAA=&#10;">
                <v:fill on="t" focussize="0,0"/>
                <v:stroke on="f" weight="0.5pt"/>
                <v:imagedata o:title=""/>
                <o:lock v:ext="edit" aspectratio="f"/>
                <v:textbox>
                  <w:txbxContent>
                    <w:p w14:paraId="1C353733">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1662C968">
                      <w:pPr>
                        <w:rPr>
                          <w:sz w:val="20"/>
                          <w:szCs w:val="22"/>
                        </w:rPr>
                      </w:pPr>
                    </w:p>
                  </w:txbxContent>
                </v:textbox>
              </v:shape>
            </w:pict>
          </mc:Fallback>
        </mc:AlternateContent>
      </w:r>
    </w:p>
    <w:p w14:paraId="20587964">
      <w:pPr>
        <w:adjustRightInd w:val="0"/>
        <w:snapToGrid w:val="0"/>
        <w:spacing w:after="0" w:line="580" w:lineRule="exact"/>
        <w:ind w:left="420" w:leftChars="200"/>
        <w:rPr>
          <w:rFonts w:ascii="楷体_GB2312" w:eastAsia="楷体_GB2312" w:cs="DengXian-Bold"/>
          <w:b/>
          <w:bCs/>
          <w:sz w:val="32"/>
          <w:szCs w:val="32"/>
        </w:rPr>
      </w:pPr>
    </w:p>
    <w:p w14:paraId="6B87A52D">
      <w:pPr>
        <w:adjustRightInd w:val="0"/>
        <w:snapToGrid w:val="0"/>
        <w:spacing w:after="0" w:line="580" w:lineRule="exact"/>
        <w:ind w:left="420" w:leftChars="200"/>
        <w:rPr>
          <w:rFonts w:ascii="楷体_GB2312" w:eastAsia="楷体_GB2312" w:cs="DengXian-Bold"/>
          <w:b/>
          <w:bCs/>
          <w:sz w:val="32"/>
          <w:szCs w:val="32"/>
        </w:rPr>
      </w:pPr>
      <w:r>
        <w:rPr>
          <w:sz w:val="44"/>
        </w:rPr>
        <mc:AlternateContent>
          <mc:Choice Requires="wpg">
            <w:drawing>
              <wp:anchor distT="0" distB="0" distL="114300" distR="114300" simplePos="0" relativeHeight="25168179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68D28F2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2D66BA9E">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179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68D28F2A">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2D66BA9E">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14:paraId="2E8796E9">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717.14万元，其中：人员经费558.86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158.28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D89E044">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67B2899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“三公”经费支出共计2.35万元，</w:t>
      </w:r>
      <w:r>
        <w:rPr>
          <w:rFonts w:hint="eastAsia" w:ascii="宋体" w:hAnsi="宋体" w:cs="DengXian-Regular"/>
          <w:sz w:val="32"/>
          <w:szCs w:val="32"/>
        </w:rPr>
        <w:t>较</w:t>
      </w:r>
      <w:r>
        <w:rPr>
          <w:rFonts w:hint="eastAsia" w:ascii="仿宋_GB2312" w:eastAsia="仿宋_GB2312" w:cs="DengXian-Regular"/>
          <w:b/>
          <w:bCs/>
          <w:sz w:val="32"/>
          <w:szCs w:val="32"/>
        </w:rPr>
        <w:t>年</w:t>
      </w:r>
      <w:r>
        <w:rPr>
          <w:rFonts w:hint="eastAsia" w:ascii="仿宋_GB2312" w:eastAsia="仿宋_GB2312" w:cs="DengXian-Regular"/>
          <w:sz w:val="32"/>
          <w:szCs w:val="32"/>
        </w:rPr>
        <w:t>减少0.08万元，降低3.2</w:t>
      </w:r>
      <w:r>
        <w:rPr>
          <w:rFonts w:hint="eastAsia" w:ascii="宋体" w:hAnsi="宋体" w:cs="Calibri"/>
          <w:sz w:val="32"/>
          <w:szCs w:val="32"/>
        </w:rPr>
        <w:t>9</w:t>
      </w:r>
      <w:r>
        <w:rPr>
          <w:rFonts w:hint="eastAsia" w:ascii="仿宋_GB2312" w:eastAsia="仿宋_GB2312" w:cs="DengXian-Regular"/>
          <w:sz w:val="32"/>
          <w:szCs w:val="32"/>
        </w:rPr>
        <w:t>%</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14:paraId="5FC9FD00">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384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0642875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49932EC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384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0642875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49932ECF">
                        <w:pPr>
                          <w:jc w:val="center"/>
                        </w:pPr>
                      </w:p>
                    </w:txbxContent>
                  </v:textbox>
                </v:rect>
                <w10:anchorlock/>
              </v:group>
            </w:pict>
          </mc:Fallback>
        </mc:AlternateContent>
      </w:r>
      <w:r>
        <w:rPr>
          <w:rFonts w:hint="eastAsia" w:ascii="楷体_GB2312" w:eastAsia="楷体_GB2312" w:cs="DengXian-Bold"/>
          <w:b/>
          <w:bCs/>
          <w:sz w:val="32"/>
          <w:szCs w:val="32"/>
        </w:rPr>
        <w:t>一）因公出国（境）费支出0万元。</w:t>
      </w:r>
      <w:r>
        <w:rPr>
          <w:rFonts w:hint="eastAsia" w:ascii="仿宋_GB2312" w:eastAsia="仿宋_GB2312" w:cs="DengXian-Regular"/>
          <w:b/>
          <w:sz w:val="32"/>
          <w:szCs w:val="32"/>
        </w:rPr>
        <w:t>未</w:t>
      </w:r>
      <w:r>
        <w:rPr>
          <w:rFonts w:hint="eastAsia" w:ascii="仿宋_GB2312" w:eastAsia="仿宋_GB2312" w:cs="DengXian-Regular"/>
          <w:sz w:val="32"/>
          <w:szCs w:val="32"/>
        </w:rPr>
        <w:t>发生‘</w:t>
      </w:r>
      <w:r>
        <w:rPr>
          <w:rFonts w:hint="eastAsia" w:ascii="楷体_GB2312" w:eastAsia="楷体_GB2312" w:cs="DengXian-Bold"/>
          <w:b/>
          <w:bCs/>
          <w:sz w:val="32"/>
          <w:szCs w:val="32"/>
        </w:rPr>
        <w:t>因公出国（境）</w:t>
      </w:r>
      <w:r>
        <w:rPr>
          <w:rFonts w:hint="eastAsia" w:ascii="仿宋_GB2312" w:eastAsia="仿宋_GB2312" w:cs="DengXian-Regular"/>
          <w:sz w:val="32"/>
          <w:szCs w:val="32"/>
        </w:rPr>
        <w:t>’经费支出，与年初预算持平。</w:t>
      </w:r>
    </w:p>
    <w:p w14:paraId="78E52393">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w:t>
      </w:r>
      <w:r>
        <w:rPr>
          <w:rFonts w:hint="eastAsia" w:ascii="Calibri" w:hAnsi="Calibri" w:eastAsia="楷体_GB2312" w:cs="Calibri"/>
          <w:b/>
          <w:bCs/>
          <w:sz w:val="32"/>
          <w:szCs w:val="32"/>
        </w:rPr>
        <w:t>.</w:t>
      </w:r>
      <w:r>
        <w:rPr>
          <w:rFonts w:hint="eastAsia" w:ascii="宋体" w:hAnsi="宋体" w:cs="Calibri"/>
          <w:b/>
          <w:bCs/>
          <w:sz w:val="32"/>
          <w:szCs w:val="32"/>
        </w:rPr>
        <w:t>35</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本部门2018年度公务用车购置及运行维护费较年初预算减少0.05万元，降低2.08%,主要是认真贯彻落实贯彻落实中央八项规定</w:t>
      </w:r>
      <w:r>
        <w:rPr>
          <w:rFonts w:hint="eastAsia" w:ascii="仿宋_GB2312" w:eastAsia="仿宋_GB2312" w:cs="DengXian-Regular"/>
          <w:sz w:val="32"/>
          <w:szCs w:val="32"/>
          <w:lang w:val="en-US" w:eastAsia="zh-CN"/>
        </w:rPr>
        <w:t>精神</w:t>
      </w:r>
      <w:r>
        <w:rPr>
          <w:rFonts w:hint="eastAsia" w:ascii="仿宋_GB2312" w:eastAsia="仿宋_GB2312" w:cs="DengXian-Regular"/>
          <w:sz w:val="32"/>
          <w:szCs w:val="32"/>
        </w:rPr>
        <w:t>和厉行节约要求，全年实际支出比预算有所节约。</w:t>
      </w:r>
      <w:r>
        <w:rPr>
          <w:rFonts w:hint="eastAsia" w:ascii="仿宋_GB2312" w:eastAsia="仿宋_GB2312" w:cs="DengXian-Bold"/>
          <w:b/>
          <w:bCs/>
          <w:sz w:val="32"/>
          <w:szCs w:val="32"/>
        </w:rPr>
        <w:t>其中：</w:t>
      </w:r>
    </w:p>
    <w:p w14:paraId="1F6DCA94">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bCs/>
          <w:sz w:val="32"/>
          <w:szCs w:val="32"/>
        </w:rPr>
        <w:t>未</w:t>
      </w:r>
      <w:r>
        <w:rPr>
          <w:rFonts w:hint="eastAsia" w:ascii="仿宋_GB2312" w:eastAsia="仿宋_GB2312" w:cs="DengXian-Regular"/>
          <w:sz w:val="32"/>
          <w:szCs w:val="32"/>
        </w:rPr>
        <w:t>发生‘公务用车购置’经费支出，与年初预算持平。</w:t>
      </w:r>
    </w:p>
    <w:p w14:paraId="46640429">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本部门2018年度单位公务用车保有量6辆。公车运行维护费支出较年初预算减少0.05万元，降低2.08x%,主要是认真贯彻落实中央八项规定</w:t>
      </w:r>
      <w:bookmarkStart w:id="0" w:name="_GoBack"/>
      <w:bookmarkEnd w:id="0"/>
      <w:r>
        <w:rPr>
          <w:rFonts w:hint="eastAsia" w:ascii="仿宋_GB2312" w:eastAsia="仿宋_GB2312" w:cs="DengXian-Regular"/>
          <w:sz w:val="32"/>
          <w:szCs w:val="32"/>
        </w:rPr>
        <w:t>精神和厉行节约要求，从严控制“三公”经费开支，全年实际支出比预算有所节约。</w:t>
      </w:r>
    </w:p>
    <w:p w14:paraId="60D601E8">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mc:AlternateContent>
          <mc:Choice Requires="wpg">
            <w:drawing>
              <wp:anchor distT="0" distB="0" distL="114300" distR="114300" simplePos="0" relativeHeight="25168588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3FA705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5FD0E77A">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588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14:paraId="43FA705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5FD0E77A">
                        <w:pPr>
                          <w:jc w:val="center"/>
                        </w:pPr>
                      </w:p>
                    </w:txbxContent>
                  </v:textbox>
                </v:rect>
                <w10:anchorlock/>
              </v:group>
            </w:pict>
          </mc:Fallback>
        </mc:AlternateContent>
      </w:r>
      <w:r>
        <w:rPr>
          <w:rFonts w:hint="eastAsia" w:ascii="仿宋_GB2312" w:eastAsia="仿宋_GB2312" w:cs="DengXian-Regular"/>
          <w:sz w:val="32"/>
          <w:szCs w:val="32"/>
        </w:rPr>
        <w:t>本部门2018年度公务接待共0批次、0人次。公务接待费支出较年初预算减少0.03万元，降低100%,主要是认真贯彻落实中央“八项规定”精神和厉行节约要求，从严控制“三公”经费开支，全年实际支出比预算有所节约。</w:t>
      </w:r>
    </w:p>
    <w:p w14:paraId="2244B354">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绩效预算情况说明(以下内容必有，其他可以多)</w:t>
      </w:r>
    </w:p>
    <w:p w14:paraId="77B5C7F5">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1号），本单位认真开展了预算绩效管理改革开展情况自查，对部门全面规范绩效预算编制、严格预算执行管理、推进绩效评价工作、推进预决算信息公开等方面进行了自评，考核结果为优秀。</w:t>
      </w:r>
    </w:p>
    <w:p w14:paraId="02531EA2">
      <w:pPr>
        <w:adjustRightInd w:val="0"/>
        <w:snapToGrid w:val="0"/>
        <w:spacing w:after="0" w:line="500" w:lineRule="exact"/>
        <w:ind w:firstLine="640" w:firstLineChars="200"/>
        <w:rPr>
          <w:rFonts w:ascii="仿宋_GB2312" w:eastAsia="仿宋_GB2312" w:cs="DengXian-Regular"/>
          <w:sz w:val="32"/>
          <w:szCs w:val="32"/>
          <w:shd w:val="pct15" w:color="auto" w:fill="FFFFFF"/>
        </w:rPr>
      </w:pPr>
      <w:r>
        <w:rPr>
          <w:rFonts w:hint="eastAsia" w:ascii="仿宋_GB2312" w:eastAsia="仿宋_GB2312" w:cs="DengXian-Regular"/>
          <w:sz w:val="32"/>
          <w:szCs w:val="32"/>
        </w:rPr>
        <w:t>（二）预算项目绩效评价开展情况。根据预算绩效管理要求，本单位组织对2017年度一般公共预算项目支出全面开展绩效自评，涉及</w:t>
      </w:r>
      <w:r>
        <w:rPr>
          <w:rFonts w:ascii="仿宋" w:eastAsia="仿宋"/>
          <w:sz w:val="32"/>
          <w:szCs w:val="32"/>
        </w:rPr>
        <w:t>抗旱服务站</w:t>
      </w:r>
      <w:r>
        <w:rPr>
          <w:rFonts w:hint="eastAsia" w:ascii="仿宋" w:eastAsia="仿宋"/>
          <w:sz w:val="32"/>
          <w:szCs w:val="32"/>
        </w:rPr>
        <w:t>建设，</w:t>
      </w:r>
      <w:r>
        <w:rPr>
          <w:rFonts w:ascii="仿宋" w:eastAsia="仿宋"/>
          <w:sz w:val="32"/>
          <w:szCs w:val="32"/>
        </w:rPr>
        <w:t>泲河整治工程</w:t>
      </w:r>
      <w:r>
        <w:rPr>
          <w:rFonts w:hint="eastAsia" w:ascii="仿宋" w:eastAsia="仿宋"/>
          <w:sz w:val="32"/>
          <w:szCs w:val="32"/>
        </w:rPr>
        <w:t>，</w:t>
      </w:r>
      <w:r>
        <w:rPr>
          <w:rFonts w:ascii="仿宋" w:eastAsia="仿宋"/>
          <w:sz w:val="32"/>
          <w:szCs w:val="32"/>
        </w:rPr>
        <w:t>供水管网工程建设</w:t>
      </w:r>
      <w:r>
        <w:rPr>
          <w:rFonts w:hint="eastAsia" w:ascii="仿宋" w:eastAsia="仿宋"/>
          <w:sz w:val="32"/>
          <w:szCs w:val="32"/>
        </w:rPr>
        <w:t>，</w:t>
      </w:r>
      <w:r>
        <w:rPr>
          <w:rFonts w:ascii="仿宋" w:eastAsia="仿宋"/>
          <w:sz w:val="32"/>
          <w:szCs w:val="32"/>
        </w:rPr>
        <w:t>跑办槐河生态修复项目</w:t>
      </w:r>
      <w:r>
        <w:rPr>
          <w:rFonts w:hint="eastAsia" w:ascii="仿宋_GB2312" w:eastAsia="仿宋_GB2312" w:cs="DengXian-Regular"/>
          <w:sz w:val="32"/>
          <w:szCs w:val="32"/>
        </w:rPr>
        <w:t>4个项目。从评价情况看，评价结果为优秀的项目有4个。</w:t>
      </w:r>
    </w:p>
    <w:p w14:paraId="041A72CD">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14:paraId="4FCC816A">
      <w:pPr>
        <w:adjustRightInd w:val="0"/>
        <w:snapToGrid w:val="0"/>
        <w:spacing w:after="0" w:line="500" w:lineRule="exact"/>
        <w:ind w:firstLine="640" w:firstLineChars="200"/>
        <w:rPr>
          <w:rFonts w:ascii="仿宋_GB2312" w:eastAsia="仿宋_GB2312" w:cs="DengXian-Regular"/>
          <w:sz w:val="32"/>
          <w:szCs w:val="32"/>
        </w:rPr>
      </w:pPr>
      <w:r>
        <w:rPr>
          <w:rFonts w:ascii="仿宋" w:eastAsia="仿宋"/>
          <w:sz w:val="32"/>
          <w:szCs w:val="32"/>
        </w:rPr>
        <w:t>地下水超采综合治理项目。</w:t>
      </w:r>
      <w:r>
        <w:rPr>
          <w:rFonts w:hint="eastAsia" w:ascii="仿宋" w:eastAsia="仿宋"/>
          <w:sz w:val="32"/>
          <w:szCs w:val="32"/>
        </w:rPr>
        <w:t>投资</w:t>
      </w:r>
      <w:r>
        <w:rPr>
          <w:rFonts w:ascii="仿宋" w:eastAsia="仿宋"/>
          <w:sz w:val="32"/>
          <w:szCs w:val="32"/>
        </w:rPr>
        <w:t>700万元左右积极跑办地下水超采综合治理项目，</w:t>
      </w:r>
      <w:r>
        <w:rPr>
          <w:rFonts w:hint="eastAsia" w:ascii="仿宋" w:eastAsia="仿宋"/>
          <w:sz w:val="32"/>
          <w:szCs w:val="32"/>
        </w:rPr>
        <w:t>完成</w:t>
      </w:r>
      <w:r>
        <w:rPr>
          <w:rFonts w:ascii="仿宋" w:eastAsia="仿宋"/>
          <w:sz w:val="32"/>
          <w:szCs w:val="32"/>
        </w:rPr>
        <w:t>西邱村、辛庄村、寺马闲村、马村、岗头村5个村6170亩耕地。</w:t>
      </w:r>
    </w:p>
    <w:p w14:paraId="62973B7C">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440869C0">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（一）政府采购情况</w:t>
      </w:r>
    </w:p>
    <w:p w14:paraId="13D1A887">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本部门2018年度政府采购支出总额3011.25万元，从采购类型来看，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bidi="ar"/>
        </w:rPr>
        <w:t>58.23</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bidi="ar"/>
        </w:rPr>
        <w:t>2</w:t>
      </w:r>
      <w:r>
        <w:rPr>
          <w:rFonts w:hint="eastAsia" w:ascii="Calibri" w:hAnsi="Calibri" w:eastAsia="仿宋_GB2312" w:cs="Calibri"/>
          <w:color w:val="000000"/>
          <w:kern w:val="0"/>
          <w:sz w:val="32"/>
          <w:szCs w:val="32"/>
          <w:lang w:bidi="ar"/>
        </w:rPr>
        <w:t>9</w:t>
      </w:r>
      <w:r>
        <w:rPr>
          <w:rFonts w:hint="eastAsia" w:ascii="仿宋_GB2312" w:hAnsi="仿宋_GB2312" w:eastAsia="仿宋_GB2312" w:cs="仿宋_GB2312"/>
          <w:color w:val="000000"/>
          <w:kern w:val="0"/>
          <w:sz w:val="32"/>
          <w:szCs w:val="32"/>
          <w:lang w:bidi="ar"/>
        </w:rPr>
        <w:t>53.01</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w:t>
      </w:r>
    </w:p>
    <w:p w14:paraId="74787E1B">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5989EE37">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截至2018年12月31日，本部门共有车辆6辆，与上年相同。</w:t>
      </w:r>
    </w:p>
    <w:p w14:paraId="3A3887D4">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0C2A65EE">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1、由于决算公开表格中金额数值应当保留两位小数，公开数据为四舍五入计算结</w:t>
      </w:r>
      <w:r>
        <w:rPr>
          <w:sz w:val="44"/>
        </w:rPr>
        <mc:AlternateContent>
          <mc:Choice Requires="wpg">
            <w:drawing>
              <wp:anchor distT="0" distB="0" distL="114300" distR="114300" simplePos="0" relativeHeight="25168691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52B0E18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73B9F5D5">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14:paraId="52B0E18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73B9F5D5">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14:paraId="5142B516">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627D7EFA">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0226B0">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14:paraId="40AEE399">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fill on="f" focussize="0,0"/>
                <v:stroke on="f" weight="0.5pt"/>
                <v:imagedata o:title=""/>
                <o:lock v:ext="edit" aspectratio="f"/>
                <v:textbox>
                  <w:txbxContent>
                    <w:p w14:paraId="070226B0">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14:paraId="40AEE399">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14:paraId="59D79CA4">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70AD512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39AE2763">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09EA9AA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717592B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78E88518">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04B68B83">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w:t>
      </w:r>
      <w:r>
        <w:rPr>
          <w:rFonts w:hint="eastAsia" w:ascii="仿宋" w:hAnsi="仿宋" w:eastAsia="仿宋"/>
          <w:b/>
          <w:bCs/>
          <w:color w:val="000000"/>
          <w:kern w:val="0"/>
          <w:sz w:val="32"/>
          <w:szCs w:val="32"/>
        </w:rPr>
        <w:t>末结转和结</w:t>
      </w:r>
      <w:r>
        <w:rPr>
          <w:rFonts w:hint="eastAsia" w:ascii="仿宋" w:hAnsi="仿宋" w:eastAsia="仿宋"/>
          <w:b/>
          <w:bCs/>
          <w:color w:val="000000"/>
          <w:kern w:val="0"/>
          <w:sz w:val="32"/>
          <w:szCs w:val="32"/>
        </w:rPr>
        <mc:AlternateContent>
          <mc:Choice Requires="wpg">
            <w:drawing>
              <wp:anchor distT="0" distB="0" distL="114300" distR="114300" simplePos="0" relativeHeight="25167257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064148A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70CF944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257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14:paraId="064148A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70CF9446">
                        <w:pPr>
                          <w:jc w:val="center"/>
                        </w:pPr>
                      </w:p>
                    </w:txbxContent>
                  </v:textbox>
                </v:rect>
                <w10:anchorlock/>
              </v:group>
            </w:pict>
          </mc:Fallback>
        </mc:AlternateContent>
      </w:r>
      <w:r>
        <w:rPr>
          <w:rFonts w:hint="eastAsia" w:ascii="仿宋" w:hAnsi="仿宋" w:eastAsia="仿宋"/>
          <w:b/>
          <w:bCs/>
          <w:color w:val="000000"/>
          <w:kern w:val="0"/>
          <w:sz w:val="32"/>
          <w:szCs w:val="32"/>
        </w:rPr>
        <w:t>余</w:t>
      </w:r>
      <w:r>
        <w:rPr>
          <w:rFonts w:hint="eastAsia" w:ascii="仿宋_GB2312" w:eastAsia="仿宋_GB2312" w:hAnsiTheme="majorEastAsia"/>
          <w:b/>
          <w:bCs/>
          <w:color w:val="000000"/>
          <w:kern w:val="0"/>
          <w:sz w:val="32"/>
          <w:szCs w:val="32"/>
        </w:rPr>
        <w:t>：</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3474879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68E55281">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24D9334E">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4BC4290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587852A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8793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CBFF41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0E56CB56">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8793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4CBFF418">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0E56CB56">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14:paraId="0BEBEB62">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8896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8D77F8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2931355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8896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14:paraId="48D77F8C">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14:paraId="29313551">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68B379F9">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3B68F135">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2629EA53">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6AA5D886">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6ED35B28">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240466C-7A3C-4B47-BB71-DC714268434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74EF9AA5-6F20-4A13-9A06-A57D4E1331B5}"/>
  </w:font>
  <w:font w:name="Cambria">
    <w:panose1 w:val="02040503050406030204"/>
    <w:charset w:val="00"/>
    <w:family w:val="roman"/>
    <w:pitch w:val="default"/>
    <w:sig w:usb0="E00006FF" w:usb1="420024FF" w:usb2="02000000" w:usb3="00000000" w:csb0="2000019F" w:csb1="00000000"/>
    <w:embedRegular r:id="rId3" w:fontKey="{8ECC3246-2F0D-422A-8FC9-4A4EB0E77F59}"/>
  </w:font>
  <w:font w:name="楷体">
    <w:panose1 w:val="02010609060101010101"/>
    <w:charset w:val="86"/>
    <w:family w:val="modern"/>
    <w:pitch w:val="default"/>
    <w:sig w:usb0="800002BF" w:usb1="38CF7CFA" w:usb2="00000016" w:usb3="00000000" w:csb0="00040001" w:csb1="00000000"/>
    <w:embedRegular r:id="rId4" w:fontKey="{0CE61CA4-05D9-4FFD-B44D-61539A966166}"/>
  </w:font>
  <w:font w:name="楷体_GB2312">
    <w:altName w:val="楷体"/>
    <w:panose1 w:val="00000000000000000000"/>
    <w:charset w:val="86"/>
    <w:family w:val="modern"/>
    <w:pitch w:val="default"/>
    <w:sig w:usb0="00000000" w:usb1="00000000" w:usb2="00000010" w:usb3="00000000" w:csb0="00040000" w:csb1="00000000"/>
    <w:embedRegular r:id="rId5" w:fontKey="{AC05D469-AB3A-4676-B268-DDEC4F499774}"/>
  </w:font>
  <w:font w:name="微软雅黑">
    <w:panose1 w:val="020B0503020204020204"/>
    <w:charset w:val="86"/>
    <w:family w:val="swiss"/>
    <w:pitch w:val="default"/>
    <w:sig w:usb0="80000287" w:usb1="2ACF3C50" w:usb2="00000016" w:usb3="00000000" w:csb0="0004001F" w:csb1="00000000"/>
    <w:embedRegular r:id="rId6" w:fontKey="{B5B19201-1236-4CBA-8D48-65777936F71D}"/>
  </w:font>
  <w:font w:name="仿宋_GB2312">
    <w:altName w:val="仿宋"/>
    <w:panose1 w:val="00000000000000000000"/>
    <w:charset w:val="86"/>
    <w:family w:val="modern"/>
    <w:pitch w:val="default"/>
    <w:sig w:usb0="00000000" w:usb1="00000000" w:usb2="00000010" w:usb3="00000000" w:csb0="00040000" w:csb1="00000000"/>
    <w:embedRegular r:id="rId7" w:fontKey="{4BB9C605-3768-4292-83A4-C57FBC06DB48}"/>
  </w:font>
  <w:font w:name="ArialUnicodeMS">
    <w:altName w:val="Malgun Gothic"/>
    <w:panose1 w:val="00000000000000000000"/>
    <w:charset w:val="81"/>
    <w:family w:val="auto"/>
    <w:pitch w:val="default"/>
    <w:sig w:usb0="00000000" w:usb1="00000000" w:usb2="00000010" w:usb3="00000000" w:csb0="00080001" w:csb1="00000000"/>
    <w:embedRegular r:id="rId8" w:fontKey="{BBB2DF5E-717C-4231-A320-649B07A642C2}"/>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embedRegular r:id="rId9" w:fontKey="{30E17473-E2A5-44E1-BD2C-7AA92EDBC2B7}"/>
  </w:font>
  <w:font w:name="MS-UIGothic,Bold">
    <w:altName w:val="Malgun Gothic"/>
    <w:panose1 w:val="00000000000000000000"/>
    <w:charset w:val="81"/>
    <w:family w:val="auto"/>
    <w:pitch w:val="default"/>
    <w:sig w:usb0="00000000" w:usb1="00000000" w:usb2="00000010" w:usb3="00000000" w:csb0="00080000" w:csb1="00000000"/>
    <w:embedRegular r:id="rId10" w:fontKey="{DBCB9F30-960B-4856-AE94-6F0A3787F6D7}"/>
  </w:font>
  <w:font w:name="DengXian-Regular">
    <w:altName w:val="宋体"/>
    <w:panose1 w:val="00000000000000000000"/>
    <w:charset w:val="86"/>
    <w:family w:val="auto"/>
    <w:pitch w:val="default"/>
    <w:sig w:usb0="00000000" w:usb1="00000000" w:usb2="00000010" w:usb3="00000000" w:csb0="00040001" w:csb1="00000000"/>
    <w:embedRegular r:id="rId11" w:fontKey="{46885C65-8864-48A6-A72D-FA3C80BE8274}"/>
  </w:font>
  <w:font w:name="DengXian-Bold">
    <w:altName w:val="宋体"/>
    <w:panose1 w:val="00000000000000000000"/>
    <w:charset w:val="86"/>
    <w:family w:val="auto"/>
    <w:pitch w:val="default"/>
    <w:sig w:usb0="00000000" w:usb1="00000000" w:usb2="00000010" w:usb3="00000000" w:csb0="00040001" w:csb1="00000000"/>
    <w:embedRegular r:id="rId12" w:fontKey="{7F908693-7496-412D-B59E-0BCE3D6B3749}"/>
  </w:font>
  <w:font w:name="___WRD_EMBED_SUB_48">
    <w:altName w:val="微软雅黑"/>
    <w:panose1 w:val="00000000000000000000"/>
    <w:charset w:val="86"/>
    <w:family w:val="modern"/>
    <w:pitch w:val="default"/>
    <w:sig w:usb0="00000000" w:usb1="00000000" w:usb2="00000010" w:usb3="00000000" w:csb0="00040000" w:csb1="00000000"/>
    <w:embedRegular r:id="rId13" w:fontKey="{891365E8-A079-4131-A99F-C6B87F83D15D}"/>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413"/>
    <w:rsid w:val="00024E7F"/>
    <w:rsid w:val="000475A0"/>
    <w:rsid w:val="000838C3"/>
    <w:rsid w:val="000B2446"/>
    <w:rsid w:val="000D2981"/>
    <w:rsid w:val="000D7C65"/>
    <w:rsid w:val="000E2F81"/>
    <w:rsid w:val="00117946"/>
    <w:rsid w:val="00117E2C"/>
    <w:rsid w:val="00146C47"/>
    <w:rsid w:val="00152FB8"/>
    <w:rsid w:val="00176658"/>
    <w:rsid w:val="0018239E"/>
    <w:rsid w:val="001B3410"/>
    <w:rsid w:val="001C030D"/>
    <w:rsid w:val="001C4A84"/>
    <w:rsid w:val="001E5902"/>
    <w:rsid w:val="00233705"/>
    <w:rsid w:val="002505C5"/>
    <w:rsid w:val="00275CA2"/>
    <w:rsid w:val="00281E40"/>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92545"/>
    <w:rsid w:val="005A2C27"/>
    <w:rsid w:val="005A6C90"/>
    <w:rsid w:val="005E3FB0"/>
    <w:rsid w:val="005F4B66"/>
    <w:rsid w:val="005F5208"/>
    <w:rsid w:val="0061776A"/>
    <w:rsid w:val="00641318"/>
    <w:rsid w:val="0064405D"/>
    <w:rsid w:val="006531FE"/>
    <w:rsid w:val="00670742"/>
    <w:rsid w:val="006718EE"/>
    <w:rsid w:val="00674E83"/>
    <w:rsid w:val="00685302"/>
    <w:rsid w:val="00695557"/>
    <w:rsid w:val="006D4EA7"/>
    <w:rsid w:val="0070012A"/>
    <w:rsid w:val="0070664B"/>
    <w:rsid w:val="007071B8"/>
    <w:rsid w:val="00735B10"/>
    <w:rsid w:val="007414DE"/>
    <w:rsid w:val="007667EC"/>
    <w:rsid w:val="007905A9"/>
    <w:rsid w:val="007E5500"/>
    <w:rsid w:val="007F055B"/>
    <w:rsid w:val="0080644C"/>
    <w:rsid w:val="00811C2F"/>
    <w:rsid w:val="00833D46"/>
    <w:rsid w:val="00837D41"/>
    <w:rsid w:val="00840A97"/>
    <w:rsid w:val="008C0149"/>
    <w:rsid w:val="008D5DED"/>
    <w:rsid w:val="008D7FF4"/>
    <w:rsid w:val="008E25CA"/>
    <w:rsid w:val="008F34FC"/>
    <w:rsid w:val="00917C93"/>
    <w:rsid w:val="00944CD7"/>
    <w:rsid w:val="009831B2"/>
    <w:rsid w:val="009A1ABE"/>
    <w:rsid w:val="009E21A4"/>
    <w:rsid w:val="009F22C6"/>
    <w:rsid w:val="00A07E50"/>
    <w:rsid w:val="00A15397"/>
    <w:rsid w:val="00A35CE0"/>
    <w:rsid w:val="00A4462E"/>
    <w:rsid w:val="00A44AA4"/>
    <w:rsid w:val="00A61623"/>
    <w:rsid w:val="00A84687"/>
    <w:rsid w:val="00AB0A0E"/>
    <w:rsid w:val="00AC183A"/>
    <w:rsid w:val="00AD3B6E"/>
    <w:rsid w:val="00B02E03"/>
    <w:rsid w:val="00B128B1"/>
    <w:rsid w:val="00B1751F"/>
    <w:rsid w:val="00B25CD8"/>
    <w:rsid w:val="00B56722"/>
    <w:rsid w:val="00B74D39"/>
    <w:rsid w:val="00B91DA4"/>
    <w:rsid w:val="00C12630"/>
    <w:rsid w:val="00C2799A"/>
    <w:rsid w:val="00C34562"/>
    <w:rsid w:val="00C3774E"/>
    <w:rsid w:val="00C566CB"/>
    <w:rsid w:val="00C57456"/>
    <w:rsid w:val="00C63924"/>
    <w:rsid w:val="00C65387"/>
    <w:rsid w:val="00C87FAB"/>
    <w:rsid w:val="00C91FF7"/>
    <w:rsid w:val="00C94E53"/>
    <w:rsid w:val="00D0048E"/>
    <w:rsid w:val="00D042BF"/>
    <w:rsid w:val="00D23E7A"/>
    <w:rsid w:val="00D61063"/>
    <w:rsid w:val="00DB35AF"/>
    <w:rsid w:val="00DD72D7"/>
    <w:rsid w:val="00DF5B88"/>
    <w:rsid w:val="00E05773"/>
    <w:rsid w:val="00E0589E"/>
    <w:rsid w:val="00E241FA"/>
    <w:rsid w:val="00E2595E"/>
    <w:rsid w:val="00E35374"/>
    <w:rsid w:val="00E50C19"/>
    <w:rsid w:val="00E64655"/>
    <w:rsid w:val="00E73081"/>
    <w:rsid w:val="00E856C9"/>
    <w:rsid w:val="00EB6A8B"/>
    <w:rsid w:val="00EC0511"/>
    <w:rsid w:val="00EF38C6"/>
    <w:rsid w:val="00F260F8"/>
    <w:rsid w:val="00F33716"/>
    <w:rsid w:val="00F679C7"/>
    <w:rsid w:val="00F7711A"/>
    <w:rsid w:val="00F85697"/>
    <w:rsid w:val="00FA0D58"/>
    <w:rsid w:val="00FA56F4"/>
    <w:rsid w:val="00FB4EDA"/>
    <w:rsid w:val="00FD3BD5"/>
    <w:rsid w:val="00FE3DC8"/>
    <w:rsid w:val="00FE5E79"/>
    <w:rsid w:val="00FF51F8"/>
    <w:rsid w:val="02435F6E"/>
    <w:rsid w:val="04073F84"/>
    <w:rsid w:val="0B60750A"/>
    <w:rsid w:val="10686488"/>
    <w:rsid w:val="10DF728A"/>
    <w:rsid w:val="1264200E"/>
    <w:rsid w:val="141C5B77"/>
    <w:rsid w:val="18D8339D"/>
    <w:rsid w:val="1A21388F"/>
    <w:rsid w:val="1A570D2F"/>
    <w:rsid w:val="28FB0B8D"/>
    <w:rsid w:val="2A9870FC"/>
    <w:rsid w:val="2D2B7942"/>
    <w:rsid w:val="2D46481D"/>
    <w:rsid w:val="2E733B28"/>
    <w:rsid w:val="31852B5A"/>
    <w:rsid w:val="322D248A"/>
    <w:rsid w:val="32D01238"/>
    <w:rsid w:val="3DFC59A8"/>
    <w:rsid w:val="3ECF245E"/>
    <w:rsid w:val="3FB96314"/>
    <w:rsid w:val="53A44FAF"/>
    <w:rsid w:val="594329EC"/>
    <w:rsid w:val="5BEE1540"/>
    <w:rsid w:val="5DE61A5D"/>
    <w:rsid w:val="63C04243"/>
    <w:rsid w:val="649C01C7"/>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customStyle="1" w:styleId="15">
    <w:name w:val="页眉 字符"/>
    <w:basedOn w:val="14"/>
    <w:link w:val="9"/>
    <w:qFormat/>
    <w:uiPriority w:val="99"/>
    <w:rPr>
      <w:sz w:val="18"/>
      <w:szCs w:val="18"/>
    </w:rPr>
  </w:style>
  <w:style w:type="character" w:customStyle="1" w:styleId="16">
    <w:name w:val="页脚 字符"/>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字符"/>
    <w:basedOn w:val="14"/>
    <w:link w:val="17"/>
    <w:qFormat/>
    <w:uiPriority w:val="1"/>
    <w:rPr>
      <w:kern w:val="0"/>
      <w:sz w:val="22"/>
    </w:rPr>
  </w:style>
  <w:style w:type="character" w:customStyle="1" w:styleId="19">
    <w:name w:val="批注框文本 字符"/>
    <w:basedOn w:val="14"/>
    <w:link w:val="7"/>
    <w:semiHidden/>
    <w:qFormat/>
    <w:uiPriority w:val="99"/>
    <w:rPr>
      <w:rFonts w:ascii="Times New Roman" w:hAnsi="Times New Roman" w:eastAsia="宋体" w:cs="Times New Roman"/>
      <w:sz w:val="18"/>
      <w:szCs w:val="18"/>
    </w:rPr>
  </w:style>
  <w:style w:type="character" w:customStyle="1" w:styleId="20">
    <w:name w:val="标题 字符"/>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字符"/>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字符"/>
    <w:basedOn w:val="14"/>
    <w:link w:val="2"/>
    <w:qFormat/>
    <w:uiPriority w:val="9"/>
    <w:rPr>
      <w:rFonts w:ascii="Times New Roman" w:hAnsi="Times New Roman" w:eastAsia="宋体" w:cs="Times New Roman"/>
      <w:b/>
      <w:bCs/>
      <w:kern w:val="44"/>
      <w:sz w:val="44"/>
      <w:szCs w:val="44"/>
    </w:rPr>
  </w:style>
  <w:style w:type="character" w:customStyle="1" w:styleId="28">
    <w:name w:val="标题 2 字符"/>
    <w:basedOn w:val="14"/>
    <w:link w:val="3"/>
    <w:qFormat/>
    <w:uiPriority w:val="9"/>
    <w:rPr>
      <w:rFonts w:asciiTheme="majorHAnsi" w:hAnsiTheme="majorHAnsi" w:eastAsiaTheme="majorEastAsia" w:cstheme="majorBidi"/>
      <w:b/>
      <w:bCs/>
      <w:sz w:val="32"/>
      <w:szCs w:val="32"/>
    </w:rPr>
  </w:style>
  <w:style w:type="character" w:customStyle="1" w:styleId="29">
    <w:name w:val="标题 3 字符"/>
    <w:basedOn w:val="14"/>
    <w:link w:val="4"/>
    <w:qFormat/>
    <w:uiPriority w:val="9"/>
    <w:rPr>
      <w:rFonts w:ascii="Times New Roman" w:hAnsi="Times New Roman" w:eastAsia="宋体" w:cs="Times New Roman"/>
      <w:b/>
      <w:bCs/>
      <w:sz w:val="32"/>
      <w:szCs w:val="32"/>
    </w:rPr>
  </w:style>
  <w:style w:type="character" w:customStyle="1" w:styleId="30">
    <w:name w:val="标题 4 字符"/>
    <w:basedOn w:val="14"/>
    <w:link w:val="5"/>
    <w:qFormat/>
    <w:uiPriority w:val="9"/>
    <w:rPr>
      <w:rFonts w:asciiTheme="majorHAnsi" w:hAnsiTheme="majorHAnsi" w:eastAsiaTheme="majorEastAsia" w:cstheme="majorBidi"/>
      <w:b/>
      <w:bCs/>
      <w:sz w:val="28"/>
      <w:szCs w:val="28"/>
    </w:rPr>
  </w:style>
  <w:style w:type="character" w:customStyle="1" w:styleId="31">
    <w:name w:val="日期 字符"/>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xndn\Desktop\&#26032;&#24314;%20Microsoft%20Excel%20&#24037;&#20316;&#3492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xndn\Desktop\&#26032;&#24314;%20Microsoft%20Excel%20&#24037;&#20316;&#34920;.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xndn\Desktop\&#26032;&#24314;%20Microsoft%20Excel%20&#24037;&#20316;&#34920;.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xndn\Desktop\&#26032;&#24314;%20Microsoft%20Excel%20&#24037;&#20316;&#34920;.xlsx"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xndn\Desktop\&#26032;&#24314;%20Microsoft%20Excel%20&#24037;&#20316;&#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manualLayout>
          <c:layoutTarget val="inner"/>
          <c:xMode val="edge"/>
          <c:yMode val="edge"/>
          <c:x val="0.0347222222222222"/>
          <c:y val="0.224537037037037"/>
          <c:w val="0.813888888888889"/>
          <c:h val="0.773148148148148"/>
        </c:manualLayout>
      </c:layout>
      <c:pie3DChart>
        <c:varyColors val="1"/>
        <c:ser>
          <c:idx val="0"/>
          <c:order val="0"/>
          <c:spPr/>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dPt>
          <c:dPt>
            <c:idx val="4"/>
            <c:bubble3D val="0"/>
            <c:spPr>
              <a:solidFill>
                <a:schemeClr val="accent5"/>
              </a:solidFill>
              <a:ln w="25400">
                <a:solidFill>
                  <a:schemeClr val="lt1"/>
                </a:solidFill>
              </a:ln>
              <a:effectLst/>
              <a:scene3d>
                <a:camera prst="orthographicFront"/>
                <a:lightRig rig="threePt" dir="t"/>
              </a:scene3d>
              <a:sp3d contourW="25400">
                <a:contourClr>
                  <a:schemeClr val="lt1"/>
                </a:contourClr>
              </a:sp3d>
            </c:spPr>
          </c:dPt>
          <c:dPt>
            <c:idx val="5"/>
            <c:bubble3D val="0"/>
            <c:spPr>
              <a:solidFill>
                <a:schemeClr val="accent6"/>
              </a:solidFill>
              <a:ln w="25400">
                <a:solidFill>
                  <a:schemeClr val="lt1"/>
                </a:solidFill>
              </a:ln>
              <a:effectLst/>
              <a:scene3d>
                <a:camera prst="orthographicFront"/>
                <a:lightRig rig="threePt" dir="t"/>
              </a:scene3d>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Sheet1!$B$9:$G$12</c:f>
              <c:multiLvlStrCache>
                <c:ptCount val="6"/>
                <c:lvl>
                  <c:pt idx="5">
                    <c:v>小计</c:v>
                  </c:pt>
                </c:lvl>
                <c:lvl>
                  <c:pt idx="0">
                    <c:v>财政拨款收入</c:v>
                  </c:pt>
                  <c:pt idx="1">
                    <c:v>上级补助收入</c:v>
                  </c:pt>
                  <c:pt idx="2">
                    <c:v>事业收入</c:v>
                  </c:pt>
                  <c:pt idx="3">
                    <c:v>经营收入</c:v>
                  </c:pt>
                  <c:pt idx="4">
                    <c:v>附属单位上缴收入</c:v>
                  </c:pt>
                  <c:pt idx="5">
                    <c:v>其他收入</c:v>
                  </c:pt>
                </c:lvl>
              </c:multiLvlStrCache>
            </c:multiLvlStrRef>
          </c:cat>
          <c:val>
            <c:numRef>
              <c:f>Sheet1!$B$13:$G$13</c:f>
              <c:numCache>
                <c:formatCode>#,##0.00</c:formatCode>
                <c:ptCount val="6"/>
                <c:pt idx="0">
                  <c:v>2951.44</c:v>
                </c:pt>
                <c:pt idx="1">
                  <c:v>0</c:v>
                </c:pt>
                <c:pt idx="2">
                  <c:v>0</c:v>
                </c:pt>
                <c:pt idx="3">
                  <c:v>0</c:v>
                </c:pt>
                <c:pt idx="4">
                  <c:v>0</c:v>
                </c:pt>
                <c:pt idx="5">
                  <c:v>0</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extLst>
      <c:ext uri="{0b15fc19-7d7d-44ad-8c2d-2c3a37ce22c3}">
        <chartProps xmlns="https://web.wps.cn/et/2018/main" chartId="{ca7eb5f6-4eea-4a4e-824a-bdfcf442ffa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spPr/>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dPt>
          <c:dPt>
            <c:idx val="4"/>
            <c:bubble3D val="0"/>
            <c:spPr>
              <a:solidFill>
                <a:schemeClr val="accent5"/>
              </a:solidFill>
              <a:ln w="25400">
                <a:solidFill>
                  <a:schemeClr val="lt1"/>
                </a:solidFill>
              </a:ln>
              <a:effectLst/>
              <a:scene3d>
                <a:camera prst="orthographicFront"/>
                <a:lightRig rig="threePt" dir="t"/>
              </a:scene3d>
              <a:sp3d contourW="25400">
                <a:contourClr>
                  <a:schemeClr val="lt1"/>
                </a:contourClr>
              </a:sp3d>
            </c:spPr>
          </c:dPt>
          <c:dLbls>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Sheet2!$A$1:$E$4</c:f>
              <c:strCache>
                <c:ptCount val="5"/>
                <c:pt idx="0">
                  <c:v>基本支出</c:v>
                </c:pt>
                <c:pt idx="1">
                  <c:v>项目支出</c:v>
                </c:pt>
                <c:pt idx="2">
                  <c:v>上缴上级支出</c:v>
                </c:pt>
                <c:pt idx="3">
                  <c:v>经营支出</c:v>
                </c:pt>
                <c:pt idx="4">
                  <c:v>对附属单位补助支出</c:v>
                </c:pt>
              </c:strCache>
            </c:strRef>
          </c:cat>
          <c:val>
            <c:numRef>
              <c:f>Sheet2!$A$5:$E$5</c:f>
              <c:numCache>
                <c:formatCode>#,##0.00</c:formatCode>
                <c:ptCount val="5"/>
                <c:pt idx="0">
                  <c:v>717.15</c:v>
                </c:pt>
                <c:pt idx="1">
                  <c:v>4771.73</c:v>
                </c:pt>
                <c:pt idx="2">
                  <c:v>0</c:v>
                </c:pt>
                <c:pt idx="3">
                  <c:v>0</c:v>
                </c:pt>
                <c:pt idx="4">
                  <c:v>0</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extLst>
      <c:ext uri="{0b15fc19-7d7d-44ad-8c2d-2c3a37ce22c3}">
        <chartProps xmlns="https://web.wps.cn/et/2018/main" chartId="{25aaf309-3bfc-4c63-87ea-e456131c49c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elete val="1"/>
          </c:dLbls>
          <c:cat>
            <c:strRef>
              <c:f>Sheet3!$A$1:$A$5</c:f>
              <c:strCache>
                <c:ptCount val="5"/>
                <c:pt idx="0">
                  <c:v>2018年度收入</c:v>
                </c:pt>
                <c:pt idx="1">
                  <c:v>2017年度收入</c:v>
                </c:pt>
                <c:pt idx="3">
                  <c:v>2018年度支出</c:v>
                </c:pt>
                <c:pt idx="4">
                  <c:v>2017年度支出</c:v>
                </c:pt>
              </c:strCache>
            </c:strRef>
          </c:cat>
          <c:val>
            <c:numRef>
              <c:f>Sheet3!$B$1:$B$5</c:f>
              <c:numCache>
                <c:formatCode>General</c:formatCode>
                <c:ptCount val="5"/>
                <c:pt idx="0">
                  <c:v>2951.44</c:v>
                </c:pt>
                <c:pt idx="1">
                  <c:v>7659.62</c:v>
                </c:pt>
                <c:pt idx="3">
                  <c:v>5488.88</c:v>
                </c:pt>
                <c:pt idx="4">
                  <c:v>3263.97</c:v>
                </c:pt>
              </c:numCache>
            </c:numRef>
          </c:val>
        </c:ser>
        <c:dLbls>
          <c:showLegendKey val="0"/>
          <c:showVal val="0"/>
          <c:showCatName val="0"/>
          <c:showSerName val="0"/>
          <c:showPercent val="0"/>
          <c:showBubbleSize val="0"/>
        </c:dLbls>
        <c:gapWidth val="219"/>
        <c:overlap val="-27"/>
        <c:axId val="752345952"/>
        <c:axId val="888047344"/>
      </c:barChart>
      <c:catAx>
        <c:axId val="752345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88047344"/>
        <c:crosses val="autoZero"/>
        <c:auto val="1"/>
        <c:lblAlgn val="ctr"/>
        <c:lblOffset val="100"/>
        <c:noMultiLvlLbl val="0"/>
      </c:catAx>
      <c:valAx>
        <c:axId val="88804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52345952"/>
        <c:crosses val="autoZero"/>
        <c:crossBetween val="between"/>
      </c:valAx>
      <c:spPr>
        <a:noFill/>
        <a:ln>
          <a:noFill/>
        </a:ln>
        <a:effectLst/>
      </c:spPr>
    </c:plotArea>
    <c:plotVisOnly val="1"/>
    <c:dispBlanksAs val="gap"/>
    <c:showDLblsOverMax val="0"/>
    <c:extLst>
      <c:ext uri="{0b15fc19-7d7d-44ad-8c2d-2c3a37ce22c3}">
        <chartProps xmlns="https://web.wps.cn/et/2018/main" chartId="{bc0b5313-a140-4aeb-b6d9-e1a7152ab7c5}"/>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elete val="1"/>
          </c:dLbls>
          <c:cat>
            <c:strRef>
              <c:f>Sheet4!$A$1:$A$5</c:f>
              <c:strCache>
                <c:ptCount val="5"/>
                <c:pt idx="0">
                  <c:v>收入预算数</c:v>
                </c:pt>
                <c:pt idx="1">
                  <c:v>收入决算数</c:v>
                </c:pt>
                <c:pt idx="3">
                  <c:v>支出预算数</c:v>
                </c:pt>
                <c:pt idx="4">
                  <c:v>支出决算数</c:v>
                </c:pt>
              </c:strCache>
            </c:strRef>
          </c:cat>
          <c:val>
            <c:numRef>
              <c:f>Sheet4!$B$1:$B$5</c:f>
              <c:numCache>
                <c:formatCode>0.00;[Red]0.00</c:formatCode>
                <c:ptCount val="5"/>
                <c:pt idx="0">
                  <c:v>1668.4</c:v>
                </c:pt>
                <c:pt idx="1">
                  <c:v>2951.44</c:v>
                </c:pt>
                <c:pt idx="3">
                  <c:v>1668.4</c:v>
                </c:pt>
                <c:pt idx="4">
                  <c:v>5488.88</c:v>
                </c:pt>
              </c:numCache>
            </c:numRef>
          </c:val>
        </c:ser>
        <c:dLbls>
          <c:showLegendKey val="0"/>
          <c:showVal val="0"/>
          <c:showCatName val="0"/>
          <c:showSerName val="0"/>
          <c:showPercent val="0"/>
          <c:showBubbleSize val="0"/>
        </c:dLbls>
        <c:gapWidth val="219"/>
        <c:overlap val="-27"/>
        <c:axId val="737866784"/>
        <c:axId val="957389488"/>
      </c:barChart>
      <c:catAx>
        <c:axId val="737866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57389488"/>
        <c:crosses val="autoZero"/>
        <c:auto val="1"/>
        <c:lblAlgn val="ctr"/>
        <c:lblOffset val="100"/>
        <c:noMultiLvlLbl val="0"/>
      </c:catAx>
      <c:valAx>
        <c:axId val="957389488"/>
        <c:scaling>
          <c:orientation val="minMax"/>
        </c:scaling>
        <c:delete val="0"/>
        <c:axPos val="l"/>
        <c:majorGridlines>
          <c:spPr>
            <a:ln w="9525" cap="flat" cmpd="sng" algn="ctr">
              <a:solidFill>
                <a:schemeClr val="tx1">
                  <a:lumMod val="15000"/>
                  <a:lumOff val="85000"/>
                </a:schemeClr>
              </a:solidFill>
              <a:round/>
            </a:ln>
            <a:effectLst/>
          </c:spPr>
        </c:majorGridlines>
        <c:numFmt formatCode="0.00;[Red]0.00" sourceLinked="1"/>
        <c:majorTickMark val="none"/>
        <c:minorTickMark val="none"/>
        <c:tickLblPos val="nextTo"/>
        <c:spPr>
          <a:noFill/>
          <a:ln>
            <a:noFill/>
          </a:ln>
          <a:effectLst/>
        </c:spPr>
        <c:txPr>
          <a:bodyPr rot="-60000000" spcFirstLastPara="1"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37866784"/>
        <c:crosses val="autoZero"/>
        <c:crossBetween val="between"/>
      </c:valAx>
      <c:spPr>
        <a:noFill/>
        <a:ln>
          <a:noFill/>
        </a:ln>
        <a:effectLst/>
      </c:spPr>
    </c:plotArea>
    <c:plotVisOnly val="1"/>
    <c:dispBlanksAs val="gap"/>
    <c:showDLblsOverMax val="0"/>
    <c:extLst>
      <c:ext uri="{0b15fc19-7d7d-44ad-8c2d-2c3a37ce22c3}">
        <chartProps xmlns="https://web.wps.cn/et/2018/main" chartId="{9d342dcf-773a-4587-a8e9-337fb64e24e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spPr/>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dPt>
          <c:dLbls>
            <c:dLbl>
              <c:idx val="1"/>
              <c:layout>
                <c:manualLayout>
                  <c:x val="0.0362174103237095"/>
                  <c:y val="0.115740740740741"/>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Sheet5!$A$1:$A$3</c:f>
              <c:strCache>
                <c:ptCount val="3"/>
                <c:pt idx="0">
                  <c:v>城乡社区支出（类）</c:v>
                </c:pt>
                <c:pt idx="1">
                  <c:v>社会保障和就业（类） </c:v>
                </c:pt>
                <c:pt idx="2">
                  <c:v>农林水（类）</c:v>
                </c:pt>
              </c:strCache>
            </c:strRef>
          </c:cat>
          <c:val>
            <c:numRef>
              <c:f>Sheet5!$B$1:$B$3</c:f>
              <c:numCache>
                <c:formatCode>General</c:formatCode>
                <c:ptCount val="3"/>
                <c:pt idx="0">
                  <c:v>344.05</c:v>
                </c:pt>
                <c:pt idx="1">
                  <c:v>0.36</c:v>
                </c:pt>
                <c:pt idx="2">
                  <c:v>5144.47</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extLst>
      <c:ext uri="{0b15fc19-7d7d-44ad-8c2d-2c3a37ce22c3}">
        <chartProps xmlns="https://web.wps.cn/et/2018/main" chartId="{2ef86e8f-9b30-4d32-ae2e-87ab8c7ca1d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F1C4EA2-A818-402C-9700-C300D22AFD0D}">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23</Pages>
  <Words>1507</Words>
  <Characters>1516</Characters>
  <Lines>42</Lines>
  <Paragraphs>11</Paragraphs>
  <TotalTime>2</TotalTime>
  <ScaleCrop>false</ScaleCrop>
  <LinksUpToDate>false</LinksUpToDate>
  <CharactersWithSpaces>1538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2019-10-30T08:15:00Z</dcterms:created>
  <dc:creator>User</dc:creator>
  <cp:lastModifiedBy>夏木</cp:lastModifiedBy>
  <cp:lastPrinted>2019-08-02T01:01:00Z</cp:lastPrinted>
  <dcterms:modified xsi:type="dcterms:W3CDTF">2025-02-26T02:22:08Z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eyJoZGlkIjoiMGM4ZGU1OThkMDA1MDk3Nzk0YjhiNjYxMDJkOWM5NTQiLCJ1c2VySWQiOiIyNjg0OTMwMzAifQ==</vt:lpwstr>
  </property>
  <property fmtid="{D5CDD505-2E9C-101B-9397-08002B2CF9AE}" pid="4" name="ICV">
    <vt:lpwstr>E7A53A793BD9461FB7320AB9E6BE78A2_12</vt:lpwstr>
  </property>
</Properties>
</file>