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DA97E5">
      <w:pPr>
        <w:rPr>
          <w:rFonts w:hint="eastAsia" w:eastAsia="宋体"/>
          <w:lang w:eastAsia="zh-CN"/>
        </w:rPr>
      </w:pPr>
    </w:p>
    <w:p w14:paraId="40A59E69">
      <w:pPr>
        <w:jc w:val="center"/>
        <w:rPr>
          <w:rFonts w:hint="eastAsia" w:eastAsia="宋体"/>
          <w:lang w:eastAsia="zh-CN"/>
        </w:rPr>
      </w:pPr>
      <w:r>
        <w:rPr>
          <w:rFonts w:hint="eastAsia" w:eastAsia="宋体"/>
          <w:lang w:eastAsia="zh-CN"/>
        </w:rPr>
        <w:drawing>
          <wp:inline distT="0" distB="0" distL="114300" distR="114300">
            <wp:extent cx="5271135" cy="748030"/>
            <wp:effectExtent l="0" t="0" r="5715" b="13970"/>
            <wp:docPr id="3" name="图片 1" descr="未标题-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未标题-1"/>
                    <pic:cNvPicPr>
                      <a:picLocks noChangeAspect="1"/>
                    </pic:cNvPicPr>
                  </pic:nvPicPr>
                  <pic:blipFill>
                    <a:blip r:embed="rId5"/>
                    <a:stretch>
                      <a:fillRect/>
                    </a:stretch>
                  </pic:blipFill>
                  <pic:spPr>
                    <a:xfrm>
                      <a:off x="0" y="0"/>
                      <a:ext cx="5271135" cy="748030"/>
                    </a:xfrm>
                    <a:prstGeom prst="rect">
                      <a:avLst/>
                    </a:prstGeom>
                    <a:noFill/>
                    <a:ln>
                      <a:noFill/>
                    </a:ln>
                  </pic:spPr>
                </pic:pic>
              </a:graphicData>
            </a:graphic>
          </wp:inline>
        </w:drawing>
      </w:r>
    </w:p>
    <w:p w14:paraId="2DFA522B">
      <w:pPr>
        <w:rPr>
          <w:rFonts w:hint="eastAsia" w:eastAsia="宋体"/>
          <w:lang w:eastAsia="zh-CN"/>
        </w:rPr>
      </w:pPr>
    </w:p>
    <w:p w14:paraId="1E3928B4">
      <w:pPr>
        <w:jc w:val="center"/>
        <w:rPr>
          <w:rFonts w:hint="eastAsia" w:ascii="仿宋" w:hAnsi="仿宋" w:eastAsia="仿宋" w:cs="仿宋"/>
          <w:sz w:val="32"/>
          <w:szCs w:val="32"/>
          <w:lang w:eastAsia="zh-CN"/>
        </w:rPr>
      </w:pPr>
    </w:p>
    <w:p w14:paraId="389B4FCB">
      <w:pPr>
        <w:jc w:val="center"/>
        <w:rPr>
          <w:rFonts w:hint="eastAsia" w:ascii="仿宋" w:hAnsi="仿宋" w:eastAsia="仿宋" w:cs="仿宋"/>
          <w:sz w:val="32"/>
          <w:szCs w:val="32"/>
          <w:lang w:val="en-US" w:eastAsia="zh-CN"/>
        </w:rPr>
      </w:pPr>
      <w:r>
        <w:rPr>
          <w:rFonts w:hint="eastAsia" w:ascii="仿宋" w:hAnsi="仿宋" w:eastAsia="仿宋" w:cs="仿宋"/>
          <w:sz w:val="32"/>
          <w:szCs w:val="32"/>
          <w:lang w:eastAsia="zh-CN"/>
        </w:rPr>
        <w:t>高安委〔</w:t>
      </w:r>
      <w:r>
        <w:rPr>
          <w:rFonts w:hint="eastAsia" w:ascii="仿宋" w:hAnsi="仿宋" w:eastAsia="仿宋" w:cs="仿宋"/>
          <w:sz w:val="32"/>
          <w:szCs w:val="32"/>
          <w:lang w:val="en-US" w:eastAsia="zh-CN"/>
        </w:rPr>
        <w:t>2024</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10号</w:t>
      </w:r>
    </w:p>
    <w:p w14:paraId="747AB1CB">
      <w:pPr>
        <w:rPr>
          <w:rFonts w:hint="eastAsia" w:eastAsia="宋体"/>
          <w:lang w:eastAsia="zh-CN"/>
        </w:rPr>
      </w:pPr>
      <w:r>
        <w:rPr>
          <w:rFonts w:hint="eastAsia" w:eastAsia="宋体"/>
          <w:lang w:eastAsia="zh-CN"/>
        </w:rPr>
        <w:drawing>
          <wp:inline distT="0" distB="0" distL="114300" distR="114300">
            <wp:extent cx="5269230" cy="280035"/>
            <wp:effectExtent l="0" t="0" r="7620" b="5715"/>
            <wp:docPr id="2" name="图片 2" descr="未标题-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未标题-2"/>
                    <pic:cNvPicPr>
                      <a:picLocks noChangeAspect="1"/>
                    </pic:cNvPicPr>
                  </pic:nvPicPr>
                  <pic:blipFill>
                    <a:blip r:embed="rId6"/>
                    <a:stretch>
                      <a:fillRect/>
                    </a:stretch>
                  </pic:blipFill>
                  <pic:spPr>
                    <a:xfrm>
                      <a:off x="0" y="0"/>
                      <a:ext cx="5269230" cy="280035"/>
                    </a:xfrm>
                    <a:prstGeom prst="rect">
                      <a:avLst/>
                    </a:prstGeom>
                    <a:noFill/>
                    <a:ln>
                      <a:noFill/>
                    </a:ln>
                  </pic:spPr>
                </pic:pic>
              </a:graphicData>
            </a:graphic>
          </wp:inline>
        </w:drawing>
      </w:r>
    </w:p>
    <w:p w14:paraId="0FB8CB68">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lang w:val="en-US" w:eastAsia="zh-CN"/>
        </w:rPr>
      </w:pPr>
    </w:p>
    <w:p w14:paraId="08F90629">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高邑县安全生产委员会</w:t>
      </w:r>
    </w:p>
    <w:p w14:paraId="6182CC64">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关于印发《高邑县岁末年初安全生产大排查大整治工作方案》的通知</w:t>
      </w:r>
    </w:p>
    <w:p w14:paraId="29A27902">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lang w:val="en-US" w:eastAsia="zh-CN"/>
        </w:rPr>
      </w:pPr>
    </w:p>
    <w:p w14:paraId="6422CA6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各镇人民政府、社区办，开发区管委会，县安委会有关成员单位：</w:t>
      </w:r>
    </w:p>
    <w:p w14:paraId="2A621B0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经县政府同意，现将《高邑县岁末年初安全生产大排查大整治工作方案》印发你们，请结合工作实际，认真抓好贯彻落实。</w:t>
      </w:r>
    </w:p>
    <w:p w14:paraId="1DFF910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p>
    <w:p w14:paraId="0F51823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p>
    <w:p w14:paraId="14A116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p>
    <w:p w14:paraId="395803C4">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高邑县安全生产委员会  </w:t>
      </w:r>
    </w:p>
    <w:p w14:paraId="08E33619">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2024年12月26日    </w:t>
      </w:r>
    </w:p>
    <w:p w14:paraId="681BEDD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p>
    <w:p w14:paraId="51A7A7E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p>
    <w:p w14:paraId="08649BF9">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lang w:val="en-US" w:eastAsia="zh-CN"/>
        </w:rPr>
      </w:pPr>
    </w:p>
    <w:p w14:paraId="465C0469">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lang w:val="en-US" w:eastAsia="zh-CN"/>
        </w:rPr>
      </w:pPr>
    </w:p>
    <w:p w14:paraId="3BAB0879">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lang w:val="en-US" w:eastAsia="zh-CN"/>
        </w:rPr>
        <w:t>高邑县</w:t>
      </w:r>
      <w:r>
        <w:rPr>
          <w:rFonts w:hint="eastAsia" w:ascii="方正小标宋简体" w:hAnsi="方正小标宋简体" w:eastAsia="方正小标宋简体" w:cs="方正小标宋简体"/>
          <w:sz w:val="44"/>
          <w:szCs w:val="44"/>
          <w:highlight w:val="none"/>
        </w:rPr>
        <w:t>岁末年初安全生产大排查大整治</w:t>
      </w:r>
    </w:p>
    <w:p w14:paraId="7FBC9C0D">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工作方案</w:t>
      </w:r>
    </w:p>
    <w:p w14:paraId="286F9F72">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rPr>
          <w:rFonts w:hint="eastAsia" w:ascii="方正小标宋简体" w:hAnsi="方正小标宋简体" w:eastAsia="方正小标宋简体" w:cs="方正小标宋简体"/>
          <w:sz w:val="44"/>
          <w:szCs w:val="44"/>
          <w:highlight w:val="none"/>
        </w:rPr>
      </w:pPr>
    </w:p>
    <w:p w14:paraId="4679964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为深入贯彻习近平总书记关于安全生产重要指示</w:t>
      </w:r>
      <w:bookmarkStart w:id="0" w:name="_GoBack"/>
      <w:bookmarkEnd w:id="0"/>
      <w:r>
        <w:rPr>
          <w:rFonts w:hint="eastAsia" w:ascii="仿宋_GB2312" w:hAnsi="仿宋_GB2312" w:eastAsia="仿宋_GB2312" w:cs="仿宋_GB2312"/>
          <w:sz w:val="32"/>
          <w:szCs w:val="32"/>
          <w:highlight w:val="none"/>
        </w:rPr>
        <w:t>批示精神，全面落实省委、省政府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市委、市政府</w:t>
      </w:r>
      <w:r>
        <w:rPr>
          <w:rFonts w:hint="eastAsia" w:ascii="仿宋_GB2312" w:hAnsi="仿宋_GB2312" w:eastAsia="仿宋_GB2312" w:cs="仿宋_GB2312"/>
          <w:sz w:val="32"/>
          <w:szCs w:val="32"/>
          <w:highlight w:val="none"/>
          <w:lang w:val="en-US" w:eastAsia="zh-CN"/>
        </w:rPr>
        <w:t>和县委、县政府</w:t>
      </w:r>
      <w:r>
        <w:rPr>
          <w:rFonts w:hint="eastAsia" w:ascii="仿宋_GB2312" w:hAnsi="仿宋_GB2312" w:eastAsia="仿宋_GB2312" w:cs="仿宋_GB2312"/>
          <w:sz w:val="32"/>
          <w:szCs w:val="32"/>
          <w:highlight w:val="none"/>
        </w:rPr>
        <w:t>工作部署，推动全</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安全生产形势持续稳定向好，根据《</w:t>
      </w:r>
      <w:r>
        <w:rPr>
          <w:rFonts w:hint="eastAsia" w:ascii="仿宋_GB2312" w:hAnsi="仿宋_GB2312" w:eastAsia="仿宋_GB2312" w:cs="仿宋_GB2312"/>
          <w:sz w:val="32"/>
          <w:szCs w:val="32"/>
          <w:highlight w:val="none"/>
          <w:lang w:val="en-US" w:eastAsia="zh-CN"/>
        </w:rPr>
        <w:t>石家庄市</w:t>
      </w:r>
      <w:r>
        <w:rPr>
          <w:rFonts w:hint="eastAsia" w:ascii="仿宋_GB2312" w:hAnsi="仿宋_GB2312" w:eastAsia="仿宋_GB2312" w:cs="仿宋_GB2312"/>
          <w:sz w:val="32"/>
          <w:szCs w:val="32"/>
          <w:highlight w:val="none"/>
        </w:rPr>
        <w:t>岁末年初安全生产大排查大整治工作方案》（</w:t>
      </w:r>
      <w:r>
        <w:rPr>
          <w:rFonts w:hint="eastAsia" w:ascii="仿宋_GB2312" w:hAnsi="仿宋_GB2312" w:eastAsia="仿宋_GB2312" w:cs="仿宋_GB2312"/>
          <w:sz w:val="32"/>
          <w:szCs w:val="32"/>
          <w:highlight w:val="none"/>
          <w:lang w:val="en-US" w:eastAsia="zh-CN"/>
        </w:rPr>
        <w:t>石</w:t>
      </w:r>
      <w:r>
        <w:rPr>
          <w:rFonts w:hint="eastAsia" w:ascii="仿宋_GB2312" w:hAnsi="仿宋_GB2312" w:eastAsia="仿宋_GB2312" w:cs="仿宋_GB2312"/>
          <w:sz w:val="32"/>
          <w:szCs w:val="32"/>
          <w:highlight w:val="none"/>
        </w:rPr>
        <w:t>安委〔2024〕12号），制定本方案。</w:t>
      </w:r>
    </w:p>
    <w:p w14:paraId="7B99DE1C">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总体要求</w:t>
      </w:r>
    </w:p>
    <w:p w14:paraId="7A0C65E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深入学习贯彻习近平总书记关于安全生产重要论述和重要指示批示精神，全面落实党的二十届二中、三中全会精神和中央经济工作会议有关要求，按照省、市</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工作部署，坚持人民至上、生命至上，统筹发展和安全，聚焦</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两个根本</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总体要求，深刻汲取近期</w:t>
      </w:r>
      <w:r>
        <w:rPr>
          <w:rFonts w:hint="eastAsia" w:ascii="仿宋_GB2312" w:hAnsi="仿宋_GB2312" w:eastAsia="仿宋_GB2312" w:cs="仿宋_GB2312"/>
          <w:sz w:val="32"/>
          <w:szCs w:val="32"/>
          <w:highlight w:val="none"/>
          <w:lang w:val="en-US" w:eastAsia="zh-CN"/>
        </w:rPr>
        <w:t>石家庄</w:t>
      </w:r>
      <w:r>
        <w:rPr>
          <w:rFonts w:hint="eastAsia" w:ascii="仿宋_GB2312" w:hAnsi="仿宋_GB2312" w:eastAsia="仿宋_GB2312" w:cs="仿宋_GB2312"/>
          <w:sz w:val="32"/>
          <w:szCs w:val="32"/>
          <w:highlight w:val="none"/>
        </w:rPr>
        <w:t>市内外事故教训，强化安全生产红线意识和底线思维，结合安全生产改进提升、安全生产治本攻坚三年行动，全面排查整治岁末年初安全生产重大隐患，持续深化重点行业领域排查整治，坚决遏制各类生产安全事故发生。</w:t>
      </w:r>
    </w:p>
    <w:p w14:paraId="1672D01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方法步骤</w:t>
      </w:r>
    </w:p>
    <w:p w14:paraId="20CD3A1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岁末年初安全生产大排查大整治工作自即日开始到2025年全国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两会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结束，主要采取企业自查自改、部门专项执法检查和</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综合督查相结合的方式进行。</w:t>
      </w:r>
    </w:p>
    <w:p w14:paraId="26513204">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rPr>
        <w:t>企业自查自改。</w:t>
      </w:r>
      <w:r>
        <w:rPr>
          <w:rFonts w:hint="eastAsia" w:ascii="仿宋_GB2312" w:hAnsi="仿宋_GB2312" w:eastAsia="仿宋_GB2312" w:cs="仿宋_GB2312"/>
          <w:sz w:val="32"/>
          <w:szCs w:val="32"/>
          <w:highlight w:val="none"/>
        </w:rPr>
        <w:t>各企事业单位对照重点行业领域排查整治重点和重大事故隐患判定标准，全面开展自查，对排查的隐患建立台账，制定整改措施，立即实施整改。一般隐患立行立改，重大事故隐患第一时间向主管部门报告，由主管部门录入全国安全生产治本攻坚三年行动信息系统。</w:t>
      </w:r>
    </w:p>
    <w:p w14:paraId="7E779D1B">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rPr>
        <w:t>部门专项执法检查。</w:t>
      </w:r>
      <w:r>
        <w:rPr>
          <w:rFonts w:hint="eastAsia" w:ascii="仿宋_GB2312" w:hAnsi="仿宋_GB2312" w:eastAsia="仿宋_GB2312" w:cs="仿宋_GB2312"/>
          <w:sz w:val="32"/>
          <w:szCs w:val="32"/>
          <w:highlight w:val="none"/>
        </w:rPr>
        <w:t>各</w:t>
      </w:r>
      <w:r>
        <w:rPr>
          <w:rFonts w:hint="eastAsia" w:ascii="仿宋_GB2312" w:hAnsi="仿宋_GB2312" w:eastAsia="仿宋_GB2312" w:cs="仿宋_GB2312"/>
          <w:sz w:val="32"/>
          <w:szCs w:val="32"/>
          <w:highlight w:val="none"/>
          <w:lang w:val="en-US" w:eastAsia="zh-CN"/>
        </w:rPr>
        <w:t>镇各</w:t>
      </w:r>
      <w:r>
        <w:rPr>
          <w:rFonts w:hint="eastAsia" w:ascii="仿宋_GB2312" w:hAnsi="仿宋_GB2312" w:eastAsia="仿宋_GB2312" w:cs="仿宋_GB2312"/>
          <w:sz w:val="32"/>
          <w:szCs w:val="32"/>
          <w:highlight w:val="none"/>
        </w:rPr>
        <w:t>有关部门对</w:t>
      </w:r>
      <w:r>
        <w:rPr>
          <w:rFonts w:hint="eastAsia" w:ascii="仿宋_GB2312" w:hAnsi="仿宋_GB2312" w:eastAsia="仿宋_GB2312" w:cs="仿宋_GB2312"/>
          <w:sz w:val="32"/>
          <w:szCs w:val="32"/>
          <w:highlight w:val="none"/>
          <w:lang w:val="en-US" w:eastAsia="zh-CN"/>
        </w:rPr>
        <w:t>本辖区、本</w:t>
      </w:r>
      <w:r>
        <w:rPr>
          <w:rFonts w:hint="eastAsia" w:ascii="仿宋_GB2312" w:hAnsi="仿宋_GB2312" w:eastAsia="仿宋_GB2312" w:cs="仿宋_GB2312"/>
          <w:sz w:val="32"/>
          <w:szCs w:val="32"/>
          <w:highlight w:val="none"/>
        </w:rPr>
        <w:t>行业领域企事业单位开展专项执法检查，督促企事业单位严格落实主体责任，主动消除化解安全风险，排查整治事故隐患，指导帮助企业做好安全生产各项工作。1．要结合大排查大整治要求，制定完善本部门专项执法检查方案，充实检查力量，配齐行业专家，深入一线，持续开展执法检查。2．要突出检查重点，聚焦高风险领域、重点企业和关键环节，充分运用暗查暗访、随机抽查、突击检查等方式，对照《重大事故隐患判定标准》，全面排查重大问题隐患，严厉打击各类非法违法行为。3．要提高监管效能，加强现场监管与线上监测并举，大力推进</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互联网＋执法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提高执法检查工作规范性、时效性。4．要强化联合惩戒，对存在严重违法违规行为、事故多发频发的，列入失信黑名单。要推动行政执法与刑事司法相衔接，防止一罚了之、有罪不究，增强执法威慑力。5．要在安委会统一指挥下开展工作，与综合督查相互配合，形成监管合力。</w:t>
      </w:r>
    </w:p>
    <w:p w14:paraId="5122AD31">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县</w:t>
      </w:r>
      <w:r>
        <w:rPr>
          <w:rFonts w:hint="eastAsia" w:ascii="楷体_GB2312" w:hAnsi="楷体_GB2312" w:eastAsia="楷体_GB2312" w:cs="楷体_GB2312"/>
          <w:b/>
          <w:bCs/>
          <w:sz w:val="32"/>
          <w:szCs w:val="32"/>
          <w:highlight w:val="none"/>
        </w:rPr>
        <w:t>综合督查。</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委</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政府督查室、</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安委办组织</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个联合督查组，对2025年元旦、春节及全国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两会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期间安全生产和消防工作进行综合督查。重点对各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各有关部门岁末年初安全生产工作落实情况进行检查，确保各项工作落到实处。</w:t>
      </w:r>
    </w:p>
    <w:p w14:paraId="3A2F8EC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排查整治重点</w:t>
      </w:r>
    </w:p>
    <w:p w14:paraId="1B5F152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各有关部门和各类企事业单位，要结合近期</w:t>
      </w:r>
      <w:r>
        <w:rPr>
          <w:rFonts w:hint="eastAsia" w:ascii="仿宋_GB2312" w:hAnsi="仿宋_GB2312" w:eastAsia="仿宋_GB2312" w:cs="仿宋_GB2312"/>
          <w:sz w:val="32"/>
          <w:szCs w:val="32"/>
          <w:highlight w:val="none"/>
          <w:lang w:val="en-US" w:eastAsia="zh-CN"/>
        </w:rPr>
        <w:t>石家庄</w:t>
      </w:r>
      <w:r>
        <w:rPr>
          <w:rFonts w:hint="eastAsia" w:ascii="仿宋_GB2312" w:hAnsi="仿宋_GB2312" w:eastAsia="仿宋_GB2312" w:cs="仿宋_GB2312"/>
          <w:sz w:val="32"/>
          <w:szCs w:val="32"/>
          <w:highlight w:val="none"/>
        </w:rPr>
        <w:t>市内外事故暴露出来的问题隐患、安全生产形势特点和重点行业领域安全生产重大隐患判定标准，全面系统排查整治。</w:t>
      </w:r>
    </w:p>
    <w:p w14:paraId="3A8A2B93">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Chars="0" w:firstLine="643"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楷体_GB2312" w:hAnsi="楷体_GB2312" w:eastAsia="楷体_GB2312" w:cs="楷体_GB2312"/>
          <w:b/>
          <w:bCs/>
          <w:sz w:val="32"/>
          <w:szCs w:val="32"/>
          <w:highlight w:val="none"/>
        </w:rPr>
        <w:t>重点企业排查</w:t>
      </w:r>
    </w:p>
    <w:p w14:paraId="7C718DE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各部门要将以下企业纳入重点排查整治对象：</w:t>
      </w:r>
    </w:p>
    <w:p w14:paraId="2EC5D83E">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危险化学品、建筑施工、烟花爆竹、交通运输、冶金、民爆等高危行业企业；</w:t>
      </w:r>
    </w:p>
    <w:p w14:paraId="3D7A381A">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商超宾馆等公共聚集场所、医院、高层办公楼、商住楼、车站、图书馆等消防重点单位；</w:t>
      </w:r>
    </w:p>
    <w:p w14:paraId="4A78B532">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近3年来发生过生产安全事故的企业；</w:t>
      </w:r>
    </w:p>
    <w:p w14:paraId="56E0A6A2">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重大事故隐患零报告或未按期销号的企业；</w:t>
      </w:r>
    </w:p>
    <w:p w14:paraId="7217BB8D">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存在屡罚屡犯情形的企业；</w:t>
      </w:r>
    </w:p>
    <w:p w14:paraId="2B89F8D7">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涉及重大危险源或存在突出问题隐患的企业；</w:t>
      </w:r>
    </w:p>
    <w:p w14:paraId="39856018">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今年以来被举报的企业；</w:t>
      </w:r>
    </w:p>
    <w:p w14:paraId="5B0A5322">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属及以上企业；</w:t>
      </w:r>
    </w:p>
    <w:p w14:paraId="2EE2C1C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9．新业态、新风险类型企业。</w:t>
      </w:r>
      <w:r>
        <w:rPr>
          <w:rFonts w:hint="eastAsia" w:ascii="仿宋_GB2312" w:hAnsi="仿宋_GB2312" w:eastAsia="仿宋_GB2312" w:cs="仿宋_GB2312"/>
          <w:sz w:val="32"/>
          <w:szCs w:val="32"/>
          <w:highlight w:val="none"/>
          <w:lang w:val="en-US" w:eastAsia="zh-CN"/>
        </w:rPr>
        <w:t xml:space="preserve"> </w:t>
      </w:r>
    </w:p>
    <w:p w14:paraId="4E664315">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Chars="0" w:firstLine="643" w:firstLineChars="200"/>
        <w:jc w:val="left"/>
        <w:textAlignment w:val="auto"/>
        <w:rPr>
          <w:rFonts w:hint="eastAsia" w:ascii="楷体_GB2312" w:hAnsi="楷体_GB2312" w:eastAsia="楷体_GB2312" w:cs="楷体_GB2312"/>
          <w:b/>
          <w:bCs/>
          <w:sz w:val="32"/>
          <w:szCs w:val="32"/>
          <w:highlight w:val="none"/>
        </w:rPr>
      </w:pPr>
      <w:r>
        <w:rPr>
          <w:rFonts w:hint="eastAsia" w:ascii="楷体_GB2312" w:hAnsi="楷体_GB2312" w:eastAsia="楷体_GB2312" w:cs="楷体_GB2312"/>
          <w:b/>
          <w:bCs/>
          <w:sz w:val="32"/>
          <w:szCs w:val="32"/>
          <w:highlight w:val="none"/>
        </w:rPr>
        <w:t>共性内容排查</w:t>
      </w:r>
    </w:p>
    <w:p w14:paraId="493281BF">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企业法定代表人、实际控制人、实际负责人严格履行安全生产第一责任人责任，每季度主持召开不少于1次安全生产例会，组织参与安全生产全面检查、严格落实包保责任制等情况；</w:t>
      </w:r>
    </w:p>
    <w:p w14:paraId="0DD47EC3">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设置安全生产管理机构或配备安全生产管理人员情况；</w:t>
      </w:r>
    </w:p>
    <w:p w14:paraId="3792570A">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企业落实全员安全生产责任制，建立健全安全生产责任制、规章制度和安全操作规程并严格落实执行情况；</w:t>
      </w:r>
    </w:p>
    <w:p w14:paraId="0AF107B7">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按规定提取、使用安全费用，保障安全投入，投保安全生产责任保险，提供劳动防护用品并按要求佩戴使用等情况；</w:t>
      </w:r>
    </w:p>
    <w:p w14:paraId="50CC396D">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开展重大事故隐患专项排查整治自查自改情况；</w:t>
      </w:r>
    </w:p>
    <w:p w14:paraId="0C0C2B78">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落实安全生产风险管控和隐患排查治理双重预防机制情况；</w:t>
      </w:r>
    </w:p>
    <w:p w14:paraId="665D56A0">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开展安全生产标准化建设，实施安全生产管理、操作技能、设备设施和作业现场制度化、标准化、规范化情况；</w:t>
      </w:r>
    </w:p>
    <w:p w14:paraId="338E173E">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劳务派遣人员、灵活用工人员纳入本单位统一管理，危险岗位严控劳务派遣员工数量等情况；</w:t>
      </w:r>
    </w:p>
    <w:p w14:paraId="379282F1">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按规定对动火作业、高空作业、有限空间等危险作业现场管理情况；</w:t>
      </w:r>
    </w:p>
    <w:p w14:paraId="412137A0">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多个企业在同一作业区域内进行生产经营活动，按规定签订安全生产管理协议情况；</w:t>
      </w:r>
    </w:p>
    <w:p w14:paraId="19B0BB24">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主要负责人、安全管理人员、特种作业人员依法持证上岗，员工安全生产教育培训情况；</w:t>
      </w:r>
    </w:p>
    <w:p w14:paraId="07C9564C">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完善举报奖励制度，建立健全举报奖励宣传渠道，依法保护举报人并落实举报奖励，组织开展举报奖励教育培训情况；</w:t>
      </w:r>
    </w:p>
    <w:p w14:paraId="471B7F97">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制定完善企业应急救援预案并组织演练，配备应急救援物资装备等情况；</w:t>
      </w:r>
    </w:p>
    <w:p w14:paraId="5DA953D2">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国务院考核巡查、省领导包市督导检查、省安委办专项检查、市领导包县督导检查、市委市政府督查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县委县政府督查</w:t>
      </w:r>
      <w:r>
        <w:rPr>
          <w:rFonts w:hint="eastAsia" w:ascii="仿宋_GB2312" w:hAnsi="仿宋_GB2312" w:eastAsia="仿宋_GB2312" w:cs="仿宋_GB2312"/>
          <w:sz w:val="32"/>
          <w:szCs w:val="32"/>
          <w:highlight w:val="none"/>
        </w:rPr>
        <w:t>及各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各部门常态化执法检查等发现的问题隐患整改情况。</w:t>
      </w:r>
    </w:p>
    <w:p w14:paraId="27E5AB68">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Chars="0" w:firstLine="643" w:firstLineChars="200"/>
        <w:jc w:val="left"/>
        <w:textAlignment w:val="auto"/>
        <w:rPr>
          <w:rFonts w:hint="eastAsia" w:ascii="楷体_GB2312" w:hAnsi="楷体_GB2312" w:eastAsia="楷体_GB2312" w:cs="楷体_GB2312"/>
          <w:b/>
          <w:bCs/>
          <w:sz w:val="32"/>
          <w:szCs w:val="32"/>
          <w:highlight w:val="none"/>
        </w:rPr>
      </w:pPr>
      <w:r>
        <w:rPr>
          <w:rFonts w:hint="eastAsia" w:ascii="楷体_GB2312" w:hAnsi="楷体_GB2312" w:eastAsia="楷体_GB2312" w:cs="楷体_GB2312"/>
          <w:b/>
          <w:bCs/>
          <w:sz w:val="32"/>
          <w:szCs w:val="32"/>
          <w:highlight w:val="none"/>
        </w:rPr>
        <w:t>重点行业领域排查</w:t>
      </w:r>
    </w:p>
    <w:p w14:paraId="06F33943">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建筑施工。</w:t>
      </w:r>
      <w:r>
        <w:rPr>
          <w:rFonts w:hint="eastAsia" w:ascii="仿宋_GB2312" w:hAnsi="仿宋_GB2312" w:eastAsia="仿宋_GB2312" w:cs="仿宋_GB2312"/>
          <w:sz w:val="32"/>
          <w:szCs w:val="32"/>
          <w:highlight w:val="none"/>
        </w:rPr>
        <w:t>建筑施工企业未取得安全生产许可证从事建筑施工活动、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安管人员</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和特种作业人员无证上岗、违法分包转包等施工安全管理突出问题；建筑起重机械自检检验、编制专项施工方案、吊装现场安全管理情况；深基坑、高支模、脚手架、高处作业、临时用电和有限空间作业等危险性较大的分部分项工程的安全风险；冬季施工防寒、防冻、防滑、防火、防静电、防煤气中毒等现场安全措施落实不到位问题；现场作业人员冬季施工安全生产专项培训开展情况；各类房屋建筑和人员密集场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小施工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工程是否全部纳入安全管理范围；</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小施工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整治提升措施落实不到位，存在违规分包、未对施工人员开展教育培训、特种作业安全防范措施落实不到位、作业施工现场管理混乱等方面问题隐患。</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住建局、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交通局、</w:t>
      </w:r>
      <w:r>
        <w:rPr>
          <w:rFonts w:hint="eastAsia" w:ascii="楷体_GB2312" w:hAnsi="楷体_GB2312" w:eastAsia="楷体_GB2312" w:cs="楷体_GB2312"/>
          <w:sz w:val="32"/>
          <w:szCs w:val="32"/>
          <w:highlight w:val="none"/>
          <w:lang w:val="en-US" w:eastAsia="zh-CN"/>
        </w:rPr>
        <w:t>县农业农村</w:t>
      </w:r>
      <w:r>
        <w:rPr>
          <w:rFonts w:hint="eastAsia" w:ascii="楷体_GB2312" w:hAnsi="楷体_GB2312" w:eastAsia="楷体_GB2312" w:cs="楷体_GB2312"/>
          <w:sz w:val="32"/>
          <w:szCs w:val="32"/>
          <w:highlight w:val="none"/>
        </w:rPr>
        <w:t>局</w:t>
      </w: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陆港办、城投公司、供电公司、联通公司、移动公司、电信公司</w:t>
      </w:r>
      <w:r>
        <w:rPr>
          <w:rFonts w:hint="eastAsia" w:ascii="楷体_GB2312" w:hAnsi="楷体_GB2312" w:eastAsia="楷体_GB2312" w:cs="楷体_GB2312"/>
          <w:sz w:val="32"/>
          <w:szCs w:val="32"/>
          <w:highlight w:val="none"/>
        </w:rPr>
        <w:t>〕</w:t>
      </w:r>
    </w:p>
    <w:p w14:paraId="594490E1">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
          <w:bCs/>
          <w:sz w:val="32"/>
          <w:szCs w:val="32"/>
          <w:highlight w:val="none"/>
        </w:rPr>
        <w:t>危险化学品。</w:t>
      </w:r>
      <w:r>
        <w:rPr>
          <w:rFonts w:hint="eastAsia" w:ascii="仿宋_GB2312" w:hAnsi="仿宋_GB2312" w:eastAsia="仿宋_GB2312" w:cs="仿宋_GB2312"/>
          <w:sz w:val="32"/>
          <w:szCs w:val="32"/>
          <w:highlight w:val="none"/>
        </w:rPr>
        <w:t>危险化学品重大危险源、高危细分领域（硝化、氟化、光气、有机硅多晶硅等）、大型油气储存基地、从业人员学历资质达标、危化企业装置设备带</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病</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运行、液化烃储罐区深度评估落实防冻、防凝、防泄漏措施、打击非法违法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小化工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等方面问题隐患；企业未组织开展自查或重大事故隐患逾期未完成整改的；安全生产风险监测预警系统未有效运行，存在擅自关闭监测监控、报警设备设施或者篡改破坏数据信息的；</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五室</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搬迁，明搬暗不搬、搬迁搞变通或搬迁不到位等问题隐患。</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应急管理局〕</w:t>
      </w:r>
    </w:p>
    <w:p w14:paraId="57D20A5A">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工贸。</w:t>
      </w:r>
      <w:r>
        <w:rPr>
          <w:rFonts w:hint="eastAsia" w:ascii="仿宋_GB2312" w:hAnsi="仿宋_GB2312" w:eastAsia="仿宋_GB2312" w:cs="仿宋_GB2312"/>
          <w:sz w:val="32"/>
          <w:szCs w:val="32"/>
          <w:highlight w:val="none"/>
        </w:rPr>
        <w:t>钢铁、铝加工（深井铸造）、粉尘涉爆企业重大隐患排查整治未实现动态清零；冶金、建材、轻工等行业的炉窑管道、库（仓）、污水处理等重点部位未开展有限空间风险辨识或辨识不全面、管控措施落实不到位；易燃易爆区域动火、盲板抽堵、高处作业等危险作业的方案审批、现场监护等关键环节安全管控措施落实不到位；工程项目外包、检维修作业外委、环保设备设施托管等环节安全责任落实不到位等突出问题。</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应急管理局〕</w:t>
      </w:r>
    </w:p>
    <w:p w14:paraId="3357C02C">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燃气。</w:t>
      </w:r>
      <w:r>
        <w:rPr>
          <w:rFonts w:hint="eastAsia" w:ascii="仿宋_GB2312" w:hAnsi="仿宋_GB2312" w:eastAsia="仿宋_GB2312" w:cs="仿宋_GB2312"/>
          <w:sz w:val="32"/>
          <w:szCs w:val="32"/>
          <w:highlight w:val="none"/>
        </w:rPr>
        <w:t>液化石油气供应企业未取得燃气经营许可证从事燃气经营活动、为非自有气瓶充装燃气；企业管理、运行维护及抢修人员未取得从业资格证书；燃气企业入户安检、安全宣传、管网设施巡检、涉气第三方施工管理等制度落实不到位；餐饮企业、养老院、医院、学校等重点场所燃气安全隐患排查整治情况；餐饮经营单位、农贸市场等人员密集场所在用餐区域使用或存放气瓶，在地下室、半地下室及密闭空间使用燃气，不按规定安装使用燃气安全装置和不合格</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瓶、灶、阀、管</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等违法违规行为。</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县住建</w:t>
      </w:r>
      <w:r>
        <w:rPr>
          <w:rFonts w:hint="eastAsia" w:ascii="楷体_GB2312" w:hAnsi="楷体_GB2312" w:eastAsia="楷体_GB2312" w:cs="楷体_GB2312"/>
          <w:sz w:val="32"/>
          <w:szCs w:val="32"/>
          <w:highlight w:val="none"/>
        </w:rPr>
        <w:t>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市场监管局、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公安局、</w:t>
      </w:r>
      <w:r>
        <w:rPr>
          <w:rFonts w:hint="eastAsia" w:ascii="楷体_GB2312" w:hAnsi="楷体_GB2312" w:eastAsia="楷体_GB2312" w:cs="楷体_GB2312"/>
          <w:sz w:val="32"/>
          <w:szCs w:val="32"/>
          <w:highlight w:val="none"/>
          <w:lang w:val="en-US" w:eastAsia="zh-CN"/>
        </w:rPr>
        <w:t>县发改</w:t>
      </w:r>
      <w:r>
        <w:rPr>
          <w:rFonts w:hint="eastAsia" w:ascii="楷体_GB2312" w:hAnsi="楷体_GB2312" w:eastAsia="楷体_GB2312" w:cs="楷体_GB2312"/>
          <w:sz w:val="32"/>
          <w:szCs w:val="32"/>
          <w:highlight w:val="none"/>
        </w:rPr>
        <w:t>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民政局、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卫健</w:t>
      </w:r>
      <w:r>
        <w:rPr>
          <w:rFonts w:hint="eastAsia" w:ascii="楷体_GB2312" w:hAnsi="楷体_GB2312" w:eastAsia="楷体_GB2312" w:cs="楷体_GB2312"/>
          <w:sz w:val="32"/>
          <w:szCs w:val="32"/>
          <w:highlight w:val="none"/>
          <w:lang w:val="en-US" w:eastAsia="zh-CN"/>
        </w:rPr>
        <w:t>局</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教育局</w:t>
      </w: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蔬菜大市场</w:t>
      </w:r>
      <w:r>
        <w:rPr>
          <w:rFonts w:hint="eastAsia" w:ascii="楷体_GB2312" w:hAnsi="楷体_GB2312" w:eastAsia="楷体_GB2312" w:cs="楷体_GB2312"/>
          <w:sz w:val="32"/>
          <w:szCs w:val="32"/>
          <w:highlight w:val="none"/>
        </w:rPr>
        <w:t>〕</w:t>
      </w:r>
    </w:p>
    <w:p w14:paraId="7F229AAB">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人员密集场所。</w:t>
      </w:r>
      <w:r>
        <w:rPr>
          <w:rFonts w:hint="eastAsia" w:ascii="仿宋_GB2312" w:hAnsi="仿宋_GB2312" w:eastAsia="仿宋_GB2312" w:cs="仿宋_GB2312"/>
          <w:sz w:val="32"/>
          <w:szCs w:val="32"/>
          <w:highlight w:val="none"/>
        </w:rPr>
        <w:t>动火作业建筑产权方、承包承租方、统一管理单位、施工单位安全责任落实情况；人员密集场所安全动火作业是否落实风险辨识评估、安全操作、现场监护、应急处置等管控措施，并及时告知人员密集场所内及周边可能涉及的所有单位和人员；动火作业小型工程备案、内部审批手续、作业人员持证上岗、作业现场管控、作业人员安全培训等突出问题。</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消安委有关成员单位〕</w:t>
      </w:r>
    </w:p>
    <w:p w14:paraId="328EA89C">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消防。</w:t>
      </w:r>
      <w:r>
        <w:rPr>
          <w:rFonts w:hint="eastAsia" w:ascii="仿宋_GB2312" w:hAnsi="仿宋_GB2312" w:eastAsia="仿宋_GB2312" w:cs="仿宋_GB2312"/>
          <w:sz w:val="32"/>
          <w:szCs w:val="32"/>
          <w:highlight w:val="none"/>
        </w:rPr>
        <w:t>重点检查劳动密集型企业、大型商业综合体、高层建筑、学校、医疗卫生机构、民政服务机构、</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九小场所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等高风险场所涉及安全疏散条件不足、堵塞疏散通道、私拉乱接电线、违规使用易燃可燃材料装修、违规用火用电方面问题隐患；违规使用瓶装液化石油气等突出风险。</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消安委有关成员单位〕</w:t>
      </w:r>
    </w:p>
    <w:p w14:paraId="0860119B">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交通运输。</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两客一危</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企业主体责任不落实，</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两客一危一货</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等重点车辆和重点驾驶人存在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三超一疲劳</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等突出问题；严查酒驾醉驾行为；公路桥梁养护不到位，交通安全设施缺失、不适用；桥梁涵洞，事故多发急弯陡坡、长下坡以及易结冰、易起雾路段安全隐患。</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交通运输局、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公安</w:t>
      </w:r>
      <w:r>
        <w:rPr>
          <w:rFonts w:hint="eastAsia" w:ascii="楷体_GB2312" w:hAnsi="楷体_GB2312" w:eastAsia="楷体_GB2312" w:cs="楷体_GB2312"/>
          <w:sz w:val="32"/>
          <w:szCs w:val="32"/>
          <w:highlight w:val="none"/>
          <w:lang w:val="en-US" w:eastAsia="zh-CN"/>
        </w:rPr>
        <w:t>交警大队</w:t>
      </w:r>
      <w:r>
        <w:rPr>
          <w:rFonts w:hint="eastAsia" w:ascii="楷体_GB2312" w:hAnsi="楷体_GB2312" w:eastAsia="楷体_GB2312" w:cs="楷体_GB2312"/>
          <w:sz w:val="32"/>
          <w:szCs w:val="32"/>
          <w:highlight w:val="none"/>
        </w:rPr>
        <w:t>〕</w:t>
      </w:r>
    </w:p>
    <w:p w14:paraId="026D97D5">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特种设备。</w:t>
      </w:r>
      <w:r>
        <w:rPr>
          <w:rFonts w:hint="eastAsia" w:ascii="仿宋_GB2312" w:hAnsi="仿宋_GB2312" w:eastAsia="仿宋_GB2312" w:cs="仿宋_GB2312"/>
          <w:sz w:val="32"/>
          <w:szCs w:val="32"/>
          <w:highlight w:val="none"/>
        </w:rPr>
        <w:t>冬季供暖企业、公众聚集场所（交通站点、商场超市、景区公园游乐场、冬季运动场地等）、危化企业特种设备使用单位出现的新投用设备非法生产、未经监督检验合格；在用设备安全附件或安全装置失效、超期未检、超参数运行、存在问题仍继续使用；气瓶充装单位无证充装、超范围充装、充装非自有产权气瓶、报废气瓶和翻新改造气瓶等问题隐患。</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市场监管局，特种设备相关企业行业主管部门〕</w:t>
      </w:r>
    </w:p>
    <w:p w14:paraId="48FC400B">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旅游。</w:t>
      </w:r>
      <w:r>
        <w:rPr>
          <w:rFonts w:hint="eastAsia" w:ascii="仿宋_GB2312" w:hAnsi="仿宋_GB2312" w:eastAsia="仿宋_GB2312" w:cs="仿宋_GB2312"/>
          <w:sz w:val="32"/>
          <w:szCs w:val="32"/>
          <w:highlight w:val="none"/>
        </w:rPr>
        <w:t>旅行社组织旅游团旅游期间重大责任安全事故风险管控不到位等突出问题；旅游设施设备</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带病运行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、操作人员未持证上岗等突出问题；大型演出活动、公共图书馆、博物馆等人员密集文化和旅游场所因拥堵、踩踏等原因发生群死群伤事故等重大隐患</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未经许可经营旅行社业务、</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不合理低价游”、文化娱乐场所违规接纳未成年人等违法违规行为</w:t>
      </w:r>
      <w:r>
        <w:rPr>
          <w:rFonts w:hint="eastAsia" w:ascii="仿宋_GB2312" w:hAnsi="仿宋_GB2312" w:eastAsia="仿宋_GB2312" w:cs="仿宋_GB2312"/>
          <w:sz w:val="32"/>
          <w:szCs w:val="32"/>
          <w:highlight w:val="none"/>
        </w:rPr>
        <w:t>。</w:t>
      </w:r>
      <w:r>
        <w:rPr>
          <w:rFonts w:hint="eastAsia" w:ascii="楷体_GB2312" w:hAnsi="楷体_GB2312" w:eastAsia="楷体_GB2312" w:cs="楷体_GB2312"/>
          <w:sz w:val="32"/>
          <w:szCs w:val="32"/>
          <w:highlight w:val="none"/>
        </w:rPr>
        <w:t>〔责任单位：</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文化广电和旅游局〕</w:t>
      </w:r>
    </w:p>
    <w:p w14:paraId="338661FD">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农业机械。</w:t>
      </w:r>
      <w:r>
        <w:rPr>
          <w:rFonts w:hint="eastAsia" w:ascii="仿宋_GB2312" w:hAnsi="仿宋_GB2312" w:eastAsia="仿宋_GB2312" w:cs="仿宋_GB2312"/>
          <w:sz w:val="32"/>
          <w:szCs w:val="32"/>
          <w:highlight w:val="none"/>
        </w:rPr>
        <w:t>未依法取得相应驾驶（操作）证件而操作拖拉机、联合收割机的行为；拖拉机无牌无证行驶、超速超载、违法载人、疲劳和酒后驾驶以及使用伪造、变造的登记证书、牌证、检验标志等违法行为；机库、油库的防火安全等问题隐患。</w:t>
      </w:r>
      <w:r>
        <w:rPr>
          <w:rFonts w:hint="eastAsia" w:ascii="楷体_GB2312" w:hAnsi="楷体_GB2312" w:eastAsia="楷体_GB2312" w:cs="楷体_GB2312"/>
          <w:sz w:val="32"/>
          <w:szCs w:val="32"/>
          <w:highlight w:val="none"/>
        </w:rPr>
        <w:t>〔责任单位：</w:t>
      </w:r>
      <w:r>
        <w:rPr>
          <w:rFonts w:hint="eastAsia" w:ascii="楷体_GB2312" w:hAnsi="楷体_GB2312" w:eastAsia="楷体_GB2312" w:cs="楷体_GB2312"/>
          <w:sz w:val="32"/>
          <w:szCs w:val="32"/>
          <w:highlight w:val="none"/>
          <w:lang w:val="en-US" w:eastAsia="zh-CN"/>
        </w:rPr>
        <w:t>各镇</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农业农村局〕</w:t>
      </w:r>
    </w:p>
    <w:p w14:paraId="4780F4BF">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民爆。</w:t>
      </w:r>
      <w:r>
        <w:rPr>
          <w:rFonts w:hint="eastAsia" w:ascii="仿宋_GB2312" w:hAnsi="仿宋_GB2312" w:eastAsia="仿宋_GB2312" w:cs="仿宋_GB2312"/>
          <w:sz w:val="32"/>
          <w:szCs w:val="32"/>
          <w:highlight w:val="none"/>
        </w:rPr>
        <w:t>民爆生产企业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超员、超量、超产、超时和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违章指挥、违章操作、违反劳动纪律</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等违法违规行为；民爆物品储存库安评报告过期失效，治安防范系统运转不正常，民爆物品超量储存、混存和库房超员作业等重大隐患；爆破作业不执行爆破安全规程，项目技术负责人、爆破员、安全员等不在岗在位、未持证上岗等违法违规行为。</w:t>
      </w:r>
      <w:r>
        <w:rPr>
          <w:rFonts w:hint="eastAsia" w:ascii="楷体_GB2312" w:hAnsi="楷体_GB2312" w:eastAsia="楷体_GB2312" w:cs="楷体_GB2312"/>
          <w:sz w:val="32"/>
          <w:szCs w:val="32"/>
          <w:highlight w:val="none"/>
        </w:rPr>
        <w:t>〔责任单位：</w:t>
      </w:r>
      <w:r>
        <w:rPr>
          <w:rFonts w:hint="eastAsia" w:ascii="楷体_GB2312" w:hAnsi="楷体_GB2312" w:eastAsia="楷体_GB2312" w:cs="楷体_GB2312"/>
          <w:sz w:val="32"/>
          <w:szCs w:val="32"/>
          <w:highlight w:val="none"/>
          <w:lang w:val="en-US" w:eastAsia="zh-CN"/>
        </w:rPr>
        <w:t>县科学技术和工业信息化</w:t>
      </w:r>
      <w:r>
        <w:rPr>
          <w:rFonts w:hint="eastAsia" w:ascii="楷体_GB2312" w:hAnsi="楷体_GB2312" w:eastAsia="楷体_GB2312" w:cs="楷体_GB2312"/>
          <w:sz w:val="32"/>
          <w:szCs w:val="32"/>
          <w:highlight w:val="none"/>
        </w:rPr>
        <w:t>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公安局等部门〕</w:t>
      </w:r>
    </w:p>
    <w:p w14:paraId="7CC3C0F4">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渔业船舶。</w:t>
      </w:r>
      <w:r>
        <w:rPr>
          <w:rFonts w:hint="eastAsia" w:ascii="仿宋_GB2312" w:hAnsi="仿宋_GB2312" w:eastAsia="仿宋_GB2312" w:cs="仿宋_GB2312"/>
          <w:sz w:val="32"/>
          <w:szCs w:val="32"/>
          <w:highlight w:val="none"/>
        </w:rPr>
        <w:t>内陆渔业船舶证书以及船员持证上岗等方面存在的问题；渔业船舶在救生、消防等设施设备方面存在的问题隐患；渔业船舶超员、超载、超风级运营等违法违规行为；涉渔</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三无</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船舶及其他违法违规行为。</w:t>
      </w:r>
      <w:r>
        <w:rPr>
          <w:rFonts w:hint="eastAsia" w:ascii="楷体_GB2312" w:hAnsi="楷体_GB2312" w:eastAsia="楷体_GB2312" w:cs="楷体_GB2312"/>
          <w:sz w:val="32"/>
          <w:szCs w:val="32"/>
          <w:highlight w:val="none"/>
        </w:rPr>
        <w:t>〔责任单位：</w:t>
      </w:r>
      <w:r>
        <w:rPr>
          <w:rFonts w:hint="eastAsia" w:ascii="楷体_GB2312" w:hAnsi="楷体_GB2312" w:eastAsia="楷体_GB2312" w:cs="楷体_GB2312"/>
          <w:sz w:val="32"/>
          <w:szCs w:val="32"/>
          <w:highlight w:val="none"/>
          <w:lang w:val="en-US" w:eastAsia="zh-CN"/>
        </w:rPr>
        <w:t>各镇</w:t>
      </w:r>
      <w:r>
        <w:rPr>
          <w:rFonts w:hint="eastAsia" w:ascii="楷体_GB2312" w:hAnsi="楷体_GB2312" w:eastAsia="楷体_GB2312" w:cs="楷体_GB2312"/>
          <w:sz w:val="32"/>
          <w:szCs w:val="32"/>
          <w:highlight w:val="none"/>
        </w:rPr>
        <w:t>政府，</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交通运输局、</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农业农村局〕</w:t>
      </w:r>
    </w:p>
    <w:p w14:paraId="4513A9F3">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b/>
          <w:bCs/>
          <w:sz w:val="32"/>
          <w:szCs w:val="32"/>
          <w:highlight w:val="none"/>
        </w:rPr>
        <w:t>油气管道。</w:t>
      </w:r>
      <w:r>
        <w:rPr>
          <w:rFonts w:hint="eastAsia" w:ascii="仿宋_GB2312" w:hAnsi="仿宋_GB2312" w:eastAsia="仿宋_GB2312" w:cs="仿宋_GB2312"/>
          <w:sz w:val="32"/>
          <w:szCs w:val="32"/>
          <w:highlight w:val="none"/>
        </w:rPr>
        <w:t>油气长输管道是否被违法占压；是否建立健全了巡护制度，对管道线路进行日常巡护；管道质量是否符合国家有关产品要求；地面管道是否存在腐蚀、破损、开裂、变形、老化和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跑、冒、滴、漏</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现象；管道是否设置了明显的标志、标识；是否有防雷、防静电和绝缘保护等措施；是否定期组织专家对管道管网开展隐患排查，并按规定对管道进行检测检验和安全评价。</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发改</w:t>
      </w:r>
      <w:r>
        <w:rPr>
          <w:rFonts w:hint="eastAsia" w:ascii="楷体_GB2312" w:hAnsi="楷体_GB2312" w:eastAsia="楷体_GB2312" w:cs="楷体_GB2312"/>
          <w:sz w:val="32"/>
          <w:szCs w:val="32"/>
          <w:highlight w:val="none"/>
          <w:lang w:val="en-US" w:eastAsia="zh-CN"/>
        </w:rPr>
        <w:t>局</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县</w:t>
      </w:r>
      <w:r>
        <w:rPr>
          <w:rFonts w:hint="eastAsia" w:ascii="楷体_GB2312" w:hAnsi="楷体_GB2312" w:eastAsia="楷体_GB2312" w:cs="楷体_GB2312"/>
          <w:sz w:val="32"/>
          <w:szCs w:val="32"/>
          <w:highlight w:val="none"/>
        </w:rPr>
        <w:t>应急管理局〕</w:t>
      </w:r>
    </w:p>
    <w:p w14:paraId="58D83F12">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rPr>
        <w:t>有限空间作业。</w:t>
      </w:r>
      <w:r>
        <w:rPr>
          <w:rFonts w:hint="eastAsia" w:ascii="仿宋_GB2312" w:hAnsi="仿宋_GB2312" w:eastAsia="仿宋_GB2312" w:cs="仿宋_GB2312"/>
          <w:sz w:val="32"/>
          <w:szCs w:val="32"/>
          <w:highlight w:val="none"/>
        </w:rPr>
        <w:t>严格落实《河北省有限空间作业安全管理规定》，突出对危险化学品、工贸以及市政工程、污水管网、污水处理、燃气、热力、通讯、环卫等行业涉有限空间现场作业隐患排查，重点检查企业有限空间作业安全管理制度、操作规程制定落实，通风、检测、照明、通讯、应急救援装备及个体防护用品配备使用，作业人员安全教育培训等情况。</w:t>
      </w:r>
      <w:r>
        <w:rPr>
          <w:rFonts w:hint="eastAsia" w:ascii="楷体_GB2312" w:hAnsi="楷体_GB2312" w:eastAsia="楷体_GB2312" w:cs="楷体_GB2312"/>
          <w:sz w:val="32"/>
          <w:szCs w:val="32"/>
          <w:highlight w:val="none"/>
        </w:rPr>
        <w:t>〔责任单位：各</w:t>
      </w:r>
      <w:r>
        <w:rPr>
          <w:rFonts w:hint="eastAsia" w:ascii="楷体_GB2312" w:hAnsi="楷体_GB2312" w:eastAsia="楷体_GB2312" w:cs="楷体_GB2312"/>
          <w:sz w:val="32"/>
          <w:szCs w:val="32"/>
          <w:highlight w:val="none"/>
          <w:lang w:val="en-US" w:eastAsia="zh-CN"/>
        </w:rPr>
        <w:t>镇</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社区</w:t>
      </w:r>
      <w:r>
        <w:rPr>
          <w:rFonts w:hint="eastAsia" w:ascii="楷体_GB2312" w:hAnsi="楷体_GB2312" w:eastAsia="楷体_GB2312" w:cs="楷体_GB2312"/>
          <w:sz w:val="32"/>
          <w:szCs w:val="32"/>
          <w:highlight w:val="none"/>
        </w:rPr>
        <w:t>）政府，经开区管委会，涉有限空间作业企业行业主管部门〕</w:t>
      </w:r>
    </w:p>
    <w:p w14:paraId="55A56FB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其他重点行业领域，各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各有关部门要结合实际有针对性明确整治重点，确保重大隐患排查整改到位。</w:t>
      </w:r>
    </w:p>
    <w:p w14:paraId="3D100BE4">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工作要求</w:t>
      </w:r>
    </w:p>
    <w:p w14:paraId="5F8AA7CE">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rPr>
        <w:t>高度重视，加强领导。</w:t>
      </w:r>
      <w:r>
        <w:rPr>
          <w:rFonts w:hint="eastAsia" w:ascii="仿宋_GB2312" w:hAnsi="仿宋_GB2312" w:eastAsia="仿宋_GB2312" w:cs="仿宋_GB2312"/>
          <w:sz w:val="32"/>
          <w:szCs w:val="32"/>
          <w:highlight w:val="none"/>
        </w:rPr>
        <w:t>开展岁末年初安全生产大排查大整治是省委、省政府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市委、市政府</w:t>
      </w:r>
      <w:r>
        <w:rPr>
          <w:rFonts w:hint="eastAsia" w:ascii="仿宋_GB2312" w:hAnsi="仿宋_GB2312" w:eastAsia="仿宋_GB2312" w:cs="仿宋_GB2312"/>
          <w:sz w:val="32"/>
          <w:szCs w:val="32"/>
          <w:highlight w:val="none"/>
          <w:lang w:val="en-US" w:eastAsia="zh-CN"/>
        </w:rPr>
        <w:t>和县委、县政府</w:t>
      </w:r>
      <w:r>
        <w:rPr>
          <w:rFonts w:hint="eastAsia" w:ascii="仿宋_GB2312" w:hAnsi="仿宋_GB2312" w:eastAsia="仿宋_GB2312" w:cs="仿宋_GB2312"/>
          <w:sz w:val="32"/>
          <w:szCs w:val="32"/>
          <w:highlight w:val="none"/>
        </w:rPr>
        <w:t>部署开展的一项重大任务，是确保全</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安全生产形势持续稳定的重要举措。各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各有关部门要高度重视，切实加强组织领导，层层传导压力，狠抓末端落实</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要认真梳理、分析研判本辖区</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本行业领域</w:t>
      </w:r>
      <w:r>
        <w:rPr>
          <w:rFonts w:hint="eastAsia" w:ascii="仿宋_GB2312" w:hAnsi="仿宋_GB2312" w:eastAsia="仿宋_GB2312" w:cs="仿宋_GB2312"/>
          <w:sz w:val="32"/>
          <w:szCs w:val="32"/>
          <w:highlight w:val="none"/>
        </w:rPr>
        <w:t>易导致群死群伤的重大风险隐患，制定排查整治实施方案</w:t>
      </w:r>
      <w:r>
        <w:rPr>
          <w:rFonts w:hint="eastAsia" w:ascii="仿宋_GB2312" w:hAnsi="仿宋_GB2312" w:eastAsia="仿宋_GB2312" w:cs="仿宋_GB2312"/>
          <w:sz w:val="32"/>
          <w:szCs w:val="32"/>
          <w:highlight w:val="none"/>
          <w:lang w:val="en-US" w:eastAsia="zh-CN"/>
        </w:rPr>
        <w:t>和专项执法检查方案</w:t>
      </w:r>
      <w:r>
        <w:rPr>
          <w:rFonts w:hint="eastAsia" w:ascii="仿宋_GB2312" w:hAnsi="仿宋_GB2312" w:eastAsia="仿宋_GB2312" w:cs="仿宋_GB2312"/>
          <w:sz w:val="32"/>
          <w:szCs w:val="32"/>
          <w:highlight w:val="none"/>
        </w:rPr>
        <w:t>，及时进行安排部署。</w:t>
      </w:r>
    </w:p>
    <w:p w14:paraId="57AB91C9">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rPr>
        <w:t>强化督查，落实责任。</w:t>
      </w:r>
      <w:r>
        <w:rPr>
          <w:rFonts w:hint="eastAsia" w:ascii="仿宋_GB2312" w:hAnsi="仿宋_GB2312" w:eastAsia="仿宋_GB2312" w:cs="仿宋_GB2312"/>
          <w:sz w:val="32"/>
          <w:szCs w:val="32"/>
          <w:highlight w:val="none"/>
        </w:rPr>
        <w:t>各</w:t>
      </w:r>
      <w:r>
        <w:rPr>
          <w:rFonts w:hint="eastAsia" w:ascii="仿宋_GB2312" w:hAnsi="仿宋_GB2312" w:eastAsia="仿宋_GB2312" w:cs="仿宋_GB2312"/>
          <w:sz w:val="32"/>
          <w:szCs w:val="32"/>
          <w:highlight w:val="none"/>
          <w:lang w:val="en-US" w:eastAsia="zh-CN"/>
        </w:rPr>
        <w:t>镇（社区）</w:t>
      </w:r>
      <w:r>
        <w:rPr>
          <w:rFonts w:hint="eastAsia" w:ascii="仿宋_GB2312" w:hAnsi="仿宋_GB2312" w:eastAsia="仿宋_GB2312" w:cs="仿宋_GB2312"/>
          <w:sz w:val="32"/>
          <w:szCs w:val="32"/>
          <w:highlight w:val="none"/>
        </w:rPr>
        <w:t>政府对本辖区岁末年初安全生产大排查大整治工作负领导责任，各有关部门对本系统本行业领域负监管责任，各企事业单位负主体责任。</w:t>
      </w:r>
      <w:r>
        <w:rPr>
          <w:rFonts w:hint="eastAsia" w:ascii="仿宋_GB2312" w:hAnsi="仿宋_GB2312" w:eastAsia="仿宋_GB2312" w:cs="仿宋_GB2312"/>
          <w:sz w:val="32"/>
          <w:szCs w:val="32"/>
          <w:highlight w:val="none"/>
          <w:lang w:val="en-US" w:eastAsia="zh-CN"/>
        </w:rPr>
        <w:t>各镇各有关部门</w:t>
      </w:r>
      <w:r>
        <w:rPr>
          <w:rFonts w:hint="eastAsia" w:ascii="仿宋_GB2312" w:hAnsi="仿宋_GB2312" w:eastAsia="仿宋_GB2312" w:cs="仿宋_GB2312"/>
          <w:sz w:val="32"/>
          <w:szCs w:val="32"/>
          <w:highlight w:val="none"/>
        </w:rPr>
        <w:t>要加大协调调度、跟踪督查力度，督促责任措施落实，对责任不落实、监管不到位、失职渎职的部门以及法律法规和制度标准规范不落实、隐患大量存在、整改不及时不彻底的企事业单位，严肃追责问责。期间，省安委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市安委会</w:t>
      </w:r>
      <w:r>
        <w:rPr>
          <w:rFonts w:hint="eastAsia" w:ascii="仿宋_GB2312" w:hAnsi="仿宋_GB2312" w:eastAsia="仿宋_GB2312" w:cs="仿宋_GB2312"/>
          <w:sz w:val="32"/>
          <w:szCs w:val="32"/>
          <w:highlight w:val="none"/>
        </w:rPr>
        <w:t>将派出督导组</w:t>
      </w:r>
      <w:r>
        <w:rPr>
          <w:rFonts w:hint="eastAsia" w:ascii="仿宋_GB2312" w:hAnsi="仿宋_GB2312" w:eastAsia="仿宋_GB2312" w:cs="仿宋_GB2312"/>
          <w:sz w:val="32"/>
          <w:szCs w:val="32"/>
          <w:highlight w:val="none"/>
          <w:lang w:val="en-US" w:eastAsia="zh-CN"/>
        </w:rPr>
        <w:t>在</w:t>
      </w:r>
      <w:r>
        <w:rPr>
          <w:rFonts w:hint="eastAsia" w:ascii="仿宋_GB2312" w:hAnsi="仿宋_GB2312" w:eastAsia="仿宋_GB2312" w:cs="仿宋_GB2312"/>
          <w:sz w:val="32"/>
          <w:szCs w:val="32"/>
          <w:highlight w:val="none"/>
        </w:rPr>
        <w:t>元旦至春节前、全国两会期间开展安全生产综合督查，各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社区</w:t>
      </w:r>
      <w:r>
        <w:rPr>
          <w:rFonts w:hint="eastAsia" w:ascii="仿宋_GB2312" w:hAnsi="仿宋_GB2312" w:eastAsia="仿宋_GB2312" w:cs="仿宋_GB2312"/>
          <w:sz w:val="32"/>
          <w:szCs w:val="32"/>
          <w:highlight w:val="none"/>
        </w:rPr>
        <w:t>）和</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直有关部门要认真做好准备、积极配合检查，确保督查工作顺利开展。</w:t>
      </w:r>
    </w:p>
    <w:p w14:paraId="7894ED21">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rPr>
        <w:t>紧盯问题，狠抓整改。</w:t>
      </w:r>
      <w:r>
        <w:rPr>
          <w:rFonts w:hint="eastAsia" w:ascii="仿宋_GB2312" w:hAnsi="仿宋_GB2312" w:eastAsia="仿宋_GB2312" w:cs="仿宋_GB2312"/>
          <w:sz w:val="32"/>
          <w:szCs w:val="32"/>
          <w:highlight w:val="none"/>
        </w:rPr>
        <w:t>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各有关部门要建立问题隐患台账清单，明确整改责任、措施和时限，能立即整改的要现场整改到位，一时难以完成整改的，要严格落实防范措施，限期整改到位，重大风险隐患，一律跟踪问效、挂牌督办，及时复查核查，确保整治彻底，不出问题。要健全完善风险隐患排查整治责任倒查机制，对问题查不出、整改不到位、只检查不执法、应处罚而未处罚的，要倒查责任。要建立健全政府部门有奖举报和企业隐患报告奖励制度，及时兑现奖励，充分调动广大群众和一线职工参与事故预防。</w:t>
      </w:r>
    </w:p>
    <w:p w14:paraId="548F625B">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rPr>
        <w:t>加强统计，及时报送。</w:t>
      </w:r>
      <w:r>
        <w:rPr>
          <w:rFonts w:hint="eastAsia" w:ascii="仿宋_GB2312" w:hAnsi="仿宋_GB2312" w:eastAsia="仿宋_GB2312" w:cs="仿宋_GB2312"/>
          <w:sz w:val="32"/>
          <w:szCs w:val="32"/>
          <w:highlight w:val="none"/>
        </w:rPr>
        <w:t>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社区</w:t>
      </w:r>
      <w:r>
        <w:rPr>
          <w:rFonts w:hint="eastAsia" w:ascii="仿宋_GB2312" w:hAnsi="仿宋_GB2312" w:eastAsia="仿宋_GB2312" w:cs="仿宋_GB2312"/>
          <w:sz w:val="32"/>
          <w:szCs w:val="32"/>
          <w:highlight w:val="none"/>
        </w:rPr>
        <w:t>）排查整治方案以及</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安委会有关成员单位的专项执法检查方案，于12月</w:t>
      </w:r>
      <w:r>
        <w:rPr>
          <w:rFonts w:hint="eastAsia" w:ascii="仿宋_GB2312" w:hAnsi="仿宋_GB2312" w:eastAsia="仿宋_GB2312" w:cs="仿宋_GB2312"/>
          <w:sz w:val="32"/>
          <w:szCs w:val="32"/>
          <w:highlight w:val="none"/>
          <w:lang w:val="en-US" w:eastAsia="zh-CN"/>
        </w:rPr>
        <w:t>31</w:t>
      </w:r>
      <w:r>
        <w:rPr>
          <w:rFonts w:hint="eastAsia" w:ascii="仿宋_GB2312" w:hAnsi="仿宋_GB2312" w:eastAsia="仿宋_GB2312" w:cs="仿宋_GB2312"/>
          <w:sz w:val="32"/>
          <w:szCs w:val="32"/>
          <w:highlight w:val="none"/>
        </w:rPr>
        <w:t>日前报</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安委办。各</w:t>
      </w:r>
      <w:r>
        <w:rPr>
          <w:rFonts w:hint="eastAsia" w:ascii="仿宋_GB2312" w:hAnsi="仿宋_GB2312" w:eastAsia="仿宋_GB2312" w:cs="仿宋_GB2312"/>
          <w:sz w:val="32"/>
          <w:szCs w:val="32"/>
          <w:highlight w:val="none"/>
          <w:lang w:val="en-US" w:eastAsia="zh-CN"/>
        </w:rPr>
        <w:t>镇</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社区</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县</w:t>
      </w:r>
      <w:r>
        <w:rPr>
          <w:rFonts w:hint="eastAsia" w:ascii="仿宋_GB2312" w:hAnsi="仿宋_GB2312" w:eastAsia="仿宋_GB2312" w:cs="仿宋_GB2312"/>
          <w:sz w:val="32"/>
          <w:szCs w:val="32"/>
          <w:highlight w:val="none"/>
        </w:rPr>
        <w:t>安委会有关成员单位于每月2</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日前（遇节假日提前）报送工作开展情况并附岁末年初安全生产大排查大整治汇总表（详见附件），企业自查、部门检查、综合督查发现重大隐患和安全生产执法相关情况及时录入安全生产治本攻坚三年行动信息系统，全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两会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结束后报工作总结。</w:t>
      </w:r>
    </w:p>
    <w:p w14:paraId="2582D75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联系方式：</w:t>
      </w:r>
      <w:r>
        <w:rPr>
          <w:rFonts w:hint="eastAsia" w:ascii="仿宋_GB2312" w:hAnsi="仿宋_GB2312" w:eastAsia="仿宋_GB2312" w:cs="仿宋_GB2312"/>
          <w:sz w:val="32"/>
          <w:szCs w:val="32"/>
          <w:highlight w:val="none"/>
          <w:lang w:val="en-US" w:eastAsia="zh-CN"/>
        </w:rPr>
        <w:t>张雯萱</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李楠</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84038098</w:t>
      </w:r>
    </w:p>
    <w:p w14:paraId="001D414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报送邮箱：</w:t>
      </w:r>
      <w:r>
        <w:rPr>
          <w:rFonts w:hint="eastAsia" w:ascii="仿宋_GB2312" w:hAnsi="仿宋_GB2312" w:eastAsia="仿宋_GB2312" w:cs="仿宋_GB2312"/>
          <w:sz w:val="32"/>
          <w:szCs w:val="32"/>
          <w:highlight w:val="none"/>
          <w:lang w:val="en-US" w:eastAsia="zh-CN"/>
        </w:rPr>
        <w:t>18531157911@163.com</w:t>
      </w:r>
    </w:p>
    <w:p w14:paraId="6402718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sz w:val="32"/>
          <w:szCs w:val="32"/>
          <w:highlight w:val="none"/>
        </w:rPr>
      </w:pPr>
    </w:p>
    <w:p w14:paraId="75BC227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sz w:val="32"/>
          <w:szCs w:val="32"/>
          <w:highlight w:val="none"/>
        </w:rPr>
        <w:sectPr>
          <w:footerReference r:id="rId3" w:type="default"/>
          <w:pgSz w:w="11906" w:h="16838"/>
          <w:pgMar w:top="1701" w:right="1417" w:bottom="1701" w:left="1417" w:header="851" w:footer="992" w:gutter="0"/>
          <w:pgNumType w:fmt="decimal"/>
          <w:cols w:space="425" w:num="1"/>
          <w:docGrid w:type="lines" w:linePitch="312" w:charSpace="0"/>
        </w:sectPr>
      </w:pPr>
      <w:r>
        <w:rPr>
          <w:rFonts w:hint="eastAsia" w:ascii="仿宋_GB2312" w:hAnsi="仿宋_GB2312" w:eastAsia="仿宋_GB2312" w:cs="仿宋_GB2312"/>
          <w:sz w:val="32"/>
          <w:szCs w:val="32"/>
          <w:highlight w:val="none"/>
        </w:rPr>
        <w:t>附件： 岁末年初安全生产大排查大整治汇总表</w:t>
      </w:r>
    </w:p>
    <w:tbl>
      <w:tblPr>
        <w:tblStyle w:val="4"/>
        <w:tblW w:w="5168" w:type="pct"/>
        <w:tblInd w:w="-22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0"/>
        <w:gridCol w:w="550"/>
        <w:gridCol w:w="788"/>
        <w:gridCol w:w="475"/>
        <w:gridCol w:w="612"/>
        <w:gridCol w:w="916"/>
        <w:gridCol w:w="1072"/>
        <w:gridCol w:w="650"/>
        <w:gridCol w:w="1100"/>
        <w:gridCol w:w="862"/>
        <w:gridCol w:w="788"/>
        <w:gridCol w:w="900"/>
        <w:gridCol w:w="625"/>
        <w:gridCol w:w="523"/>
        <w:gridCol w:w="476"/>
        <w:gridCol w:w="487"/>
        <w:gridCol w:w="475"/>
        <w:gridCol w:w="500"/>
        <w:gridCol w:w="500"/>
        <w:gridCol w:w="513"/>
      </w:tblGrid>
      <w:tr w14:paraId="0EB01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5000" w:type="pct"/>
            <w:gridSpan w:val="20"/>
            <w:tcBorders>
              <w:top w:val="nil"/>
              <w:left w:val="nil"/>
              <w:bottom w:val="nil"/>
              <w:right w:val="nil"/>
            </w:tcBorders>
            <w:shd w:val="clear" w:color="auto" w:fill="auto"/>
            <w:vAlign w:val="center"/>
          </w:tcPr>
          <w:p w14:paraId="5FB47A95">
            <w:pPr>
              <w:keepNext w:val="0"/>
              <w:keepLines w:val="0"/>
              <w:pageBreakBefore w:val="0"/>
              <w:widowControl/>
              <w:suppressLineNumbers w:val="0"/>
              <w:tabs>
                <w:tab w:val="left" w:pos="762"/>
              </w:tabs>
              <w:kinsoku/>
              <w:wordWrap/>
              <w:overflowPunct/>
              <w:topLinePunct w:val="0"/>
              <w:autoSpaceDE/>
              <w:autoSpaceDN/>
              <w:bidi w:val="0"/>
              <w:adjustRightInd/>
              <w:snapToGrid/>
              <w:spacing w:line="240" w:lineRule="auto"/>
              <w:jc w:val="left"/>
              <w:textAlignment w:val="center"/>
              <w:rPr>
                <w:rFonts w:hint="eastAsia" w:ascii="黑体" w:hAnsi="黑体" w:eastAsia="黑体" w:cs="黑体"/>
                <w:i w:val="0"/>
                <w:iCs w:val="0"/>
                <w:color w:val="000000"/>
                <w:kern w:val="0"/>
                <w:sz w:val="24"/>
                <w:szCs w:val="24"/>
                <w:highlight w:val="none"/>
                <w:u w:val="none"/>
                <w:lang w:val="en-US" w:eastAsia="zh-CN" w:bidi="ar"/>
              </w:rPr>
            </w:pPr>
            <w:r>
              <w:rPr>
                <w:rFonts w:hint="eastAsia" w:ascii="黑体" w:hAnsi="黑体" w:eastAsia="黑体" w:cs="黑体"/>
                <w:i w:val="0"/>
                <w:iCs w:val="0"/>
                <w:color w:val="000000"/>
                <w:kern w:val="0"/>
                <w:sz w:val="24"/>
                <w:szCs w:val="24"/>
                <w:highlight w:val="none"/>
                <w:u w:val="none"/>
                <w:lang w:val="en-US" w:eastAsia="zh-CN" w:bidi="ar"/>
              </w:rPr>
              <w:t>附件</w:t>
            </w:r>
          </w:p>
          <w:p w14:paraId="19789027">
            <w:pPr>
              <w:keepNext w:val="0"/>
              <w:keepLines w:val="0"/>
              <w:pageBreakBefore w:val="0"/>
              <w:widowControl/>
              <w:suppressLineNumbers w:val="0"/>
              <w:tabs>
                <w:tab w:val="left" w:pos="762"/>
              </w:tabs>
              <w:kinsoku/>
              <w:wordWrap/>
              <w:overflowPunct/>
              <w:topLinePunct w:val="0"/>
              <w:autoSpaceDE/>
              <w:autoSpaceDN/>
              <w:bidi w:val="0"/>
              <w:adjustRightInd/>
              <w:snapToGrid/>
              <w:spacing w:line="240" w:lineRule="auto"/>
              <w:jc w:val="center"/>
              <w:textAlignment w:val="center"/>
              <w:rPr>
                <w:rFonts w:hint="eastAsia" w:ascii="黑体" w:hAnsi="宋体" w:eastAsia="黑体" w:cs="黑体"/>
                <w:i w:val="0"/>
                <w:iCs w:val="0"/>
                <w:color w:val="000000"/>
                <w:kern w:val="0"/>
                <w:sz w:val="18"/>
                <w:szCs w:val="18"/>
                <w:highlight w:val="none"/>
                <w:u w:val="none"/>
                <w:lang w:val="en-US" w:eastAsia="zh-CN" w:bidi="ar"/>
              </w:rPr>
            </w:pPr>
            <w:r>
              <w:rPr>
                <w:rFonts w:hint="eastAsia" w:ascii="方正小标宋简体" w:hAnsi="方正小标宋简体" w:eastAsia="方正小标宋简体" w:cs="方正小标宋简体"/>
                <w:i w:val="0"/>
                <w:iCs w:val="0"/>
                <w:color w:val="000000"/>
                <w:kern w:val="0"/>
                <w:sz w:val="40"/>
                <w:szCs w:val="40"/>
                <w:highlight w:val="none"/>
                <w:u w:val="none"/>
                <w:lang w:val="en-US" w:eastAsia="zh-CN" w:bidi="ar"/>
              </w:rPr>
              <w:t>岁末年初安全生产大排查大整治汇总表</w:t>
            </w:r>
          </w:p>
        </w:tc>
      </w:tr>
      <w:tr w14:paraId="3C65B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2" w:hRule="atLeast"/>
        </w:trPr>
        <w:tc>
          <w:tcPr>
            <w:tcW w:w="5000" w:type="pct"/>
            <w:gridSpan w:val="20"/>
            <w:tcBorders>
              <w:top w:val="nil"/>
              <w:left w:val="nil"/>
              <w:bottom w:val="single" w:color="auto" w:sz="4" w:space="0"/>
              <w:right w:val="nil"/>
            </w:tcBorders>
            <w:shd w:val="clear" w:color="auto" w:fill="auto"/>
            <w:vAlign w:val="center"/>
          </w:tcPr>
          <w:p w14:paraId="3E94746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kern w:val="0"/>
                <w:sz w:val="18"/>
                <w:szCs w:val="18"/>
                <w:highlight w:val="none"/>
                <w:u w:val="none"/>
                <w:lang w:val="en-US" w:eastAsia="zh-CN" w:bidi="ar"/>
              </w:rPr>
            </w:pPr>
            <w:r>
              <w:rPr>
                <w:rFonts w:hint="eastAsia" w:ascii="仿宋_GB2312" w:hAnsi="宋体" w:eastAsia="仿宋_GB2312" w:cs="仿宋_GB2312"/>
                <w:i w:val="0"/>
                <w:iCs w:val="0"/>
                <w:color w:val="000000"/>
                <w:kern w:val="0"/>
                <w:sz w:val="24"/>
                <w:szCs w:val="24"/>
                <w:highlight w:val="none"/>
                <w:u w:val="none"/>
                <w:lang w:val="en-US" w:eastAsia="zh-CN" w:bidi="ar"/>
              </w:rPr>
              <w:t>填报单位：                                                         填报日期：</w:t>
            </w:r>
          </w:p>
        </w:tc>
      </w:tr>
      <w:tr w14:paraId="6266B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vMerge w:val="restart"/>
            <w:tcBorders>
              <w:top w:val="single" w:color="auto" w:sz="4" w:space="0"/>
              <w:left w:val="single" w:color="auto" w:sz="4" w:space="0"/>
              <w:right w:val="single" w:color="auto" w:sz="4" w:space="0"/>
            </w:tcBorders>
            <w:shd w:val="clear" w:color="auto" w:fill="auto"/>
            <w:vAlign w:val="center"/>
          </w:tcPr>
          <w:p w14:paraId="34F6B4F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行业领域</w:t>
            </w:r>
          </w:p>
        </w:tc>
        <w:tc>
          <w:tcPr>
            <w:tcW w:w="3307" w:type="pct"/>
            <w:gridSpan w:val="12"/>
            <w:tcBorders>
              <w:top w:val="single" w:color="auto" w:sz="4" w:space="0"/>
              <w:left w:val="single" w:color="auto" w:sz="4" w:space="0"/>
              <w:bottom w:val="single" w:color="auto" w:sz="4" w:space="0"/>
              <w:right w:val="single" w:color="auto" w:sz="4" w:space="0"/>
            </w:tcBorders>
            <w:shd w:val="clear" w:color="auto" w:fill="auto"/>
            <w:vAlign w:val="center"/>
          </w:tcPr>
          <w:p w14:paraId="2D2EFB0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专项检查情况</w:t>
            </w:r>
          </w:p>
        </w:tc>
        <w:tc>
          <w:tcPr>
            <w:tcW w:w="1231"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35EC36E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问题隐患情况</w:t>
            </w:r>
          </w:p>
        </w:tc>
      </w:tr>
      <w:tr w14:paraId="01881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vMerge w:val="continue"/>
            <w:tcBorders>
              <w:left w:val="single" w:color="auto" w:sz="4" w:space="0"/>
              <w:right w:val="single" w:color="auto" w:sz="4" w:space="0"/>
            </w:tcBorders>
            <w:shd w:val="clear" w:color="auto" w:fill="auto"/>
            <w:vAlign w:val="center"/>
          </w:tcPr>
          <w:p w14:paraId="160BAD62">
            <w:pPr>
              <w:keepNext w:val="0"/>
              <w:keepLines w:val="0"/>
              <w:pageBreakBefore w:val="0"/>
              <w:widowControl/>
              <w:kinsoku/>
              <w:wordWrap/>
              <w:overflowPunct/>
              <w:topLinePunct w:val="0"/>
              <w:autoSpaceDE/>
              <w:autoSpaceDN/>
              <w:bidi w:val="0"/>
              <w:adjustRightInd/>
              <w:snapToGrid/>
              <w:spacing w:line="300" w:lineRule="exact"/>
              <w:jc w:val="center"/>
              <w:rPr>
                <w:rFonts w:hint="eastAsia" w:ascii="黑体" w:hAnsi="宋体" w:eastAsia="黑体" w:cs="黑体"/>
                <w:i w:val="0"/>
                <w:iCs w:val="0"/>
                <w:color w:val="000000"/>
                <w:sz w:val="18"/>
                <w:szCs w:val="18"/>
                <w:highlight w:val="none"/>
                <w:u w:val="none"/>
              </w:rPr>
            </w:pPr>
          </w:p>
        </w:tc>
        <w:tc>
          <w:tcPr>
            <w:tcW w:w="194" w:type="pct"/>
            <w:vMerge w:val="restart"/>
            <w:tcBorders>
              <w:top w:val="single" w:color="auto" w:sz="4" w:space="0"/>
              <w:left w:val="single" w:color="000000" w:sz="4" w:space="0"/>
              <w:bottom w:val="single" w:color="000000" w:sz="4" w:space="0"/>
              <w:right w:val="single" w:color="000000" w:sz="4" w:space="0"/>
            </w:tcBorders>
            <w:shd w:val="clear" w:color="auto" w:fill="auto"/>
            <w:vAlign w:val="center"/>
          </w:tcPr>
          <w:p w14:paraId="1CAEB12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派出检查组数</w:t>
            </w:r>
          </w:p>
        </w:tc>
        <w:tc>
          <w:tcPr>
            <w:tcW w:w="3113" w:type="pct"/>
            <w:gridSpan w:val="11"/>
            <w:tcBorders>
              <w:top w:val="single" w:color="auto" w:sz="4" w:space="0"/>
              <w:left w:val="single" w:color="000000" w:sz="4" w:space="0"/>
              <w:bottom w:val="single" w:color="000000" w:sz="4" w:space="0"/>
              <w:right w:val="single" w:color="000000" w:sz="4" w:space="0"/>
            </w:tcBorders>
            <w:shd w:val="clear" w:color="auto" w:fill="auto"/>
            <w:vAlign w:val="center"/>
          </w:tcPr>
          <w:p w14:paraId="6CFD560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检查企业情况</w:t>
            </w:r>
          </w:p>
        </w:tc>
        <w:tc>
          <w:tcPr>
            <w:tcW w:w="185" w:type="pct"/>
            <w:vMerge w:val="restart"/>
            <w:tcBorders>
              <w:top w:val="single" w:color="auto" w:sz="4" w:space="0"/>
              <w:left w:val="single" w:color="000000" w:sz="4" w:space="0"/>
              <w:bottom w:val="single" w:color="000000" w:sz="4" w:space="0"/>
              <w:right w:val="single" w:color="000000" w:sz="4" w:space="0"/>
            </w:tcBorders>
            <w:shd w:val="clear" w:color="auto" w:fill="auto"/>
            <w:vAlign w:val="center"/>
          </w:tcPr>
          <w:p w14:paraId="7FB344E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总数</w:t>
            </w:r>
          </w:p>
        </w:tc>
        <w:tc>
          <w:tcPr>
            <w:tcW w:w="509" w:type="pct"/>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0805FA9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一般隐患</w:t>
            </w:r>
          </w:p>
        </w:tc>
        <w:tc>
          <w:tcPr>
            <w:tcW w:w="536" w:type="pct"/>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6C9AE50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重大隐患</w:t>
            </w:r>
          </w:p>
        </w:tc>
      </w:tr>
      <w:tr w14:paraId="10FF3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2" w:hRule="atLeast"/>
        </w:trPr>
        <w:tc>
          <w:tcPr>
            <w:tcW w:w="460" w:type="pct"/>
            <w:vMerge w:val="continue"/>
            <w:tcBorders>
              <w:left w:val="single" w:color="auto" w:sz="4" w:space="0"/>
              <w:bottom w:val="single" w:color="000000" w:sz="4" w:space="0"/>
              <w:right w:val="single" w:color="auto" w:sz="4" w:space="0"/>
            </w:tcBorders>
            <w:shd w:val="clear" w:color="auto" w:fill="auto"/>
            <w:vAlign w:val="center"/>
          </w:tcPr>
          <w:p w14:paraId="2B3319D7">
            <w:pPr>
              <w:keepNext w:val="0"/>
              <w:keepLines w:val="0"/>
              <w:pageBreakBefore w:val="0"/>
              <w:widowControl/>
              <w:kinsoku/>
              <w:wordWrap/>
              <w:overflowPunct/>
              <w:topLinePunct w:val="0"/>
              <w:autoSpaceDE/>
              <w:autoSpaceDN/>
              <w:bidi w:val="0"/>
              <w:adjustRightInd/>
              <w:snapToGrid/>
              <w:spacing w:line="300" w:lineRule="exact"/>
              <w:jc w:val="center"/>
              <w:rPr>
                <w:rFonts w:hint="eastAsia" w:ascii="黑体" w:hAnsi="宋体" w:eastAsia="黑体" w:cs="黑体"/>
                <w:i w:val="0"/>
                <w:iCs w:val="0"/>
                <w:color w:val="000000"/>
                <w:sz w:val="18"/>
                <w:szCs w:val="18"/>
                <w:highlight w:val="none"/>
                <w:u w:val="none"/>
              </w:rPr>
            </w:pPr>
          </w:p>
        </w:tc>
        <w:tc>
          <w:tcPr>
            <w:tcW w:w="1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F6993">
            <w:pPr>
              <w:keepNext w:val="0"/>
              <w:keepLines w:val="0"/>
              <w:pageBreakBefore w:val="0"/>
              <w:widowControl/>
              <w:kinsoku/>
              <w:wordWrap/>
              <w:overflowPunct/>
              <w:topLinePunct w:val="0"/>
              <w:autoSpaceDE/>
              <w:autoSpaceDN/>
              <w:bidi w:val="0"/>
              <w:adjustRightInd/>
              <w:snapToGrid/>
              <w:spacing w:line="300" w:lineRule="exact"/>
              <w:jc w:val="center"/>
              <w:rPr>
                <w:rFonts w:hint="eastAsia" w:ascii="黑体" w:hAnsi="宋体" w:eastAsia="黑体" w:cs="黑体"/>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68E7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检查企业总数</w:t>
            </w: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EB27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高危行业</w:t>
            </w: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4B63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消防重点单位</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C6AA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Style w:val="8"/>
                <w:highlight w:val="none"/>
                <w:lang w:val="en-US" w:eastAsia="zh-CN" w:bidi="ar"/>
              </w:rPr>
              <w:t>近</w:t>
            </w:r>
            <w:r>
              <w:rPr>
                <w:rStyle w:val="9"/>
                <w:rFonts w:eastAsia="黑体"/>
                <w:highlight w:val="none"/>
                <w:lang w:val="en-US" w:eastAsia="zh-CN" w:bidi="ar"/>
              </w:rPr>
              <w:t>3</w:t>
            </w:r>
            <w:r>
              <w:rPr>
                <w:rStyle w:val="8"/>
                <w:highlight w:val="none"/>
                <w:lang w:val="en-US" w:eastAsia="zh-CN" w:bidi="ar"/>
              </w:rPr>
              <w:t>年来发生过生产安全事故</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F764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重大事故隐患零报告或未按期销号</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6CDE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存在屡罚屡犯情形</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F1A1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涉及重大危险源或存在突出问题隐患</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4C2C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今年以来被举报企业</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66B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央企、省属企业</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F1E6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新业态、新风险类型企业</w:t>
            </w: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F72D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其他</w:t>
            </w:r>
          </w:p>
        </w:tc>
        <w:tc>
          <w:tcPr>
            <w:tcW w:w="1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C807D">
            <w:pPr>
              <w:keepNext w:val="0"/>
              <w:keepLines w:val="0"/>
              <w:pageBreakBefore w:val="0"/>
              <w:widowControl/>
              <w:kinsoku/>
              <w:wordWrap/>
              <w:overflowPunct/>
              <w:topLinePunct w:val="0"/>
              <w:autoSpaceDE/>
              <w:autoSpaceDN/>
              <w:bidi w:val="0"/>
              <w:adjustRightInd/>
              <w:snapToGrid/>
              <w:spacing w:line="300" w:lineRule="exact"/>
              <w:jc w:val="center"/>
              <w:rPr>
                <w:rFonts w:hint="eastAsia" w:ascii="黑体" w:hAnsi="宋体" w:eastAsia="黑体" w:cs="黑体"/>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6F78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发现数</w:t>
            </w: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9462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已整改</w:t>
            </w: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92FC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整改率</w:t>
            </w: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A586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发现数</w:t>
            </w: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F69A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已整改</w:t>
            </w: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ED57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整改率</w:t>
            </w:r>
          </w:p>
        </w:tc>
      </w:tr>
      <w:tr w14:paraId="232D7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A9C2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单位</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D528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个</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E233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C5A7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8909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15E3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7423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E750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69E1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8BF3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91A4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51D6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E0D0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家</w:t>
            </w: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1687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项</w:t>
            </w: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ACBE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项</w:t>
            </w: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F481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项</w:t>
            </w: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6E94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w:t>
            </w: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038E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项</w:t>
            </w: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551E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项</w:t>
            </w: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C079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w:t>
            </w:r>
          </w:p>
        </w:tc>
      </w:tr>
      <w:tr w14:paraId="2306D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E3D5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黑体" w:hAnsi="宋体" w:eastAsia="黑体" w:cs="黑体"/>
                <w:i w:val="0"/>
                <w:iCs w:val="0"/>
                <w:color w:val="000000"/>
                <w:sz w:val="18"/>
                <w:szCs w:val="18"/>
                <w:highlight w:val="none"/>
                <w:u w:val="none"/>
              </w:rPr>
            </w:pPr>
            <w:r>
              <w:rPr>
                <w:rFonts w:hint="eastAsia" w:ascii="黑体" w:hAnsi="宋体" w:eastAsia="黑体" w:cs="黑体"/>
                <w:i w:val="0"/>
                <w:iCs w:val="0"/>
                <w:color w:val="000000"/>
                <w:kern w:val="0"/>
                <w:sz w:val="18"/>
                <w:szCs w:val="18"/>
                <w:highlight w:val="none"/>
                <w:u w:val="none"/>
                <w:lang w:val="en-US" w:eastAsia="zh-CN" w:bidi="ar"/>
              </w:rPr>
              <w:t>合计</w:t>
            </w:r>
          </w:p>
        </w:tc>
        <w:tc>
          <w:tcPr>
            <w:tcW w:w="1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D894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3C2D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E75E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F5B7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34A7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F7AE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0A0A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B15E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C400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2BE5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4A03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98F3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5948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CCDE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C2EE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D0D9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4C47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C26D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2E4A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highlight w:val="none"/>
                <w:u w:val="none"/>
              </w:rPr>
            </w:pPr>
          </w:p>
        </w:tc>
      </w:tr>
      <w:tr w14:paraId="046FD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E4E1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建筑施工</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6B8C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AD33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706D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A679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3EA6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2C6C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37D6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6D7F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D170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E1EF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3B83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20FD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B148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F9A1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671D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38C2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6FA6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2D55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8E62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p>
        </w:tc>
      </w:tr>
      <w:tr w14:paraId="62F2A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C81A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危险化学品</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D04E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1B3A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1413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8914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7CCA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3D47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F3C2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6314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EFE2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7CDE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16A6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253A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8104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2719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EB08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5BDC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26C2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662C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A58C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51C7F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9AD8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工贸</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F326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CE45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28EE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1703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CC41A">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EC27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1F0F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E071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3EE4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934A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B944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2AD6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C26D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E7C2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5D25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66DF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4F88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1B8D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BCC4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791FC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6D5C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燃气</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235C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4BAD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BBAE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03B1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06FB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98B1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CE33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3AE3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A415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F14D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5C19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2D1C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BAA7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8DA6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7CAF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C965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58E1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3011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F8E0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62DB4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DD19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人员密集场所动火作业</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C295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DB49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76E5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C2F1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A8C4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A25EA">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6EC1A">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1308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A921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F87F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1E2C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817B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1779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0FD0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664A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6B2B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7FFD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7D53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629B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31377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3B96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消防</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FB87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B1CA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E611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4718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D7D0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5A33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00D8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2984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7D45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B6CE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E6D8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667C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40F2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46E4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BAFE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221C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20DD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97B7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5ECC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6B86C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814B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交通运输</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1256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2242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A844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830E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A6B5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89F6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5A6D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2478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22A4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9758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C6A2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F712A">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52A1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E077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B648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F7A6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6992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8055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241E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41E06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D694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特种设备</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E4DD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207C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B3FB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128C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7147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40C3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6C3D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7BF5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369D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DFFC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E09A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0BD8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11E5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F302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B508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EACB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0605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1032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904C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1D301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5"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200F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旅游</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E8A9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821F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A471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E154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CDCC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9834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F79D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9794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F06B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3599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5198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AA1F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EFA0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9B99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0D82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EEFA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D23D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0CA7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691D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609C0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8F6C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Times New Roman" w:hAnsi="Times New Roman" w:eastAsia="宋体" w:cs="Times New Roman"/>
                <w:i w:val="0"/>
                <w:iCs w:val="0"/>
                <w:color w:val="000000"/>
                <w:sz w:val="18"/>
                <w:szCs w:val="18"/>
                <w:highlight w:val="none"/>
                <w:u w:val="none"/>
                <w:lang w:val="en-US" w:eastAsia="zh-CN"/>
              </w:rPr>
            </w:pPr>
            <w:r>
              <w:rPr>
                <w:rStyle w:val="8"/>
                <w:rFonts w:hint="eastAsia" w:hAnsi="宋体"/>
                <w:highlight w:val="none"/>
                <w:lang w:val="en-US" w:eastAsia="zh-CN" w:bidi="ar"/>
              </w:rPr>
              <w:t>民爆</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6F69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A72A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D38F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341D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9413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9D3F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C034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3949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F040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04DF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C90B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C43A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0D15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11A5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19D55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1A6C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BF35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381B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A5FB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07141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99FC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8"/>
                <w:highlight w:val="none"/>
                <w:lang w:val="en-US" w:eastAsia="zh-CN" w:bidi="ar"/>
              </w:rPr>
            </w:pPr>
            <w:r>
              <w:rPr>
                <w:rStyle w:val="8"/>
                <w:highlight w:val="none"/>
                <w:lang w:val="en-US" w:eastAsia="zh-CN" w:bidi="ar"/>
              </w:rPr>
              <w:t>渔业船舶</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4996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BDBF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5945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F23E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E76D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1509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53E6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EDD0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FDD6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E350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B0BE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0673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4FE1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1717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DE0C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B12A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CBC5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524B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D8F8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74800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D9A6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农业机械</w:t>
            </w:r>
          </w:p>
        </w:tc>
        <w:tc>
          <w:tcPr>
            <w:tcW w:w="1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4A2B4">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D1548">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A2AB5">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97CC0">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9A1E8">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2692D">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82BE2">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92E60">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90C9D">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66431">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BE9A3">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B4928">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931CA">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FE138">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B3E69">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3F999">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F8D6D">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200EB">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5D31F">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i w:val="0"/>
                <w:iCs w:val="0"/>
                <w:color w:val="000000"/>
                <w:sz w:val="22"/>
                <w:szCs w:val="22"/>
                <w:highlight w:val="none"/>
                <w:u w:val="none"/>
              </w:rPr>
            </w:pPr>
          </w:p>
        </w:tc>
      </w:tr>
      <w:tr w14:paraId="35C0F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1541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油气管道</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2F7D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D5AC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B278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F901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0431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7811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C4E5A">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3851A">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FE1C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F311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1D7A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3A0B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1E6E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C05A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DA22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181C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229C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0E66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2CAE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4E16B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3457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有限空间作业</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0772C">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6F28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B730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4BCE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6894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1460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8D2D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44170">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8AB4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E2CE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9A63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B46F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7140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73DA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9907D">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77D8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0308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D3CB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419D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r w14:paraId="60DFE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 w:hRule="atLeast"/>
        </w:trPr>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0A8E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宋体" w:cs="Times New Roman"/>
                <w:i w:val="0"/>
                <w:iCs w:val="0"/>
                <w:color w:val="000000"/>
                <w:sz w:val="18"/>
                <w:szCs w:val="18"/>
                <w:highlight w:val="none"/>
                <w:u w:val="none"/>
              </w:rPr>
            </w:pPr>
            <w:r>
              <w:rPr>
                <w:rStyle w:val="8"/>
                <w:highlight w:val="none"/>
                <w:lang w:val="en-US" w:eastAsia="zh-CN" w:bidi="ar"/>
              </w:rPr>
              <w:t>其他</w:t>
            </w:r>
          </w:p>
        </w:tc>
        <w:tc>
          <w:tcPr>
            <w:tcW w:w="1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B0247">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8DE3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9AC55">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82F7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3C63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1121F">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CECA6">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FA33B">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6F54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7B5B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F3353">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92B6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45D2E">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5D0D9">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3D51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9C452">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2BAF8">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0E131">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c>
          <w:tcPr>
            <w:tcW w:w="1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D5FE4">
            <w:pPr>
              <w:keepNext w:val="0"/>
              <w:keepLines w:val="0"/>
              <w:pageBreakBefore w:val="0"/>
              <w:widowControl/>
              <w:kinsoku/>
              <w:wordWrap/>
              <w:overflowPunct/>
              <w:topLinePunct w:val="0"/>
              <w:autoSpaceDE/>
              <w:autoSpaceDN/>
              <w:bidi w:val="0"/>
              <w:adjustRightInd/>
              <w:snapToGrid/>
              <w:spacing w:line="300" w:lineRule="exact"/>
              <w:jc w:val="center"/>
              <w:rPr>
                <w:rFonts w:hint="default" w:ascii="Times New Roman" w:hAnsi="Times New Roman" w:eastAsia="宋体" w:cs="Times New Roman"/>
                <w:i w:val="0"/>
                <w:iCs w:val="0"/>
                <w:color w:val="000000"/>
                <w:sz w:val="18"/>
                <w:szCs w:val="18"/>
                <w:highlight w:val="none"/>
                <w:u w:val="none"/>
              </w:rPr>
            </w:pPr>
          </w:p>
        </w:tc>
      </w:tr>
    </w:tbl>
    <w:p w14:paraId="38150914">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highlight w:val="none"/>
          <w:lang w:eastAsia="zh-CN"/>
        </w:rPr>
        <w:sectPr>
          <w:pgSz w:w="16838" w:h="11906" w:orient="landscape"/>
          <w:pgMar w:top="1417" w:right="1701" w:bottom="1417" w:left="1701" w:header="851" w:footer="992" w:gutter="0"/>
          <w:pgNumType w:fmt="decimal"/>
          <w:cols w:space="425" w:num="1"/>
          <w:docGrid w:type="lines" w:linePitch="312" w:charSpace="0"/>
        </w:sectPr>
      </w:pPr>
    </w:p>
    <w:tbl>
      <w:tblPr>
        <w:tblStyle w:val="5"/>
        <w:tblpPr w:leftFromText="180" w:rightFromText="180" w:vertAnchor="text" w:tblpXSpec="left" w:tblpY="12586"/>
        <w:tblOverlap w:val="never"/>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288"/>
      </w:tblGrid>
      <w:tr w14:paraId="52EBB90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9288" w:type="dxa"/>
          </w:tcPr>
          <w:p w14:paraId="6B829C60">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default"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高邑县安全生产委员会办公室印发          2024年12月26日</w:t>
            </w:r>
          </w:p>
        </w:tc>
      </w:tr>
    </w:tbl>
    <w:p w14:paraId="12037991">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highlight w:val="none"/>
          <w:lang w:eastAsia="zh-CN"/>
        </w:rPr>
      </w:pPr>
    </w:p>
    <w:sectPr>
      <w:pgSz w:w="11906" w:h="16838"/>
      <w:pgMar w:top="1701" w:right="1417" w:bottom="1701"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88D9942-AD0D-45DC-8819-31B1FD21FF0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0F87A564-2C0D-4745-8638-7E462EDA53F3}"/>
  </w:font>
  <w:font w:name="方正小标宋简体">
    <w:panose1 w:val="03000509000000000000"/>
    <w:charset w:val="86"/>
    <w:family w:val="auto"/>
    <w:pitch w:val="default"/>
    <w:sig w:usb0="00000001" w:usb1="080E0000" w:usb2="00000000" w:usb3="00000000" w:csb0="00040000" w:csb1="00000000"/>
    <w:embedRegular r:id="rId3" w:fontKey="{691B4F74-2935-467B-89F3-2CAAF888E7D3}"/>
  </w:font>
  <w:font w:name="仿宋_GB2312">
    <w:panose1 w:val="02010609030101010101"/>
    <w:charset w:val="86"/>
    <w:family w:val="auto"/>
    <w:pitch w:val="default"/>
    <w:sig w:usb0="00000001" w:usb1="080E0000" w:usb2="00000000" w:usb3="00000000" w:csb0="00040000" w:csb1="00000000"/>
    <w:embedRegular r:id="rId4" w:fontKey="{611A01DF-2FDA-44DB-9EC1-75C7D31BEFAC}"/>
  </w:font>
  <w:font w:name="楷体_GB2312">
    <w:panose1 w:val="02010609030101010101"/>
    <w:charset w:val="86"/>
    <w:family w:val="auto"/>
    <w:pitch w:val="default"/>
    <w:sig w:usb0="00000001" w:usb1="080E0000" w:usb2="00000000" w:usb3="00000000" w:csb0="00040000" w:csb1="00000000"/>
    <w:embedRegular r:id="rId5" w:fontKey="{8748C4E1-C9E1-498D-82C8-66CA2A53B7B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3E179">
    <w:pPr>
      <w:pStyle w:val="2"/>
      <w:tabs>
        <w:tab w:val="right" w:pos="9072"/>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929E17">
                          <w:pPr>
                            <w:pStyle w:val="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  \* MERGEFORMAT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A929E17">
                    <w:pPr>
                      <w:pStyle w:val="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  \* MERGEFORMAT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 xml:space="preserve"> —</w:t>
                    </w:r>
                  </w:p>
                </w:txbxContent>
              </v:textbox>
            </v:shape>
          </w:pict>
        </mc:Fallback>
      </mc:AlternateContent>
    </w:r>
    <w:r>
      <w:rPr>
        <w:rFonts w:hint="eastAsia"/>
        <w:lang w:eastAsia="zh-CN"/>
      </w:rPr>
      <w:tab/>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72EB0D"/>
    <w:multiLevelType w:val="singleLevel"/>
    <w:tmpl w:val="9972EB0D"/>
    <w:lvl w:ilvl="0" w:tentative="0">
      <w:start w:val="1"/>
      <w:numFmt w:val="decimal"/>
      <w:suff w:val="nothing"/>
      <w:lvlText w:val="%1．"/>
      <w:lvlJc w:val="left"/>
    </w:lvl>
  </w:abstractNum>
  <w:abstractNum w:abstractNumId="1">
    <w:nsid w:val="BAFE4458"/>
    <w:multiLevelType w:val="singleLevel"/>
    <w:tmpl w:val="BAFE4458"/>
    <w:lvl w:ilvl="0" w:tentative="0">
      <w:start w:val="1"/>
      <w:numFmt w:val="chineseCounting"/>
      <w:suff w:val="nothing"/>
      <w:lvlText w:val="（%1）"/>
      <w:lvlJc w:val="left"/>
      <w:rPr>
        <w:rFonts w:hint="eastAsia" w:ascii="楷体_GB2312" w:hAnsi="楷体_GB2312" w:eastAsia="楷体_GB2312" w:cs="楷体_GB2312"/>
        <w:b/>
        <w:bCs/>
      </w:rPr>
    </w:lvl>
  </w:abstractNum>
  <w:abstractNum w:abstractNumId="2">
    <w:nsid w:val="2758B759"/>
    <w:multiLevelType w:val="singleLevel"/>
    <w:tmpl w:val="2758B759"/>
    <w:lvl w:ilvl="0" w:tentative="0">
      <w:start w:val="1"/>
      <w:numFmt w:val="chineseCounting"/>
      <w:suff w:val="nothing"/>
      <w:lvlText w:val="%1、"/>
      <w:lvlJc w:val="left"/>
      <w:rPr>
        <w:rFonts w:hint="eastAsia"/>
      </w:rPr>
    </w:lvl>
  </w:abstractNum>
  <w:abstractNum w:abstractNumId="3">
    <w:nsid w:val="51A25EFF"/>
    <w:multiLevelType w:val="singleLevel"/>
    <w:tmpl w:val="51A25EFF"/>
    <w:lvl w:ilvl="0" w:tentative="0">
      <w:start w:val="1"/>
      <w:numFmt w:val="chineseCounting"/>
      <w:suff w:val="nothing"/>
      <w:lvlText w:val="（%1）"/>
      <w:lvlJc w:val="left"/>
      <w:rPr>
        <w:rFonts w:hint="eastAsia" w:ascii="楷体_GB2312" w:hAnsi="楷体_GB2312" w:eastAsia="楷体_GB2312" w:cs="楷体_GB2312"/>
        <w:b/>
        <w:bCs/>
      </w:rPr>
    </w:lvl>
  </w:abstractNum>
  <w:abstractNum w:abstractNumId="4">
    <w:nsid w:val="5B80138F"/>
    <w:multiLevelType w:val="singleLevel"/>
    <w:tmpl w:val="5B80138F"/>
    <w:lvl w:ilvl="0" w:tentative="0">
      <w:start w:val="1"/>
      <w:numFmt w:val="decimal"/>
      <w:suff w:val="nothing"/>
      <w:lvlText w:val="%1．"/>
      <w:lvlJc w:val="left"/>
    </w:lvl>
  </w:abstractNum>
  <w:abstractNum w:abstractNumId="5">
    <w:nsid w:val="5F5E050E"/>
    <w:multiLevelType w:val="singleLevel"/>
    <w:tmpl w:val="5F5E050E"/>
    <w:lvl w:ilvl="0" w:tentative="0">
      <w:start w:val="1"/>
      <w:numFmt w:val="chineseCounting"/>
      <w:suff w:val="nothing"/>
      <w:lvlText w:val="（%1）"/>
      <w:lvlJc w:val="left"/>
      <w:rPr>
        <w:rFonts w:hint="eastAsia" w:ascii="楷体_GB2312" w:hAnsi="楷体_GB2312" w:eastAsia="楷体_GB2312" w:cs="楷体_GB2312"/>
        <w:b/>
        <w:bCs/>
        <w:sz w:val="32"/>
        <w:szCs w:val="32"/>
      </w:rPr>
    </w:lvl>
  </w:abstractNum>
  <w:abstractNum w:abstractNumId="6">
    <w:nsid w:val="6BEA30C1"/>
    <w:multiLevelType w:val="singleLevel"/>
    <w:tmpl w:val="6BEA30C1"/>
    <w:lvl w:ilvl="0" w:tentative="0">
      <w:start w:val="1"/>
      <w:numFmt w:val="decimal"/>
      <w:suff w:val="nothing"/>
      <w:lvlText w:val="%1．"/>
      <w:lvlJc w:val="left"/>
      <w:rPr>
        <w:rFonts w:hint="default" w:ascii="楷体_GB2312" w:hAnsi="楷体_GB2312" w:eastAsia="楷体_GB2312" w:cs="楷体_GB2312"/>
        <w:b/>
        <w:bCs/>
        <w:sz w:val="32"/>
        <w:szCs w:val="32"/>
      </w:rPr>
    </w:lvl>
  </w:abstractNum>
  <w:num w:numId="1">
    <w:abstractNumId w:val="2"/>
  </w:num>
  <w:num w:numId="2">
    <w:abstractNumId w:val="1"/>
  </w:num>
  <w:num w:numId="3">
    <w:abstractNumId w:val="5"/>
  </w:num>
  <w:num w:numId="4">
    <w:abstractNumId w:val="4"/>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515C4"/>
    <w:rsid w:val="021B6523"/>
    <w:rsid w:val="0851192B"/>
    <w:rsid w:val="132A027E"/>
    <w:rsid w:val="21A91135"/>
    <w:rsid w:val="245B19B2"/>
    <w:rsid w:val="25CE3993"/>
    <w:rsid w:val="299E2B38"/>
    <w:rsid w:val="2D7F75FB"/>
    <w:rsid w:val="33FE167D"/>
    <w:rsid w:val="37DB0F5B"/>
    <w:rsid w:val="39813B1B"/>
    <w:rsid w:val="41DD6D76"/>
    <w:rsid w:val="433F7CB2"/>
    <w:rsid w:val="4B030766"/>
    <w:rsid w:val="4CBA3E4A"/>
    <w:rsid w:val="53A95EC2"/>
    <w:rsid w:val="53B35B89"/>
    <w:rsid w:val="54AE45D7"/>
    <w:rsid w:val="578306AB"/>
    <w:rsid w:val="59B92E3F"/>
    <w:rsid w:val="5C3009C9"/>
    <w:rsid w:val="5EF76DBD"/>
    <w:rsid w:val="6F675D4D"/>
    <w:rsid w:val="725107B1"/>
    <w:rsid w:val="7AFD57B8"/>
    <w:rsid w:val="7C127041"/>
    <w:rsid w:val="7DDB55E7"/>
    <w:rsid w:val="7ED518F8"/>
    <w:rsid w:val="7F4B2E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Hyperlink"/>
    <w:basedOn w:val="6"/>
    <w:qFormat/>
    <w:uiPriority w:val="0"/>
    <w:rPr>
      <w:color w:val="0000FF"/>
      <w:u w:val="single"/>
    </w:rPr>
  </w:style>
  <w:style w:type="character" w:customStyle="1" w:styleId="8">
    <w:name w:val="font31"/>
    <w:basedOn w:val="6"/>
    <w:qFormat/>
    <w:uiPriority w:val="0"/>
    <w:rPr>
      <w:rFonts w:hint="eastAsia" w:ascii="黑体" w:hAnsi="宋体" w:eastAsia="黑体" w:cs="黑体"/>
      <w:color w:val="000000"/>
      <w:sz w:val="18"/>
      <w:szCs w:val="18"/>
      <w:u w:val="none"/>
    </w:rPr>
  </w:style>
  <w:style w:type="character" w:customStyle="1" w:styleId="9">
    <w:name w:val="font41"/>
    <w:basedOn w:val="6"/>
    <w:qFormat/>
    <w:uiPriority w:val="0"/>
    <w:rPr>
      <w:rFonts w:hint="default" w:ascii="Times New Roman" w:hAnsi="Times New Roman" w:cs="Times New Roman"/>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5921</Words>
  <Characters>5968</Characters>
  <Lines>0</Lines>
  <Paragraphs>0</Paragraphs>
  <TotalTime>7</TotalTime>
  <ScaleCrop>false</ScaleCrop>
  <LinksUpToDate>false</LinksUpToDate>
  <CharactersWithSpaces>6033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2024-12-29T13:01:00Z</dcterms:created>
  <dc:creator>Applezhang</dc:creator>
  <cp:lastModifiedBy>秀才</cp:lastModifiedBy>
  <cp:lastPrinted>2024-12-30T06:01:00Z</cp:lastPrinted>
  <dcterms:modified xsi:type="dcterms:W3CDTF">2025-06-06T08:55:53Z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B8B7A4B702CB4FA49A97790876D2871F_13</vt:lpwstr>
  </property>
  <property fmtid="{D5CDD505-2E9C-101B-9397-08002B2CF9AE}" pid="4" name="KSOTemplateDocerSaveRecord">
    <vt:lpwstr>eyJoZGlkIjoiMTI4ZjJkYzI1Y2I2NTZhY2E0YmFkY2JlZTcyMjUxN2IiLCJ1c2VySWQiOiIzODkxMDE5NTMifQ==</vt:lpwstr>
  </property>
</Properties>
</file>