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1B5FCA">
      <w:pPr>
        <w:widowControl/>
        <w:jc w:val="center"/>
        <w:rPr>
          <w:rFonts w:ascii="黑体" w:hAnsi="黑体" w:eastAsia="黑体"/>
          <w:b/>
          <w:sz w:val="72"/>
          <w:szCs w:val="72"/>
        </w:rPr>
      </w:pPr>
      <w:bookmarkStart w:id="0" w:name="_GoBack"/>
      <w:bookmarkEnd w:id="0"/>
      <w:r>
        <w:pict>
          <v:shape id="图片 7" o:spid="_x0000_s1026" o:spt="75" alt="wc ga" type="#_x0000_t75" style="position:absolute;left:0pt;margin-left:-78.75pt;margin-top:-106.7pt;height:850.15pt;width:596.6pt;z-index:-251657216;mso-width-relative:page;mso-height-relative:page;" filled="f" o:preferrelative="t" stroked="f" coordsize="21600,21600">
            <v:path/>
            <v:fill on="f" focussize="0,0"/>
            <v:stroke on="f" joinstyle="miter"/>
            <v:imagedata r:id="rId11" o:title=""/>
            <o:lock v:ext="edit" aspectratio="t"/>
          </v:shape>
        </w:pict>
      </w:r>
    </w:p>
    <w:p w14:paraId="68C8AFED">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2CCB65B1">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高邑县安全生产监督管理局</w:t>
                  </w:r>
                </w:p>
                <w:p w14:paraId="2AD57233">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14:paraId="23CB7EC0">
                  <w:pPr>
                    <w:rPr>
                      <w:color w:val="FDEFBE"/>
                      <w:sz w:val="96"/>
                      <w:szCs w:val="96"/>
                    </w:rPr>
                  </w:pPr>
                </w:p>
              </w:txbxContent>
            </v:textbox>
          </v:shape>
        </w:pict>
      </w:r>
    </w:p>
    <w:p w14:paraId="34D65588">
      <w:pPr>
        <w:widowControl/>
        <w:jc w:val="center"/>
        <w:rPr>
          <w:rFonts w:ascii="黑体" w:hAnsi="黑体" w:eastAsia="黑体"/>
          <w:b/>
          <w:sz w:val="72"/>
          <w:szCs w:val="72"/>
        </w:rPr>
      </w:pPr>
    </w:p>
    <w:p w14:paraId="13B4536B">
      <w:pPr>
        <w:widowControl/>
        <w:jc w:val="center"/>
        <w:rPr>
          <w:rFonts w:ascii="黑体" w:hAnsi="黑体" w:eastAsia="黑体"/>
          <w:b/>
          <w:sz w:val="72"/>
          <w:szCs w:val="72"/>
        </w:rPr>
      </w:pPr>
    </w:p>
    <w:p w14:paraId="6C1DAC9E">
      <w:pPr>
        <w:widowControl/>
        <w:jc w:val="center"/>
        <w:rPr>
          <w:rFonts w:ascii="黑体" w:hAnsi="黑体" w:eastAsia="黑体"/>
          <w:b/>
          <w:sz w:val="72"/>
          <w:szCs w:val="72"/>
        </w:rPr>
      </w:pPr>
    </w:p>
    <w:p w14:paraId="356FF0CD">
      <w:pPr>
        <w:widowControl/>
        <w:jc w:val="center"/>
        <w:rPr>
          <w:rFonts w:ascii="黑体" w:hAnsi="黑体" w:eastAsia="黑体"/>
          <w:b/>
          <w:sz w:val="72"/>
          <w:szCs w:val="72"/>
        </w:rPr>
      </w:pPr>
    </w:p>
    <w:p w14:paraId="258EA9C4">
      <w:pPr>
        <w:widowControl/>
        <w:jc w:val="center"/>
        <w:rPr>
          <w:rFonts w:ascii="黑体" w:hAnsi="黑体" w:eastAsia="黑体"/>
          <w:b/>
          <w:sz w:val="72"/>
          <w:szCs w:val="72"/>
        </w:rPr>
      </w:pPr>
    </w:p>
    <w:p w14:paraId="2A3C21FC">
      <w:pPr>
        <w:widowControl/>
        <w:jc w:val="center"/>
        <w:rPr>
          <w:rFonts w:ascii="黑体" w:hAnsi="黑体" w:eastAsia="黑体"/>
          <w:b/>
          <w:sz w:val="72"/>
          <w:szCs w:val="72"/>
        </w:rPr>
      </w:pPr>
    </w:p>
    <w:p w14:paraId="6FCFD567">
      <w:pPr>
        <w:widowControl/>
        <w:jc w:val="center"/>
        <w:rPr>
          <w:rFonts w:ascii="黑体" w:hAnsi="黑体" w:eastAsia="黑体"/>
          <w:b/>
          <w:sz w:val="72"/>
          <w:szCs w:val="72"/>
        </w:rPr>
      </w:pPr>
    </w:p>
    <w:p w14:paraId="6FA9D92E">
      <w:pPr>
        <w:widowControl/>
        <w:jc w:val="center"/>
        <w:rPr>
          <w:rFonts w:ascii="黑体" w:hAnsi="黑体" w:eastAsia="黑体"/>
          <w:b/>
          <w:sz w:val="72"/>
          <w:szCs w:val="72"/>
        </w:rPr>
      </w:pPr>
    </w:p>
    <w:p w14:paraId="695A03B9">
      <w:pPr>
        <w:widowControl/>
        <w:jc w:val="center"/>
        <w:rPr>
          <w:rFonts w:ascii="楷体" w:hAnsi="楷体" w:eastAsia="楷体" w:cs="楷体"/>
          <w:b/>
          <w:sz w:val="40"/>
          <w:szCs w:val="40"/>
        </w:rPr>
      </w:pPr>
    </w:p>
    <w:p w14:paraId="63848A1D">
      <w:pPr>
        <w:widowControl/>
        <w:jc w:val="center"/>
        <w:rPr>
          <w:rFonts w:hint="eastAsia" w:ascii="楷体_GB2312" w:hAnsi="楷体" w:eastAsia="楷体_GB2312" w:cs="楷体"/>
          <w:b/>
          <w:sz w:val="40"/>
          <w:szCs w:val="40"/>
          <w:lang w:eastAsia="zh-CN"/>
        </w:rPr>
        <w:sectPr>
          <w:headerReference r:id="rId7" w:type="first"/>
          <w:footerReference r:id="rId9" w:type="first"/>
          <w:headerReference r:id="rId5" w:type="default"/>
          <w:headerReference r:id="rId6" w:type="even"/>
          <w:footerReference r:id="rId8"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月八</w:t>
      </w:r>
      <w:r>
        <w:rPr>
          <w:rFonts w:hint="eastAsia" w:ascii="楷体_GB2312" w:hAnsi="楷体" w:eastAsia="楷体_GB2312" w:cs="楷体"/>
          <w:b/>
          <w:sz w:val="40"/>
          <w:szCs w:val="40"/>
          <w:lang w:eastAsia="zh-CN"/>
        </w:rPr>
        <w:t>日</w:t>
      </w:r>
    </w:p>
    <w:p w14:paraId="77314232">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72576;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29"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0"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250D2BEC">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14:paraId="199C0A8D">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14:paraId="6CB22AB7">
      <w:pPr>
        <w:widowControl/>
        <w:spacing w:line="580" w:lineRule="exact"/>
        <w:ind w:firstLine="640" w:firstLineChars="200"/>
        <w:rPr>
          <w:rFonts w:eastAsia="黑体"/>
          <w:sz w:val="32"/>
          <w:szCs w:val="32"/>
        </w:rPr>
      </w:pPr>
    </w:p>
    <w:p w14:paraId="41A77FB7">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p>
    <w:p w14:paraId="6BC697B8">
      <w:pPr>
        <w:widowControl/>
        <w:spacing w:line="580" w:lineRule="exact"/>
        <w:ind w:firstLine="1273" w:firstLineChars="398"/>
        <w:rPr>
          <w:rFonts w:eastAsia="仿宋_GB2312"/>
          <w:sz w:val="32"/>
          <w:szCs w:val="32"/>
        </w:rPr>
      </w:pPr>
      <w:r>
        <w:rPr>
          <w:rFonts w:hint="eastAsia" w:eastAsia="仿宋_GB2312"/>
          <w:sz w:val="32"/>
          <w:szCs w:val="32"/>
        </w:rPr>
        <w:t>一、部门职责</w:t>
      </w:r>
    </w:p>
    <w:p w14:paraId="52849CA8">
      <w:pPr>
        <w:widowControl/>
        <w:spacing w:line="580" w:lineRule="exact"/>
        <w:ind w:firstLine="1273" w:firstLineChars="398"/>
        <w:rPr>
          <w:rFonts w:eastAsia="仿宋_GB2312"/>
          <w:sz w:val="32"/>
          <w:szCs w:val="32"/>
        </w:rPr>
      </w:pPr>
      <w:r>
        <w:rPr>
          <w:rFonts w:hint="eastAsia" w:eastAsia="仿宋_GB2312"/>
          <w:sz w:val="32"/>
          <w:szCs w:val="32"/>
        </w:rPr>
        <w:t>二、机构设置</w:t>
      </w:r>
    </w:p>
    <w:p w14:paraId="43B41D02">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14:paraId="58242AE8">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14:paraId="789D4C59">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14:paraId="7BB0ACC4">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14:paraId="73B7B601">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14:paraId="551F57FB">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14:paraId="6625DB24">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14:paraId="59BFAC69">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14:paraId="766A8093">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14:paraId="769EA96F">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14:paraId="3987A20D">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14:paraId="64444EDF">
      <w:pPr>
        <w:widowControl/>
        <w:spacing w:line="580" w:lineRule="exact"/>
        <w:ind w:firstLine="640" w:firstLineChars="200"/>
        <w:rPr>
          <w:rFonts w:eastAsia="黑体"/>
          <w:sz w:val="32"/>
          <w:szCs w:val="32"/>
        </w:rPr>
      </w:pPr>
    </w:p>
    <w:p w14:paraId="6A553113">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高邑县安监局部门</w:t>
      </w:r>
      <w:r>
        <w:rPr>
          <w:rFonts w:eastAsia="黑体"/>
          <w:sz w:val="32"/>
          <w:szCs w:val="32"/>
        </w:rPr>
        <w:t>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7257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032"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33"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2B3F49C0">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14:paraId="75353DFF">
                    <w:pPr>
                      <w:jc w:val="center"/>
                    </w:pPr>
                  </w:p>
                </w:txbxContent>
              </v:textbox>
            </v:rect>
            <w10:anchorlock/>
          </v:group>
        </w:pict>
      </w:r>
    </w:p>
    <w:p w14:paraId="0F5C2AAB">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14:paraId="63313E24">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14:paraId="3F5F37CD">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14:paraId="4D6A7B36">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14:paraId="564FBC64">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14:paraId="3285DDF6">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14:paraId="331BB4B0">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14:paraId="5119E26A">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14:paraId="74146EEE">
      <w:pPr>
        <w:widowControl/>
        <w:spacing w:line="580" w:lineRule="exact"/>
        <w:ind w:firstLine="640" w:firstLineChars="200"/>
        <w:rPr>
          <w:rFonts w:eastAsia="黑体"/>
          <w:sz w:val="32"/>
          <w:szCs w:val="32"/>
        </w:rPr>
      </w:pPr>
    </w:p>
    <w:p w14:paraId="5E1C398E">
      <w:pPr>
        <w:widowControl/>
        <w:spacing w:line="580" w:lineRule="exact"/>
        <w:ind w:firstLine="640" w:firstLineChars="200"/>
        <w:rPr>
          <w:rFonts w:eastAsia="黑体"/>
          <w:sz w:val="32"/>
          <w:szCs w:val="32"/>
        </w:rPr>
      </w:pPr>
    </w:p>
    <w:p w14:paraId="4798FE1A">
      <w:pPr>
        <w:widowControl/>
        <w:spacing w:line="580" w:lineRule="exact"/>
        <w:ind w:firstLine="640" w:firstLineChars="200"/>
        <w:rPr>
          <w:rFonts w:eastAsia="黑体"/>
          <w:sz w:val="32"/>
          <w:szCs w:val="32"/>
        </w:rPr>
      </w:pPr>
    </w:p>
    <w:p w14:paraId="4A002899">
      <w:pPr>
        <w:widowControl/>
        <w:spacing w:line="580" w:lineRule="exact"/>
        <w:ind w:firstLine="640" w:firstLineChars="200"/>
        <w:rPr>
          <w:rFonts w:eastAsia="黑体"/>
          <w:sz w:val="32"/>
          <w:szCs w:val="32"/>
        </w:rPr>
      </w:pPr>
    </w:p>
    <w:p w14:paraId="2CF6E645">
      <w:r>
        <w:br w:type="page"/>
      </w:r>
    </w:p>
    <w:p w14:paraId="3B5919C0">
      <w:r>
        <w:pict>
          <v:shape id="图片 12" o:spid="_x0000_s1034" o:spt="75" alt="2" type="#_x0000_t75" style="position:absolute;left:0pt;margin-left:-80.7pt;margin-top:-106.45pt;height:844.65pt;width:597.3pt;z-index:-251655168;mso-width-relative:page;mso-height-relative:page;" filled="f" o:preferrelative="t" stroked="f" coordsize="21600,21600">
            <v:path/>
            <v:fill on="f" focussize="0,0"/>
            <v:stroke on="f" joinstyle="miter"/>
            <v:imagedata r:id="rId12" o:title=""/>
            <o:lock v:ext="edit" aspectratio="t"/>
          </v:shape>
        </w:pict>
      </w:r>
      <w:r>
        <w:pict>
          <v:shape id="_x0000_s1035" o:spid="_x0000_s1035"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74A6D395">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14:paraId="72057D53"/>
    <w:p w14:paraId="57BA529E"/>
    <w:p w14:paraId="1ED075A1"/>
    <w:p w14:paraId="5CADD231"/>
    <w:p w14:paraId="0333B917"/>
    <w:p w14:paraId="638AD1D3"/>
    <w:p w14:paraId="6A3437CD"/>
    <w:p w14:paraId="20D2A2C5"/>
    <w:p w14:paraId="11B3A046"/>
    <w:p w14:paraId="3C396640"/>
    <w:p w14:paraId="17F770C6"/>
    <w:p w14:paraId="1607C47F"/>
    <w:p w14:paraId="3152A99E"/>
    <w:p w14:paraId="2E68B2C1"/>
    <w:p w14:paraId="498F269A"/>
    <w:p w14:paraId="7C3E5EAB">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37" o:spid="_x0000_s1037"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6CF96718">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14:paraId="4FE7D54C">
                    <w:pPr>
                      <w:jc w:val="center"/>
                    </w:pPr>
                  </w:p>
                </w:txbxContent>
              </v:textbox>
            </v:rect>
            <w10:anchorlock/>
          </v:group>
        </w:pict>
      </w:r>
      <w:r>
        <w:rPr>
          <w:rFonts w:hint="eastAsia" w:ascii="黑体" w:hAnsi="Cambria" w:eastAsia="黑体" w:cs="黑体"/>
          <w:b w:val="0"/>
          <w:bCs w:val="0"/>
          <w:kern w:val="0"/>
          <w:sz w:val="32"/>
          <w:szCs w:val="32"/>
        </w:rPr>
        <w:t>一、部门职责</w:t>
      </w:r>
    </w:p>
    <w:p w14:paraId="16C053A1">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根据《高邑县安全生产监督管理局主要职责内设机构和人员编制规定》和上级有关规定，高邑县安监局的主要职责是：</w:t>
      </w:r>
    </w:p>
    <w:p w14:paraId="0B9418CE">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（一）贯彻执行安全生产方面法律、法规和行政规章。研究拟订安全生产工作方针政策，组织实施工矿商贸行业安全生产标准及有关综合性安全生产规章规程。</w:t>
      </w:r>
    </w:p>
    <w:p w14:paraId="2EE8DC6D">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承担全县安全生产综合监督管理责任，依法行使综合监督管理职权，指导、协调和监督有关部门安全生产监督管理工作；制定全县安全生产发展规划；定期分析和预测全县安全生产形势，研究、协调和决定安全生产中的重大问题。</w:t>
      </w:r>
    </w:p>
    <w:p w14:paraId="7B75870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（三）负责发布全县安全生产信息，综合管理全县生产安全伤亡事故调度统计和安全生产行政执法分析工作；组织、指挥和协调安全生产应急救援工作。</w:t>
      </w:r>
    </w:p>
    <w:p w14:paraId="318698E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（四）承担非煤矿山企业和危险化学品安全生产准入管理责任，依法组织实施安全生产准入制度；负责综合监督管理危险化学品和烟花爆竹安全生产工作。</w:t>
      </w:r>
    </w:p>
    <w:p w14:paraId="3C401D34">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指导、协调全县安全生产检测检验工作；组织实施对工矿商贸企业安全生产条件和有关设备（特种设备除外，包括锅炉、压力容器、压力管道、电梯、起重机械、厂内机动车辆）进行检测检验、安全评价、安全培训、安全咨询等社会中介组织资质管理工作，并进行监督检查。</w:t>
      </w:r>
    </w:p>
    <w:p w14:paraId="2A7BB9E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组织、指导全县安全生产宣传教育工作，负责安全生产监督管理人员的安全培训、考核工作，依法组织、指导并监督特种作业人员（特种设备作业人员除外）的考核工作和生产经营单位主要经营管理者、安全管理人员的安全资格考核工作；监督检查生产经营单位安全培训工作。</w:t>
      </w:r>
    </w:p>
    <w:p w14:paraId="3CE9D408">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负责监督管理县管理的工矿商贸企业安全生产工作，依法监督工矿商贸企业贯彻执行安全生产法律、法规情况及其安全生产条件和有关设备（特种设备除外）、材料、劳动防护用品的安全管理工作。承担工矿商贸作业场所职业卫生监督检查责任，依法承担职业卫生安全许可证得颁发管理工作，组织调查处理职业危害事故和违法违规行为。</w:t>
      </w:r>
    </w:p>
    <w:p w14:paraId="5BA67E1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依法监督检查职责范围内新建、改建、扩建工程项目的安全设施与主体工程同时设计、同时施工、同时投产使用情况；依法监督检查生产经营单位作业场所职业卫生情况和重大危险源监控、重大事故隐患的整改工作，依法查处不具备安全生产条件的生产经营单位。</w:t>
      </w:r>
    </w:p>
    <w:p w14:paraId="09DBD1F2">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（九）指导协调全县事故调查处理工作；依法组织事故调查处理和办理结案工作，监督事故查处和责任追究落实情况；参与重特大事故的调查处理工作。</w:t>
      </w:r>
    </w:p>
    <w:p w14:paraId="41F5D8ED">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（十）拟订安全生产科技规划，组织、指导安全生产科学技术研究和技术示范工作。</w:t>
      </w:r>
    </w:p>
    <w:p w14:paraId="405A1664">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（十一）组织实施注册安全工程师职业资格制度，监督和指导注册安全工程师职业资格考试和注册工作。</w:t>
      </w:r>
    </w:p>
    <w:p w14:paraId="0CFF8A60">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（十二）承担高邑县安全生产委员会的具体工作。</w:t>
      </w:r>
    </w:p>
    <w:p w14:paraId="677AFC8F">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仿宋_GB2312" w:eastAsia="仿宋_GB2312" w:cs="仿宋_GB2312"/>
          <w:sz w:val="32"/>
          <w:szCs w:val="32"/>
        </w:rPr>
        <w:t>（十三）承办县政府交办的其他事项。</w:t>
      </w:r>
    </w:p>
    <w:p w14:paraId="195E87B2">
      <w:pPr>
        <w:autoSpaceDE w:val="0"/>
        <w:autoSpaceDN w:val="0"/>
        <w:adjustRightInd w:val="0"/>
        <w:spacing w:after="0" w:line="560" w:lineRule="exact"/>
        <w:jc w:val="left"/>
        <w:rPr>
          <w:rFonts w:ascii="仿宋_GB2312" w:hAnsi="Cambria" w:eastAsia="仿宋_GB2312" w:cs="ArialUnicodeMS"/>
          <w:kern w:val="0"/>
          <w:sz w:val="32"/>
          <w:szCs w:val="32"/>
          <w:highlight w:val="yellow"/>
        </w:rPr>
      </w:pPr>
    </w:p>
    <w:p w14:paraId="65D7C8E1">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14:paraId="1BA46C81">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 1</w:t>
      </w:r>
      <w:r>
        <w:rPr>
          <w:rFonts w:hint="eastAsia" w:ascii="仿宋_GB2312" w:hAnsi="Cambria" w:eastAsia="仿宋_GB2312" w:cs="ArialUnicodeMS"/>
          <w:kern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54A7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E42E5D7">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14:paraId="190F4B8F">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14:paraId="26BFAC16">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14:paraId="461D04EC">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14:paraId="65716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B6CC50D">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14:paraId="0D7062C4">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高邑县安全生产监督管理局</w:t>
            </w:r>
            <w:r>
              <w:rPr>
                <w:rFonts w:ascii="仿宋_GB2312" w:hAnsi="Cambria" w:eastAsia="仿宋_GB2312" w:cs="ArialUnicodeMS"/>
                <w:kern w:val="0"/>
                <w:sz w:val="28"/>
                <w:szCs w:val="28"/>
              </w:rPr>
              <w:t>(</w:t>
            </w:r>
            <w:r>
              <w:rPr>
                <w:rFonts w:hint="eastAsia" w:ascii="仿宋_GB2312" w:hAnsi="Cambria" w:eastAsia="仿宋_GB2312" w:cs="ArialUnicodeMS"/>
                <w:kern w:val="0"/>
                <w:sz w:val="28"/>
                <w:szCs w:val="28"/>
              </w:rPr>
              <w:t>本级</w:t>
            </w:r>
            <w:r>
              <w:rPr>
                <w:rFonts w:ascii="仿宋_GB2312" w:hAnsi="Cambria" w:eastAsia="仿宋_GB2312" w:cs="ArialUnicodeMS"/>
                <w:kern w:val="0"/>
                <w:sz w:val="28"/>
                <w:szCs w:val="28"/>
              </w:rPr>
              <w:t>)</w:t>
            </w:r>
          </w:p>
        </w:tc>
        <w:tc>
          <w:tcPr>
            <w:tcW w:w="2445" w:type="dxa"/>
          </w:tcPr>
          <w:p w14:paraId="387AA4DF">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14:paraId="68995062">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14:paraId="14106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1BFD0390">
            <w:pPr>
              <w:spacing w:after="0" w:line="560" w:lineRule="exact"/>
              <w:ind w:firstLine="560" w:firstLineChars="200"/>
              <w:jc w:val="left"/>
              <w:rPr>
                <w:rFonts w:ascii="仿宋_GB2312" w:hAnsi="Cambria" w:eastAsia="仿宋_GB2312" w:cs="ArialUnicodeMS"/>
                <w:kern w:val="0"/>
                <w:sz w:val="28"/>
                <w:szCs w:val="28"/>
              </w:rPr>
            </w:pPr>
          </w:p>
        </w:tc>
      </w:tr>
    </w:tbl>
    <w:p w14:paraId="6421DE4F">
      <w:pPr>
        <w:spacing w:after="0" w:line="560" w:lineRule="exact"/>
        <w:rPr>
          <w:rFonts w:ascii="仿宋_GB2312" w:hAnsi="Cambria" w:eastAsia="仿宋_GB2312" w:cs="ArialUnicodeMS"/>
          <w:kern w:val="0"/>
          <w:sz w:val="32"/>
          <w:szCs w:val="32"/>
        </w:rPr>
      </w:pPr>
    </w:p>
    <w:p w14:paraId="5E237815">
      <w:pPr>
        <w:widowControl/>
        <w:spacing w:line="560" w:lineRule="exact"/>
        <w:jc w:val="center"/>
        <w:rPr>
          <w:rFonts w:ascii="黑体" w:hAnsi="Cambria" w:eastAsia="黑体" w:cs="MS-UIGothic,Bold"/>
          <w:bCs/>
          <w:kern w:val="0"/>
          <w:sz w:val="52"/>
          <w:szCs w:val="52"/>
        </w:rPr>
      </w:pPr>
    </w:p>
    <w:p w14:paraId="12BB0900">
      <w:pPr>
        <w:widowControl/>
        <w:spacing w:line="560" w:lineRule="exact"/>
        <w:jc w:val="center"/>
        <w:rPr>
          <w:rFonts w:ascii="黑体" w:hAnsi="Cambria" w:eastAsia="黑体" w:cs="MS-UIGothic,Bold"/>
          <w:bCs/>
          <w:kern w:val="0"/>
          <w:sz w:val="52"/>
          <w:szCs w:val="52"/>
        </w:rPr>
      </w:pPr>
    </w:p>
    <w:p w14:paraId="0AB937D0">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14:paraId="095BBF89">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80.6pt;margin-top:-104.5pt;height:840.95pt;width:596.15pt;z-index:-251652096;mso-width-relative:page;mso-height-relative:page;" filled="f" o:preferrelative="t" stroked="f" coordsize="21600,21600">
            <v:path/>
            <v:fill on="f" focussize="0,0"/>
            <v:stroke on="f" joinstyle="miter"/>
            <v:imagedata r:id="rId12" o:title=""/>
            <o:lock v:ext="edit" aspectratio="t"/>
          </v:shape>
        </w:pict>
      </w:r>
    </w:p>
    <w:p w14:paraId="67369D6B">
      <w:pPr>
        <w:widowControl/>
        <w:spacing w:line="560" w:lineRule="exact"/>
        <w:jc w:val="center"/>
        <w:rPr>
          <w:rFonts w:ascii="黑体" w:hAnsi="Cambria" w:eastAsia="黑体" w:cs="MS-UIGothic,Bold"/>
          <w:bCs/>
          <w:kern w:val="0"/>
          <w:sz w:val="52"/>
          <w:szCs w:val="52"/>
        </w:rPr>
      </w:pPr>
    </w:p>
    <w:p w14:paraId="28FAA879">
      <w:pPr>
        <w:rPr>
          <w:rFonts w:ascii="宋体" w:cs="ArialUnicodeMS"/>
          <w:color w:val="000000"/>
          <w:kern w:val="0"/>
        </w:rPr>
      </w:pPr>
    </w:p>
    <w:p w14:paraId="1C6BC87D">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2031226F">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33BA22A7">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p w14:paraId="6E047870">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见附表：《高邑县安全生产监督管理局</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年度部门决算公开表》</w:t>
      </w:r>
    </w:p>
    <w:p w14:paraId="2F4665D8">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01</w:t>
      </w:r>
      <w:r>
        <w:rPr>
          <w:rFonts w:hint="eastAsia" w:ascii="仿宋_GB2312" w:hAnsi="仿宋_GB2312" w:eastAsia="仿宋_GB2312" w:cs="仿宋_GB2312"/>
          <w:sz w:val="32"/>
          <w:szCs w:val="32"/>
        </w:rPr>
        <w:t>：部门收支决算总表</w:t>
      </w:r>
    </w:p>
    <w:p w14:paraId="7A452FE8">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02</w:t>
      </w:r>
      <w:r>
        <w:rPr>
          <w:rFonts w:hint="eastAsia" w:ascii="仿宋_GB2312" w:hAnsi="仿宋_GB2312" w:eastAsia="仿宋_GB2312" w:cs="仿宋_GB2312"/>
          <w:sz w:val="32"/>
          <w:szCs w:val="32"/>
        </w:rPr>
        <w:t>：部门收入决算总表</w:t>
      </w:r>
    </w:p>
    <w:p w14:paraId="1DDF8FC2">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03</w:t>
      </w:r>
      <w:r>
        <w:rPr>
          <w:rFonts w:hint="eastAsia" w:ascii="仿宋_GB2312" w:hAnsi="仿宋_GB2312" w:eastAsia="仿宋_GB2312" w:cs="仿宋_GB2312"/>
          <w:sz w:val="32"/>
          <w:szCs w:val="32"/>
        </w:rPr>
        <w:t>：部门支出决算总表</w:t>
      </w:r>
    </w:p>
    <w:p w14:paraId="1AE5BF92">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04</w:t>
      </w:r>
      <w:r>
        <w:rPr>
          <w:rFonts w:hint="eastAsia" w:ascii="仿宋_GB2312" w:hAnsi="仿宋_GB2312" w:eastAsia="仿宋_GB2312" w:cs="仿宋_GB2312"/>
          <w:sz w:val="32"/>
          <w:szCs w:val="32"/>
        </w:rPr>
        <w:t>：部门财政拨款收支决算总表</w:t>
      </w:r>
    </w:p>
    <w:p w14:paraId="059BE8EF">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05</w:t>
      </w:r>
      <w:r>
        <w:rPr>
          <w:rFonts w:hint="eastAsia" w:ascii="仿宋_GB2312" w:hAnsi="仿宋_GB2312" w:eastAsia="仿宋_GB2312" w:cs="仿宋_GB2312"/>
          <w:sz w:val="32"/>
          <w:szCs w:val="32"/>
        </w:rPr>
        <w:t>：部门一般公共预算财政拨款支出决算表</w:t>
      </w:r>
    </w:p>
    <w:p w14:paraId="69EBCF19">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06</w:t>
      </w:r>
      <w:r>
        <w:rPr>
          <w:rFonts w:hint="eastAsia" w:ascii="仿宋_GB2312" w:hAnsi="仿宋_GB2312" w:eastAsia="仿宋_GB2312" w:cs="仿宋_GB2312"/>
          <w:sz w:val="32"/>
          <w:szCs w:val="32"/>
        </w:rPr>
        <w:t>：部门一般公共预算财政拨款基本支出决算表</w:t>
      </w:r>
    </w:p>
    <w:p w14:paraId="519A95DE">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07</w:t>
      </w:r>
      <w:r>
        <w:rPr>
          <w:rFonts w:hint="eastAsia" w:ascii="仿宋_GB2312" w:hAnsi="仿宋_GB2312" w:eastAsia="仿宋_GB2312" w:cs="仿宋_GB2312"/>
          <w:sz w:val="32"/>
          <w:szCs w:val="32"/>
        </w:rPr>
        <w:t>：部门政府性基金预算财政拨款收支决算表</w:t>
      </w:r>
    </w:p>
    <w:p w14:paraId="5E5652CE">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08</w:t>
      </w:r>
      <w:r>
        <w:rPr>
          <w:rFonts w:hint="eastAsia" w:ascii="仿宋_GB2312" w:hAnsi="仿宋_GB2312" w:eastAsia="仿宋_GB2312" w:cs="仿宋_GB2312"/>
          <w:sz w:val="32"/>
          <w:szCs w:val="32"/>
        </w:rPr>
        <w:t>：部门国有资本经营预算财政拨款支出决算表</w:t>
      </w:r>
    </w:p>
    <w:p w14:paraId="1E599361">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09</w:t>
      </w:r>
      <w:r>
        <w:rPr>
          <w:rFonts w:hint="eastAsia" w:ascii="仿宋_GB2312" w:hAnsi="仿宋_GB2312" w:eastAsia="仿宋_GB2312" w:cs="仿宋_GB2312"/>
          <w:sz w:val="32"/>
          <w:szCs w:val="32"/>
        </w:rPr>
        <w:t>：部门财政拨款“三公”经费支出决算表</w:t>
      </w:r>
    </w:p>
    <w:p w14:paraId="56B74078">
      <w:pPr>
        <w:widowControl/>
        <w:spacing w:line="560" w:lineRule="exact"/>
        <w:ind w:firstLine="640" w:firstLineChars="200"/>
        <w:rPr>
          <w:rFonts w:ascii="仿宋_GB2312" w:hAnsi="宋体" w:eastAsia="仿宋_GB2312"/>
          <w:b/>
          <w:sz w:val="28"/>
          <w:szCs w:val="28"/>
          <w:highlight w:val="yellow"/>
        </w:rPr>
        <w:sectPr>
          <w:pgSz w:w="11906" w:h="16838"/>
          <w:pgMar w:top="2098" w:right="1474" w:bottom="1985" w:left="1588" w:header="851" w:footer="992" w:gutter="0"/>
          <w:cols w:space="425" w:num="1"/>
          <w:docGrid w:type="lines" w:linePitch="312" w:charSpace="0"/>
        </w:sect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：政府采购情况表</w:t>
      </w:r>
    </w:p>
    <w:p w14:paraId="4A24D03B"/>
    <w:p w14:paraId="492D5228"/>
    <w:p w14:paraId="0E236081"/>
    <w:p w14:paraId="25D707B4"/>
    <w:p w14:paraId="038C0227">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r>
        <w:tab/>
      </w:r>
    </w:p>
    <w:p w14:paraId="4FC45BEE">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12" o:title=""/>
            <o:lock v:ext="edit" aspectratio="t"/>
          </v:shape>
        </w:pict>
      </w:r>
      <w:r>
        <w:pict>
          <v:shape id="_x0000_s1042" o:spid="_x0000_s104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6635B82B">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138954EE">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14:paraId="79B2306D">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pict>
          <v:group id="_x0000_s1043" o:spid="_x0000_s1043"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44"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5"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6121F5B">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68A658E">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14:paraId="27A7F9E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w:t>
      </w:r>
      <w:r>
        <w:rPr>
          <w:rFonts w:ascii="仿宋_GB2312" w:eastAsia="仿宋_GB2312" w:cs="DengXian-Regular"/>
          <w:sz w:val="32"/>
          <w:szCs w:val="32"/>
        </w:rPr>
        <w:t>309.71</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年度决算相比，收支各增加</w:t>
      </w:r>
      <w:r>
        <w:rPr>
          <w:rFonts w:ascii="仿宋_GB2312" w:eastAsia="仿宋_GB2312" w:cs="DengXian-Regular"/>
          <w:sz w:val="32"/>
          <w:szCs w:val="32"/>
        </w:rPr>
        <w:t>91.1</w:t>
      </w:r>
      <w:r>
        <w:rPr>
          <w:rFonts w:hint="eastAsia" w:ascii="仿宋_GB2312" w:eastAsia="仿宋_GB2312" w:cs="DengXian-Regular"/>
          <w:sz w:val="32"/>
          <w:szCs w:val="32"/>
        </w:rPr>
        <w:t>万元，增长</w:t>
      </w:r>
      <w:r>
        <w:rPr>
          <w:rFonts w:ascii="仿宋_GB2312" w:eastAsia="仿宋_GB2312" w:cs="DengXian-Regular"/>
          <w:sz w:val="32"/>
          <w:szCs w:val="32"/>
        </w:rPr>
        <w:t>41.67%</w:t>
      </w:r>
      <w:r>
        <w:rPr>
          <w:rFonts w:hint="eastAsia" w:ascii="仿宋_GB2312" w:eastAsia="仿宋_GB2312" w:cs="DengXian-Regular"/>
          <w:sz w:val="32"/>
          <w:szCs w:val="32"/>
        </w:rPr>
        <w:t>，主要原因</w:t>
      </w:r>
      <w:r>
        <w:rPr>
          <w:rFonts w:hint="eastAsia" w:ascii="仿宋_GB2312" w:hAnsi="仿宋" w:eastAsia="仿宋_GB2312"/>
          <w:sz w:val="32"/>
          <w:szCs w:val="32"/>
        </w:rPr>
        <w:t>是</w:t>
      </w:r>
      <w:r>
        <w:rPr>
          <w:rFonts w:ascii="仿宋_GB2312" w:hAnsi="仿宋" w:eastAsia="仿宋_GB2312"/>
          <w:sz w:val="32"/>
          <w:szCs w:val="32"/>
        </w:rPr>
        <w:t>:</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w:t>
      </w:r>
    </w:p>
    <w:p w14:paraId="34C98FE4">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34F2E00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仿宋_GB2312" w:eastAsia="仿宋_GB2312" w:cs="DengXian-Regular"/>
          <w:sz w:val="32"/>
          <w:szCs w:val="32"/>
        </w:rPr>
        <w:t>303.59</w:t>
      </w:r>
      <w:r>
        <w:rPr>
          <w:rFonts w:hint="eastAsia" w:ascii="仿宋_GB2312" w:eastAsia="仿宋_GB2312" w:cs="DengXian-Regular"/>
          <w:sz w:val="32"/>
          <w:szCs w:val="32"/>
        </w:rPr>
        <w:t>万元，其中：财政拨款收入</w:t>
      </w:r>
      <w:r>
        <w:rPr>
          <w:rFonts w:ascii="仿宋_GB2312" w:eastAsia="仿宋_GB2312" w:cs="DengXian-Regular"/>
          <w:sz w:val="32"/>
          <w:szCs w:val="32"/>
        </w:rPr>
        <w:t>299.59</w:t>
      </w:r>
      <w:r>
        <w:rPr>
          <w:rFonts w:hint="eastAsia" w:ascii="仿宋_GB2312" w:eastAsia="仿宋_GB2312" w:cs="DengXian-Regular"/>
          <w:sz w:val="32"/>
          <w:szCs w:val="32"/>
        </w:rPr>
        <w:t>万元，占</w:t>
      </w:r>
      <w:r>
        <w:rPr>
          <w:rFonts w:ascii="仿宋_GB2312" w:eastAsia="仿宋_GB2312" w:cs="DengXian-Regular"/>
          <w:sz w:val="32"/>
          <w:szCs w:val="32"/>
        </w:rPr>
        <w:t>98.68%</w:t>
      </w:r>
      <w:r>
        <w:rPr>
          <w:rFonts w:hint="eastAsia" w:ascii="仿宋_GB2312" w:eastAsia="仿宋_GB2312" w:cs="DengXian-Regular"/>
          <w:sz w:val="32"/>
          <w:szCs w:val="32"/>
        </w:rPr>
        <w:t>；其他收入</w:t>
      </w:r>
      <w:r>
        <w:rPr>
          <w:rFonts w:ascii="仿宋_GB2312" w:eastAsia="仿宋_GB2312" w:cs="DengXian-Regular"/>
          <w:sz w:val="32"/>
          <w:szCs w:val="32"/>
        </w:rPr>
        <w:t>4</w:t>
      </w:r>
      <w:r>
        <w:rPr>
          <w:rFonts w:hint="eastAsia" w:ascii="仿宋_GB2312" w:eastAsia="仿宋_GB2312" w:cs="DengXian-Regular"/>
          <w:sz w:val="32"/>
          <w:szCs w:val="32"/>
        </w:rPr>
        <w:t>万元，占</w:t>
      </w:r>
      <w:r>
        <w:rPr>
          <w:rFonts w:ascii="仿宋_GB2312" w:eastAsia="仿宋_GB2312" w:cs="DengXian-Regular"/>
          <w:sz w:val="32"/>
          <w:szCs w:val="32"/>
        </w:rPr>
        <w:t>1.32%</w:t>
      </w:r>
      <w:r>
        <w:rPr>
          <w:rFonts w:hint="eastAsia" w:ascii="仿宋_GB2312" w:eastAsia="仿宋_GB2312" w:cs="DengXian-Regular"/>
          <w:sz w:val="32"/>
          <w:szCs w:val="32"/>
        </w:rPr>
        <w:t>。如图所示：</w:t>
      </w:r>
    </w:p>
    <w:p w14:paraId="31EEFF3F">
      <w:pPr>
        <w:adjustRightInd w:val="0"/>
        <w:snapToGrid w:val="0"/>
        <w:spacing w:after="0" w:line="580" w:lineRule="exact"/>
        <w:rPr>
          <w:rFonts w:ascii="仿宋_GB2312" w:eastAsia="仿宋_GB2312" w:cs="DengXian-Regular"/>
          <w:sz w:val="32"/>
          <w:szCs w:val="32"/>
        </w:rPr>
      </w:pPr>
      <w:r>
        <w:pict>
          <v:shape id="_x0000_s1046" o:spid="_x0000_s1046" o:spt="75" type="#_x0000_t75" style="position:absolute;left:0pt;margin-left:6.55pt;margin-top:18.2pt;height:243.05pt;width:416.8pt;mso-wrap-distance-bottom:0pt;mso-wrap-distance-top:0pt;z-index:251673600;mso-width-relative:page;mso-height-relative:page;" o:ole="t" filled="f" o:preferrelative="t" stroked="f" coordsize="21600,21600">
            <v:path/>
            <v:fill on="f" focussize="0,0"/>
            <v:stroke on="f" joinstyle="miter"/>
            <v:imagedata r:id="rId14" o:title=""/>
            <o:lock v:ext="edit" aspectratio="t"/>
            <w10:wrap type="topAndBottom"/>
          </v:shape>
          <o:OLEObject Type="Embed" ProgID="Excel.Chart.8" ShapeID="_x0000_s1046" DrawAspect="Content" ObjectID="_1468075725" r:id="rId13">
            <o:LockedField>false</o:LockedField>
          </o:OLEObject>
        </w:pict>
      </w:r>
    </w:p>
    <w:p w14:paraId="1874BDD6"/>
    <w:p w14:paraId="00819E10">
      <w:pPr>
        <w:jc w:val="center"/>
        <w:rPr>
          <w:sz w:val="44"/>
          <w:szCs w:val="44"/>
        </w:rPr>
      </w:pPr>
    </w:p>
    <w:p w14:paraId="640CCAE2">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0E38BA6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286.75</w:t>
      </w:r>
      <w:r>
        <w:rPr>
          <w:rFonts w:hint="eastAsia" w:ascii="仿宋_GB2312" w:eastAsia="仿宋_GB2312" w:cs="DengXian-Regular"/>
          <w:sz w:val="32"/>
          <w:szCs w:val="32"/>
        </w:rPr>
        <w:t>万元，其中：基本支出</w:t>
      </w:r>
      <w:r>
        <w:rPr>
          <w:rFonts w:ascii="仿宋_GB2312" w:eastAsia="仿宋_GB2312" w:cs="DengXian-Regular"/>
          <w:sz w:val="32"/>
          <w:szCs w:val="32"/>
        </w:rPr>
        <w:t>253.25</w:t>
      </w:r>
      <w:r>
        <w:rPr>
          <w:rFonts w:hint="eastAsia" w:ascii="仿宋_GB2312" w:eastAsia="仿宋_GB2312" w:cs="DengXian-Regular"/>
          <w:sz w:val="32"/>
          <w:szCs w:val="32"/>
        </w:rPr>
        <w:t>万元，占</w:t>
      </w:r>
      <w:r>
        <w:rPr>
          <w:rFonts w:ascii="仿宋_GB2312" w:eastAsia="仿宋_GB2312" w:cs="DengXian-Regular"/>
          <w:sz w:val="32"/>
          <w:szCs w:val="32"/>
        </w:rPr>
        <w:t>88.32%</w:t>
      </w:r>
      <w:r>
        <w:rPr>
          <w:rFonts w:hint="eastAsia" w:ascii="仿宋_GB2312" w:eastAsia="仿宋_GB2312" w:cs="DengXian-Regular"/>
          <w:sz w:val="32"/>
          <w:szCs w:val="32"/>
        </w:rPr>
        <w:t>；项目支出</w:t>
      </w:r>
      <w:r>
        <w:rPr>
          <w:rFonts w:ascii="仿宋_GB2312" w:eastAsia="仿宋_GB2312" w:cs="DengXian-Regular"/>
          <w:sz w:val="32"/>
          <w:szCs w:val="32"/>
        </w:rPr>
        <w:t>33.5</w:t>
      </w:r>
      <w:r>
        <w:rPr>
          <w:rFonts w:hint="eastAsia" w:ascii="仿宋_GB2312" w:eastAsia="仿宋_GB2312" w:cs="DengXian-Regular"/>
          <w:sz w:val="32"/>
          <w:szCs w:val="32"/>
        </w:rPr>
        <w:t>万元，占</w:t>
      </w:r>
      <w:r>
        <w:rPr>
          <w:rFonts w:ascii="仿宋_GB2312" w:eastAsia="仿宋_GB2312" w:cs="DengXian-Regular"/>
          <w:sz w:val="32"/>
          <w:szCs w:val="32"/>
        </w:rPr>
        <w:t>11.68%</w:t>
      </w:r>
      <w:r>
        <w:rPr>
          <w:rFonts w:hint="eastAsia" w:ascii="仿宋_GB2312" w:eastAsia="仿宋_GB2312" w:cs="DengXian-Regular"/>
          <w:sz w:val="32"/>
          <w:szCs w:val="32"/>
        </w:rPr>
        <w:t>。如图所示：</w:t>
      </w:r>
    </w:p>
    <w:p w14:paraId="60D2BD95">
      <w:pPr>
        <w:adjustRightInd w:val="0"/>
        <w:snapToGrid w:val="0"/>
        <w:spacing w:after="0" w:line="580" w:lineRule="exact"/>
        <w:rPr>
          <w:rFonts w:ascii="仿宋_GB2312" w:eastAsia="仿宋_GB2312" w:cs="DengXian-Regular"/>
          <w:sz w:val="32"/>
          <w:szCs w:val="32"/>
        </w:rPr>
      </w:pPr>
      <w:r>
        <w:pict>
          <v:group id="_x0000_s1047" o:spid="_x0000_s1047"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48"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9"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442C21DB">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862F5D4">
                    <w:pPr>
                      <w:jc w:val="center"/>
                    </w:pPr>
                  </w:p>
                </w:txbxContent>
              </v:textbox>
            </v:rect>
            <w10:anchorlock/>
          </v:group>
        </w:pict>
      </w:r>
    </w:p>
    <w:p w14:paraId="5B54F547">
      <w:pPr>
        <w:pStyle w:val="3"/>
        <w:spacing w:before="0" w:after="0" w:line="580" w:lineRule="exact"/>
        <w:rPr>
          <w:rFonts w:ascii="黑体" w:eastAsia="黑体"/>
          <w:b w:val="0"/>
          <w:bCs w:val="0"/>
        </w:rPr>
      </w:pPr>
    </w:p>
    <w:p w14:paraId="6CA975BF">
      <w:r>
        <w:object>
          <v:shape id="_x0000_i1025" o:spt="75" type="#_x0000_t75" style="height:243pt;width:417pt;" o:ole="t" filled="f" o:preferrelative="t" stroked="f" coordsize="21600,21600">
            <v:path/>
            <v:fill on="f" focussize="0,0"/>
            <v:stroke on="f" joinstyle="miter"/>
            <v:imagedata r:id="rId16" o:title=""/>
            <o:lock v:ext="edit" aspectratio="f"/>
            <w10:wrap type="none"/>
            <w10:anchorlock/>
          </v:shape>
          <o:OLEObject Type="Embed" ProgID="Excel.Chart.8" ShapeID="_x0000_i1025" DrawAspect="Content" ObjectID="_1468075726" r:id="rId15">
            <o:LockedField>false</o:LockedField>
          </o:OLEObject>
        </w:object>
      </w:r>
    </w:p>
    <w:p w14:paraId="2C46C982">
      <w:pPr>
        <w:tabs>
          <w:tab w:val="left" w:pos="2924"/>
        </w:tabs>
        <w:jc w:val="left"/>
      </w:pPr>
    </w:p>
    <w:p w14:paraId="68193CD5">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14:paraId="089CA07A">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14:paraId="5D965B8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w:t>
      </w:r>
      <w:r>
        <w:rPr>
          <w:rFonts w:ascii="仿宋_GB2312" w:eastAsia="仿宋_GB2312" w:cs="DengXian-Regular"/>
          <w:sz w:val="32"/>
          <w:szCs w:val="32"/>
        </w:rPr>
        <w:t>299.59</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年度增加</w:t>
      </w:r>
      <w:r>
        <w:rPr>
          <w:rFonts w:ascii="仿宋_GB2312" w:eastAsia="仿宋_GB2312" w:cs="DengXian-Regular"/>
          <w:sz w:val="32"/>
          <w:szCs w:val="32"/>
        </w:rPr>
        <w:t>90.37</w:t>
      </w:r>
      <w:r>
        <w:rPr>
          <w:rFonts w:hint="eastAsia" w:ascii="仿宋_GB2312" w:eastAsia="仿宋_GB2312" w:cs="DengXian-Regular"/>
          <w:sz w:val="32"/>
          <w:szCs w:val="32"/>
        </w:rPr>
        <w:t>万元，增长</w:t>
      </w:r>
      <w:r>
        <w:rPr>
          <w:rFonts w:ascii="仿宋_GB2312" w:eastAsia="仿宋_GB2312" w:cs="DengXian-Regular"/>
          <w:sz w:val="32"/>
          <w:szCs w:val="32"/>
        </w:rPr>
        <w:t>43.16%</w:t>
      </w:r>
      <w:r>
        <w:rPr>
          <w:rFonts w:hint="eastAsia" w:ascii="仿宋_GB2312" w:eastAsia="仿宋_GB2312" w:cs="DengXian-Regular"/>
          <w:sz w:val="32"/>
          <w:szCs w:val="32"/>
        </w:rPr>
        <w:t>，主要是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；本年支出</w:t>
      </w:r>
      <w:r>
        <w:rPr>
          <w:rFonts w:ascii="仿宋_GB2312" w:eastAsia="仿宋_GB2312" w:cs="DengXian-Regular"/>
          <w:sz w:val="32"/>
          <w:szCs w:val="32"/>
        </w:rPr>
        <w:t>282.75</w:t>
      </w:r>
      <w:r>
        <w:rPr>
          <w:rFonts w:hint="eastAsia" w:ascii="仿宋_GB2312" w:eastAsia="仿宋_GB2312" w:cs="DengXian-Regular"/>
          <w:sz w:val="32"/>
          <w:szCs w:val="32"/>
        </w:rPr>
        <w:t>万元，增加</w:t>
      </w:r>
      <w:r>
        <w:rPr>
          <w:rFonts w:ascii="仿宋_GB2312" w:eastAsia="仿宋_GB2312" w:cs="DengXian-Regular"/>
          <w:sz w:val="32"/>
          <w:szCs w:val="32"/>
        </w:rPr>
        <w:t>79.66</w:t>
      </w:r>
      <w:r>
        <w:rPr>
          <w:rFonts w:hint="eastAsia" w:ascii="仿宋_GB2312" w:eastAsia="仿宋_GB2312" w:cs="DengXian-Regular"/>
          <w:sz w:val="32"/>
          <w:szCs w:val="32"/>
        </w:rPr>
        <w:t>万元，增长</w:t>
      </w:r>
      <w:r>
        <w:rPr>
          <w:rFonts w:ascii="仿宋_GB2312" w:eastAsia="仿宋_GB2312" w:cs="DengXian-Regular"/>
          <w:sz w:val="32"/>
          <w:szCs w:val="32"/>
        </w:rPr>
        <w:t>39.22%</w:t>
      </w:r>
      <w:r>
        <w:rPr>
          <w:rFonts w:hint="eastAsia" w:ascii="仿宋_GB2312" w:eastAsia="仿宋_GB2312" w:cs="DengXian-Regular"/>
          <w:sz w:val="32"/>
          <w:szCs w:val="32"/>
        </w:rPr>
        <w:t>，主要是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w:t>
      </w:r>
    </w:p>
    <w:p w14:paraId="0F354A39">
      <w:pPr>
        <w:adjustRightInd w:val="0"/>
        <w:snapToGrid w:val="0"/>
        <w:spacing w:after="0" w:line="580" w:lineRule="exact"/>
        <w:ind w:firstLine="640" w:firstLineChars="200"/>
        <w:rPr>
          <w:rFonts w:ascii="仿宋_GB2312" w:eastAsia="仿宋_GB2312" w:cs="DengXian-Regular"/>
          <w:sz w:val="32"/>
          <w:szCs w:val="32"/>
        </w:rPr>
      </w:pPr>
    </w:p>
    <w:p w14:paraId="2A65DE10">
      <w:pPr>
        <w:adjustRightInd w:val="0"/>
        <w:snapToGrid w:val="0"/>
        <w:spacing w:after="0" w:line="580" w:lineRule="exact"/>
        <w:ind w:firstLine="420" w:firstLineChars="200"/>
        <w:rPr>
          <w:rFonts w:ascii="仿宋_GB2312" w:eastAsia="仿宋_GB2312" w:cs="DengXian-Regular"/>
          <w:sz w:val="32"/>
          <w:szCs w:val="32"/>
        </w:rPr>
      </w:pPr>
      <w:r>
        <w:pict>
          <v:shape id="_x0000_s1050" o:spid="_x0000_s1050" o:spt="75" type="#_x0000_t75" style="position:absolute;left:0pt;margin-left:-3.8pt;margin-top:21.55pt;height:242.9pt;width:416.65pt;mso-wrap-distance-bottom:0pt;mso-wrap-distance-top:0pt;z-index:251674624;mso-width-relative:page;mso-height-relative:page;" o:ole="t" filled="f" o:preferrelative="t" stroked="f" coordsize="21600,21600">
            <v:path/>
            <v:fill on="f" focussize="0,0"/>
            <v:stroke on="f" joinstyle="miter"/>
            <v:imagedata r:id="rId18" o:title=""/>
            <o:lock v:ext="edit" aspectratio="t"/>
            <w10:wrap type="topAndBottom"/>
          </v:shape>
          <o:OLEObject Type="Embed" ProgID="Excel.Chart.8" ShapeID="_x0000_s1050" DrawAspect="Content" ObjectID="_1468075727" r:id="rId17">
            <o:LockedField>false</o:LockedField>
          </o:OLEObject>
        </w:pict>
      </w:r>
    </w:p>
    <w:p w14:paraId="5E8A892A">
      <w:pPr>
        <w:adjustRightInd w:val="0"/>
        <w:snapToGrid w:val="0"/>
        <w:spacing w:after="0" w:line="580" w:lineRule="exact"/>
        <w:rPr>
          <w:rFonts w:ascii="仿宋_GB2312" w:eastAsia="仿宋_GB2312" w:cs="DengXian-Regular"/>
          <w:sz w:val="32"/>
          <w:szCs w:val="32"/>
        </w:rPr>
      </w:pPr>
    </w:p>
    <w:p w14:paraId="3318158F">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2208CBD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w:t>
      </w:r>
      <w:r>
        <w:rPr>
          <w:rFonts w:ascii="仿宋_GB2312" w:eastAsia="仿宋_GB2312" w:cs="DengXian-Regular"/>
          <w:sz w:val="32"/>
          <w:szCs w:val="32"/>
        </w:rPr>
        <w:t>299.59</w:t>
      </w:r>
      <w:r>
        <w:rPr>
          <w:rFonts w:hint="eastAsia" w:ascii="仿宋_GB2312" w:eastAsia="仿宋_GB2312" w:cs="DengXian-Regular"/>
          <w:sz w:val="32"/>
          <w:szCs w:val="32"/>
        </w:rPr>
        <w:t>万元，完成年初预算的</w:t>
      </w:r>
      <w:r>
        <w:rPr>
          <w:rFonts w:ascii="仿宋_GB2312" w:eastAsia="仿宋_GB2312" w:cs="DengXian-Regular"/>
          <w:sz w:val="32"/>
          <w:szCs w:val="32"/>
        </w:rPr>
        <w:t>108.42%,</w:t>
      </w:r>
      <w:r>
        <w:rPr>
          <w:rFonts w:hint="eastAsia" w:ascii="仿宋_GB2312" w:eastAsia="仿宋_GB2312" w:cs="DengXian-Regular"/>
          <w:sz w:val="32"/>
          <w:szCs w:val="32"/>
        </w:rPr>
        <w:t>比年初预算增加</w:t>
      </w:r>
      <w:r>
        <w:rPr>
          <w:rFonts w:ascii="仿宋_GB2312" w:eastAsia="仿宋_GB2312" w:cs="DengXian-Regular"/>
          <w:sz w:val="32"/>
          <w:szCs w:val="32"/>
        </w:rPr>
        <w:t>23.27</w:t>
      </w:r>
      <w:r>
        <w:rPr>
          <w:rFonts w:hint="eastAsia" w:ascii="仿宋_GB2312" w:eastAsia="仿宋_GB2312" w:cs="DengXian-Regular"/>
          <w:sz w:val="32"/>
          <w:szCs w:val="32"/>
        </w:rPr>
        <w:t>万元，决算数大于预算数主要原因是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w:t>
      </w:r>
      <w:r>
        <w:rPr>
          <w:rFonts w:hint="eastAsia" w:ascii="仿宋_GB2312" w:eastAsia="仿宋_GB2312" w:cs="DengXian-Regular"/>
          <w:sz w:val="32"/>
          <w:szCs w:val="32"/>
        </w:rPr>
        <w:t>；本年支出</w:t>
      </w:r>
      <w:r>
        <w:rPr>
          <w:rFonts w:ascii="仿宋_GB2312" w:eastAsia="仿宋_GB2312" w:cs="DengXian-Regular"/>
          <w:sz w:val="32"/>
          <w:szCs w:val="32"/>
        </w:rPr>
        <w:t>286.75</w:t>
      </w:r>
      <w:r>
        <w:rPr>
          <w:rFonts w:hint="eastAsia" w:ascii="仿宋_GB2312" w:eastAsia="仿宋_GB2312" w:cs="DengXian-Regular"/>
          <w:sz w:val="32"/>
          <w:szCs w:val="32"/>
        </w:rPr>
        <w:t>万元，完成年初预算的</w:t>
      </w:r>
      <w:r>
        <w:rPr>
          <w:rFonts w:ascii="仿宋_GB2312" w:eastAsia="仿宋_GB2312" w:cs="DengXian-Regular"/>
          <w:sz w:val="32"/>
          <w:szCs w:val="32"/>
        </w:rPr>
        <w:t>103.77%,</w:t>
      </w:r>
      <w:r>
        <w:rPr>
          <w:rFonts w:hint="eastAsia" w:ascii="仿宋_GB2312" w:eastAsia="仿宋_GB2312" w:cs="DengXian-Regular"/>
          <w:sz w:val="32"/>
          <w:szCs w:val="32"/>
        </w:rPr>
        <w:t>比年初预算增加</w:t>
      </w:r>
      <w:r>
        <w:rPr>
          <w:rFonts w:ascii="仿宋_GB2312" w:eastAsia="仿宋_GB2312" w:cs="DengXian-Regular"/>
          <w:sz w:val="32"/>
          <w:szCs w:val="32"/>
        </w:rPr>
        <w:t>10.43</w:t>
      </w:r>
      <w:r>
        <w:rPr>
          <w:rFonts w:hint="eastAsia" w:ascii="仿宋_GB2312" w:eastAsia="仿宋_GB2312" w:cs="DengXian-Regular"/>
          <w:sz w:val="32"/>
          <w:szCs w:val="32"/>
        </w:rPr>
        <w:t>万元，决算数大于预算数主要原因是</w:t>
      </w:r>
      <w:r>
        <w:rPr>
          <w:rFonts w:hint="eastAsia" w:ascii="仿宋_GB2312" w:hAnsi="仿宋" w:eastAsia="仿宋_GB2312"/>
          <w:sz w:val="32"/>
          <w:szCs w:val="32"/>
        </w:rPr>
        <w:t>增加人员</w:t>
      </w:r>
      <w:r>
        <w:rPr>
          <w:rFonts w:hint="eastAsia" w:ascii="仿宋_GB2312" w:eastAsia="仿宋_GB2312" w:cs="DengXian-Regular"/>
          <w:sz w:val="32"/>
          <w:szCs w:val="32"/>
        </w:rPr>
        <w:t>。</w:t>
      </w:r>
    </w:p>
    <w:p w14:paraId="37BF7CE9">
      <w:pPr>
        <w:adjustRightInd w:val="0"/>
        <w:snapToGrid w:val="0"/>
        <w:spacing w:after="0" w:line="580" w:lineRule="exact"/>
        <w:ind w:firstLine="420" w:firstLineChars="200"/>
        <w:rPr>
          <w:rFonts w:ascii="仿宋_GB2312" w:eastAsia="仿宋_GB2312" w:cs="DengXian-Regular"/>
          <w:sz w:val="32"/>
          <w:szCs w:val="32"/>
        </w:rPr>
      </w:pPr>
      <w:r>
        <w:pict>
          <v:shape id="_x0000_s1051" o:spid="_x0000_s1051" o:spt="75" type="#_x0000_t75" style="position:absolute;left:0pt;margin-left:1.4pt;margin-top:20.25pt;height:242.9pt;width:416.65pt;mso-wrap-distance-bottom:0pt;mso-wrap-distance-top:0pt;z-index:251675648;mso-width-relative:page;mso-height-relative:page;" o:ole="t" filled="f" o:preferrelative="t" stroked="f" coordsize="21600,21600">
            <v:path/>
            <v:fill on="f" focussize="0,0"/>
            <v:stroke on="f" joinstyle="miter"/>
            <v:imagedata r:id="rId20" o:title=""/>
            <o:lock v:ext="edit" aspectratio="t"/>
            <w10:wrap type="topAndBottom"/>
          </v:shape>
          <o:OLEObject Type="Embed" ProgID="Excel.Chart.8" ShapeID="_x0000_s1051" DrawAspect="Content" ObjectID="_1468075728" r:id="rId19">
            <o:LockedField>false</o:LockedField>
          </o:OLEObject>
        </w:pict>
      </w:r>
    </w:p>
    <w:p w14:paraId="4D41B7B0">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73E6EFE9">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286.75</w:t>
      </w:r>
      <w:r>
        <w:rPr>
          <w:rFonts w:hint="eastAsia" w:ascii="仿宋_GB2312" w:eastAsia="仿宋_GB2312" w:cs="DengXian-Regular"/>
          <w:sz w:val="32"/>
          <w:szCs w:val="32"/>
        </w:rPr>
        <w:t>万元，主要用于以下方面资源勘探信息等（类）支出</w:t>
      </w:r>
      <w:r>
        <w:rPr>
          <w:rFonts w:ascii="仿宋_GB2312" w:eastAsia="仿宋_GB2312" w:cs="DengXian-Regular"/>
          <w:sz w:val="32"/>
          <w:szCs w:val="32"/>
        </w:rPr>
        <w:t>286.75</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w:t>
      </w:r>
    </w:p>
    <w:p w14:paraId="6BC7B2A6">
      <w:pPr>
        <w:adjustRightInd w:val="0"/>
        <w:snapToGrid w:val="0"/>
        <w:spacing w:after="0" w:line="580" w:lineRule="exact"/>
        <w:rPr>
          <w:rFonts w:ascii="楷体_GB2312" w:eastAsia="楷体_GB2312" w:cs="DengXian-Bold"/>
          <w:b/>
          <w:bCs/>
          <w:sz w:val="32"/>
          <w:szCs w:val="32"/>
        </w:rPr>
      </w:pPr>
      <w:r>
        <w:pict>
          <v:shape id="_x0000_s1052" o:spid="_x0000_s1052" o:spt="75" type="#_x0000_t75" style="position:absolute;left:0pt;margin-left:0.55pt;margin-top:40.2pt;height:242.9pt;width:416.65pt;mso-wrap-distance-bottom:0pt;mso-wrap-distance-top:0pt;z-index:251676672;mso-width-relative:page;mso-height-relative:page;" o:ole="t" filled="f" o:preferrelative="t" stroked="f" coordsize="21600,21600">
            <v:path/>
            <v:fill on="f" focussize="0,0"/>
            <v:stroke on="f" joinstyle="miter"/>
            <v:imagedata r:id="rId22" o:title=""/>
            <o:lock v:ext="edit" aspectratio="t"/>
            <w10:wrap type="topAndBottom"/>
          </v:shape>
          <o:OLEObject Type="Embed" ProgID="Excel.Chart.8" ShapeID="_x0000_s1052" DrawAspect="Content" ObjectID="_1468075729" r:id="rId21">
            <o:LockedField>false</o:LockedField>
          </o:OLEObject>
        </w:pict>
      </w:r>
    </w:p>
    <w:p w14:paraId="45B15879">
      <w:pPr>
        <w:adjustRightInd w:val="0"/>
        <w:snapToGrid w:val="0"/>
        <w:spacing w:after="0" w:line="580" w:lineRule="exact"/>
        <w:rPr>
          <w:rFonts w:ascii="宋体" w:cs="宋体"/>
          <w:b/>
          <w:bCs/>
          <w:sz w:val="32"/>
          <w:szCs w:val="32"/>
        </w:rPr>
      </w:pPr>
    </w:p>
    <w:p w14:paraId="4E303099">
      <w:pPr>
        <w:adjustRightInd w:val="0"/>
        <w:snapToGrid w:val="0"/>
        <w:spacing w:after="0" w:line="580" w:lineRule="exact"/>
        <w:ind w:left="420" w:leftChars="200"/>
        <w:rPr>
          <w:rFonts w:ascii="楷体_GB2312" w:eastAsia="楷体_GB2312" w:cs="DengXian-Bold"/>
          <w:b/>
          <w:bCs/>
          <w:sz w:val="32"/>
          <w:szCs w:val="32"/>
        </w:rPr>
      </w:pPr>
      <w:r>
        <w:pict>
          <v:group id="_x0000_s1053" o:spid="_x0000_s1053"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5"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A002182">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42D560DA">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14:paraId="669566A5">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249.25</w:t>
      </w:r>
      <w:r>
        <w:rPr>
          <w:rFonts w:hint="eastAsia" w:ascii="仿宋_GB2312" w:eastAsia="仿宋_GB2312" w:cs="DengXian-Regular"/>
          <w:sz w:val="32"/>
          <w:szCs w:val="32"/>
        </w:rPr>
        <w:t>万元，其中：人员经费</w:t>
      </w:r>
      <w:r>
        <w:rPr>
          <w:rFonts w:ascii="仿宋_GB2312" w:eastAsia="仿宋_GB2312" w:cs="DengXian-Regular"/>
          <w:sz w:val="32"/>
          <w:szCs w:val="32"/>
        </w:rPr>
        <w:t xml:space="preserve"> 183.97</w:t>
      </w:r>
      <w:r>
        <w:rPr>
          <w:rFonts w:hint="eastAsia" w:ascii="仿宋_GB2312" w:eastAsia="仿宋_GB2312" w:cs="DengXian-Regular"/>
          <w:sz w:val="32"/>
          <w:szCs w:val="32"/>
        </w:rPr>
        <w:t>万元，主要包括基本工资、津贴补贴、奖金、绩效工资、机关事业单位基本养老保险缴费、职业年金缴费、职工基本医疗保险缴费、住房公积金、其他社会保障缴费、其他工资福利支出、生活补助、其他对个人和家庭的补助支出；公用经费</w:t>
      </w:r>
      <w:r>
        <w:rPr>
          <w:rFonts w:ascii="仿宋_GB2312" w:eastAsia="仿宋_GB2312" w:cs="DengXian-Regular"/>
          <w:sz w:val="32"/>
          <w:szCs w:val="32"/>
        </w:rPr>
        <w:t xml:space="preserve"> 65.28</w:t>
      </w:r>
      <w:r>
        <w:rPr>
          <w:rFonts w:hint="eastAsia" w:ascii="仿宋_GB2312" w:eastAsia="仿宋_GB2312" w:cs="DengXian-Regular"/>
          <w:sz w:val="32"/>
          <w:szCs w:val="32"/>
        </w:rPr>
        <w:t>万元，主要包括办公费、印刷费、咨询费、电费、邮电费、差旅费、维修（护）费、公务用车运行维护费、其他交通费用、其他商品和服务支出、办公设备购置。</w:t>
      </w:r>
    </w:p>
    <w:p w14:paraId="66F58C10">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14:paraId="20964B9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w:t>
      </w:r>
      <w:r>
        <w:rPr>
          <w:rFonts w:ascii="仿宋_GB2312" w:eastAsia="仿宋_GB2312" w:cs="DengXian-Regular"/>
          <w:sz w:val="32"/>
          <w:szCs w:val="32"/>
        </w:rPr>
        <w:t>14.57</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ascii="仿宋_GB2312" w:eastAsia="仿宋_GB2312" w:cs="DengXian-Regular"/>
          <w:b/>
          <w:bCs/>
          <w:sz w:val="32"/>
          <w:szCs w:val="32"/>
        </w:rPr>
        <w:t>0.82</w:t>
      </w:r>
      <w:r>
        <w:rPr>
          <w:rFonts w:hint="eastAsia" w:ascii="仿宋_GB2312" w:eastAsia="仿宋_GB2312" w:cs="DengXian-Regular"/>
          <w:b/>
          <w:bCs/>
          <w:sz w:val="32"/>
          <w:szCs w:val="32"/>
        </w:rPr>
        <w:t>万元，降低</w:t>
      </w:r>
      <w:r>
        <w:rPr>
          <w:rFonts w:ascii="仿宋_GB2312" w:eastAsia="仿宋_GB2312" w:cs="DengXian-Regular"/>
          <w:b/>
          <w:bCs/>
          <w:sz w:val="32"/>
          <w:szCs w:val="32"/>
        </w:rPr>
        <w:t>5.33%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14:paraId="02DAA8D3">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pict>
          <v:group id="_x0000_s1056" o:spid="_x0000_s1056"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57"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8"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7C4B34D8">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F68AFBC">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无本单位组织的出国（境）团组。因公出国（境）费年初预算</w:t>
      </w:r>
      <w:r>
        <w:rPr>
          <w:rFonts w:ascii="仿宋_GB2312" w:eastAsia="仿宋_GB2312" w:cs="DengXian-Regular"/>
          <w:sz w:val="32"/>
          <w:szCs w:val="32"/>
        </w:rPr>
        <w:t>0</w:t>
      </w:r>
      <w:r>
        <w:rPr>
          <w:rFonts w:hint="eastAsia" w:ascii="仿宋_GB2312" w:eastAsia="仿宋_GB2312" w:cs="DengXian-Regular"/>
          <w:sz w:val="32"/>
          <w:szCs w:val="32"/>
        </w:rPr>
        <w:t>万元。</w:t>
      </w:r>
    </w:p>
    <w:p w14:paraId="7FF3FFF6">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14.57</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0.21</w:t>
      </w:r>
      <w:r>
        <w:rPr>
          <w:rFonts w:hint="eastAsia" w:ascii="仿宋_GB2312" w:eastAsia="仿宋_GB2312" w:cs="DengXian-Regular"/>
          <w:sz w:val="32"/>
          <w:szCs w:val="32"/>
        </w:rPr>
        <w:t>万元，降低</w:t>
      </w:r>
      <w:r>
        <w:rPr>
          <w:rFonts w:ascii="仿宋_GB2312" w:eastAsia="仿宋_GB2312" w:cs="DengXian-Regular"/>
          <w:sz w:val="32"/>
          <w:szCs w:val="32"/>
        </w:rPr>
        <w:t>1.42%,</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严格执行中央、省、市、县压缩三公经费相关文件规定，厉行节俭、严格控制支出</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459B4669">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年度未发生“公务用车购置”经费支出。公务用车购置费支出于年初预算持平。</w:t>
      </w:r>
    </w:p>
    <w:p w14:paraId="6BD75044">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5</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0.21</w:t>
      </w:r>
      <w:r>
        <w:rPr>
          <w:rFonts w:hint="eastAsia" w:ascii="仿宋_GB2312" w:eastAsia="仿宋_GB2312" w:cs="DengXian-Regular"/>
          <w:sz w:val="32"/>
          <w:szCs w:val="32"/>
        </w:rPr>
        <w:t>万元，降低</w:t>
      </w:r>
      <w:r>
        <w:rPr>
          <w:rFonts w:ascii="仿宋_GB2312" w:eastAsia="仿宋_GB2312" w:cs="DengXian-Regular"/>
          <w:sz w:val="32"/>
          <w:szCs w:val="32"/>
        </w:rPr>
        <w:t>1.42%,</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严格执行中央、省、市、县压缩三公经费相关文件规定，厉行节俭、严格控制支出</w:t>
      </w:r>
      <w:r>
        <w:rPr>
          <w:rFonts w:hint="eastAsia" w:ascii="仿宋_GB2312" w:eastAsia="仿宋_GB2312" w:cs="DengXian-Regular"/>
          <w:sz w:val="32"/>
          <w:szCs w:val="32"/>
        </w:rPr>
        <w:t>。</w:t>
      </w:r>
    </w:p>
    <w:p w14:paraId="5E5CCAA0">
      <w:pPr>
        <w:adjustRightInd w:val="0"/>
        <w:snapToGrid w:val="0"/>
        <w:spacing w:after="0" w:line="580" w:lineRule="exact"/>
        <w:ind w:firstLine="643" w:firstLineChars="200"/>
        <w:rPr>
          <w:rFonts w:ascii="仿宋_GB2312" w:eastAsia="仿宋_GB2312" w:cs="DengXian-Regular"/>
          <w:b/>
          <w:bCs/>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pict>
          <v:group id="_x0000_s1059" o:spid="_x0000_s1059"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60"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1"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42D222AE">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227710E">
                    <w:pPr>
                      <w:jc w:val="center"/>
                    </w:pPr>
                  </w:p>
                </w:txbxContent>
              </v:textbox>
            </v:rect>
            <w10:anchorlock/>
          </v:group>
        </w:pic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人次。公务接待费支出较年初预算减少</w:t>
      </w:r>
      <w:r>
        <w:rPr>
          <w:rFonts w:ascii="仿宋_GB2312" w:eastAsia="仿宋_GB2312" w:cs="DengXian-Regular"/>
          <w:sz w:val="32"/>
          <w:szCs w:val="32"/>
        </w:rPr>
        <w:t>0.61</w:t>
      </w:r>
      <w:r>
        <w:rPr>
          <w:rFonts w:hint="eastAsia" w:ascii="仿宋_GB2312" w:eastAsia="仿宋_GB2312" w:cs="DengXian-Regular"/>
          <w:sz w:val="32"/>
          <w:szCs w:val="32"/>
        </w:rPr>
        <w:t>万元，主要是无接待。</w:t>
      </w:r>
    </w:p>
    <w:p w14:paraId="18EE147F">
      <w:pPr>
        <w:pStyle w:val="3"/>
        <w:spacing w:before="0" w:after="0" w:line="500" w:lineRule="exact"/>
        <w:ind w:firstLine="643" w:firstLineChars="200"/>
        <w:rPr>
          <w:rFonts w:ascii="楷体_GB2312" w:hAnsi="Times New Roman" w:eastAsia="楷体_GB2312" w:cs="DengXian-Bold"/>
        </w:rPr>
      </w:pPr>
      <w:r>
        <w:rPr>
          <w:rFonts w:hint="eastAsia" w:ascii="楷体_GB2312" w:hAnsi="Times New Roman" w:eastAsia="楷体_GB2312" w:cs="DengXian-Bold"/>
        </w:rPr>
        <w:t>六、绩效预算情况说明</w:t>
      </w:r>
    </w:p>
    <w:p w14:paraId="41774F3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14:paraId="27AF815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w:t>
      </w:r>
      <w:r>
        <w:rPr>
          <w:rFonts w:ascii="仿宋_GB2312" w:eastAsia="仿宋_GB2312" w:cs="DengXian-Regular"/>
          <w:sz w:val="32"/>
          <w:szCs w:val="32"/>
        </w:rPr>
        <w:t>2018</w:t>
      </w:r>
      <w:r>
        <w:rPr>
          <w:rFonts w:hint="eastAsia" w:ascii="仿宋_GB2312" w:eastAsia="仿宋_GB2312" w:cs="DengXian-Regular"/>
          <w:sz w:val="32"/>
          <w:szCs w:val="32"/>
        </w:rPr>
        <w:t>年度财政专项资金部门绩效自评价工作的通知》（石财绩</w:t>
      </w:r>
      <w:r>
        <w:rPr>
          <w:rFonts w:ascii="仿宋_GB2312" w:eastAsia="仿宋_GB2312" w:cs="DengXian-Regular"/>
          <w:sz w:val="32"/>
          <w:szCs w:val="32"/>
        </w:rPr>
        <w:t>[2019]1</w:t>
      </w:r>
      <w:r>
        <w:rPr>
          <w:rFonts w:hint="eastAsia" w:ascii="仿宋_GB2312" w:eastAsia="仿宋_GB2312" w:cs="DengXian-Regular"/>
          <w:sz w:val="32"/>
          <w:szCs w:val="32"/>
        </w:rPr>
        <w:t>号），本单位认真开展了预算绩效管理改革开展情况自查，对部门全面规范绩效预算编制、严格预算执行管理、推进绩效评价工作、推进预决算信息公开等方面进行了自评，考核结果为优秀。</w:t>
      </w:r>
    </w:p>
    <w:p w14:paraId="2233256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14:paraId="7D5D32A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w:t>
      </w:r>
      <w:r>
        <w:rPr>
          <w:rFonts w:ascii="仿宋_GB2312" w:eastAsia="仿宋_GB2312" w:cs="DengXian-Regular"/>
          <w:sz w:val="32"/>
          <w:szCs w:val="32"/>
        </w:rPr>
        <w:t>2018</w:t>
      </w:r>
      <w:r>
        <w:rPr>
          <w:rFonts w:hint="eastAsia" w:ascii="仿宋_GB2312" w:eastAsia="仿宋_GB2312" w:cs="DengXian-Regular"/>
          <w:sz w:val="32"/>
          <w:szCs w:val="32"/>
        </w:rPr>
        <w:t>年度一般公共预算项目支出全面开展绩效自评，涉及安全生产业务咨询委托、安全生产信息化平台网络系统运维等</w:t>
      </w:r>
      <w:r>
        <w:rPr>
          <w:rFonts w:ascii="仿宋_GB2312" w:eastAsia="仿宋_GB2312" w:cs="DengXian-Regular"/>
          <w:sz w:val="32"/>
          <w:szCs w:val="32"/>
        </w:rPr>
        <w:t>6</w:t>
      </w:r>
      <w:r>
        <w:rPr>
          <w:rFonts w:hint="eastAsia" w:ascii="仿宋_GB2312" w:eastAsia="仿宋_GB2312" w:cs="DengXian-Regular"/>
          <w:sz w:val="32"/>
          <w:szCs w:val="32"/>
        </w:rPr>
        <w:t>个项目，涉及资金</w:t>
      </w:r>
      <w:r>
        <w:rPr>
          <w:rFonts w:ascii="仿宋_GB2312" w:eastAsia="仿宋_GB2312" w:cs="DengXian-Regular"/>
          <w:sz w:val="32"/>
          <w:szCs w:val="32"/>
        </w:rPr>
        <w:t>33.5</w:t>
      </w:r>
      <w:r>
        <w:rPr>
          <w:rFonts w:hint="eastAsia" w:ascii="仿宋_GB2312" w:eastAsia="仿宋_GB2312" w:cs="DengXian-Regular"/>
          <w:sz w:val="32"/>
          <w:szCs w:val="32"/>
        </w:rPr>
        <w:t>万元。从评价情况看，评价结果全为优秀。</w:t>
      </w:r>
    </w:p>
    <w:p w14:paraId="2FB9F70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59D5C87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14:paraId="2BEC8F1B">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14:paraId="461F929D">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39B8207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65.28</w:t>
      </w:r>
      <w:r>
        <w:rPr>
          <w:rFonts w:hint="eastAsia" w:ascii="仿宋_GB2312" w:eastAsia="仿宋_GB2312" w:cs="DengXian-Regular"/>
          <w:sz w:val="32"/>
          <w:szCs w:val="32"/>
        </w:rPr>
        <w:t>万元，比年初预算数减少</w:t>
      </w:r>
      <w:r>
        <w:rPr>
          <w:rFonts w:ascii="仿宋_GB2312" w:eastAsia="仿宋_GB2312" w:cs="DengXian-Regular"/>
          <w:sz w:val="32"/>
          <w:szCs w:val="32"/>
        </w:rPr>
        <w:t>2.89</w:t>
      </w:r>
      <w:r>
        <w:rPr>
          <w:rFonts w:hint="eastAsia" w:ascii="仿宋_GB2312" w:eastAsia="仿宋_GB2312" w:cs="DengXian-Regular"/>
          <w:sz w:val="32"/>
          <w:szCs w:val="32"/>
        </w:rPr>
        <w:t>万元，降低</w:t>
      </w:r>
      <w:r>
        <w:rPr>
          <w:rFonts w:ascii="仿宋_GB2312" w:eastAsia="仿宋_GB2312" w:cs="DengXian-Regular"/>
          <w:sz w:val="32"/>
          <w:szCs w:val="32"/>
        </w:rPr>
        <w:t>4.23%</w:t>
      </w:r>
      <w:r>
        <w:rPr>
          <w:rFonts w:hint="eastAsia" w:ascii="仿宋_GB2312" w:eastAsia="仿宋_GB2312" w:cs="DengXian-Regular"/>
          <w:sz w:val="32"/>
          <w:szCs w:val="32"/>
        </w:rPr>
        <w:t>。主要原因是</w:t>
      </w:r>
      <w:r>
        <w:rPr>
          <w:rFonts w:hint="eastAsia" w:ascii="仿宋_GB2312" w:hAnsi="仿宋_GB2312" w:eastAsia="仿宋_GB2312" w:cs="仿宋_GB2312"/>
          <w:sz w:val="32"/>
          <w:szCs w:val="32"/>
        </w:rPr>
        <w:t>厉行节俭、严格控制支出</w:t>
      </w:r>
      <w:r>
        <w:rPr>
          <w:rFonts w:hint="eastAsia" w:ascii="仿宋_GB2312" w:eastAsia="仿宋_GB2312" w:cs="DengXian-Regular"/>
          <w:sz w:val="32"/>
          <w:szCs w:val="32"/>
        </w:rPr>
        <w:t>。</w:t>
      </w:r>
    </w:p>
    <w:p w14:paraId="15B92D5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09BECB9D">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w:t>
      </w:r>
    </w:p>
    <w:p w14:paraId="61D7A7D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3DF1180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5</w:t>
      </w:r>
      <w:r>
        <w:rPr>
          <w:rFonts w:hint="eastAsia" w:ascii="仿宋_GB2312" w:eastAsia="仿宋_GB2312" w:cs="DengXian-Regular"/>
          <w:sz w:val="32"/>
          <w:szCs w:val="32"/>
        </w:rPr>
        <w:t>辆，和上年持平上。其中，应急保障用车</w:t>
      </w:r>
      <w:r>
        <w:rPr>
          <w:rFonts w:ascii="仿宋_GB2312" w:eastAsia="仿宋_GB2312" w:cs="DengXian-Regular"/>
          <w:sz w:val="32"/>
          <w:szCs w:val="32"/>
        </w:rPr>
        <w:t>1</w:t>
      </w:r>
      <w:r>
        <w:rPr>
          <w:rFonts w:hint="eastAsia" w:ascii="仿宋_GB2312" w:eastAsia="仿宋_GB2312" w:cs="DengXian-Regular"/>
          <w:sz w:val="32"/>
          <w:szCs w:val="32"/>
        </w:rPr>
        <w:t>辆，执法执勤用车</w:t>
      </w:r>
      <w:r>
        <w:rPr>
          <w:rFonts w:ascii="仿宋_GB2312" w:eastAsia="仿宋_GB2312" w:cs="DengXian-Regular"/>
          <w:sz w:val="32"/>
          <w:szCs w:val="32"/>
        </w:rPr>
        <w:t>4</w:t>
      </w:r>
      <w:r>
        <w:rPr>
          <w:rFonts w:hint="eastAsia" w:ascii="仿宋_GB2312" w:eastAsia="仿宋_GB2312" w:cs="DengXian-Regular"/>
          <w:sz w:val="32"/>
          <w:szCs w:val="32"/>
        </w:rPr>
        <w:t>辆；单位价值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w:t>
      </w:r>
    </w:p>
    <w:p w14:paraId="6A73047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66BC2A6F">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年度政府性基金预算财政拨款收入支出决算表、国有资本经营预算财政拨款收入支出决算表、政府采购情况表无收支及结转结余情况，故此三表以空表列示。</w:t>
      </w:r>
    </w:p>
    <w:p w14:paraId="5B4B4F09">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w:pict>
          <v:group id="_x0000_s1062" o:spid="_x0000_s1062"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63"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64" o:spid="_x0000_s1064"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6F836B10">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36085D0A">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6D9E1D11">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14:paraId="2F63179E">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21" o:spid="_x0000_s1065" o:spt="75" alt="2" type="#_x0000_t75" style="position:absolute;left:0pt;margin-left:-79.45pt;margin-top:-105.35pt;height:840.95pt;width:594.5pt;z-index:-251648000;mso-width-relative:page;mso-height-relative:page;" filled="f" o:preferrelative="t" stroked="f" coordsize="21600,21600">
            <v:path/>
            <v:fill on="f" focussize="0,0"/>
            <v:stroke on="f" joinstyle="miter"/>
            <v:imagedata r:id="rId12" o:title=""/>
            <o:lock v:ext="edit" aspectratio="t"/>
          </v:shape>
        </w:pict>
      </w:r>
      <w:r>
        <w:pict>
          <v:shape id="_x0000_s1066" o:spid="_x0000_s106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60E6024F">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26803FDE">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14:paraId="05BB6CA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14:paraId="317BFBB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14:paraId="64CA09B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14:paraId="4C838F6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093FCFC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14:paraId="37AAD6F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14:paraId="2F4392B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pict>
          <v:group id="_x0000_s1067" o:spid="_x0000_s1067" o:spt="203" style="position:absolute;left:0pt;margin-left:-81.05pt;margin-top:39.65pt;height:43.95pt;width:264.85pt;mso-position-vertical-relative:page;z-index:25167155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68"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69"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2236EA2B">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5476E8DF">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14:paraId="38AF1CCE">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14:paraId="04431917">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14:paraId="34605D1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14:paraId="6FE2876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14:paraId="5E77285F">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70" o:spid="_x0000_s107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71"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72"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3D071189">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2A275F21">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14:paraId="4C2348E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pict>
          <v:group id="_x0000_s1073" o:spid="_x0000_s1073"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74"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75"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25F64AB5">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45491A66">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14:paraId="2138F16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14:paraId="0C40B23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14:paraId="0B0EC49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EF9DFA9">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78367B1A">
      <w:pPr>
        <w:widowControl/>
        <w:spacing w:after="0" w:line="560" w:lineRule="exact"/>
        <w:ind w:firstLine="420" w:firstLineChars="200"/>
        <w:rPr>
          <w:rFonts w:ascii="仿宋_GB2312" w:hAnsi="Cambria" w:eastAsia="仿宋_GB2312" w:cs="ArialUnicodeMS"/>
          <w:kern w:val="0"/>
          <w:sz w:val="32"/>
          <w:szCs w:val="32"/>
        </w:rPr>
      </w:pPr>
      <w:r>
        <w:pict>
          <v:shape id="图片 101" o:spid="_x0000_s1076" o:spt="75" alt="3" type="#_x0000_t75" style="position:absolute;left:0pt;margin-left:-78pt;margin-top:-106.7pt;height:845.35pt;width:597.65pt;z-index:-251646976;mso-width-relative:page;mso-height-relative:page;" filled="f" o:preferrelative="t" stroked="f" coordsize="21600,21600">
            <v:path/>
            <v:fill on="f" focussize="0,0"/>
            <v:stroke on="f" joinstyle="miter"/>
            <v:imagedata r:id="rId23" o:title=""/>
            <o:lock v:ext="edit" aspectratio="t"/>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53E8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312B7">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BD3E9">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B4F3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C843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BkYWI4NmVmNjA0ZTU2NDY0ZTI1NjZlZDIzMjU0MzcifQ=="/>
  </w:docVars>
  <w:rsids>
    <w:rsidRoot w:val="003C1413"/>
    <w:rsid w:val="00024E7F"/>
    <w:rsid w:val="000475A0"/>
    <w:rsid w:val="00060975"/>
    <w:rsid w:val="000838C3"/>
    <w:rsid w:val="000A710C"/>
    <w:rsid w:val="000B2446"/>
    <w:rsid w:val="000D7C65"/>
    <w:rsid w:val="000E2F81"/>
    <w:rsid w:val="0010570F"/>
    <w:rsid w:val="00117946"/>
    <w:rsid w:val="00117E2C"/>
    <w:rsid w:val="00146C47"/>
    <w:rsid w:val="00152FB8"/>
    <w:rsid w:val="001541C0"/>
    <w:rsid w:val="00176658"/>
    <w:rsid w:val="0018239E"/>
    <w:rsid w:val="00184B78"/>
    <w:rsid w:val="001B3410"/>
    <w:rsid w:val="001C030D"/>
    <w:rsid w:val="001C4A84"/>
    <w:rsid w:val="001E5902"/>
    <w:rsid w:val="00233705"/>
    <w:rsid w:val="00275CA2"/>
    <w:rsid w:val="00291C5D"/>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3533C"/>
    <w:rsid w:val="00575922"/>
    <w:rsid w:val="00575D3D"/>
    <w:rsid w:val="005A6C90"/>
    <w:rsid w:val="005B61F3"/>
    <w:rsid w:val="005E3FB0"/>
    <w:rsid w:val="005F4B66"/>
    <w:rsid w:val="005F5208"/>
    <w:rsid w:val="00641318"/>
    <w:rsid w:val="0064405D"/>
    <w:rsid w:val="00685302"/>
    <w:rsid w:val="00695557"/>
    <w:rsid w:val="00695D87"/>
    <w:rsid w:val="006D4EA7"/>
    <w:rsid w:val="0070012A"/>
    <w:rsid w:val="0070664B"/>
    <w:rsid w:val="007071B8"/>
    <w:rsid w:val="007414DE"/>
    <w:rsid w:val="0078780C"/>
    <w:rsid w:val="007905A9"/>
    <w:rsid w:val="007915C0"/>
    <w:rsid w:val="007C0F56"/>
    <w:rsid w:val="007D6F25"/>
    <w:rsid w:val="007E5500"/>
    <w:rsid w:val="007F055B"/>
    <w:rsid w:val="0080644C"/>
    <w:rsid w:val="00811C2F"/>
    <w:rsid w:val="00833D46"/>
    <w:rsid w:val="00840A97"/>
    <w:rsid w:val="00881AA6"/>
    <w:rsid w:val="008C0149"/>
    <w:rsid w:val="008D4AAE"/>
    <w:rsid w:val="008D4F31"/>
    <w:rsid w:val="008D5DED"/>
    <w:rsid w:val="008E25CA"/>
    <w:rsid w:val="008F34FC"/>
    <w:rsid w:val="00944CD7"/>
    <w:rsid w:val="009831B2"/>
    <w:rsid w:val="00986B04"/>
    <w:rsid w:val="009A1ABE"/>
    <w:rsid w:val="009E21A4"/>
    <w:rsid w:val="009F22C6"/>
    <w:rsid w:val="00A00894"/>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21A4A"/>
    <w:rsid w:val="00C34562"/>
    <w:rsid w:val="00C3774E"/>
    <w:rsid w:val="00C57456"/>
    <w:rsid w:val="00C65387"/>
    <w:rsid w:val="00C87FAB"/>
    <w:rsid w:val="00C91FF7"/>
    <w:rsid w:val="00C94E53"/>
    <w:rsid w:val="00CF29C8"/>
    <w:rsid w:val="00D0048E"/>
    <w:rsid w:val="00D23E7A"/>
    <w:rsid w:val="00D50BCF"/>
    <w:rsid w:val="00D61063"/>
    <w:rsid w:val="00DB35AF"/>
    <w:rsid w:val="00DC4C15"/>
    <w:rsid w:val="00DD72D7"/>
    <w:rsid w:val="00DF5B88"/>
    <w:rsid w:val="00E0589E"/>
    <w:rsid w:val="00E241FA"/>
    <w:rsid w:val="00E2595E"/>
    <w:rsid w:val="00E35374"/>
    <w:rsid w:val="00E424D3"/>
    <w:rsid w:val="00E50C19"/>
    <w:rsid w:val="00E64655"/>
    <w:rsid w:val="00E73081"/>
    <w:rsid w:val="00E856C9"/>
    <w:rsid w:val="00E95A1C"/>
    <w:rsid w:val="00EB6A8B"/>
    <w:rsid w:val="00EE465D"/>
    <w:rsid w:val="00EF38C6"/>
    <w:rsid w:val="00F05AAE"/>
    <w:rsid w:val="00F139A5"/>
    <w:rsid w:val="00F679C7"/>
    <w:rsid w:val="00F70637"/>
    <w:rsid w:val="00F7711A"/>
    <w:rsid w:val="00FA0D58"/>
    <w:rsid w:val="00FA56F4"/>
    <w:rsid w:val="00FB4EDA"/>
    <w:rsid w:val="00FD3BD5"/>
    <w:rsid w:val="00FE1CAC"/>
    <w:rsid w:val="00FE3DC8"/>
    <w:rsid w:val="016E3167"/>
    <w:rsid w:val="02D5333A"/>
    <w:rsid w:val="04073F84"/>
    <w:rsid w:val="056F6635"/>
    <w:rsid w:val="064A4146"/>
    <w:rsid w:val="0B460A32"/>
    <w:rsid w:val="0B60750A"/>
    <w:rsid w:val="0C31406F"/>
    <w:rsid w:val="0CE00356"/>
    <w:rsid w:val="0E0A2294"/>
    <w:rsid w:val="1044706D"/>
    <w:rsid w:val="10686488"/>
    <w:rsid w:val="10DF728A"/>
    <w:rsid w:val="1264200E"/>
    <w:rsid w:val="141C5B77"/>
    <w:rsid w:val="14453EAD"/>
    <w:rsid w:val="14ED1AD8"/>
    <w:rsid w:val="15C43AEE"/>
    <w:rsid w:val="15D713A3"/>
    <w:rsid w:val="16175B0B"/>
    <w:rsid w:val="17502EA6"/>
    <w:rsid w:val="18D8339D"/>
    <w:rsid w:val="19397025"/>
    <w:rsid w:val="19B13F54"/>
    <w:rsid w:val="1A21388F"/>
    <w:rsid w:val="1A570D2F"/>
    <w:rsid w:val="1ABA699A"/>
    <w:rsid w:val="1CD94E65"/>
    <w:rsid w:val="23AD333F"/>
    <w:rsid w:val="284B3CF6"/>
    <w:rsid w:val="28FB0B8D"/>
    <w:rsid w:val="2A9870FC"/>
    <w:rsid w:val="2D2B7942"/>
    <w:rsid w:val="2D46481D"/>
    <w:rsid w:val="2E733B28"/>
    <w:rsid w:val="2FEE5860"/>
    <w:rsid w:val="31824EEC"/>
    <w:rsid w:val="31852B5A"/>
    <w:rsid w:val="32D01238"/>
    <w:rsid w:val="331A0946"/>
    <w:rsid w:val="37E55C25"/>
    <w:rsid w:val="38770FBA"/>
    <w:rsid w:val="38BF6BCE"/>
    <w:rsid w:val="3CA8600F"/>
    <w:rsid w:val="3DF45ECC"/>
    <w:rsid w:val="3DFC59A8"/>
    <w:rsid w:val="3E692B67"/>
    <w:rsid w:val="3ECF245E"/>
    <w:rsid w:val="3FB96314"/>
    <w:rsid w:val="3FB9769C"/>
    <w:rsid w:val="3FF05AA8"/>
    <w:rsid w:val="42C269FB"/>
    <w:rsid w:val="43031C91"/>
    <w:rsid w:val="435F1BEB"/>
    <w:rsid w:val="449B6493"/>
    <w:rsid w:val="48CC6E5D"/>
    <w:rsid w:val="48D25C79"/>
    <w:rsid w:val="49396F92"/>
    <w:rsid w:val="498E0FFF"/>
    <w:rsid w:val="4A7C7D3E"/>
    <w:rsid w:val="4B505FCB"/>
    <w:rsid w:val="4C2679B3"/>
    <w:rsid w:val="503816EF"/>
    <w:rsid w:val="53A44FAF"/>
    <w:rsid w:val="53D81C77"/>
    <w:rsid w:val="5787185A"/>
    <w:rsid w:val="587A4C11"/>
    <w:rsid w:val="594329EC"/>
    <w:rsid w:val="59CA6F5E"/>
    <w:rsid w:val="5AA26B93"/>
    <w:rsid w:val="5BEE1540"/>
    <w:rsid w:val="5DE61A5D"/>
    <w:rsid w:val="5F0D50BA"/>
    <w:rsid w:val="63C04243"/>
    <w:rsid w:val="644E5AE1"/>
    <w:rsid w:val="649C01C7"/>
    <w:rsid w:val="653274AB"/>
    <w:rsid w:val="65C002E0"/>
    <w:rsid w:val="699A3F60"/>
    <w:rsid w:val="6A9C6285"/>
    <w:rsid w:val="6AF26CBE"/>
    <w:rsid w:val="72902E62"/>
    <w:rsid w:val="73C61104"/>
    <w:rsid w:val="750B18FD"/>
    <w:rsid w:val="7699449B"/>
    <w:rsid w:val="776452EA"/>
    <w:rsid w:val="77AF22A1"/>
    <w:rsid w:val="77C77C4B"/>
    <w:rsid w:val="7A4B3FFD"/>
    <w:rsid w:val="7A927931"/>
    <w:rsid w:val="7D85106B"/>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黑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qFormat="1"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uiPriority w:val="99"/>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style>
  <w:style w:type="paragraph" w:styleId="7">
    <w:name w:val="Balloon Text"/>
    <w:basedOn w:val="1"/>
    <w:link w:val="20"/>
    <w:semiHidden/>
    <w:qFormat/>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Heading 1 Char"/>
    <w:basedOn w:val="14"/>
    <w:link w:val="2"/>
    <w:qFormat/>
    <w:locked/>
    <w:uiPriority w:val="99"/>
    <w:rPr>
      <w:rFonts w:ascii="Times New Roman" w:hAnsi="Times New Roman" w:eastAsia="宋体" w:cs="Times New Roman"/>
      <w:b/>
      <w:bCs/>
      <w:kern w:val="44"/>
      <w:sz w:val="44"/>
      <w:szCs w:val="44"/>
    </w:rPr>
  </w:style>
  <w:style w:type="character" w:customStyle="1" w:styleId="16">
    <w:name w:val="Heading 2 Char"/>
    <w:basedOn w:val="14"/>
    <w:link w:val="3"/>
    <w:qFormat/>
    <w:locked/>
    <w:uiPriority w:val="99"/>
    <w:rPr>
      <w:rFonts w:ascii="Calibri" w:hAnsi="Calibri" w:eastAsia="宋体" w:cs="Times New Roman"/>
      <w:b/>
      <w:bCs/>
      <w:sz w:val="32"/>
      <w:szCs w:val="32"/>
    </w:rPr>
  </w:style>
  <w:style w:type="character" w:customStyle="1" w:styleId="17">
    <w:name w:val="Heading 3 Char"/>
    <w:basedOn w:val="14"/>
    <w:link w:val="4"/>
    <w:qFormat/>
    <w:locked/>
    <w:uiPriority w:val="99"/>
    <w:rPr>
      <w:rFonts w:ascii="Times New Roman" w:hAnsi="Times New Roman" w:eastAsia="宋体" w:cs="Times New Roman"/>
      <w:b/>
      <w:bCs/>
      <w:sz w:val="32"/>
      <w:szCs w:val="32"/>
    </w:rPr>
  </w:style>
  <w:style w:type="character" w:customStyle="1" w:styleId="18">
    <w:name w:val="Heading 4 Char"/>
    <w:basedOn w:val="14"/>
    <w:link w:val="5"/>
    <w:qFormat/>
    <w:locked/>
    <w:uiPriority w:val="99"/>
    <w:rPr>
      <w:rFonts w:ascii="Calibri" w:hAnsi="Calibri" w:eastAsia="宋体" w:cs="Times New Roman"/>
      <w:b/>
      <w:bCs/>
      <w:sz w:val="28"/>
      <w:szCs w:val="28"/>
    </w:rPr>
  </w:style>
  <w:style w:type="character" w:customStyle="1" w:styleId="19">
    <w:name w:val="Date Char"/>
    <w:basedOn w:val="14"/>
    <w:link w:val="6"/>
    <w:semiHidden/>
    <w:locked/>
    <w:uiPriority w:val="99"/>
    <w:rPr>
      <w:rFonts w:ascii="Times New Roman" w:hAnsi="Times New Roman" w:eastAsia="宋体" w:cs="Times New Roman"/>
      <w:sz w:val="24"/>
      <w:szCs w:val="24"/>
    </w:rPr>
  </w:style>
  <w:style w:type="character" w:customStyle="1" w:styleId="20">
    <w:name w:val="Balloon Text Char"/>
    <w:basedOn w:val="14"/>
    <w:link w:val="7"/>
    <w:semiHidden/>
    <w:locked/>
    <w:uiPriority w:val="99"/>
    <w:rPr>
      <w:rFonts w:ascii="Times New Roman" w:hAnsi="Times New Roman" w:eastAsia="宋体" w:cs="Times New Roman"/>
      <w:sz w:val="18"/>
      <w:szCs w:val="18"/>
    </w:rPr>
  </w:style>
  <w:style w:type="character" w:customStyle="1" w:styleId="21">
    <w:name w:val="Footer Char"/>
    <w:basedOn w:val="14"/>
    <w:link w:val="8"/>
    <w:locked/>
    <w:uiPriority w:val="99"/>
    <w:rPr>
      <w:rFonts w:cs="Times New Roman"/>
      <w:sz w:val="18"/>
      <w:szCs w:val="18"/>
    </w:rPr>
  </w:style>
  <w:style w:type="character" w:customStyle="1" w:styleId="22">
    <w:name w:val="Header Char"/>
    <w:basedOn w:val="14"/>
    <w:link w:val="9"/>
    <w:locked/>
    <w:uiPriority w:val="99"/>
    <w:rPr>
      <w:rFonts w:cs="Times New Roman"/>
      <w:sz w:val="18"/>
      <w:szCs w:val="18"/>
    </w:rPr>
  </w:style>
  <w:style w:type="character" w:customStyle="1" w:styleId="23">
    <w:name w:val="Subtitle Char"/>
    <w:basedOn w:val="14"/>
    <w:link w:val="10"/>
    <w:locked/>
    <w:uiPriority w:val="99"/>
    <w:rPr>
      <w:rFonts w:ascii="Calibri" w:hAnsi="Calibri" w:eastAsia="宋体" w:cs="Times New Roman"/>
      <w:i/>
      <w:iCs/>
      <w:color w:val="F0A22E"/>
      <w:spacing w:val="15"/>
      <w:kern w:val="0"/>
      <w:sz w:val="24"/>
      <w:szCs w:val="24"/>
    </w:rPr>
  </w:style>
  <w:style w:type="character" w:customStyle="1" w:styleId="24">
    <w:name w:val="Title Char"/>
    <w:basedOn w:val="14"/>
    <w:link w:val="11"/>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4"/>
    <w:link w:val="25"/>
    <w:locked/>
    <w:uiPriority w:val="99"/>
    <w:rPr>
      <w:rFonts w:cs="Times New Roman"/>
      <w:sz w:val="22"/>
      <w:szCs w:val="22"/>
      <w:lang w:val="en-US" w:eastAsia="zh-CN" w:bidi="ar-SA"/>
    </w:rPr>
  </w:style>
  <w:style w:type="character" w:customStyle="1" w:styleId="27">
    <w:name w:val="Style1"/>
    <w:basedOn w:val="14"/>
    <w:uiPriority w:val="99"/>
    <w:rPr>
      <w:rFonts w:ascii="Cambria" w:hAnsi="黑体" w:eastAsia="黑体" w:cs="Times New Roman"/>
      <w:sz w:val="22"/>
      <w:szCs w:val="22"/>
      <w:lang w:eastAsia="zh-CN"/>
    </w:rPr>
  </w:style>
  <w:style w:type="character" w:customStyle="1" w:styleId="28">
    <w:name w:val="Style2"/>
    <w:basedOn w:val="14"/>
    <w:uiPriority w:val="99"/>
    <w:rPr>
      <w:rFonts w:ascii="Cambria" w:hAnsi="黑体" w:eastAsia="黑体" w:cs="Times New Roman"/>
      <w:sz w:val="22"/>
      <w:szCs w:val="22"/>
      <w:lang w:eastAsia="zh-CN"/>
    </w:rPr>
  </w:style>
  <w:style w:type="character" w:customStyle="1" w:styleId="29">
    <w:name w:val="Style3"/>
    <w:basedOn w:val="14"/>
    <w:uiPriority w:val="99"/>
    <w:rPr>
      <w:rFonts w:ascii="Cambria" w:hAnsi="黑体" w:eastAsia="黑体" w:cs="Times New Roman"/>
      <w:sz w:val="22"/>
      <w:szCs w:val="22"/>
      <w:lang w:eastAsia="zh-CN"/>
    </w:rPr>
  </w:style>
  <w:style w:type="character" w:customStyle="1" w:styleId="30">
    <w:name w:val="Style4"/>
    <w:basedOn w:val="14"/>
    <w:uiPriority w:val="99"/>
    <w:rPr>
      <w:rFonts w:ascii="Cambria" w:hAnsi="黑体" w:eastAsia="黑体" w:cs="Times New Roman"/>
      <w:sz w:val="22"/>
      <w:szCs w:val="22"/>
      <w:lang w:eastAsia="zh-CN"/>
    </w:rPr>
  </w:style>
  <w:style w:type="character" w:customStyle="1" w:styleId="31">
    <w:name w:val="Style5"/>
    <w:basedOn w:val="14"/>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8.jpeg"/><Relationship Id="rId22" Type="http://schemas.openxmlformats.org/officeDocument/2006/relationships/image" Target="media/image7.emf"/><Relationship Id="rId21" Type="http://schemas.openxmlformats.org/officeDocument/2006/relationships/oleObject" Target="embeddings/oleObject5.bin"/><Relationship Id="rId20" Type="http://schemas.openxmlformats.org/officeDocument/2006/relationships/image" Target="media/image6.emf"/><Relationship Id="rId2" Type="http://schemas.openxmlformats.org/officeDocument/2006/relationships/settings" Target="settings.xml"/><Relationship Id="rId19" Type="http://schemas.openxmlformats.org/officeDocument/2006/relationships/oleObject" Target="embeddings/oleObject4.bin"/><Relationship Id="rId18" Type="http://schemas.openxmlformats.org/officeDocument/2006/relationships/image" Target="media/image5.emf"/><Relationship Id="rId17" Type="http://schemas.openxmlformats.org/officeDocument/2006/relationships/oleObject" Target="embeddings/oleObject3.bin"/><Relationship Id="rId16" Type="http://schemas.openxmlformats.org/officeDocument/2006/relationships/image" Target="media/image4.png"/><Relationship Id="rId15" Type="http://schemas.openxmlformats.org/officeDocument/2006/relationships/oleObject" Target="embeddings/oleObject2.bin"/><Relationship Id="rId14" Type="http://schemas.openxmlformats.org/officeDocument/2006/relationships/image" Target="media/image3.emf"/><Relationship Id="rId13" Type="http://schemas.openxmlformats.org/officeDocument/2006/relationships/oleObject" Target="embeddings/oleObject1.bin"/><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6"/>
    <customShpInfo spid="_x0000_s1048"/>
    <customShpInfo spid="_x0000_s1049"/>
    <customShpInfo spid="_x0000_s1047"/>
    <customShpInfo spid="_x0000_s1050"/>
    <customShpInfo spid="_x0000_s1051"/>
    <customShpInfo spid="_x0000_s1052"/>
    <customShpInfo spid="_x0000_s1054"/>
    <customShpInfo spid="_x0000_s1055"/>
    <customShpInfo spid="_x0000_s1053"/>
    <customShpInfo spid="_x0000_s1057"/>
    <customShpInfo spid="_x0000_s1058"/>
    <customShpInfo spid="_x0000_s1056"/>
    <customShpInfo spid="_x0000_s1060"/>
    <customShpInfo spid="_x0000_s1061"/>
    <customShpInfo spid="_x0000_s1059"/>
    <customShpInfo spid="_x0000_s1063"/>
    <customShpInfo spid="_x0000_s1064"/>
    <customShpInfo spid="_x0000_s1062"/>
    <customShpInfo spid="_x0000_s1065"/>
    <customShpInfo spid="_x0000_s1066"/>
    <customShpInfo spid="_x0000_s1068"/>
    <customShpInfo spid="_x0000_s1069"/>
    <customShpInfo spid="_x0000_s1067"/>
    <customShpInfo spid="_x0000_s1071"/>
    <customShpInfo spid="_x0000_s1072"/>
    <customShpInfo spid="_x0000_s1070"/>
    <customShpInfo spid="_x0000_s1074"/>
    <customShpInfo spid="_x0000_s1075"/>
    <customShpInfo spid="_x0000_s1073"/>
    <customShpInfo spid="_x0000_s107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24</Pages>
  <Words>4805</Words>
  <Characters>5094</Characters>
  <Lines>0</Lines>
  <Paragraphs>0</Paragraphs>
  <TotalTime>17</TotalTime>
  <ScaleCrop>false</ScaleCrop>
  <LinksUpToDate>false</LinksUpToDate>
  <CharactersWithSpaces>5118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2019-10-28T01:40:00Z</cp:lastPrinted>
  <dcterms:modified xsi:type="dcterms:W3CDTF">2024-09-27T06:53:09Z</dcterms:modified>
  <dc:subject>石家庄市xxx部门</dc:subject>
  <dc:title>2017年度部门决算</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71ACD4D15A5F40FE8AAED8E45C44F7B6_12</vt:lpwstr>
  </property>
</Properties>
</file>