
<file path=[Content_Types].xml><?xml version="1.0" encoding="utf-8"?>
<Types xmlns="http://schemas.openxmlformats.org/package/2006/content-types">
  <Default Extension="xml" ContentType="application/xml"/>
  <Default Extension="bin" ContentType="application/vnd.openxmlformats-officedocument.oleObject"/>
  <Default Extension="gif" ContentType="image/gif"/>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eastAsia="Times New Roman" w:cs="Times New Roman"/>
        </w:rPr>
        <w:sectPr>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2336;mso-width-relative:page;mso-height-relative:page;" filled="f" stroked="f" coordsize="21600,21600">
            <v:path/>
            <v:fill on="f" focussize="0,0"/>
            <v:stroke on="f" joinstyle="miter"/>
            <v:imagedata o:title=""/>
            <o:lock v:ext="edit"/>
            <v:textbox style="mso-fit-shape-to-text:t;">
              <w:txbxContent>
                <w:p>
                  <w:pPr>
                    <w:jc w:val="center"/>
                    <w:rPr>
                      <w:rFonts w:ascii="楷体_GB2312" w:hAnsi="楷体_GB2312" w:eastAsia="楷体_GB2312" w:cs="Times New Roman"/>
                      <w:color w:val="000000"/>
                      <w:kern w:val="0"/>
                      <w:sz w:val="44"/>
                      <w:szCs w:val="44"/>
                    </w:rPr>
                  </w:pPr>
                  <w:r>
                    <w:rPr>
                      <w:rFonts w:hint="eastAsia" w:ascii="楷体_GB2312" w:hAnsi="楷体_GB2312" w:eastAsia="楷体_GB2312" w:cs="楷体_GB2312"/>
                      <w:color w:val="000000"/>
                      <w:kern w:val="0"/>
                      <w:sz w:val="44"/>
                      <w:szCs w:val="44"/>
                    </w:rPr>
                    <w:t>二〇二〇年十月</w:t>
                  </w:r>
                </w:p>
              </w:txbxContent>
            </v:textbox>
          </v:shape>
        </w:pict>
      </w:r>
      <w:r>
        <w:pict>
          <v:shape id="椭圆 8" o:spid="_x0000_s1027" o:spt="3" type="#_x0000_t3" style="position:absolute;left:0pt;margin-left:53.5pt;margin-top:232.45pt;height:121.95pt;width:121.95pt;z-index:251659264;v-text-anchor:middle;mso-width-relative:page;mso-height-relative:page;" stroked="f" coordsize="21600,21600">
            <v:path/>
            <v:fill focussize="0,0"/>
            <v:stroke on="f" weight="1pt" joinstyle="miter"/>
            <v:imagedata o:title=""/>
            <o:lock v:ext="edit"/>
            <v:textbox>
              <w:txbxContent>
                <w:p>
                  <w:pPr>
                    <w:jc w:val="center"/>
                    <w:rPr>
                      <w:rFonts w:cs="Times New Roman"/>
                    </w:rPr>
                  </w:pPr>
                </w:p>
              </w:txbxContent>
            </v:textbox>
          </v:shape>
        </w:pict>
      </w:r>
      <w:r>
        <w:pict>
          <v:rect id="矩形 14" o:spid="_x0000_s1028" o:spt="1" style="position:absolute;left:0pt;margin-left:33.6pt;margin-top:256.75pt;height:69.6pt;width:160.65pt;z-index:251664384;mso-width-relative:page;mso-height-relative:page;" filled="f" stroked="f" coordsize="21600,21600">
            <v:path/>
            <v:fill on="f" focussize="0,0"/>
            <v:stroke on="f"/>
            <v:imagedata o:title=""/>
            <o:lock v:ext="edit"/>
            <v:textbox style="mso-fit-shape-to-text:t;">
              <w:txbxContent>
                <w:p>
                  <w:pPr>
                    <w:spacing w:line="360" w:lineRule="auto"/>
                    <w:jc w:val="center"/>
                    <w:rPr>
                      <w:rFonts w:cs="Times New Roman"/>
                      <w:kern w:val="0"/>
                      <w:sz w:val="28"/>
                      <w:szCs w:val="28"/>
                    </w:rPr>
                  </w:pPr>
                  <w:r>
                    <w:rPr>
                      <w:rFonts w:ascii="Yu Gothic UI Semibold" w:hAnsi="Yu Gothic UI Semibold" w:cs="Yu Gothic UI Semibold"/>
                      <w:color w:val="FFFFFF"/>
                      <w:kern w:val="24"/>
                      <w:sz w:val="72"/>
                      <w:szCs w:val="72"/>
                    </w:rPr>
                    <w:t>2019</w:t>
                  </w:r>
                </w:p>
              </w:txbxContent>
            </v:textbox>
          </v:rect>
        </w:pict>
      </w:r>
      <w:r>
        <w:pict>
          <v:shape id="椭圆 9" o:spid="_x0000_s1029" o:spt="3" type="#_x0000_t3" style="position:absolute;left:0pt;margin-left:62.2pt;margin-top:242.75pt;height:103.45pt;width:103.45pt;z-index:251663360;v-text-anchor:middle;mso-width-relative:page;mso-height-relative:page;" fillcolor="#1F2959" filled="t" stroked="f" coordsize="21600,21600">
            <v:path/>
            <v:fill on="t" focussize="0,0"/>
            <v:stroke on="f" weight="1pt" joinstyle="miter"/>
            <v:imagedata o:title=""/>
            <o:lock v:ext="edit"/>
            <v:textbox>
              <w:txbxContent>
                <w:p>
                  <w:pPr>
                    <w:jc w:val="center"/>
                    <w:rPr>
                      <w:rFonts w:cs="Times New Roman"/>
                    </w:rPr>
                  </w:pPr>
                </w:p>
              </w:txbxContent>
            </v:textbox>
          </v:shape>
        </w:pict>
      </w:r>
      <w:r>
        <w:pict>
          <v:group id="_x0000_s1030" o:spid="_x0000_s1030" o:spt="203" style="position:absolute;left:0pt;margin-left:1.25pt;margin-top:821.7pt;height:21.45pt;width:595.25pt;z-index:251660288;mso-width-relative:page;mso-height-relative:page;" coordorigin="1483,16692" coordsize="11905,429203">
            <o:lock v:ext="edit"/>
            <v:rect id="矩形 6" o:spid="_x0000_s1031" o:spt="1" style="position:absolute;left:1483;top:16692;height:428;width:1125;v-text-anchor:middle;" fillcolor="#FDBC11" filled="t" stroked="f" coordsize="21600,21600">
              <v:path/>
              <v:fill on="t" focussize="0,0"/>
              <v:stroke on="f" weight="1pt"/>
              <v:imagedata o:title=""/>
              <o:lock v:ext="edit"/>
            </v:rect>
            <v:rect id="矩形 7" o:spid="_x0000_s1032" o:spt="1" style="position:absolute;left:2608;top:16693;height:428;width:10780;v-text-anchor:middle;" fillcolor="#1F2959" filled="t" stroked="f" coordsize="21600,21600">
              <v:path/>
              <v:fill on="t" focussize="0,0"/>
              <v:stroke on="f" weight="1pt"/>
              <v:imagedata o:title=""/>
              <o:lock v:ext="edit"/>
            </v:rect>
          </v:group>
        </w:pict>
      </w:r>
      <w:r>
        <w:pict>
          <v:group id="_x0000_s1033" o:spid="_x0000_s1033" o:spt="203" style="position:absolute;left:0pt;margin-left:-2.5pt;margin-top:-3.35pt;height:69.6pt;width:600.25pt;z-index:-251651072;mso-width-relative:page;mso-height-relative:page;" coordorigin="13622,-66719" coordsize="12005,1392046">
            <o:lock v:ext="edit"/>
            <v:rect id="矩形 5" o:spid="_x0000_s1034" o:spt="1" style="position:absolute;left:13622;top:283;height:6170;width:12005;v-text-anchor:middle;" fillcolor="#FDBC11" filled="t" stroked="f" coordsize="21600,21600">
              <v:path/>
              <v:fill on="t" focussize="0,0"/>
              <v:stroke on="f" weight="1pt"/>
              <v:imagedata o:title=""/>
              <o:lock v:ext="edit"/>
            </v:rect>
            <v:shape id="_x0000_s1035" o:spid="_x0000_s1035" o:spt="202" type="#_x0000_t202" style="position:absolute;left:17229;top:-66719;height:1392046;width:8083;" filled="f" stroked="f" coordsize="21600,21600">
              <v:path/>
              <v:fill on="f" focussize="0,0"/>
              <v:stroke on="f" joinstyle="miter"/>
              <v:imagedata o:title=""/>
              <o:lock v:ext="edit"/>
              <v:textbox style="mso-fit-shape-to-text:t;">
                <w:txbxContent>
                  <w:p>
                    <w:pPr>
                      <w:jc w:val="left"/>
                      <w:rPr>
                        <w:rFonts w:cs="Times New Roman"/>
                        <w:color w:val="000000"/>
                        <w:kern w:val="0"/>
                        <w:sz w:val="92"/>
                        <w:szCs w:val="92"/>
                      </w:rPr>
                    </w:pPr>
                    <w:r>
                      <w:rPr>
                        <w:rFonts w:hint="eastAsia" w:ascii="思源黑体 HW Bold" w:hAnsi="思源黑体 HW Bold" w:eastAsia="思源黑体 HW Bold" w:cs="思源黑体 HW Bold"/>
                        <w:color w:val="000000"/>
                        <w:kern w:val="24"/>
                        <w:sz w:val="92"/>
                        <w:szCs w:val="92"/>
                      </w:rPr>
                      <w:t>部门决算公开文本</w:t>
                    </w:r>
                  </w:p>
                </w:txbxContent>
              </v:textbox>
            </v:shape>
          </v:group>
        </w:pict>
      </w:r>
      <w:r>
        <w:pict>
          <v:rect id="矩形 11" o:spid="_x0000_s1036" o:spt="1" style="position:absolute;left:0pt;margin-left:184.75pt;margin-top:286.6pt;height:31.25pt;width:339.65pt;mso-wrap-style:none;z-index:251661312;mso-width-relative:page;mso-height-relative:page;" filled="f" stroked="f" coordsize="21600,21600">
            <v:path/>
            <v:fill on="f" focussize="0,0"/>
            <v:stroke on="f"/>
            <v:imagedata o:title=""/>
            <o:lock v:ext="edit"/>
            <v:textbox style="mso-fit-shape-to-text:t;">
              <w:txbxContent>
                <w:p>
                  <w:pPr>
                    <w:rPr>
                      <w:rFonts w:cs="Times New Roman"/>
                    </w:rPr>
                  </w:pPr>
                </w:p>
              </w:txbxContent>
            </v:textbox>
          </v:rect>
        </w:pict>
      </w:r>
      <w:r>
        <w:t xml:space="preserve"> </w:t>
      </w:r>
    </w:p>
    <w:p>
      <w:pPr>
        <w:rPr>
          <w:rFonts w:cs="Times New Roman"/>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rPr>
          <w:rFonts w:ascii="黑体" w:hAnsi="Times New Roman" w:eastAsia="黑体" w:cs="Times New Roman"/>
          <w:sz w:val="48"/>
          <w:szCs w:val="48"/>
        </w:rPr>
      </w:pPr>
      <w:r>
        <w:rPr>
          <w:rFonts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ascii="黑体" w:hAnsi="Times New Roman" w:eastAsia="黑体" w:cs="Times New Roman"/>
          <w:sz w:val="48"/>
          <w:szCs w:val="48"/>
        </w:rPr>
        <w:tab/>
      </w:r>
    </w:p>
    <w:p>
      <w:pPr>
        <w:rPr>
          <w:rFonts w:ascii="黑体" w:hAnsi="黑体" w:eastAsia="黑体" w:cs="Times New Roman"/>
          <w:sz w:val="56"/>
          <w:szCs w:val="56"/>
        </w:rPr>
      </w:pPr>
    </w:p>
    <w:p>
      <w:pPr>
        <w:rPr>
          <w:rFonts w:ascii="黑体" w:hAnsi="黑体" w:eastAsia="黑体" w:cs="Times New Roman"/>
          <w:b/>
          <w:bCs/>
          <w:sz w:val="72"/>
          <w:szCs w:val="72"/>
        </w:rPr>
      </w:pPr>
      <w:r>
        <w:rPr>
          <w:rFonts w:ascii="黑体" w:hAnsi="黑体" w:eastAsia="黑体" w:cs="黑体"/>
          <w:b/>
          <w:bCs/>
          <w:sz w:val="72"/>
          <w:szCs w:val="72"/>
        </w:rPr>
        <w:t>2019</w:t>
      </w:r>
      <w:r>
        <w:rPr>
          <w:rFonts w:hint="eastAsia" w:ascii="黑体" w:hAnsi="黑体" w:eastAsia="黑体" w:cs="黑体"/>
          <w:b/>
          <w:bCs/>
          <w:sz w:val="72"/>
          <w:szCs w:val="72"/>
        </w:rPr>
        <w:t>年度部门决算公开文本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napToGrid w:val="0"/>
        <w:ind w:firstLine="1760" w:firstLineChars="400"/>
        <w:rPr>
          <w:rFonts w:ascii="楷体_GB2312" w:hAnsi="楷体_GB2312" w:eastAsia="楷体_GB2312" w:cs="Times New Roman"/>
          <w:color w:val="000000"/>
          <w:kern w:val="0"/>
          <w:sz w:val="44"/>
          <w:szCs w:val="44"/>
        </w:rPr>
      </w:pPr>
      <w:r>
        <w:rPr>
          <w:rFonts w:hint="eastAsia" w:ascii="楷体_GB2312" w:hAnsi="楷体_GB2312" w:eastAsia="楷体_GB2312" w:cs="楷体_GB2312"/>
          <w:color w:val="000000"/>
          <w:kern w:val="0"/>
          <w:sz w:val="44"/>
          <w:szCs w:val="44"/>
        </w:rPr>
        <w:t>高邑县自然资源和规划局</w:t>
      </w:r>
    </w:p>
    <w:p>
      <w:pPr>
        <w:snapToGrid w:val="0"/>
        <w:jc w:val="center"/>
        <w:rPr>
          <w:rFonts w:ascii="楷体_GB2312" w:hAnsi="楷体_GB2312" w:eastAsia="楷体_GB2312" w:cs="Times New Roman"/>
          <w:color w:val="000000"/>
          <w:kern w:val="0"/>
          <w:sz w:val="44"/>
          <w:szCs w:val="44"/>
        </w:rPr>
        <w:sectPr>
          <w:headerReference r:id="rId4" w:type="first"/>
          <w:footerReference r:id="rId5" w:type="first"/>
          <w:headerReference r:id="rId3"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二〇二〇年十月</w:t>
      </w:r>
    </w:p>
    <w:p>
      <w:pPr>
        <w:widowControl/>
        <w:spacing w:line="600" w:lineRule="exact"/>
        <w:jc w:val="left"/>
        <w:rPr>
          <w:rFonts w:ascii="黑体" w:hAnsi="黑体" w:eastAsia="黑体" w:cs="Times New Roman"/>
          <w:sz w:val="56"/>
          <w:szCs w:val="56"/>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p>
    <w:p>
      <w:pPr>
        <w:jc w:val="center"/>
        <w:rPr>
          <w:rFonts w:ascii="黑体" w:hAnsi="Times New Roman" w:eastAsia="黑体" w:cs="Times New Roman"/>
          <w:sz w:val="48"/>
          <w:szCs w:val="48"/>
        </w:rPr>
      </w:pPr>
      <w:r>
        <w:rPr>
          <w:rFonts w:hint="eastAsia" w:ascii="黑体" w:hAnsi="Times New Roman" w:eastAsia="黑体" w:cs="黑体"/>
          <w:sz w:val="48"/>
          <w:szCs w:val="48"/>
        </w:rPr>
        <w:t>目</w:t>
      </w:r>
      <w:r>
        <w:rPr>
          <w:rFonts w:ascii="黑体" w:hAnsi="Times New Roman" w:eastAsia="黑体" w:cs="黑体"/>
          <w:sz w:val="48"/>
          <w:szCs w:val="48"/>
        </w:rPr>
        <w:t xml:space="preserve">    </w:t>
      </w:r>
      <w:r>
        <w:rPr>
          <w:rFonts w:hint="eastAsia" w:ascii="黑体" w:hAnsi="Times New Roman" w:eastAsia="黑体" w:cs="黑体"/>
          <w:sz w:val="48"/>
          <w:szCs w:val="48"/>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2019</w:t>
      </w:r>
      <w:r>
        <w:rPr>
          <w:rFonts w:hint="eastAsia" w:ascii="Times New Roman" w:hAnsi="Times New Roman" w:eastAsia="黑体" w:cs="黑体"/>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w:t>
      </w:r>
      <w:r>
        <w:rPr>
          <w:rFonts w:ascii="Times New Roman" w:hAnsi="Times New Roman" w:eastAsia="仿宋_GB2312" w:cs="Times New Roman"/>
          <w:sz w:val="32"/>
          <w:szCs w:val="32"/>
        </w:rPr>
        <w:t>“</w:t>
      </w:r>
      <w:r>
        <w:rPr>
          <w:rFonts w:hint="eastAsia" w:ascii="Times New Roman" w:hAnsi="Times New Roman" w:eastAsia="仿宋_GB2312" w:cs="仿宋_GB2312"/>
          <w:sz w:val="32"/>
          <w:szCs w:val="32"/>
        </w:rPr>
        <w:t>三公</w:t>
      </w:r>
      <w:r>
        <w:rPr>
          <w:rFonts w:ascii="Times New Roman" w:hAnsi="Times New Roman" w:eastAsia="仿宋_GB2312" w:cs="Times New Roman"/>
          <w:sz w:val="32"/>
          <w:szCs w:val="32"/>
        </w:rPr>
        <w:t>”</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2019</w:t>
      </w:r>
      <w:r>
        <w:rPr>
          <w:rFonts w:hint="eastAsia" w:ascii="Times New Roman" w:hAnsi="Times New Roman" w:eastAsia="黑体" w:cs="黑体"/>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cs="Times New Roman"/>
          <w:sz w:val="32"/>
          <w:szCs w:val="32"/>
        </w:rPr>
      </w:pPr>
    </w:p>
    <w:p>
      <w:pPr>
        <w:widowControl/>
        <w:spacing w:line="580" w:lineRule="exact"/>
        <w:ind w:firstLine="640" w:firstLineChars="200"/>
        <w:rPr>
          <w:rFonts w:eastAsia="黑体" w:cs="Times New Roman"/>
          <w:sz w:val="32"/>
          <w:szCs w:val="32"/>
        </w:rPr>
      </w:pPr>
    </w:p>
    <w:p>
      <w:pPr>
        <w:widowControl/>
        <w:spacing w:line="580" w:lineRule="exact"/>
        <w:ind w:firstLine="640" w:firstLineChars="200"/>
        <w:rPr>
          <w:rFonts w:eastAsia="黑体" w:cs="Times New Roman"/>
          <w:sz w:val="32"/>
          <w:szCs w:val="32"/>
        </w:rPr>
      </w:pPr>
    </w:p>
    <w:p>
      <w:pPr>
        <w:rPr>
          <w:rFonts w:ascii="仿宋_GB2312" w:hAnsi="Cambria" w:eastAsia="仿宋_GB2312" w:cs="Times New Roman"/>
          <w:sz w:val="32"/>
          <w:szCs w:val="32"/>
        </w:rPr>
      </w:pPr>
      <w:r>
        <w:pict>
          <v:shape id="_x0000_s1037" o:spid="_x0000_s1037" o:spt="202" type="#_x0000_t202" style="position:absolute;left:0pt;margin-left:-85.7pt;margin-top:80.7pt;height:263.1pt;width:613.65pt;z-index:251666432;v-text-anchor:middle;mso-width-relative:page;mso-height-relative:page;" fillcolor="#FFD966" filled="t" stroked="t" coordsize="21600,21600">
            <v:path/>
            <v:fill type="pattern" on="t" focussize="0,0" r:id="rId17"/>
            <v:stroke weight="1pt" color="#FFD966" joinstyle="round"/>
            <v:imagedata o:title=""/>
            <o:lock v:ext="edit"/>
            <v:textbox>
              <w:txbxContent>
                <w:p>
                  <w:pPr>
                    <w:widowControl/>
                    <w:jc w:val="center"/>
                    <w:rPr>
                      <w:rFonts w:ascii="黑体" w:hAnsi="黑体" w:eastAsia="黑体" w:cs="Times New Roman"/>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v:textbox>
          </v:shape>
        </w:pict>
      </w:r>
      <w:r>
        <w:rPr>
          <w:rFonts w:ascii="仿宋_GB2312" w:hAnsi="Cambria" w:eastAsia="仿宋_GB2312" w:cs="Times New Roman"/>
          <w:sz w:val="32"/>
          <w:szCs w:val="32"/>
        </w:rPr>
        <w:br w:type="page"/>
      </w:r>
    </w:p>
    <w:p>
      <w:pPr>
        <w:keepNext/>
        <w:keepLines/>
        <w:spacing w:line="580" w:lineRule="exact"/>
        <w:ind w:firstLine="640" w:firstLineChars="200"/>
        <w:jc w:val="left"/>
        <w:outlineLvl w:val="0"/>
        <w:rPr>
          <w:rFonts w:ascii="黑体" w:hAnsi="Calibri" w:eastAsia="黑体" w:cs="Times New Roman"/>
          <w:kern w:val="0"/>
          <w:sz w:val="32"/>
          <w:szCs w:val="32"/>
        </w:rPr>
      </w:pPr>
      <w:r>
        <w:rPr>
          <w:rFonts w:hint="eastAsia" w:ascii="黑体" w:hAnsi="Calibri" w:eastAsia="黑体" w:cs="黑体"/>
          <w:kern w:val="0"/>
          <w:sz w:val="32"/>
          <w:szCs w:val="32"/>
        </w:rPr>
        <w:t>一、部门职责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Cambria" w:eastAsia="仿宋_GB2312" w:cs="Times New Roman"/>
          <w:sz w:val="32"/>
          <w:szCs w:val="32"/>
        </w:rPr>
      </w:pPr>
      <w:r>
        <w:rPr>
          <w:rFonts w:ascii="仿宋_GB2312" w:hAnsi="Cambria" w:eastAsia="仿宋_GB2312" w:cs="仿宋_GB2312"/>
          <w:sz w:val="32"/>
          <w:szCs w:val="32"/>
        </w:rPr>
        <w:t xml:space="preserve"> </w:t>
      </w:r>
      <w:r>
        <w:rPr>
          <w:rFonts w:hint="eastAsia" w:ascii="仿宋_GB2312" w:hAnsi="Cambria" w:eastAsia="仿宋_GB2312" w:cs="仿宋_GB2312"/>
          <w:sz w:val="32"/>
          <w:szCs w:val="32"/>
        </w:rPr>
        <w:t>高邑县自然资源和规划局是依法保护土地资源、合理利用土地资源工作的县政府组成部门，主要职责：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（一）土地资源管理。负责本行政区域内的自然资源地籍调查、登记、变更和统计工作，编制自然资源土地利用规划，建立自然资源管理档案</w:t>
      </w:r>
      <w:r>
        <w:rPr>
          <w:rFonts w:ascii="仿宋_GB2312" w:hAnsi="Cambria" w:eastAsia="仿宋_GB2312" w:cs="仿宋_GB2312"/>
          <w:sz w:val="32"/>
          <w:szCs w:val="32"/>
        </w:rPr>
        <w:t>;</w:t>
      </w:r>
      <w:r>
        <w:rPr>
          <w:rFonts w:hint="eastAsia" w:ascii="仿宋_GB2312" w:hAnsi="Cambria" w:eastAsia="仿宋_GB2312" w:cs="仿宋_GB2312"/>
          <w:sz w:val="32"/>
          <w:szCs w:val="32"/>
        </w:rPr>
        <w:t>制定基本农田保护和土地整理、复垦、开发工作和耕地保护相关制度。绩效目标为全县基本农田保护不减少，确保全县耕地占补平衡，掌握全县耕地质量变化；全县土地变更数据的现势性和连续性，实现农村集体土地确权登记发证和不动产登记业务流程和规范化。对全县土地市场和地价进行动态监测为科学管地用地提供依据。此项工作开展通过占补平衡率、总量平衡数据准确率、土地变更调查、地籍管理完成率以及监测分析工作次数来衡量的，</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pPr>
        <w:spacing w:line="360" w:lineRule="auto"/>
        <w:ind w:firstLine="560"/>
        <w:rPr>
          <w:rFonts w:ascii="仿宋_GB2312" w:hAnsi="Cambria" w:eastAsia="仿宋_GB2312" w:cs="Times New Roman"/>
          <w:sz w:val="32"/>
          <w:szCs w:val="32"/>
        </w:rPr>
      </w:pPr>
      <w:r>
        <w:rPr>
          <w:rFonts w:hint="eastAsia" w:ascii="仿宋_GB2312" w:hAnsi="Cambria" w:eastAsia="仿宋_GB2312" w:cs="仿宋_GB2312"/>
          <w:sz w:val="32"/>
          <w:szCs w:val="32"/>
        </w:rPr>
        <w:t>（二）矿产资源管理与地质环境。负责全县矿产资源开发管理，组织实施矿产资源勘查，推动地质灾害防止地质环境恢复治理和地质遗迹保护工作，开展地下水检测和地热、矿泉水管理。绩效目标为矿产管理工作和矿业经济分析提供数据基础；保证矿产资源开发利用方案的科学、合理、有效，把好资源开发利用的源头关；推进矿产资源合理勘查，减低勘查投资方风险。加强县基础地质和地质找矿工作，推进地质勘查项目管理能力。通过矿产勘查管理和监管工作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pPr>
        <w:spacing w:line="360" w:lineRule="auto"/>
        <w:ind w:firstLine="560"/>
        <w:rPr>
          <w:rFonts w:ascii="仿宋_GB2312" w:hAnsi="Cambria" w:eastAsia="仿宋_GB2312" w:cs="Times New Roman"/>
          <w:sz w:val="32"/>
          <w:szCs w:val="32"/>
        </w:rPr>
      </w:pPr>
      <w:r>
        <w:rPr>
          <w:rFonts w:hint="eastAsia" w:ascii="仿宋_GB2312" w:hAnsi="Cambria" w:eastAsia="仿宋_GB2312" w:cs="仿宋_GB2312"/>
          <w:sz w:val="32"/>
          <w:szCs w:val="32"/>
        </w:rPr>
        <w:t>（三）海洋资源管理。负责全县海岸线，科学合理利用，保护海洋环境，减少海污染；保护海岛资源，及时掌握海洋经济发展动态。绩效目标做好海域海岸带整治修复工作；监测海岸线和重要河口等空间资源利用情况。通过海域海岸整治修复工作完成率、海域使用检测率、监视监测海域使用情况信息及时掌握率来衡量，</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四）自然资源执法与监察。加强全县自然资源执法监察工作，提高自然资源执法能力，并进行执法检查落实日常，及时发现、制止违法行为，重大专项执法工作按量按质完成，维护群众合法权益。绩效目标为加强日常执法监管，将违法解决在初始、遏制在萌芽</w:t>
      </w:r>
      <w:r>
        <w:rPr>
          <w:rFonts w:ascii="仿宋_GB2312" w:hAnsi="Cambria" w:eastAsia="仿宋_GB2312" w:cs="仿宋_GB2312"/>
          <w:sz w:val="32"/>
          <w:szCs w:val="32"/>
        </w:rPr>
        <w:t>;</w:t>
      </w:r>
      <w:r>
        <w:rPr>
          <w:rFonts w:hint="eastAsia" w:ascii="仿宋_GB2312" w:hAnsi="Cambria" w:eastAsia="仿宋_GB2312" w:cs="仿宋_GB2312"/>
          <w:sz w:val="32"/>
          <w:szCs w:val="32"/>
        </w:rPr>
        <w:t>做好重点执法专项行动，严厉打击违法，维护群众合法权益。通过基础性保障项目完成率、举报线索处置率、重大典型违法案件调查反馈率来衡量，</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五）自然资源政务管理。负责自然资源系统综合业务管理和机关综合事务管理，进一步增强自然资源（海洋）管理保障能力。绩效目标为做好自然资源（海洋）各类规划编制和实施，用地计划、用地预审管理，绿色矿山、示范基地建设，全面推行自然资源工作依法行政，推动普法工作落实推进自然资源（海洋）科技的应用和推广。通过综合业务管理工作完成率来衡量，</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90%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六）不动产登记。负责土地登记、房屋登记、林地登记、水域登记等不动产登记工作。整合不动产登记职责，对于保护不动产权利人合法财产权、提高政府治理效率和水平。绩效目标为整合不动产登记职责，对于保护不动产权利人哈法财产权、提高政府治理效率和水平。通过不动产登记完成率来衡量，</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90%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pPr>
        <w:spacing w:line="360" w:lineRule="auto"/>
        <w:ind w:firstLine="640" w:firstLineChars="200"/>
        <w:rPr>
          <w:rFonts w:ascii="仿宋_GB2312" w:hAnsi="Cambria" w:eastAsia="仿宋_GB2312" w:cs="Times New Roman"/>
          <w:sz w:val="32"/>
          <w:szCs w:val="32"/>
        </w:rPr>
      </w:pPr>
      <w:r>
        <w:rPr>
          <w:rFonts w:ascii="仿宋_GB2312" w:hAnsi="Cambria" w:eastAsia="仿宋_GB2312" w:cs="仿宋_GB2312"/>
          <w:sz w:val="32"/>
          <w:szCs w:val="32"/>
        </w:rPr>
        <w:t>(</w:t>
      </w:r>
      <w:r>
        <w:rPr>
          <w:rFonts w:hint="eastAsia" w:ascii="仿宋_GB2312" w:hAnsi="Cambria" w:eastAsia="仿宋_GB2312" w:cs="仿宋_GB2312"/>
          <w:sz w:val="32"/>
          <w:szCs w:val="32"/>
        </w:rPr>
        <w:t>七）城乡规划及政务管理。负责县域城镇体系规划、专项规划、控制性详细规划等规划编制；参与其它部门行业规划编制；指导编制并审查乡镇规划和村庄规划；制定城乡规划技术管理标准和导则；对由政府审批的规划进行监督实施；对违反规划的行为依法进行查处。通过规划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以下为差），测绘完成率（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以下为差。）、数字规划建设覆盖率（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以下为差。）、规划审批率规划监督完成率（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以下为差。）县城建设工作考核评价完成率（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以下为差）来衡量。</w:t>
      </w:r>
    </w:p>
    <w:p>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八）林业科技支撑和公共服务。负责全县林业及生态建设的科技创新和技术示范推广，为林业生态发展和林产品提供公共支撑。严格执行林地、林权管理森林采伐限额，拟订林地利用规划并负责实施。监督检查林木平整采伐、运输。监管全县林地、林权和森林资源，提供林业资源资产安全性、完整性和实用性。通过林业基础设施完好率（</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80%</w:t>
      </w:r>
      <w:r>
        <w:rPr>
          <w:rFonts w:hint="eastAsia" w:ascii="仿宋_GB2312" w:hAnsi="Cambria" w:eastAsia="仿宋_GB2312" w:cs="仿宋_GB2312"/>
          <w:sz w:val="32"/>
          <w:szCs w:val="32"/>
        </w:rPr>
        <w:t>以下为差）征占用林地前置审核工作完成率（</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80%</w:t>
      </w:r>
      <w:r>
        <w:rPr>
          <w:rFonts w:hint="eastAsia" w:ascii="仿宋_GB2312" w:hAnsi="Cambria" w:eastAsia="仿宋_GB2312" w:cs="仿宋_GB2312"/>
          <w:sz w:val="32"/>
          <w:szCs w:val="32"/>
        </w:rPr>
        <w:t>以下为差。）、森林覆盖率净增量（</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90%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90%</w:t>
      </w:r>
      <w:r>
        <w:rPr>
          <w:rFonts w:hint="eastAsia" w:ascii="仿宋_GB2312" w:hAnsi="Cambria" w:eastAsia="仿宋_GB2312" w:cs="仿宋_GB2312"/>
          <w:sz w:val="32"/>
          <w:szCs w:val="32"/>
        </w:rPr>
        <w:t>以下为差）来衡量。</w:t>
      </w:r>
    </w:p>
    <w:p>
      <w:pPr>
        <w:rPr>
          <w:rFonts w:eastAsia="黑体" w:cs="Times New Roman"/>
        </w:rPr>
      </w:pPr>
    </w:p>
    <w:p>
      <w:pPr>
        <w:rPr>
          <w:rFonts w:cs="Times New Roman"/>
        </w:rPr>
      </w:pPr>
    </w:p>
    <w:p>
      <w:pPr>
        <w:keepNext/>
        <w:keepLines/>
        <w:spacing w:line="580" w:lineRule="exact"/>
        <w:ind w:firstLine="640" w:firstLineChars="200"/>
        <w:jc w:val="left"/>
        <w:outlineLvl w:val="0"/>
        <w:rPr>
          <w:rFonts w:ascii="黑体" w:hAnsi="Calibri" w:eastAsia="黑体" w:cs="Times New Roman"/>
          <w:kern w:val="0"/>
          <w:sz w:val="32"/>
          <w:szCs w:val="32"/>
        </w:rPr>
      </w:pPr>
      <w:r>
        <w:rPr>
          <w:rFonts w:hint="eastAsia" w:ascii="黑体" w:hAnsi="Calibri" w:eastAsia="黑体" w:cs="黑体"/>
          <w:kern w:val="0"/>
          <w:sz w:val="32"/>
          <w:szCs w:val="32"/>
        </w:rPr>
        <w:t>二、机构设置</w:t>
      </w:r>
    </w:p>
    <w:p>
      <w:pPr>
        <w:spacing w:line="560" w:lineRule="exact"/>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从决算编报单位构成看，纳入</w:t>
      </w:r>
      <w:r>
        <w:rPr>
          <w:rFonts w:ascii="仿宋_GB2312" w:hAnsi="Cambria" w:eastAsia="仿宋_GB2312" w:cs="仿宋_GB2312"/>
          <w:sz w:val="32"/>
          <w:szCs w:val="32"/>
        </w:rPr>
        <w:t>2019</w:t>
      </w:r>
      <w:r>
        <w:rPr>
          <w:rFonts w:hint="eastAsia" w:ascii="仿宋_GB2312" w:hAnsi="Cambria" w:eastAsia="仿宋_GB2312" w:cs="仿宋_GB2312"/>
          <w:sz w:val="32"/>
          <w:szCs w:val="32"/>
        </w:rPr>
        <w:t>年度本部门决算汇编范围的独立核算单位（以下简称“单位”）共</w:t>
      </w:r>
      <w:r>
        <w:rPr>
          <w:rFonts w:ascii="仿宋_GB2312" w:hAnsi="Cambria" w:eastAsia="仿宋_GB2312" w:cs="仿宋_GB2312"/>
          <w:sz w:val="32"/>
          <w:szCs w:val="32"/>
        </w:rPr>
        <w:t xml:space="preserve"> 1</w:t>
      </w:r>
      <w:r>
        <w:rPr>
          <w:rFonts w:hint="eastAsia" w:ascii="仿宋_GB2312" w:hAnsi="Cambria" w:eastAsia="仿宋_GB2312" w:cs="仿宋_GB2312"/>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序号</w:t>
            </w:r>
          </w:p>
        </w:tc>
        <w:tc>
          <w:tcPr>
            <w:tcW w:w="3485" w:type="dxa"/>
            <w:vAlign w:val="center"/>
          </w:tcPr>
          <w:p>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单位名称</w:t>
            </w:r>
          </w:p>
        </w:tc>
        <w:tc>
          <w:tcPr>
            <w:tcW w:w="2445" w:type="dxa"/>
            <w:vAlign w:val="center"/>
          </w:tcPr>
          <w:p>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单位基本性质</w:t>
            </w:r>
          </w:p>
        </w:tc>
        <w:tc>
          <w:tcPr>
            <w:tcW w:w="2665" w:type="dxa"/>
            <w:vAlign w:val="center"/>
          </w:tcPr>
          <w:p>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jc w:val="center"/>
        </w:trPr>
        <w:tc>
          <w:tcPr>
            <w:tcW w:w="985" w:type="dxa"/>
          </w:tcPr>
          <w:p>
            <w:pPr>
              <w:spacing w:line="560" w:lineRule="exact"/>
              <w:jc w:val="center"/>
              <w:rPr>
                <w:rFonts w:ascii="仿宋_GB2312" w:hAnsi="Cambria" w:eastAsia="仿宋_GB2312" w:cs="仿宋_GB2312"/>
                <w:sz w:val="28"/>
                <w:szCs w:val="28"/>
              </w:rPr>
            </w:pPr>
            <w:r>
              <w:rPr>
                <w:rFonts w:ascii="仿宋_GB2312" w:hAnsi="Cambria" w:eastAsia="仿宋_GB2312" w:cs="仿宋_GB2312"/>
                <w:sz w:val="28"/>
                <w:szCs w:val="28"/>
              </w:rPr>
              <w:t>1</w:t>
            </w:r>
          </w:p>
        </w:tc>
        <w:tc>
          <w:tcPr>
            <w:tcW w:w="3485" w:type="dxa"/>
          </w:tcPr>
          <w:p>
            <w:pPr>
              <w:spacing w:line="560" w:lineRule="exact"/>
              <w:rPr>
                <w:rFonts w:hint="default" w:ascii="仿宋_GB2312" w:hAnsi="Cambria" w:eastAsia="仿宋_GB2312" w:cs="Times New Roman"/>
                <w:sz w:val="28"/>
                <w:szCs w:val="28"/>
                <w:lang w:val="en-US" w:eastAsia="zh-CN"/>
              </w:rPr>
            </w:pPr>
            <w:r>
              <w:rPr>
                <w:rFonts w:hint="eastAsia" w:ascii="仿宋_GB2312" w:hAnsi="Cambria" w:eastAsia="仿宋_GB2312" w:cs="仿宋_GB2312"/>
                <w:sz w:val="28"/>
                <w:szCs w:val="28"/>
              </w:rPr>
              <w:t>高邑县自然资源和规划局</w:t>
            </w:r>
            <w:r>
              <w:rPr>
                <w:rFonts w:hint="eastAsia" w:ascii="仿宋_GB2312" w:hAnsi="Cambria" w:eastAsia="仿宋_GB2312" w:cs="仿宋_GB2312"/>
                <w:sz w:val="28"/>
                <w:szCs w:val="28"/>
                <w:lang w:val="en-US" w:eastAsia="zh-CN"/>
              </w:rPr>
              <w:t>(本级)</w:t>
            </w:r>
          </w:p>
        </w:tc>
        <w:tc>
          <w:tcPr>
            <w:tcW w:w="2445" w:type="dxa"/>
          </w:tcPr>
          <w:p>
            <w:pPr>
              <w:spacing w:line="560" w:lineRule="exact"/>
              <w:jc w:val="center"/>
              <w:rPr>
                <w:rFonts w:ascii="仿宋_GB2312" w:hAnsi="Cambria" w:eastAsia="仿宋_GB2312" w:cs="Times New Roman"/>
                <w:sz w:val="28"/>
                <w:szCs w:val="28"/>
              </w:rPr>
            </w:pPr>
            <w:r>
              <w:rPr>
                <w:rFonts w:hint="eastAsia" w:ascii="仿宋_GB2312" w:hAnsi="Cambria" w:eastAsia="仿宋_GB2312" w:cs="仿宋_GB2312"/>
                <w:sz w:val="28"/>
                <w:szCs w:val="28"/>
              </w:rPr>
              <w:t>行政单位</w:t>
            </w:r>
          </w:p>
        </w:tc>
        <w:tc>
          <w:tcPr>
            <w:tcW w:w="2665" w:type="dxa"/>
          </w:tcPr>
          <w:p>
            <w:pPr>
              <w:spacing w:line="560" w:lineRule="exact"/>
              <w:jc w:val="center"/>
              <w:rPr>
                <w:rFonts w:ascii="仿宋_GB2312" w:hAnsi="Cambria" w:eastAsia="仿宋_GB2312" w:cs="Times New Roman"/>
                <w:sz w:val="28"/>
                <w:szCs w:val="28"/>
              </w:rPr>
            </w:pPr>
            <w:r>
              <w:rPr>
                <w:rFonts w:hint="eastAsia" w:ascii="仿宋_GB2312" w:hAnsi="Cambria" w:eastAsia="仿宋_GB2312" w:cs="仿宋_GB2312"/>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42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pict>
          <v:shape id="_x0000_s1038" o:spid="_x0000_s1038" o:spt="202" type="#_x0000_t202" style="position:absolute;left:0pt;margin-left:-85.7pt;margin-top:238.15pt;height:173.25pt;width:613.65pt;z-index:251667456;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line="580" w:lineRule="exact"/>
        <w:ind w:firstLine="640" w:firstLineChars="200"/>
        <w:rPr>
          <w:rFonts w:eastAsia="黑体" w:cs="Times New Roman"/>
          <w:sz w:val="32"/>
          <w:szCs w:val="32"/>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r>
        <w:pict>
          <v:shape id="_x0000_s1039" o:spid="_x0000_s1039" o:spt="202" type="#_x0000_t202" style="position:absolute;left:0pt;margin-left:-90.8pt;margin-top:4.35pt;height:263.1pt;width:613.65pt;z-index:251668480;v-text-anchor:middle;mso-width-relative:page;mso-height-relative:page;" fillcolor="#FFD966" filled="t" stroked="t" coordsize="21600,21600">
            <v:path/>
            <v:fill type="pattern" on="t" focussize="0,0" r:id="rId17"/>
            <v:stroke weight="0.5pt" color="#FFD96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Times New Roman"/>
                      <w:color w:val="000000"/>
                      <w:sz w:val="90"/>
                      <w:szCs w:val="90"/>
                    </w:rPr>
                  </w:pPr>
                  <w:r>
                    <w:rPr>
                      <w:rFonts w:ascii="黑体" w:hAnsi="黑体" w:eastAsia="黑体" w:cs="黑体"/>
                      <w:color w:val="000000"/>
                      <w:sz w:val="90"/>
                      <w:szCs w:val="90"/>
                    </w:rPr>
                    <w:t>2019</w:t>
                  </w:r>
                  <w:r>
                    <w:rPr>
                      <w:rFonts w:hint="eastAsia" w:ascii="黑体" w:hAnsi="黑体" w:eastAsia="黑体" w:cs="黑体"/>
                      <w:color w:val="000000"/>
                      <w:sz w:val="90"/>
                      <w:szCs w:val="90"/>
                    </w:rPr>
                    <w:t>年部门决算情况说明</w:t>
                  </w:r>
                </w:p>
                <w:p>
                  <w:pPr>
                    <w:rPr>
                      <w:rFonts w:cs="Times New Roman"/>
                    </w:rPr>
                  </w:pPr>
                </w:p>
              </w:txbxContent>
            </v:textbox>
          </v:shape>
        </w:pict>
      </w: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黑体"/>
          <w:sz w:val="32"/>
          <w:szCs w:val="32"/>
        </w:rPr>
        <w:t>一、收入</w:t>
      </w:r>
      <w:r>
        <w:rPr>
          <w:rFonts w:hint="eastAsia" w:ascii="黑体" w:hAnsi="Cambria" w:eastAsia="黑体" w:cs="黑体"/>
          <w:kern w:val="0"/>
          <w:sz w:val="32"/>
          <w:szCs w:val="32"/>
        </w:rPr>
        <w:t>支出</w:t>
      </w:r>
      <w:r>
        <w:rPr>
          <w:rFonts w:hint="eastAsia" w:ascii="黑体" w:hAnsi="Calibri" w:eastAsia="黑体" w:cs="黑体"/>
          <w:sz w:val="32"/>
          <w:szCs w:val="32"/>
        </w:rPr>
        <w:t>决算总体情况说明</w:t>
      </w:r>
    </w:p>
    <w:p>
      <w:pPr>
        <w:spacing w:line="60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color w:val="000000"/>
          <w:sz w:val="32"/>
          <w:szCs w:val="32"/>
        </w:rPr>
        <w:t>本部门</w:t>
      </w:r>
      <w:r>
        <w:rPr>
          <w:rFonts w:ascii="仿宋_GB2312" w:hAnsi="仿宋_GB2312" w:eastAsia="仿宋_GB2312" w:cs="仿宋_GB2312"/>
          <w:color w:val="000000"/>
          <w:sz w:val="32"/>
          <w:szCs w:val="32"/>
        </w:rPr>
        <w:t>2019</w:t>
      </w:r>
      <w:r>
        <w:rPr>
          <w:rFonts w:hint="eastAsia" w:ascii="仿宋_GB2312" w:hAnsi="仿宋_GB2312" w:eastAsia="仿宋_GB2312" w:cs="仿宋_GB2312"/>
          <w:color w:val="000000"/>
          <w:sz w:val="32"/>
          <w:szCs w:val="32"/>
        </w:rPr>
        <w:t>年度收支总计（含结转和结余）</w:t>
      </w:r>
      <w:r>
        <w:rPr>
          <w:rFonts w:ascii="仿宋_GB2312" w:hAnsi="仿宋_GB2312" w:eastAsia="仿宋_GB2312" w:cs="仿宋_GB2312"/>
          <w:color w:val="000000"/>
          <w:sz w:val="32"/>
          <w:szCs w:val="32"/>
        </w:rPr>
        <w:t>5244.5</w:t>
      </w:r>
      <w:r>
        <w:rPr>
          <w:rFonts w:hint="eastAsia" w:ascii="仿宋_GB2312" w:hAnsi="仿宋_GB2312" w:eastAsia="仿宋_GB2312" w:cs="仿宋_GB2312"/>
          <w:color w:val="000000"/>
          <w:sz w:val="32"/>
          <w:szCs w:val="32"/>
        </w:rPr>
        <w:t>万元，与</w:t>
      </w:r>
      <w:r>
        <w:rPr>
          <w:rFonts w:ascii="仿宋_GB2312" w:hAnsi="仿宋_GB2312" w:eastAsia="仿宋_GB2312" w:cs="仿宋_GB2312"/>
          <w:color w:val="000000"/>
          <w:sz w:val="32"/>
          <w:szCs w:val="32"/>
        </w:rPr>
        <w:t>2018</w:t>
      </w:r>
      <w:r>
        <w:rPr>
          <w:rFonts w:hint="eastAsia" w:ascii="仿宋_GB2312" w:hAnsi="仿宋_GB2312" w:eastAsia="仿宋_GB2312" w:cs="仿宋_GB2312"/>
          <w:color w:val="000000"/>
          <w:sz w:val="32"/>
          <w:szCs w:val="32"/>
        </w:rPr>
        <w:t>年度决算相比，本年收入减少</w:t>
      </w:r>
      <w:r>
        <w:rPr>
          <w:rFonts w:ascii="仿宋_GB2312" w:hAnsi="仿宋_GB2312" w:eastAsia="仿宋_GB2312" w:cs="仿宋_GB2312"/>
          <w:color w:val="000000"/>
          <w:sz w:val="32"/>
          <w:szCs w:val="32"/>
        </w:rPr>
        <w:t>892.9</w:t>
      </w:r>
      <w:r>
        <w:rPr>
          <w:rFonts w:hint="eastAsia" w:ascii="仿宋_GB2312" w:hAnsi="仿宋_GB2312" w:eastAsia="仿宋_GB2312" w:cs="仿宋_GB2312"/>
          <w:color w:val="000000"/>
          <w:sz w:val="32"/>
          <w:szCs w:val="32"/>
        </w:rPr>
        <w:t>万元，减少</w:t>
      </w:r>
      <w:r>
        <w:rPr>
          <w:rFonts w:ascii="仿宋_GB2312" w:hAnsi="仿宋_GB2312" w:eastAsia="仿宋_GB2312" w:cs="仿宋_GB2312"/>
          <w:color w:val="000000"/>
          <w:sz w:val="32"/>
          <w:szCs w:val="32"/>
        </w:rPr>
        <w:t>17.72%</w:t>
      </w:r>
      <w:r>
        <w:rPr>
          <w:rFonts w:hint="eastAsia" w:ascii="仿宋_GB2312" w:hAnsi="仿宋_GB2312" w:eastAsia="仿宋_GB2312" w:cs="仿宋_GB2312"/>
          <w:color w:val="000000"/>
          <w:sz w:val="32"/>
          <w:szCs w:val="32"/>
        </w:rPr>
        <w:t>，主要原因是</w:t>
      </w:r>
      <w:r>
        <w:rPr>
          <w:rFonts w:hint="eastAsia" w:ascii="仿宋_GB2312" w:hAnsi="Times New Roman" w:eastAsia="仿宋_GB2312" w:cs="仿宋_GB2312"/>
          <w:sz w:val="32"/>
          <w:szCs w:val="32"/>
        </w:rPr>
        <w:t>财政拨款减少</w:t>
      </w:r>
      <w:r>
        <w:rPr>
          <w:rFonts w:hint="eastAsia" w:ascii="仿宋_GB2312" w:hAnsi="仿宋_GB2312" w:eastAsia="仿宋_GB2312" w:cs="仿宋_GB2312"/>
          <w:color w:val="000000"/>
          <w:sz w:val="32"/>
          <w:szCs w:val="32"/>
        </w:rPr>
        <w:t>；本年支出增加</w:t>
      </w:r>
      <w:r>
        <w:rPr>
          <w:rFonts w:ascii="仿宋_GB2312" w:hAnsi="仿宋_GB2312" w:eastAsia="仿宋_GB2312" w:cs="仿宋_GB2312"/>
          <w:sz w:val="32"/>
          <w:szCs w:val="32"/>
        </w:rPr>
        <w:t>1504.73</w:t>
      </w:r>
      <w:r>
        <w:rPr>
          <w:rFonts w:hint="eastAsia" w:ascii="仿宋_GB2312" w:hAnsi="仿宋_GB2312" w:eastAsia="仿宋_GB2312" w:cs="仿宋_GB2312"/>
          <w:color w:val="000000"/>
          <w:sz w:val="32"/>
          <w:szCs w:val="32"/>
        </w:rPr>
        <w:t>万元，增长</w:t>
      </w:r>
      <w:r>
        <w:rPr>
          <w:rFonts w:ascii="仿宋_GB2312" w:hAnsi="仿宋_GB2312" w:eastAsia="仿宋_GB2312" w:cs="仿宋_GB2312"/>
          <w:color w:val="000000"/>
          <w:sz w:val="32"/>
          <w:szCs w:val="32"/>
        </w:rPr>
        <w:t>47.63%</w:t>
      </w:r>
      <w:r>
        <w:rPr>
          <w:rFonts w:hint="eastAsia" w:ascii="仿宋_GB2312" w:hAnsi="仿宋_GB2312" w:eastAsia="仿宋_GB2312" w:cs="仿宋_GB2312"/>
          <w:color w:val="000000"/>
          <w:sz w:val="32"/>
          <w:szCs w:val="32"/>
        </w:rPr>
        <w:t>，主要原因是</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年机构改革，项目增加支出增加。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黑体"/>
          <w:sz w:val="32"/>
          <w:szCs w:val="32"/>
        </w:rPr>
        <w:t>二、收入决算情况说明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年度本年收入合计</w:t>
      </w:r>
      <w:r>
        <w:rPr>
          <w:rFonts w:ascii="仿宋_GB2312" w:hAnsi="Times New Roman" w:eastAsia="仿宋_GB2312" w:cs="仿宋_GB2312"/>
          <w:sz w:val="32"/>
          <w:szCs w:val="32"/>
        </w:rPr>
        <w:t>4146.14</w:t>
      </w:r>
      <w:r>
        <w:rPr>
          <w:rFonts w:hint="eastAsia" w:ascii="仿宋_GB2312" w:hAnsi="Times New Roman" w:eastAsia="仿宋_GB2312" w:cs="仿宋_GB2312"/>
          <w:sz w:val="32"/>
          <w:szCs w:val="32"/>
        </w:rPr>
        <w:t>万元，其中：财政拨款收入</w:t>
      </w:r>
      <w:r>
        <w:rPr>
          <w:rFonts w:ascii="仿宋_GB2312" w:hAnsi="Times New Roman" w:eastAsia="仿宋_GB2312" w:cs="仿宋_GB2312"/>
          <w:sz w:val="32"/>
          <w:szCs w:val="32"/>
        </w:rPr>
        <w:t>3862.14</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93.15%</w:t>
      </w:r>
      <w:r>
        <w:rPr>
          <w:rFonts w:hint="eastAsia" w:ascii="仿宋_GB2312" w:hAnsi="Times New Roman" w:eastAsia="仿宋_GB2312" w:cs="仿宋_GB2312"/>
          <w:sz w:val="32"/>
          <w:szCs w:val="32"/>
        </w:rPr>
        <w:t>；其他收入</w:t>
      </w:r>
      <w:r>
        <w:rPr>
          <w:rFonts w:ascii="仿宋_GB2312" w:hAnsi="Times New Roman" w:eastAsia="仿宋_GB2312" w:cs="仿宋_GB2312"/>
          <w:sz w:val="32"/>
          <w:szCs w:val="32"/>
        </w:rPr>
        <w:t>284</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6.85%</w:t>
      </w:r>
      <w:r>
        <w:rPr>
          <w:rFonts w:hint="eastAsia" w:ascii="仿宋_GB2312" w:hAnsi="Times New Roman" w:eastAsia="仿宋_GB2312" w:cs="仿宋_GB2312"/>
          <w:sz w:val="32"/>
          <w:szCs w:val="32"/>
        </w:rPr>
        <w:t>。如图所示：</w:t>
      </w: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420" w:firstLineChars="200"/>
        <w:rPr>
          <w:rFonts w:ascii="仿宋_GB2312" w:hAnsi="Times New Roman" w:eastAsia="仿宋_GB2312" w:cs="Times New Roman"/>
          <w:sz w:val="32"/>
          <w:szCs w:val="32"/>
        </w:rPr>
      </w:pPr>
      <w:r>
        <w:pict>
          <v:shape id="_x0000_s1040" o:spid="_x0000_s1040" o:spt="75" type="#_x0000_t75" style="position:absolute;left:0pt;margin-left:20.4pt;margin-top:-198.95pt;height:221.3pt;width:397.45pt;mso-wrap-distance-left:9pt;mso-wrap-distance-right:9pt;z-index:-251644928;mso-width-relative:page;mso-height-relative:page;" o:ole="t" filled="f" o:preferrelative="t" stroked="f" coordsize="21600,21600" wrapcoords="122 366 122 21161 21437 21161 21437 366 122 366">
            <v:path/>
            <v:fill on="f" focussize="0,0"/>
            <v:stroke on="f" joinstyle="miter"/>
            <v:imagedata r:id="rId19" o:title=""/>
            <o:lock v:ext="edit" aspectratio="t"/>
            <w10:wrap type="tight"/>
          </v:shape>
          <o:OLEObject Type="Embed" ProgID="Excel.Chart.8" ShapeID="_x0000_s1040" DrawAspect="Content" ObjectID="_1468075725" r:id="rId18">
            <o:LockedField>false</o:LockedField>
          </o:OLEObject>
        </w:pict>
      </w:r>
      <w:r>
        <w:pict>
          <v:group id="_x0000_s1041" o:spid="_x0000_s1041" o:spt="203" style="position:absolute;left:0pt;margin-left:70.35pt;margin-top:222.8pt;height:192.85pt;width:287.95pt;z-index:-251639808;mso-width-relative:page;mso-height-relative:page;" coordorigin="7032,190738" coordsize="4600,3345203">
            <o:lock v:ext="edit"/>
            <v:shape id="图片 3" o:spid="_x0000_s1042" o:spt="75" type="#_x0000_t75" style="position:absolute;left:7032;top:190738;height:2665;width:4600;" filled="f" o:preferrelative="t" stroked="f" coordsize="21600,21600">
              <v:path/>
              <v:fill on="f" focussize="0,0"/>
              <v:stroke on="f" joinstyle="miter"/>
              <v:imagedata r:id="rId20" cropleft="2131f" croptop="1490f" cropright="1218f" cropbottom="5217f" o:title=""/>
              <o:lock v:ext="edit" aspectratio="t"/>
            </v:shape>
            <v:shape id="_x0000_s1043" o:spid="_x0000_s1043" o:spt="202" type="#_x0000_t202" style="position:absolute;left:7289;top:193423;height:660;width:4169;" stroked="f" coordsize="21600,2160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Times New Roman"/>
                        <w:sz w:val="28"/>
                        <w:szCs w:val="28"/>
                      </w:rPr>
                    </w:pPr>
                    <w:r>
                      <w:rPr>
                        <w:rFonts w:hint="eastAsia" w:ascii="仿宋_GB2312" w:hAnsi="Times New Roman" w:eastAsia="仿宋_GB2312" w:cs="仿宋_GB2312"/>
                        <w:sz w:val="28"/>
                        <w:szCs w:val="28"/>
                      </w:rPr>
                      <w:t>图</w:t>
                    </w:r>
                    <w:r>
                      <w:rPr>
                        <w:rFonts w:ascii="仿宋_GB2312" w:hAnsi="Times New Roman" w:eastAsia="仿宋_GB2312" w:cs="仿宋_GB2312"/>
                        <w:sz w:val="28"/>
                        <w:szCs w:val="28"/>
                      </w:rPr>
                      <w:t>X</w:t>
                    </w:r>
                    <w:r>
                      <w:rPr>
                        <w:rFonts w:hint="eastAsia" w:ascii="仿宋_GB2312" w:hAnsi="Times New Roman" w:eastAsia="仿宋_GB2312" w:cs="仿宋_GB2312"/>
                        <w:sz w:val="28"/>
                        <w:szCs w:val="28"/>
                      </w:rPr>
                      <w:t>：支出构成情况（按支出性质）</w:t>
                    </w:r>
                  </w:p>
                  <w:p>
                    <w:pPr>
                      <w:spacing w:after="160" w:line="480" w:lineRule="auto"/>
                      <w:rPr>
                        <w:rFonts w:ascii="Times New Roman" w:hAnsi="Times New Roman" w:cs="Times New Roman"/>
                        <w:sz w:val="20"/>
                        <w:szCs w:val="20"/>
                      </w:rPr>
                    </w:pPr>
                  </w:p>
                </w:txbxContent>
              </v:textbox>
            </v:shape>
          </v:group>
        </w:pict>
      </w:r>
    </w:p>
    <w:p>
      <w:pPr>
        <w:adjustRightInd w:val="0"/>
        <w:snapToGrid w:val="0"/>
        <w:spacing w:line="580" w:lineRule="exact"/>
        <w:rPr>
          <w:rFonts w:ascii="仿宋_GB2312" w:hAnsi="Times New Roman" w:eastAsia="仿宋_GB2312" w:cs="Times New Roman"/>
          <w:sz w:val="32"/>
          <w:szCs w:val="3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黑体"/>
          <w:sz w:val="32"/>
          <w:szCs w:val="32"/>
        </w:rPr>
        <w:t>三、支出决算情况说明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年度本年支出合计</w:t>
      </w:r>
      <w:r>
        <w:rPr>
          <w:rFonts w:ascii="仿宋_GB2312" w:hAnsi="Times New Roman" w:eastAsia="仿宋_GB2312" w:cs="仿宋_GB2312"/>
          <w:sz w:val="32"/>
          <w:szCs w:val="32"/>
        </w:rPr>
        <w:t>4664.15</w:t>
      </w:r>
      <w:r>
        <w:rPr>
          <w:rFonts w:hint="eastAsia" w:ascii="仿宋_GB2312" w:hAnsi="Times New Roman" w:eastAsia="仿宋_GB2312" w:cs="仿宋_GB2312"/>
          <w:sz w:val="32"/>
          <w:szCs w:val="32"/>
        </w:rPr>
        <w:t>万元，其中：基本支出</w:t>
      </w:r>
      <w:r>
        <w:rPr>
          <w:rFonts w:ascii="仿宋_GB2312" w:hAnsi="Times New Roman" w:eastAsia="仿宋_GB2312" w:cs="仿宋_GB2312"/>
          <w:sz w:val="32"/>
          <w:szCs w:val="32"/>
        </w:rPr>
        <w:t>1851.46</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39.7%</w:t>
      </w:r>
      <w:r>
        <w:rPr>
          <w:rFonts w:hint="eastAsia" w:ascii="仿宋_GB2312" w:hAnsi="Times New Roman" w:eastAsia="仿宋_GB2312" w:cs="仿宋_GB2312"/>
          <w:sz w:val="32"/>
          <w:szCs w:val="32"/>
        </w:rPr>
        <w:t>；项目支出</w:t>
      </w:r>
      <w:r>
        <w:rPr>
          <w:rFonts w:ascii="仿宋_GB2312" w:hAnsi="Times New Roman" w:eastAsia="仿宋_GB2312" w:cs="仿宋_GB2312"/>
          <w:sz w:val="32"/>
          <w:szCs w:val="32"/>
        </w:rPr>
        <w:t>2812.69</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60.3%</w:t>
      </w:r>
      <w:r>
        <w:rPr>
          <w:rFonts w:hint="eastAsia" w:ascii="仿宋_GB2312" w:hAnsi="Times New Roman" w:eastAsia="仿宋_GB2312" w:cs="仿宋_GB2312"/>
          <w:sz w:val="32"/>
          <w:szCs w:val="32"/>
        </w:rPr>
        <w:t>，如图所示：</w:t>
      </w:r>
    </w:p>
    <w:p>
      <w:pPr>
        <w:adjustRightInd w:val="0"/>
        <w:snapToGrid w:val="0"/>
        <w:spacing w:line="580" w:lineRule="exact"/>
        <w:rPr>
          <w:rFonts w:ascii="仿宋_GB2312" w:hAnsi="Times New Roman" w:eastAsia="仿宋_GB2312" w:cs="Times New Roman"/>
          <w:sz w:val="32"/>
          <w:szCs w:val="32"/>
        </w:rPr>
      </w:pPr>
    </w:p>
    <w:p>
      <w:pPr>
        <w:adjustRightInd w:val="0"/>
        <w:snapToGrid w:val="0"/>
        <w:spacing w:line="580" w:lineRule="exact"/>
        <w:ind w:firstLine="1920" w:firstLineChars="600"/>
        <w:rPr>
          <w:rFonts w:ascii="仿宋_GB2312" w:hAnsi="Times New Roman" w:eastAsia="仿宋_GB2312" w:cs="Times New Roman"/>
          <w:sz w:val="32"/>
          <w:szCs w:val="32"/>
        </w:rPr>
      </w:pPr>
    </w:p>
    <w:p>
      <w:pPr>
        <w:adjustRightInd w:val="0"/>
        <w:snapToGrid w:val="0"/>
        <w:spacing w:line="580" w:lineRule="exact"/>
        <w:ind w:firstLine="1920" w:firstLineChars="600"/>
        <w:rPr>
          <w:rFonts w:ascii="仿宋_GB2312" w:hAnsi="Times New Roman" w:eastAsia="仿宋_GB2312" w:cs="Times New Roman"/>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420" w:firstLineChars="200"/>
        <w:outlineLvl w:val="1"/>
        <w:rPr>
          <w:rFonts w:ascii="黑体" w:hAnsi="Calibri" w:eastAsia="黑体" w:cs="Times New Roman"/>
          <w:b/>
          <w:bCs/>
          <w:sz w:val="32"/>
          <w:szCs w:val="32"/>
        </w:rPr>
      </w:pPr>
      <w:r>
        <w:pict>
          <v:shape id="_x0000_s1044" o:spid="_x0000_s1044" o:spt="75" type="#_x0000_t75" style="position:absolute;left:0pt;margin-left:31.4pt;margin-top:-143.45pt;height:248.35pt;width:407.2pt;mso-wrap-distance-bottom:0pt;mso-wrap-distance-left:9pt;mso-wrap-distance-right:9pt;mso-wrap-distance-top:0pt;z-index:251672576;mso-width-relative:page;mso-height-relative:page;" o:ole="t" filled="f" o:preferrelative="t" stroked="f" coordsize="21600,21600">
            <v:path/>
            <v:fill on="f" focussize="0,0"/>
            <v:stroke on="f" joinstyle="miter"/>
            <v:imagedata r:id="rId22" o:title=""/>
            <o:lock v:ext="edit" aspectratio="t"/>
            <w10:wrap type="square"/>
          </v:shape>
          <o:OLEObject Type="Embed" ProgID="Excel.Chart.8" ShapeID="_x0000_s1044" DrawAspect="Content" ObjectID="_1468075726" r:id="rId21">
            <o:LockedField>false</o:LockedField>
          </o:OLEObject>
        </w:pict>
      </w: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黑体"/>
          <w:sz w:val="32"/>
          <w:szCs w:val="32"/>
        </w:rPr>
        <w:t>四、</w:t>
      </w:r>
      <w:r>
        <w:rPr>
          <w:rFonts w:hint="eastAsia" w:ascii="黑体" w:hAnsi="Cambria" w:eastAsia="黑体" w:cs="黑体"/>
          <w:kern w:val="0"/>
          <w:sz w:val="32"/>
          <w:szCs w:val="32"/>
        </w:rPr>
        <w:t>财政</w:t>
      </w:r>
      <w:r>
        <w:rPr>
          <w:rFonts w:hint="eastAsia" w:ascii="黑体" w:hAnsi="Calibri"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 xml:space="preserve">2018 </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年度财政拨款本年收入</w:t>
      </w:r>
      <w:r>
        <w:rPr>
          <w:rFonts w:ascii="仿宋_GB2312" w:hAnsi="Times New Roman" w:eastAsia="仿宋_GB2312" w:cs="仿宋_GB2312"/>
          <w:sz w:val="32"/>
          <w:szCs w:val="32"/>
        </w:rPr>
        <w:t>3862.14</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2018</w:t>
      </w:r>
      <w:r>
        <w:rPr>
          <w:rFonts w:hint="eastAsia" w:ascii="仿宋_GB2312" w:hAnsi="Times New Roman" w:eastAsia="仿宋_GB2312" w:cs="仿宋_GB2312"/>
          <w:sz w:val="32"/>
          <w:szCs w:val="32"/>
        </w:rPr>
        <w:t>年度减少</w:t>
      </w:r>
      <w:r>
        <w:rPr>
          <w:rFonts w:ascii="仿宋_GB2312" w:hAnsi="Times New Roman" w:eastAsia="仿宋_GB2312" w:cs="仿宋_GB2312"/>
          <w:sz w:val="32"/>
          <w:szCs w:val="32"/>
        </w:rPr>
        <w:t>1176.9</w:t>
      </w:r>
      <w:r>
        <w:rPr>
          <w:rFonts w:hint="eastAsia" w:ascii="仿宋_GB2312" w:hAnsi="Times New Roman" w:eastAsia="仿宋_GB2312" w:cs="仿宋_GB2312"/>
          <w:sz w:val="32"/>
          <w:szCs w:val="32"/>
        </w:rPr>
        <w:t>万元，减少</w:t>
      </w:r>
      <w:r>
        <w:rPr>
          <w:rFonts w:ascii="仿宋_GB2312" w:hAnsi="Times New Roman" w:eastAsia="仿宋_GB2312" w:cs="仿宋_GB2312"/>
          <w:sz w:val="32"/>
          <w:szCs w:val="32"/>
        </w:rPr>
        <w:t>23.36%</w:t>
      </w:r>
      <w:r>
        <w:rPr>
          <w:rFonts w:hint="eastAsia" w:ascii="仿宋_GB2312" w:hAnsi="Times New Roman" w:eastAsia="仿宋_GB2312" w:cs="仿宋_GB2312"/>
          <w:sz w:val="32"/>
          <w:szCs w:val="32"/>
        </w:rPr>
        <w:t>，主要是其他收入增加；本年支出</w:t>
      </w:r>
      <w:r>
        <w:rPr>
          <w:rFonts w:ascii="仿宋_GB2312" w:hAnsi="Times New Roman" w:eastAsia="仿宋_GB2312" w:cs="仿宋_GB2312"/>
          <w:sz w:val="32"/>
          <w:szCs w:val="32"/>
        </w:rPr>
        <w:t>4380.15</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2018</w:t>
      </w:r>
      <w:r>
        <w:rPr>
          <w:rFonts w:hint="eastAsia" w:ascii="仿宋_GB2312" w:hAnsi="Times New Roman" w:eastAsia="仿宋_GB2312" w:cs="仿宋_GB2312"/>
          <w:sz w:val="32"/>
          <w:szCs w:val="32"/>
        </w:rPr>
        <w:t>年度增加</w:t>
      </w:r>
      <w:r>
        <w:rPr>
          <w:rFonts w:ascii="仿宋_GB2312" w:hAnsi="Times New Roman" w:eastAsia="仿宋_GB2312" w:cs="仿宋_GB2312"/>
          <w:sz w:val="32"/>
          <w:szCs w:val="32"/>
        </w:rPr>
        <w:t>1220.73</w:t>
      </w:r>
      <w:r>
        <w:rPr>
          <w:rFonts w:hint="eastAsia" w:ascii="仿宋_GB2312" w:hAnsi="Times New Roman" w:eastAsia="仿宋_GB2312" w:cs="仿宋_GB2312"/>
          <w:sz w:val="32"/>
          <w:szCs w:val="32"/>
        </w:rPr>
        <w:t>万元，增长</w:t>
      </w:r>
      <w:r>
        <w:rPr>
          <w:rFonts w:ascii="仿宋_GB2312" w:hAnsi="Times New Roman" w:eastAsia="仿宋_GB2312" w:cs="仿宋_GB2312"/>
          <w:sz w:val="32"/>
          <w:szCs w:val="32"/>
        </w:rPr>
        <w:t>38.64%</w:t>
      </w:r>
      <w:r>
        <w:rPr>
          <w:rFonts w:hint="eastAsia" w:ascii="仿宋_GB2312" w:hAnsi="Times New Roman" w:eastAsia="仿宋_GB2312" w:cs="仿宋_GB2312"/>
          <w:sz w:val="32"/>
          <w:szCs w:val="32"/>
        </w:rPr>
        <w:t>，主要是机构合并，项目增加。具体情况如下：</w:t>
      </w:r>
    </w:p>
    <w:p>
      <w:pPr>
        <w:numPr>
          <w:ilvl w:val="0"/>
          <w:numId w:val="1"/>
        </w:num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一般公共预算财政拨款本年收入</w:t>
      </w:r>
      <w:r>
        <w:rPr>
          <w:rFonts w:ascii="仿宋_GB2312" w:hAnsi="Times New Roman" w:eastAsia="仿宋_GB2312" w:cs="仿宋_GB2312"/>
          <w:sz w:val="32"/>
          <w:szCs w:val="32"/>
        </w:rPr>
        <w:t>1772.73</w:t>
      </w:r>
      <w:r>
        <w:rPr>
          <w:rFonts w:hint="eastAsia" w:ascii="仿宋_GB2312" w:hAnsi="Times New Roman" w:eastAsia="仿宋_GB2312" w:cs="仿宋_GB2312"/>
          <w:sz w:val="32"/>
          <w:szCs w:val="32"/>
        </w:rPr>
        <w:t>万元，比上年减少</w:t>
      </w:r>
      <w:r>
        <w:rPr>
          <w:rFonts w:ascii="仿宋_GB2312" w:hAnsi="Times New Roman" w:eastAsia="仿宋_GB2312" w:cs="仿宋_GB2312"/>
          <w:sz w:val="32"/>
          <w:szCs w:val="32"/>
        </w:rPr>
        <w:t>675.81</w:t>
      </w:r>
      <w:r>
        <w:rPr>
          <w:rFonts w:hint="eastAsia" w:ascii="仿宋_GB2312" w:hAnsi="Times New Roman" w:eastAsia="仿宋_GB2312" w:cs="仿宋_GB2312"/>
          <w:sz w:val="32"/>
          <w:szCs w:val="32"/>
        </w:rPr>
        <w:t>万元，减少</w:t>
      </w:r>
      <w:r>
        <w:rPr>
          <w:rFonts w:ascii="仿宋_GB2312" w:hAnsi="Times New Roman" w:eastAsia="仿宋_GB2312" w:cs="仿宋_GB2312"/>
          <w:sz w:val="32"/>
          <w:szCs w:val="32"/>
        </w:rPr>
        <w:t>27.6%</w:t>
      </w:r>
      <w:r>
        <w:rPr>
          <w:rFonts w:hint="eastAsia" w:ascii="仿宋_GB2312" w:hAnsi="Times New Roman" w:eastAsia="仿宋_GB2312" w:cs="仿宋_GB2312"/>
          <w:sz w:val="32"/>
          <w:szCs w:val="32"/>
        </w:rPr>
        <w:t>；主要是财政拨款收入减少；本年支出</w:t>
      </w:r>
      <w:r>
        <w:rPr>
          <w:rFonts w:ascii="仿宋_GB2312" w:hAnsi="Times New Roman" w:eastAsia="仿宋_GB2312" w:cs="仿宋_GB2312"/>
          <w:sz w:val="32"/>
          <w:szCs w:val="32"/>
        </w:rPr>
        <w:t>2063.56</w:t>
      </w:r>
      <w:r>
        <w:rPr>
          <w:rFonts w:hint="eastAsia" w:ascii="仿宋_GB2312" w:hAnsi="Times New Roman" w:eastAsia="仿宋_GB2312" w:cs="仿宋_GB2312"/>
          <w:sz w:val="32"/>
          <w:szCs w:val="32"/>
        </w:rPr>
        <w:t>万元，比上年增加</w:t>
      </w:r>
      <w:r>
        <w:rPr>
          <w:rFonts w:ascii="仿宋_GB2312" w:hAnsi="Times New Roman" w:eastAsia="仿宋_GB2312" w:cs="仿宋_GB2312"/>
          <w:sz w:val="32"/>
          <w:szCs w:val="32"/>
        </w:rPr>
        <w:t>881.13</w:t>
      </w:r>
      <w:r>
        <w:rPr>
          <w:rFonts w:hint="eastAsia" w:ascii="仿宋_GB2312" w:hAnsi="Times New Roman" w:eastAsia="仿宋_GB2312" w:cs="仿宋_GB2312"/>
          <w:sz w:val="32"/>
          <w:szCs w:val="32"/>
        </w:rPr>
        <w:t>万元，增长</w:t>
      </w:r>
      <w:r>
        <w:rPr>
          <w:rFonts w:ascii="仿宋_GB2312" w:hAnsi="Times New Roman" w:eastAsia="仿宋_GB2312" w:cs="仿宋_GB2312"/>
          <w:sz w:val="32"/>
          <w:szCs w:val="32"/>
        </w:rPr>
        <w:t>74.52%</w:t>
      </w:r>
      <w:r>
        <w:rPr>
          <w:rFonts w:hint="eastAsia" w:ascii="仿宋_GB2312" w:hAnsi="Times New Roman" w:eastAsia="仿宋_GB2312" w:cs="仿宋_GB2312"/>
          <w:sz w:val="32"/>
          <w:szCs w:val="32"/>
        </w:rPr>
        <w:t>，主要是机构合并，支出增加。</w:t>
      </w:r>
    </w:p>
    <w:p>
      <w:pPr>
        <w:numPr>
          <w:ilvl w:val="0"/>
          <w:numId w:val="1"/>
        </w:num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政府性基金预算财政拨款本年收入</w:t>
      </w:r>
      <w:r>
        <w:rPr>
          <w:rFonts w:ascii="仿宋_GB2312" w:hAnsi="Times New Roman" w:eastAsia="仿宋_GB2312" w:cs="仿宋_GB2312"/>
          <w:sz w:val="32"/>
          <w:szCs w:val="32"/>
        </w:rPr>
        <w:t>2089.41</w:t>
      </w:r>
      <w:r>
        <w:rPr>
          <w:rFonts w:hint="eastAsia" w:ascii="仿宋_GB2312" w:hAnsi="Times New Roman" w:eastAsia="仿宋_GB2312" w:cs="仿宋_GB2312"/>
          <w:sz w:val="32"/>
          <w:szCs w:val="32"/>
        </w:rPr>
        <w:t>万元，比上年减少</w:t>
      </w:r>
      <w:r>
        <w:rPr>
          <w:rFonts w:ascii="仿宋_GB2312" w:hAnsi="Times New Roman" w:eastAsia="仿宋_GB2312" w:cs="仿宋_GB2312"/>
          <w:sz w:val="32"/>
          <w:szCs w:val="32"/>
        </w:rPr>
        <w:t>501.09</w:t>
      </w:r>
      <w:r>
        <w:rPr>
          <w:rFonts w:hint="eastAsia" w:ascii="仿宋_GB2312" w:hAnsi="Times New Roman" w:eastAsia="仿宋_GB2312" w:cs="仿宋_GB2312"/>
          <w:sz w:val="32"/>
          <w:szCs w:val="32"/>
        </w:rPr>
        <w:t>万元，减少</w:t>
      </w:r>
      <w:r>
        <w:rPr>
          <w:rFonts w:ascii="仿宋_GB2312" w:hAnsi="Times New Roman" w:eastAsia="仿宋_GB2312" w:cs="仿宋_GB2312"/>
          <w:sz w:val="32"/>
          <w:szCs w:val="32"/>
        </w:rPr>
        <w:t>19.34%</w:t>
      </w:r>
      <w:r>
        <w:rPr>
          <w:rFonts w:hint="eastAsia" w:ascii="仿宋_GB2312" w:hAnsi="Times New Roman" w:eastAsia="仿宋_GB2312" w:cs="仿宋_GB2312"/>
          <w:sz w:val="32"/>
          <w:szCs w:val="32"/>
        </w:rPr>
        <w:t>，主要原因是财政拨款收入减少；本年支出</w:t>
      </w:r>
      <w:r>
        <w:rPr>
          <w:rFonts w:ascii="仿宋_GB2312" w:hAnsi="Times New Roman" w:eastAsia="仿宋_GB2312" w:cs="仿宋_GB2312"/>
          <w:sz w:val="32"/>
          <w:szCs w:val="32"/>
        </w:rPr>
        <w:t>2316.59</w:t>
      </w:r>
      <w:r>
        <w:rPr>
          <w:rFonts w:hint="eastAsia" w:ascii="仿宋_GB2312" w:hAnsi="Times New Roman" w:eastAsia="仿宋_GB2312" w:cs="仿宋_GB2312"/>
          <w:sz w:val="32"/>
          <w:szCs w:val="32"/>
        </w:rPr>
        <w:t>万元，比上年增加</w:t>
      </w:r>
      <w:r>
        <w:rPr>
          <w:rFonts w:ascii="仿宋_GB2312" w:hAnsi="Times New Roman" w:eastAsia="仿宋_GB2312" w:cs="仿宋_GB2312"/>
          <w:sz w:val="32"/>
          <w:szCs w:val="32"/>
        </w:rPr>
        <w:t>339.6</w:t>
      </w:r>
      <w:r>
        <w:rPr>
          <w:rFonts w:hint="eastAsia" w:ascii="仿宋_GB2312" w:hAnsi="Times New Roman" w:eastAsia="仿宋_GB2312" w:cs="仿宋_GB2312"/>
          <w:sz w:val="32"/>
          <w:szCs w:val="32"/>
        </w:rPr>
        <w:t>万元，增长</w:t>
      </w:r>
      <w:r>
        <w:rPr>
          <w:rFonts w:ascii="仿宋_GB2312" w:hAnsi="Times New Roman" w:eastAsia="仿宋_GB2312" w:cs="仿宋_GB2312"/>
          <w:sz w:val="32"/>
          <w:szCs w:val="32"/>
        </w:rPr>
        <w:t>17.18%</w:t>
      </w:r>
      <w:r>
        <w:rPr>
          <w:rFonts w:hint="eastAsia" w:ascii="仿宋_GB2312" w:hAnsi="Times New Roman" w:eastAsia="仿宋_GB2312" w:cs="仿宋_GB2312"/>
          <w:sz w:val="32"/>
          <w:szCs w:val="32"/>
        </w:rPr>
        <w:t>，主要是机构合并，支出增加。</w:t>
      </w: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420" w:firstLineChars="200"/>
        <w:rPr>
          <w:rFonts w:ascii="楷体_GB2312" w:hAnsi="Times New Roman" w:eastAsia="楷体_GB2312" w:cs="Times New Roman"/>
          <w:b/>
          <w:bCs/>
          <w:sz w:val="32"/>
          <w:szCs w:val="32"/>
        </w:rPr>
      </w:pPr>
      <w:r>
        <w:pict>
          <v:shape id="_x0000_s1045" o:spid="_x0000_s1045" o:spt="75" type="#_x0000_t75" style="position:absolute;left:0pt;margin-left:31.4pt;margin-top:-231.95pt;height:253.9pt;width:405.6pt;mso-wrap-distance-bottom:0.2pt;mso-wrap-distance-left:9pt;mso-wrap-distance-right:9pt;mso-wrap-distance-top:0pt;z-index:251673600;mso-width-relative:page;mso-height-relative:page;" o:ole="t" filled="f" o:preferrelative="t" stroked="f" coordsize="21600,21600">
            <v:path/>
            <v:fill on="f" focussize="0,0"/>
            <v:stroke on="f" joinstyle="miter"/>
            <v:imagedata r:id="rId24" o:title=""/>
            <o:lock v:ext="edit" aspectratio="t"/>
            <w10:wrap type="square"/>
          </v:shape>
          <o:OLEObject Type="Embed" ProgID="Excel.Chart.8" ShapeID="_x0000_s1045" DrawAspect="Content" ObjectID="_1468075727" r:id="rId23">
            <o:LockedField>false</o:LockedField>
          </o:OLEObject>
        </w:pict>
      </w:r>
    </w:p>
    <w:p>
      <w:pPr>
        <w:snapToGrid w:val="0"/>
        <w:spacing w:line="580" w:lineRule="exact"/>
        <w:ind w:firstLine="643" w:firstLineChars="200"/>
        <w:rPr>
          <w:rFonts w:ascii="楷体_GB2312" w:hAnsi="Times New Roman" w:eastAsia="楷体_GB2312" w:cs="Times New Roman"/>
          <w:b/>
          <w:bCs/>
          <w:sz w:val="32"/>
          <w:szCs w:val="32"/>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年度财政拨款本年收入</w:t>
      </w:r>
      <w:r>
        <w:rPr>
          <w:rFonts w:ascii="仿宋_GB2312" w:hAnsi="Times New Roman" w:eastAsia="仿宋_GB2312" w:cs="仿宋_GB2312"/>
          <w:sz w:val="32"/>
          <w:szCs w:val="32"/>
        </w:rPr>
        <w:t>3862.14</w:t>
      </w:r>
      <w:r>
        <w:rPr>
          <w:rFonts w:hint="eastAsia" w:ascii="仿宋_GB2312" w:hAnsi="Times New Roman" w:eastAsia="仿宋_GB2312" w:cs="仿宋_GB2312"/>
          <w:sz w:val="32"/>
          <w:szCs w:val="32"/>
        </w:rPr>
        <w:t>万元，完成年初预算的</w:t>
      </w:r>
      <w:r>
        <w:rPr>
          <w:rFonts w:ascii="仿宋_GB2312" w:hAnsi="Times New Roman" w:eastAsia="仿宋_GB2312" w:cs="仿宋_GB2312"/>
          <w:sz w:val="32"/>
          <w:szCs w:val="32"/>
        </w:rPr>
        <w:t>71.69%</w:t>
      </w:r>
      <w:r>
        <w:rPr>
          <w:rFonts w:hint="eastAsia" w:ascii="仿宋_GB2312" w:hAnsi="Times New Roman" w:eastAsia="仿宋_GB2312" w:cs="仿宋_GB2312"/>
          <w:sz w:val="32"/>
          <w:szCs w:val="32"/>
        </w:rPr>
        <w:t>（如图</w:t>
      </w:r>
      <w:r>
        <w:rPr>
          <w:rFonts w:ascii="仿宋_GB2312" w:hAnsi="Times New Roman" w:eastAsia="仿宋_GB2312" w:cs="仿宋_GB2312"/>
          <w:sz w:val="32"/>
          <w:szCs w:val="32"/>
        </w:rPr>
        <w:t>4</w:t>
      </w:r>
      <w:r>
        <w:rPr>
          <w:rFonts w:hint="eastAsia" w:ascii="仿宋_GB2312" w:hAnsi="Times New Roman" w:eastAsia="仿宋_GB2312" w:cs="仿宋_GB2312"/>
          <w:sz w:val="32"/>
          <w:szCs w:val="32"/>
        </w:rPr>
        <w:t>）</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ascii="仿宋_GB2312" w:hAnsi="Times New Roman" w:eastAsia="仿宋_GB2312" w:cs="仿宋_GB2312"/>
          <w:sz w:val="32"/>
          <w:szCs w:val="32"/>
        </w:rPr>
        <w:t>1525.21</w:t>
      </w:r>
      <w:r>
        <w:rPr>
          <w:rFonts w:hint="eastAsia" w:ascii="仿宋_GB2312" w:hAnsi="Times New Roman" w:eastAsia="仿宋_GB2312" w:cs="仿宋_GB2312"/>
          <w:sz w:val="32"/>
          <w:szCs w:val="32"/>
        </w:rPr>
        <w:t>万元，决算数小于预算数主要原因是其他收入增加，财政拨款数减少；本年支出</w:t>
      </w:r>
      <w:r>
        <w:rPr>
          <w:rFonts w:ascii="仿宋_GB2312" w:hAnsi="Times New Roman" w:eastAsia="仿宋_GB2312" w:cs="仿宋_GB2312"/>
          <w:sz w:val="32"/>
          <w:szCs w:val="32"/>
        </w:rPr>
        <w:t>4380.15</w:t>
      </w:r>
      <w:r>
        <w:rPr>
          <w:rFonts w:hint="eastAsia" w:ascii="仿宋_GB2312" w:hAnsi="Times New Roman" w:eastAsia="仿宋_GB2312" w:cs="仿宋_GB2312"/>
          <w:sz w:val="32"/>
          <w:szCs w:val="32"/>
        </w:rPr>
        <w:t>万元，完成年初预算的</w:t>
      </w:r>
      <w:r>
        <w:rPr>
          <w:rFonts w:ascii="仿宋_GB2312" w:hAnsi="Times New Roman" w:eastAsia="仿宋_GB2312" w:cs="仿宋_GB2312"/>
          <w:sz w:val="32"/>
          <w:szCs w:val="32"/>
        </w:rPr>
        <w:t>81.3%,</w:t>
      </w:r>
      <w:r>
        <w:rPr>
          <w:rFonts w:hint="eastAsia" w:ascii="仿宋_GB2312" w:hAnsi="Times New Roman" w:eastAsia="仿宋_GB2312" w:cs="仿宋_GB2312"/>
          <w:sz w:val="32"/>
          <w:szCs w:val="32"/>
        </w:rPr>
        <w:t>比年初预算减少</w:t>
      </w:r>
      <w:r>
        <w:rPr>
          <w:rFonts w:ascii="仿宋_GB2312" w:hAnsi="Times New Roman" w:eastAsia="仿宋_GB2312" w:cs="仿宋_GB2312"/>
          <w:sz w:val="32"/>
          <w:szCs w:val="32"/>
        </w:rPr>
        <w:t>1007.2</w:t>
      </w:r>
      <w:r>
        <w:rPr>
          <w:rFonts w:hint="eastAsia" w:ascii="仿宋_GB2312" w:hAnsi="Times New Roman" w:eastAsia="仿宋_GB2312" w:cs="仿宋_GB2312"/>
          <w:sz w:val="32"/>
          <w:szCs w:val="32"/>
        </w:rPr>
        <w:t>万元，决算数小于预算数主要原因是主要是合理控制支出。具体情况如下：</w:t>
      </w:r>
    </w:p>
    <w:p>
      <w:pPr>
        <w:numPr>
          <w:ilvl w:val="0"/>
          <w:numId w:val="2"/>
        </w:num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一般公共预算财政拨款本年收入完成年初预算</w:t>
      </w:r>
      <w:r>
        <w:rPr>
          <w:rFonts w:ascii="仿宋_GB2312" w:hAnsi="Times New Roman" w:eastAsia="仿宋_GB2312" w:cs="仿宋_GB2312"/>
          <w:sz w:val="32"/>
          <w:szCs w:val="32"/>
        </w:rPr>
        <w:t>128.05%</w:t>
      </w:r>
      <w:r>
        <w:rPr>
          <w:rFonts w:hint="eastAsia" w:ascii="仿宋_GB2312" w:hAnsi="Times New Roman" w:eastAsia="仿宋_GB2312" w:cs="仿宋_GB2312"/>
          <w:sz w:val="32"/>
          <w:szCs w:val="32"/>
        </w:rPr>
        <w:t>，比年初预算增加</w:t>
      </w:r>
      <w:r>
        <w:rPr>
          <w:rFonts w:ascii="仿宋_GB2312" w:hAnsi="Times New Roman" w:eastAsia="仿宋_GB2312" w:cs="仿宋_GB2312"/>
          <w:sz w:val="32"/>
          <w:szCs w:val="32"/>
        </w:rPr>
        <w:t>995.38</w:t>
      </w:r>
      <w:r>
        <w:rPr>
          <w:rFonts w:hint="eastAsia" w:ascii="仿宋_GB2312" w:hAnsi="Times New Roman" w:eastAsia="仿宋_GB2312" w:cs="仿宋_GB2312"/>
          <w:sz w:val="32"/>
          <w:szCs w:val="32"/>
        </w:rPr>
        <w:t>万元，主要是机构合并，项目增加；支出完成年初预算</w:t>
      </w:r>
      <w:r>
        <w:rPr>
          <w:rFonts w:ascii="仿宋_GB2312" w:hAnsi="Times New Roman" w:eastAsia="仿宋_GB2312" w:cs="仿宋_GB2312"/>
          <w:sz w:val="32"/>
          <w:szCs w:val="32"/>
        </w:rPr>
        <w:t>165.46%</w:t>
      </w:r>
      <w:r>
        <w:rPr>
          <w:rFonts w:hint="eastAsia" w:ascii="仿宋_GB2312" w:hAnsi="Times New Roman" w:eastAsia="仿宋_GB2312" w:cs="仿宋_GB2312"/>
          <w:sz w:val="32"/>
          <w:szCs w:val="32"/>
        </w:rPr>
        <w:t>，比年初预算增加</w:t>
      </w:r>
      <w:r>
        <w:rPr>
          <w:rFonts w:ascii="仿宋_GB2312" w:hAnsi="Times New Roman" w:eastAsia="仿宋_GB2312" w:cs="仿宋_GB2312"/>
          <w:sz w:val="32"/>
          <w:szCs w:val="32"/>
        </w:rPr>
        <w:t>1286.21</w:t>
      </w:r>
      <w:r>
        <w:rPr>
          <w:rFonts w:hint="eastAsia" w:ascii="仿宋_GB2312" w:hAnsi="Times New Roman" w:eastAsia="仿宋_GB2312" w:cs="仿宋_GB2312"/>
          <w:sz w:val="32"/>
          <w:szCs w:val="32"/>
        </w:rPr>
        <w:t>万元，主要是机构合并，项目增加，支出增加。</w:t>
      </w:r>
    </w:p>
    <w:p>
      <w:pPr>
        <w:numPr>
          <w:ilvl w:val="0"/>
          <w:numId w:val="2"/>
        </w:num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政府性基金预算财政拨款本年收入完成年初预算</w:t>
      </w:r>
      <w:r>
        <w:rPr>
          <w:rFonts w:ascii="仿宋_GB2312" w:hAnsi="Times New Roman" w:eastAsia="仿宋_GB2312" w:cs="仿宋_GB2312"/>
          <w:sz w:val="32"/>
          <w:szCs w:val="32"/>
        </w:rPr>
        <w:t>45.32%</w:t>
      </w:r>
      <w:r>
        <w:rPr>
          <w:rFonts w:hint="eastAsia" w:ascii="仿宋_GB2312" w:hAnsi="Times New Roman" w:eastAsia="仿宋_GB2312" w:cs="仿宋_GB2312"/>
          <w:sz w:val="32"/>
          <w:szCs w:val="32"/>
        </w:rPr>
        <w:t>，比年初预算减少</w:t>
      </w:r>
      <w:r>
        <w:rPr>
          <w:rFonts w:ascii="仿宋_GB2312" w:hAnsi="Times New Roman" w:eastAsia="仿宋_GB2312" w:cs="仿宋_GB2312"/>
          <w:sz w:val="32"/>
          <w:szCs w:val="32"/>
        </w:rPr>
        <w:t>2520.59</w:t>
      </w:r>
      <w:r>
        <w:rPr>
          <w:rFonts w:hint="eastAsia" w:ascii="仿宋_GB2312" w:hAnsi="Times New Roman" w:eastAsia="仿宋_GB2312" w:cs="仿宋_GB2312"/>
          <w:sz w:val="32"/>
          <w:szCs w:val="32"/>
        </w:rPr>
        <w:t>万元，主要是财政拨款收入减少；支出完成年初预算</w:t>
      </w:r>
      <w:r>
        <w:rPr>
          <w:rFonts w:ascii="仿宋_GB2312" w:hAnsi="Times New Roman" w:eastAsia="仿宋_GB2312" w:cs="仿宋_GB2312"/>
          <w:sz w:val="32"/>
          <w:szCs w:val="32"/>
        </w:rPr>
        <w:t>50.25%</w:t>
      </w:r>
      <w:r>
        <w:rPr>
          <w:rFonts w:hint="eastAsia" w:ascii="仿宋_GB2312" w:hAnsi="Times New Roman" w:eastAsia="仿宋_GB2312" w:cs="仿宋_GB2312"/>
          <w:sz w:val="32"/>
          <w:szCs w:val="32"/>
        </w:rPr>
        <w:t>，比年初预算减少</w:t>
      </w:r>
      <w:r>
        <w:rPr>
          <w:rFonts w:ascii="仿宋_GB2312" w:hAnsi="Times New Roman" w:eastAsia="仿宋_GB2312" w:cs="仿宋_GB2312"/>
          <w:sz w:val="32"/>
          <w:szCs w:val="32"/>
        </w:rPr>
        <w:t>2293.41</w:t>
      </w:r>
      <w:r>
        <w:rPr>
          <w:rFonts w:hint="eastAsia" w:ascii="仿宋_GB2312" w:hAnsi="Times New Roman" w:eastAsia="仿宋_GB2312" w:cs="仿宋_GB2312"/>
          <w:sz w:val="32"/>
          <w:szCs w:val="32"/>
        </w:rPr>
        <w:t>万元，主要是财政拨款收入减少，支出减少。</w:t>
      </w:r>
    </w:p>
    <w:p>
      <w:pPr>
        <w:adjustRightInd w:val="0"/>
        <w:snapToGrid w:val="0"/>
        <w:spacing w:line="580" w:lineRule="exact"/>
        <w:rPr>
          <w:rFonts w:ascii="仿宋_GB2312" w:hAnsi="Times New Roman" w:eastAsia="仿宋_GB2312" w:cs="Times New Roman"/>
          <w:sz w:val="32"/>
          <w:szCs w:val="32"/>
          <w:highlight w:val="yellow"/>
        </w:rPr>
      </w:pPr>
      <w:r>
        <w:pict>
          <v:shape id="_x0000_s1046" o:spid="_x0000_s1046" o:spt="75" type="#_x0000_t75" style="position:absolute;left:0pt;margin-left:12.95pt;margin-top:3pt;height:241.9pt;width:404.65pt;mso-wrap-distance-bottom:0pt;mso-wrap-distance-left:9pt;mso-wrap-distance-right:9pt;mso-wrap-distance-top:0pt;z-index:251674624;mso-width-relative:page;mso-height-relative:page;" o:ole="t" filled="f" o:preferrelative="t" stroked="f" coordsize="21600,21600">
            <v:path/>
            <v:fill on="f" focussize="0,0"/>
            <v:stroke on="f" joinstyle="miter"/>
            <v:imagedata r:id="rId26" o:title=""/>
            <o:lock v:ext="edit" aspectratio="t"/>
            <w10:wrap type="square"/>
          </v:shape>
          <o:OLEObject Type="Embed" ProgID="Excel.Chart.8" ShapeID="_x0000_s1046" DrawAspect="Content" ObjectID="_1468075728" r:id="rId25">
            <o:LockedField>false</o:LockedField>
          </o:OLEObject>
        </w:pict>
      </w:r>
    </w:p>
    <w:p>
      <w:pPr>
        <w:numPr>
          <w:ilvl w:val="0"/>
          <w:numId w:val="3"/>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2019 </w:t>
      </w:r>
      <w:r>
        <w:rPr>
          <w:rFonts w:hint="eastAsia" w:ascii="仿宋_GB2312" w:hAnsi="Times New Roman" w:eastAsia="仿宋_GB2312" w:cs="仿宋_GB2312"/>
          <w:sz w:val="32"/>
          <w:szCs w:val="32"/>
        </w:rPr>
        <w:t>年度财政拨款支出</w:t>
      </w:r>
      <w:r>
        <w:rPr>
          <w:rFonts w:ascii="仿宋_GB2312" w:hAnsi="Times New Roman" w:eastAsia="仿宋_GB2312" w:cs="仿宋_GB2312"/>
          <w:sz w:val="32"/>
          <w:szCs w:val="32"/>
        </w:rPr>
        <w:t>4380.15</w:t>
      </w:r>
      <w:r>
        <w:rPr>
          <w:rFonts w:hint="eastAsia" w:ascii="仿宋_GB2312" w:hAnsi="Times New Roman" w:eastAsia="仿宋_GB2312" w:cs="仿宋_GB2312"/>
          <w:sz w:val="32"/>
          <w:szCs w:val="32"/>
        </w:rPr>
        <w:t>万元，主要用于以下方面：社会保障和就业支出</w:t>
      </w:r>
      <w:r>
        <w:rPr>
          <w:rFonts w:ascii="仿宋_GB2312" w:hAnsi="Times New Roman" w:eastAsia="仿宋_GB2312" w:cs="仿宋_GB2312"/>
          <w:sz w:val="32"/>
          <w:szCs w:val="32"/>
        </w:rPr>
        <w:t>14.87</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0.32%</w:t>
      </w:r>
      <w:r>
        <w:rPr>
          <w:rFonts w:hint="eastAsia" w:ascii="仿宋_GB2312" w:hAnsi="Times New Roman" w:eastAsia="仿宋_GB2312" w:cs="仿宋_GB2312"/>
          <w:sz w:val="32"/>
          <w:szCs w:val="32"/>
        </w:rPr>
        <w:t>，；卫生健康支出</w:t>
      </w:r>
      <w:r>
        <w:rPr>
          <w:rFonts w:ascii="仿宋_GB2312" w:hAnsi="Times New Roman" w:eastAsia="仿宋_GB2312" w:cs="仿宋_GB2312"/>
          <w:sz w:val="32"/>
          <w:szCs w:val="32"/>
        </w:rPr>
        <w:t>5</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0.1%</w:t>
      </w:r>
      <w:r>
        <w:rPr>
          <w:rFonts w:hint="eastAsia" w:ascii="仿宋_GB2312" w:hAnsi="Times New Roman" w:eastAsia="仿宋_GB2312" w:cs="仿宋_GB2312"/>
          <w:sz w:val="32"/>
          <w:szCs w:val="32"/>
        </w:rPr>
        <w:t>；节能环保支出</w:t>
      </w:r>
      <w:r>
        <w:rPr>
          <w:rFonts w:ascii="仿宋_GB2312" w:hAnsi="Times New Roman" w:eastAsia="仿宋_GB2312" w:cs="仿宋_GB2312"/>
          <w:sz w:val="32"/>
          <w:szCs w:val="32"/>
        </w:rPr>
        <w:t>61.14</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1.31%</w:t>
      </w:r>
      <w:r>
        <w:rPr>
          <w:rFonts w:hint="eastAsia" w:ascii="仿宋_GB2312" w:hAnsi="Times New Roman" w:eastAsia="仿宋_GB2312" w:cs="仿宋_GB2312"/>
          <w:sz w:val="32"/>
          <w:szCs w:val="32"/>
        </w:rPr>
        <w:t>；城乡社区支出</w:t>
      </w:r>
      <w:r>
        <w:rPr>
          <w:rFonts w:ascii="仿宋_GB2312" w:hAnsi="Times New Roman" w:eastAsia="仿宋_GB2312" w:cs="仿宋_GB2312"/>
          <w:sz w:val="32"/>
          <w:szCs w:val="32"/>
        </w:rPr>
        <w:t>2459.25</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52.73%</w:t>
      </w:r>
      <w:r>
        <w:rPr>
          <w:rFonts w:hint="eastAsia" w:ascii="仿宋_GB2312" w:hAnsi="Times New Roman" w:eastAsia="仿宋_GB2312" w:cs="仿宋_GB2312"/>
          <w:sz w:val="32"/>
          <w:szCs w:val="32"/>
        </w:rPr>
        <w:t>；农林水支出</w:t>
      </w:r>
      <w:r>
        <w:rPr>
          <w:rFonts w:ascii="仿宋_GB2312" w:hAnsi="Times New Roman" w:eastAsia="仿宋_GB2312" w:cs="仿宋_GB2312"/>
          <w:sz w:val="32"/>
          <w:szCs w:val="32"/>
        </w:rPr>
        <w:t>588.51</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18.71%</w:t>
      </w:r>
      <w:r>
        <w:rPr>
          <w:rFonts w:hint="eastAsia" w:ascii="仿宋_GB2312" w:hAnsi="Times New Roman" w:eastAsia="仿宋_GB2312" w:cs="仿宋_GB2312"/>
          <w:sz w:val="32"/>
          <w:szCs w:val="32"/>
        </w:rPr>
        <w:t>；自然资源海洋气象等支出</w:t>
      </w:r>
      <w:r>
        <w:rPr>
          <w:rFonts w:ascii="仿宋_GB2312" w:hAnsi="Times New Roman" w:eastAsia="仿宋_GB2312" w:cs="仿宋_GB2312"/>
          <w:sz w:val="32"/>
          <w:szCs w:val="32"/>
        </w:rPr>
        <w:t>1234.41</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26.47%</w:t>
      </w:r>
      <w:r>
        <w:rPr>
          <w:rFonts w:hint="eastAsia" w:ascii="仿宋_GB2312" w:hAnsi="Times New Roman" w:eastAsia="仿宋_GB2312" w:cs="仿宋_GB2312"/>
          <w:sz w:val="32"/>
          <w:szCs w:val="32"/>
        </w:rPr>
        <w:t>；住房保障支出</w:t>
      </w:r>
      <w:r>
        <w:rPr>
          <w:rFonts w:ascii="仿宋_GB2312" w:hAnsi="Times New Roman" w:eastAsia="仿宋_GB2312" w:cs="仿宋_GB2312"/>
          <w:sz w:val="32"/>
          <w:szCs w:val="32"/>
        </w:rPr>
        <w:t>10</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0.21%</w:t>
      </w:r>
      <w:r>
        <w:rPr>
          <w:rFonts w:hint="eastAsia" w:ascii="仿宋_GB2312" w:hAnsi="Times New Roman" w:eastAsia="仿宋_GB2312" w:cs="仿宋_GB2312"/>
          <w:sz w:val="32"/>
          <w:szCs w:val="32"/>
        </w:rPr>
        <w:t>；其他支出</w:t>
      </w:r>
      <w:r>
        <w:rPr>
          <w:rFonts w:ascii="仿宋_GB2312" w:hAnsi="Times New Roman" w:eastAsia="仿宋_GB2312" w:cs="仿宋_GB2312"/>
          <w:sz w:val="32"/>
          <w:szCs w:val="32"/>
        </w:rPr>
        <w:t>6.97</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0.15%</w:t>
      </w:r>
      <w:r>
        <w:rPr>
          <w:rFonts w:hint="eastAsia" w:ascii="仿宋_GB2312" w:hAnsi="Times New Roman" w:eastAsia="仿宋_GB2312" w:cs="仿宋_GB2312"/>
          <w:sz w:val="32"/>
          <w:szCs w:val="32"/>
        </w:rPr>
        <w:t>。</w:t>
      </w:r>
    </w:p>
    <w:p>
      <w:pPr>
        <w:adjustRightInd w:val="0"/>
        <w:snapToGrid w:val="0"/>
        <w:spacing w:line="580" w:lineRule="exact"/>
        <w:rPr>
          <w:rFonts w:ascii="楷体_GB2312" w:hAnsi="Times New Roman" w:eastAsia="楷体_GB2312" w:cs="Times New Roman"/>
          <w:b/>
          <w:bCs/>
          <w:sz w:val="32"/>
          <w:szCs w:val="32"/>
        </w:rPr>
      </w:pPr>
      <w:r>
        <w:pict>
          <v:shape id="_x0000_s1047" o:spid="_x0000_s1047" o:spt="75" type="#_x0000_t75" style="position:absolute;left:0pt;margin-left:12pt;margin-top:11.45pt;height:268.8pt;width:401.3pt;mso-wrap-distance-bottom:0.15pt;mso-wrap-distance-left:9pt;mso-wrap-distance-right:9pt;mso-wrap-distance-top:0pt;z-index:251675648;mso-width-relative:page;mso-height-relative:page;" o:ole="t" filled="f" o:preferrelative="t" stroked="f" coordsize="21600,21600">
            <v:path/>
            <v:fill on="f" focussize="0,0"/>
            <v:stroke on="f" joinstyle="miter"/>
            <v:imagedata r:id="rId28" o:title=""/>
            <o:lock v:ext="edit" aspectratio="t"/>
            <w10:wrap type="square"/>
          </v:shape>
          <o:OLEObject Type="Embed" ProgID="Excel.Chart.8" ShapeID="_x0000_s1047" DrawAspect="Content" ObjectID="_1468075729" r:id="rId27">
            <o:LockedField>false</o:LockedField>
          </o:OLEObject>
        </w:pict>
      </w:r>
    </w:p>
    <w:p>
      <w:pPr>
        <w:adjustRightInd w:val="0"/>
        <w:snapToGrid w:val="0"/>
        <w:spacing w:line="580" w:lineRule="exact"/>
        <w:rPr>
          <w:rFonts w:ascii="楷体_GB2312" w:hAnsi="Times New Roman" w:eastAsia="楷体_GB2312" w:cs="Times New Roman"/>
          <w:b/>
          <w:bCs/>
          <w:sz w:val="32"/>
          <w:szCs w:val="32"/>
        </w:rPr>
      </w:pPr>
    </w:p>
    <w:p>
      <w:pPr>
        <w:adjustRightInd w:val="0"/>
        <w:snapToGrid w:val="0"/>
        <w:spacing w:line="580" w:lineRule="exact"/>
        <w:rPr>
          <w:rFonts w:ascii="楷体_GB2312" w:hAnsi="Times New Roman" w:eastAsia="楷体_GB2312" w:cs="Times New Roman"/>
          <w:b/>
          <w:bCs/>
          <w:sz w:val="32"/>
          <w:szCs w:val="32"/>
        </w:rPr>
      </w:pPr>
    </w:p>
    <w:p>
      <w:pPr>
        <w:adjustRightInd w:val="0"/>
        <w:snapToGrid w:val="0"/>
        <w:spacing w:line="580" w:lineRule="exact"/>
        <w:ind w:left="420" w:leftChars="200"/>
        <w:rPr>
          <w:rFonts w:ascii="楷体_GB2312" w:hAnsi="Times New Roman" w:eastAsia="楷体_GB2312" w:cs="Times New Roman"/>
          <w:b/>
          <w:bCs/>
          <w:sz w:val="32"/>
          <w:szCs w:val="32"/>
        </w:rPr>
      </w:pPr>
    </w:p>
    <w:p>
      <w:pPr>
        <w:adjustRightInd w:val="0"/>
        <w:snapToGrid w:val="0"/>
        <w:spacing w:line="580" w:lineRule="exact"/>
        <w:ind w:left="420" w:leftChars="200"/>
        <w:rPr>
          <w:rFonts w:ascii="楷体_GB2312" w:hAnsi="Times New Roman" w:eastAsia="楷体_GB2312" w:cs="Times New Roman"/>
          <w:b/>
          <w:bCs/>
          <w:sz w:val="32"/>
          <w:szCs w:val="32"/>
        </w:rPr>
      </w:pPr>
    </w:p>
    <w:p>
      <w:pPr>
        <w:adjustRightInd w:val="0"/>
        <w:snapToGrid w:val="0"/>
        <w:spacing w:line="580" w:lineRule="exact"/>
        <w:rPr>
          <w:rFonts w:ascii="楷体_GB2312" w:hAnsi="Times New Roman" w:eastAsia="楷体_GB2312" w:cs="Times New Roman"/>
          <w:b/>
          <w:bCs/>
          <w:sz w:val="32"/>
          <w:szCs w:val="32"/>
        </w:rPr>
      </w:pPr>
    </w:p>
    <w:p>
      <w:pPr>
        <w:adjustRightInd w:val="0"/>
        <w:snapToGrid w:val="0"/>
        <w:spacing w:line="580" w:lineRule="exact"/>
        <w:rPr>
          <w:rFonts w:ascii="楷体_GB2312" w:hAnsi="Times New Roman" w:eastAsia="楷体_GB2312" w:cs="Times New Roman"/>
          <w:b/>
          <w:bCs/>
          <w:sz w:val="32"/>
          <w:szCs w:val="32"/>
        </w:rPr>
      </w:pPr>
    </w:p>
    <w:p>
      <w:pPr>
        <w:adjustRightInd w:val="0"/>
        <w:snapToGrid w:val="0"/>
        <w:spacing w:line="580" w:lineRule="exact"/>
        <w:ind w:firstLine="321" w:firstLineChars="100"/>
        <w:rPr>
          <w:rFonts w:ascii="楷体_GB2312" w:hAnsi="Times New Roman" w:eastAsia="楷体_GB2312" w:cs="Times New Roman"/>
          <w:b/>
          <w:bCs/>
          <w:sz w:val="32"/>
          <w:szCs w:val="32"/>
        </w:rPr>
      </w:pPr>
    </w:p>
    <w:p>
      <w:pPr>
        <w:adjustRightInd w:val="0"/>
        <w:snapToGrid w:val="0"/>
        <w:spacing w:line="580" w:lineRule="exact"/>
        <w:ind w:firstLine="321" w:firstLineChars="100"/>
        <w:rPr>
          <w:rFonts w:ascii="楷体_GB2312" w:hAnsi="Times New Roman" w:eastAsia="楷体_GB2312" w:cs="Times New Roman"/>
          <w:b/>
          <w:bCs/>
          <w:sz w:val="32"/>
          <w:szCs w:val="32"/>
        </w:rPr>
      </w:pPr>
    </w:p>
    <w:p>
      <w:pPr>
        <w:adjustRightInd w:val="0"/>
        <w:snapToGrid w:val="0"/>
        <w:spacing w:line="580" w:lineRule="exact"/>
        <w:ind w:firstLine="321" w:firstLineChars="100"/>
        <w:rPr>
          <w:rFonts w:ascii="楷体_GB2312" w:hAnsi="Times New Roman" w:eastAsia="楷体_GB2312" w:cs="Times New Roman"/>
          <w:b/>
          <w:bCs/>
          <w:sz w:val="32"/>
          <w:szCs w:val="32"/>
        </w:rPr>
      </w:pPr>
    </w:p>
    <w:p>
      <w:pPr>
        <w:adjustRightInd w:val="0"/>
        <w:snapToGrid w:val="0"/>
        <w:spacing w:line="580" w:lineRule="exact"/>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2019 </w:t>
      </w:r>
      <w:r>
        <w:rPr>
          <w:rFonts w:hint="eastAsia" w:ascii="仿宋_GB2312" w:hAnsi="Times New Roman" w:eastAsia="仿宋_GB2312" w:cs="仿宋_GB2312"/>
          <w:sz w:val="32"/>
          <w:szCs w:val="32"/>
        </w:rPr>
        <w:t>年度财政拨款基本支出</w:t>
      </w:r>
      <w:r>
        <w:rPr>
          <w:rFonts w:ascii="仿宋_GB2312" w:hAnsi="Times New Roman" w:eastAsia="仿宋_GB2312" w:cs="仿宋_GB2312"/>
          <w:sz w:val="32"/>
          <w:szCs w:val="32"/>
        </w:rPr>
        <w:t>573.82</w:t>
      </w:r>
      <w:r>
        <w:rPr>
          <w:rFonts w:hint="eastAsia" w:ascii="仿宋_GB2312" w:hAnsi="Times New Roman" w:eastAsia="仿宋_GB2312" w:cs="仿宋_GB2312"/>
          <w:sz w:val="32"/>
          <w:szCs w:val="32"/>
        </w:rPr>
        <w:t>万元，其中：人员经费</w:t>
      </w:r>
      <w:r>
        <w:rPr>
          <w:rFonts w:ascii="仿宋_GB2312" w:hAnsi="Times New Roman" w:eastAsia="仿宋_GB2312" w:cs="仿宋_GB2312"/>
          <w:sz w:val="32"/>
          <w:szCs w:val="32"/>
        </w:rPr>
        <w:t xml:space="preserve"> 151.1</w:t>
      </w:r>
      <w:r>
        <w:rPr>
          <w:rFonts w:hint="eastAsia" w:ascii="仿宋_GB2312" w:hAnsi="Times New Roman" w:eastAsia="仿宋_GB2312" w:cs="仿宋_GB2312"/>
          <w:sz w:val="32"/>
          <w:szCs w:val="32"/>
        </w:rPr>
        <w:t>万元，主要包括基本工资、津贴补贴、奖金、绩效工资、机关事业单位基本养老保险缴费、职业年金缴费、职工基本医疗保险缴费、住房公积金、医疗费、其他社会保障缴费、住房公积金、对个人和家庭的补助、生活补助、救济费支出；公用经费</w:t>
      </w:r>
      <w:r>
        <w:rPr>
          <w:rFonts w:ascii="仿宋_GB2312" w:hAnsi="Times New Roman" w:eastAsia="仿宋_GB2312" w:cs="仿宋_GB2312"/>
          <w:sz w:val="32"/>
          <w:szCs w:val="32"/>
        </w:rPr>
        <w:t xml:space="preserve"> 422.72</w:t>
      </w:r>
      <w:r>
        <w:rPr>
          <w:rFonts w:hint="eastAsia" w:ascii="仿宋_GB2312" w:hAnsi="Times New Roman" w:eastAsia="仿宋_GB2312" w:cs="仿宋_GB2312"/>
          <w:sz w:val="32"/>
          <w:szCs w:val="32"/>
        </w:rPr>
        <w:t>万元，主要包括办公费、印刷费、咨询费、手续费、水费、电费、邮电费、取暖费、物业管理费、差旅费、维修（护）费、劳务费、委托业务费、工会经费、福利费、公务用车运行维护费、其他交通费用、税金及附加费用、其他商品和服务支出、资本性支出。</w:t>
      </w:r>
    </w:p>
    <w:p>
      <w:pPr>
        <w:keepNext/>
        <w:keepLines/>
        <w:numPr>
          <w:ilvl w:val="0"/>
          <w:numId w:val="4"/>
        </w:numPr>
        <w:snapToGrid w:val="0"/>
        <w:spacing w:line="580" w:lineRule="exact"/>
        <w:ind w:firstLine="640" w:firstLineChars="200"/>
        <w:outlineLvl w:val="1"/>
        <w:rPr>
          <w:rFonts w:hint="eastAsia" w:ascii="黑体" w:hAnsi="Calibri" w:eastAsia="黑体" w:cs="黑体"/>
          <w:sz w:val="32"/>
          <w:szCs w:val="32"/>
        </w:rPr>
      </w:pPr>
      <w:r>
        <w:rPr>
          <w:rFonts w:hint="eastAsia" w:ascii="黑体" w:hAnsi="Calibri" w:eastAsia="黑体" w:cs="黑体"/>
          <w:sz w:val="32"/>
          <w:szCs w:val="32"/>
        </w:rPr>
        <w:t>一般公共预算“三公”</w:t>
      </w:r>
      <w:r>
        <w:rPr>
          <w:rFonts w:ascii="黑体" w:hAnsi="Calibri" w:eastAsia="黑体" w:cs="黑体"/>
          <w:sz w:val="32"/>
          <w:szCs w:val="32"/>
        </w:rPr>
        <w:t xml:space="preserve"> </w:t>
      </w:r>
      <w:r>
        <w:rPr>
          <w:rFonts w:hint="eastAsia" w:ascii="黑体" w:hAnsi="Calibri" w:eastAsia="黑体" w:cs="黑体"/>
          <w:sz w:val="32"/>
          <w:szCs w:val="32"/>
        </w:rPr>
        <w:t>经费支出决算情况说明</w:t>
      </w:r>
    </w:p>
    <w:p>
      <w:pPr>
        <w:adjustRightInd w:val="0"/>
        <w:snapToGrid w:val="0"/>
        <w:spacing w:line="580" w:lineRule="exact"/>
        <w:ind w:firstLine="640" w:firstLineChars="200"/>
        <w:rPr>
          <w:rFonts w:ascii="仿宋_GB2312" w:hAnsi="Times New Roman" w:eastAsia="仿宋_GB2312" w:cs="Times New Roman"/>
          <w:color w:val="C0000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年度“三公”经费支出共计</w:t>
      </w:r>
      <w:r>
        <w:rPr>
          <w:rFonts w:ascii="仿宋_GB2312" w:hAnsi="Times New Roman" w:eastAsia="仿宋_GB2312" w:cs="仿宋_GB2312"/>
          <w:sz w:val="32"/>
          <w:szCs w:val="32"/>
        </w:rPr>
        <w:t>14.85</w:t>
      </w:r>
      <w:r>
        <w:rPr>
          <w:rFonts w:hint="eastAsia" w:ascii="仿宋_GB2312" w:hAnsi="Times New Roman" w:eastAsia="仿宋_GB2312" w:cs="仿宋_GB2312"/>
          <w:sz w:val="32"/>
          <w:szCs w:val="32"/>
        </w:rPr>
        <w:t>万元，完成预算的</w:t>
      </w:r>
      <w:r>
        <w:rPr>
          <w:rFonts w:ascii="仿宋_GB2312" w:hAnsi="Times New Roman" w:eastAsia="仿宋_GB2312" w:cs="仿宋_GB2312"/>
          <w:sz w:val="32"/>
          <w:szCs w:val="32"/>
        </w:rPr>
        <w:t>54.98%,</w:t>
      </w:r>
      <w:r>
        <w:rPr>
          <w:rFonts w:hint="eastAsia" w:ascii="仿宋_GB2312" w:hAnsi="Times New Roman" w:eastAsia="仿宋_GB2312" w:cs="仿宋_GB2312"/>
          <w:sz w:val="32"/>
          <w:szCs w:val="32"/>
        </w:rPr>
        <w:t>较预算减少</w:t>
      </w:r>
      <w:r>
        <w:rPr>
          <w:rFonts w:ascii="仿宋_GB2312" w:hAnsi="Times New Roman" w:eastAsia="仿宋_GB2312" w:cs="仿宋_GB2312"/>
          <w:sz w:val="32"/>
          <w:szCs w:val="32"/>
        </w:rPr>
        <w:t>12.16</w:t>
      </w:r>
      <w:r>
        <w:rPr>
          <w:rFonts w:hint="eastAsia" w:ascii="仿宋_GB2312" w:hAnsi="Times New Roman" w:eastAsia="仿宋_GB2312" w:cs="仿宋_GB2312"/>
          <w:sz w:val="32"/>
          <w:szCs w:val="32"/>
        </w:rPr>
        <w:t>万元，降低</w:t>
      </w:r>
      <w:r>
        <w:rPr>
          <w:rFonts w:ascii="仿宋_GB2312" w:hAnsi="Times New Roman" w:eastAsia="仿宋_GB2312" w:cs="仿宋_GB2312"/>
          <w:sz w:val="32"/>
          <w:szCs w:val="32"/>
        </w:rPr>
        <w:t>45.02%</w:t>
      </w:r>
      <w:r>
        <w:rPr>
          <w:rFonts w:hint="eastAsia" w:ascii="仿宋_GB2312" w:hAnsi="Times New Roman" w:eastAsia="仿宋_GB2312" w:cs="仿宋_GB2312"/>
          <w:sz w:val="32"/>
          <w:szCs w:val="32"/>
        </w:rPr>
        <w:t>，</w:t>
      </w:r>
      <w:r>
        <w:rPr>
          <w:rFonts w:hint="eastAsia" w:ascii="仿宋_GB2312" w:hAnsi="Times New Roman" w:eastAsia="仿宋_GB2312" w:cs="DengXian-Regular"/>
          <w:color w:val="auto"/>
          <w:sz w:val="32"/>
          <w:szCs w:val="32"/>
        </w:rPr>
        <w:t>主要原因是</w:t>
      </w:r>
      <w:r>
        <w:rPr>
          <w:rFonts w:hint="eastAsia" w:ascii="仿宋_GB2312" w:hAnsi="Times New Roman" w:eastAsia="仿宋_GB2312" w:cs="仿宋_GB2312"/>
          <w:color w:val="auto"/>
          <w:sz w:val="32"/>
          <w:szCs w:val="32"/>
        </w:rPr>
        <w:t>主要是</w:t>
      </w:r>
      <w:r>
        <w:rPr>
          <w:rFonts w:hint="eastAsia" w:ascii="仿宋_GB2312" w:eastAsia="仿宋_GB2312" w:cs="仿宋_GB2312"/>
          <w:color w:val="auto"/>
          <w:sz w:val="32"/>
          <w:szCs w:val="32"/>
        </w:rPr>
        <w:t>认真贯彻落实中央</w:t>
      </w:r>
      <w:bookmarkStart w:id="0" w:name="_GoBack"/>
      <w:bookmarkEnd w:id="0"/>
      <w:r>
        <w:rPr>
          <w:rFonts w:hint="eastAsia" w:ascii="仿宋_GB2312" w:eastAsia="仿宋_GB2312" w:cs="仿宋_GB2312"/>
          <w:color w:val="auto"/>
          <w:sz w:val="32"/>
          <w:szCs w:val="32"/>
          <w:lang w:eastAsia="zh-CN"/>
        </w:rPr>
        <w:t>八项规定</w:t>
      </w:r>
      <w:r>
        <w:rPr>
          <w:rFonts w:hint="eastAsia" w:ascii="仿宋_GB2312" w:eastAsia="仿宋_GB2312" w:cs="仿宋_GB2312"/>
          <w:color w:val="auto"/>
          <w:sz w:val="32"/>
          <w:szCs w:val="32"/>
        </w:rPr>
        <w:t>精神和厉行节约要求，从严控制“三公”经费开支，全年实际支出比预算有所节约</w:t>
      </w:r>
      <w:r>
        <w:rPr>
          <w:rFonts w:hint="eastAsia" w:ascii="仿宋_GB2312" w:eastAsia="仿宋_GB2312" w:cs="仿宋_GB2312"/>
          <w:color w:val="auto"/>
          <w:sz w:val="32"/>
          <w:szCs w:val="32"/>
          <w:lang w:val="en-US" w:eastAsia="zh-CN"/>
        </w:rPr>
        <w:t>,</w:t>
      </w:r>
      <w:r>
        <w:rPr>
          <w:rFonts w:hint="eastAsia" w:ascii="仿宋_GB2312" w:hAnsi="Times New Roman" w:eastAsia="仿宋_GB2312" w:cs="仿宋_GB2312"/>
          <w:sz w:val="32"/>
          <w:szCs w:val="32"/>
          <w:lang w:val="en-US" w:eastAsia="zh-CN"/>
        </w:rPr>
        <w:t>较</w:t>
      </w:r>
      <w:r>
        <w:rPr>
          <w:rFonts w:hint="eastAsia" w:ascii="仿宋_GB2312" w:hAnsi="Times New Roman" w:eastAsia="仿宋_GB2312" w:cs="DengXian-Regular"/>
          <w:color w:val="000000" w:themeColor="text1"/>
          <w:sz w:val="32"/>
          <w:szCs w:val="32"/>
        </w:rPr>
        <w:t>2018年度减少</w:t>
      </w:r>
      <w:r>
        <w:rPr>
          <w:rFonts w:hint="eastAsia" w:ascii="仿宋_GB2312" w:hAnsi="Times New Roman" w:eastAsia="仿宋_GB2312" w:cs="DengXian-Regular"/>
          <w:color w:val="000000" w:themeColor="text1"/>
          <w:sz w:val="32"/>
          <w:szCs w:val="32"/>
          <w:lang w:val="en-US" w:eastAsia="zh-CN"/>
        </w:rPr>
        <w:t>0.11</w:t>
      </w:r>
      <w:r>
        <w:rPr>
          <w:rFonts w:hint="eastAsia" w:ascii="仿宋_GB2312" w:hAnsi="Times New Roman" w:eastAsia="仿宋_GB2312" w:cs="DengXian-Regular"/>
          <w:color w:val="000000" w:themeColor="text1"/>
          <w:sz w:val="32"/>
          <w:szCs w:val="32"/>
        </w:rPr>
        <w:t>万元，降低</w:t>
      </w:r>
      <w:r>
        <w:rPr>
          <w:rFonts w:hint="eastAsia" w:ascii="仿宋_GB2312" w:hAnsi="Times New Roman" w:eastAsia="仿宋_GB2312" w:cs="DengXian-Regular"/>
          <w:color w:val="000000" w:themeColor="text1"/>
          <w:sz w:val="32"/>
          <w:szCs w:val="32"/>
          <w:lang w:val="en-US" w:eastAsia="zh-CN"/>
        </w:rPr>
        <w:t>0.74</w:t>
      </w:r>
      <w:r>
        <w:rPr>
          <w:rFonts w:hint="eastAsia" w:ascii="仿宋_GB2312" w:hAnsi="Times New Roman" w:eastAsia="仿宋_GB2312" w:cs="DengXian-Regular"/>
          <w:color w:val="000000" w:themeColor="text1"/>
          <w:sz w:val="32"/>
          <w:szCs w:val="32"/>
        </w:rPr>
        <w:t>%。</w:t>
      </w:r>
      <w:r>
        <w:rPr>
          <w:rFonts w:hint="eastAsia" w:ascii="仿宋_GB2312" w:hAnsi="Times New Roman" w:eastAsia="仿宋_GB2312" w:cs="DengXian-Regular"/>
          <w:color w:val="auto"/>
          <w:sz w:val="32"/>
          <w:szCs w:val="32"/>
        </w:rPr>
        <w:t>主要原因是</w:t>
      </w:r>
      <w:r>
        <w:rPr>
          <w:rFonts w:hint="eastAsia" w:ascii="仿宋_GB2312" w:hAnsi="Times New Roman" w:eastAsia="仿宋_GB2312" w:cs="仿宋_GB2312"/>
          <w:color w:val="auto"/>
          <w:sz w:val="32"/>
          <w:szCs w:val="32"/>
        </w:rPr>
        <w:t>主要是</w:t>
      </w:r>
      <w:r>
        <w:rPr>
          <w:rFonts w:hint="eastAsia" w:ascii="仿宋_GB2312" w:eastAsia="仿宋_GB2312" w:cs="仿宋_GB2312"/>
          <w:color w:val="auto"/>
          <w:sz w:val="32"/>
          <w:szCs w:val="32"/>
        </w:rPr>
        <w:t>认真贯彻落实中央</w:t>
      </w:r>
      <w:r>
        <w:rPr>
          <w:rFonts w:hint="eastAsia" w:ascii="仿宋_GB2312" w:eastAsia="仿宋_GB2312" w:cs="仿宋_GB2312"/>
          <w:color w:val="auto"/>
          <w:sz w:val="32"/>
          <w:szCs w:val="32"/>
          <w:lang w:eastAsia="zh-CN"/>
        </w:rPr>
        <w:t>八项规定</w:t>
      </w:r>
      <w:r>
        <w:rPr>
          <w:rFonts w:hint="eastAsia" w:ascii="仿宋_GB2312" w:eastAsia="仿宋_GB2312" w:cs="仿宋_GB2312"/>
          <w:color w:val="auto"/>
          <w:sz w:val="32"/>
          <w:szCs w:val="32"/>
        </w:rPr>
        <w:t>精神和厉行节约要求，从严控制“三公”经费开支，全年实际支出比预算有所节约</w:t>
      </w:r>
      <w:r>
        <w:rPr>
          <w:rFonts w:hint="eastAsia" w:ascii="仿宋_GB2312" w:hAnsi="Times New Roman" w:eastAsia="仿宋_GB2312" w:cs="仿宋_GB2312"/>
          <w:color w:val="auto"/>
          <w:sz w:val="32"/>
          <w:szCs w:val="32"/>
        </w:rPr>
        <w:t>；具体情况如下：</w:t>
      </w:r>
    </w:p>
    <w:p>
      <w:pPr>
        <w:spacing w:line="580" w:lineRule="exact"/>
        <w:ind w:firstLine="643" w:firstLineChars="200"/>
        <w:rPr>
          <w:rFonts w:ascii="仿宋_GB2312" w:eastAsia="仿宋_GB2312" w:cs="Times New Roman"/>
          <w:sz w:val="32"/>
          <w:szCs w:val="32"/>
        </w:rPr>
      </w:pPr>
      <w:r>
        <w:rPr>
          <w:rFonts w:hint="eastAsia" w:ascii="楷体_GB2312" w:hAnsi="Times New Roman" w:eastAsia="楷体_GB2312" w:cs="楷体_GB2312"/>
          <w:b/>
          <w:bCs/>
          <w:sz w:val="32"/>
          <w:szCs w:val="32"/>
        </w:rPr>
        <w:t>（一）因公出国（境）费支出</w:t>
      </w:r>
      <w:r>
        <w:rPr>
          <w:rFonts w:ascii="楷体_GB2312" w:hAnsi="Times New Roman" w:eastAsia="楷体_GB2312" w:cs="楷体_GB2312"/>
          <w:b/>
          <w:bCs/>
          <w:sz w:val="32"/>
          <w:szCs w:val="32"/>
        </w:rPr>
        <w:t>0</w:t>
      </w:r>
      <w:r>
        <w:rPr>
          <w:rFonts w:hint="eastAsia" w:ascii="楷体_GB2312" w:hAnsi="Times New Roman"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2019</w:t>
      </w:r>
      <w:r>
        <w:rPr>
          <w:rFonts w:hint="eastAsia" w:ascii="仿宋_GB2312" w:eastAsia="仿宋_GB2312" w:cs="仿宋_GB2312"/>
          <w:sz w:val="32"/>
          <w:szCs w:val="32"/>
        </w:rPr>
        <w:t>年度因公出国（境）团组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参加其他单位组织的因公出国（境）团组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无本单位组织的出国（境）团组。因公出国（境）费支出较年初预算增加</w:t>
      </w:r>
      <w:r>
        <w:rPr>
          <w:rFonts w:ascii="仿宋_GB2312" w:eastAsia="仿宋_GB2312" w:cs="仿宋_GB2312"/>
          <w:sz w:val="32"/>
          <w:szCs w:val="32"/>
        </w:rPr>
        <w:t>0</w:t>
      </w:r>
      <w:r>
        <w:rPr>
          <w:rFonts w:hint="eastAsia" w:ascii="仿宋_GB2312" w:eastAsia="仿宋_GB2312" w:cs="仿宋_GB2312"/>
          <w:sz w:val="32"/>
          <w:szCs w:val="32"/>
        </w:rPr>
        <w:t>万元，增长</w:t>
      </w:r>
      <w:r>
        <w:rPr>
          <w:rFonts w:ascii="仿宋_GB2312" w:eastAsia="仿宋_GB2312" w:cs="仿宋_GB2312"/>
          <w:sz w:val="32"/>
          <w:szCs w:val="32"/>
        </w:rPr>
        <w:t>0%</w:t>
      </w:r>
      <w:r>
        <w:rPr>
          <w:rFonts w:hint="eastAsia" w:ascii="仿宋_GB2312" w:eastAsia="仿宋_GB2312" w:cs="仿宋_GB2312"/>
          <w:sz w:val="32"/>
          <w:szCs w:val="32"/>
        </w:rPr>
        <w:t>，主要是认真贯彻落实中央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（二）公务用车购置及运行维护费支出</w:t>
      </w:r>
      <w:r>
        <w:rPr>
          <w:rFonts w:ascii="楷体_GB2312" w:hAnsi="Times New Roman" w:eastAsia="楷体_GB2312" w:cs="楷体_GB2312"/>
          <w:b/>
          <w:bCs/>
          <w:sz w:val="32"/>
          <w:szCs w:val="32"/>
        </w:rPr>
        <w:t>14.85</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年度公务用车购置及运行维护费较预算减少</w:t>
      </w:r>
      <w:r>
        <w:rPr>
          <w:rFonts w:ascii="仿宋_GB2312" w:hAnsi="Times New Roman" w:eastAsia="仿宋_GB2312" w:cs="仿宋_GB2312"/>
          <w:sz w:val="32"/>
          <w:szCs w:val="32"/>
        </w:rPr>
        <w:t>11.15</w:t>
      </w:r>
      <w:r>
        <w:rPr>
          <w:rFonts w:hint="eastAsia" w:ascii="仿宋_GB2312" w:hAnsi="Times New Roman" w:eastAsia="仿宋_GB2312" w:cs="仿宋_GB2312"/>
          <w:sz w:val="32"/>
          <w:szCs w:val="32"/>
        </w:rPr>
        <w:t>万元，降低</w:t>
      </w:r>
      <w:r>
        <w:rPr>
          <w:rFonts w:ascii="仿宋_GB2312" w:hAnsi="Times New Roman" w:eastAsia="仿宋_GB2312" w:cs="仿宋_GB2312"/>
          <w:sz w:val="32"/>
          <w:szCs w:val="32"/>
        </w:rPr>
        <w:t>42.88%,</w:t>
      </w:r>
      <w:r>
        <w:rPr>
          <w:rFonts w:hint="eastAsia" w:ascii="仿宋_GB2312" w:hAnsi="Times New Roman" w:eastAsia="仿宋_GB2312" w:cs="仿宋_GB2312"/>
          <w:sz w:val="32"/>
          <w:szCs w:val="32"/>
          <w:lang w:eastAsia="zh-CN"/>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仿宋_GB2312"/>
          <w:sz w:val="32"/>
          <w:szCs w:val="32"/>
        </w:rPr>
        <w:t>；较上年减少</w:t>
      </w:r>
      <w:r>
        <w:rPr>
          <w:rFonts w:ascii="仿宋_GB2312" w:hAnsi="Times New Roman" w:eastAsia="仿宋_GB2312" w:cs="仿宋_GB2312"/>
          <w:sz w:val="32"/>
          <w:szCs w:val="32"/>
        </w:rPr>
        <w:t>0.11</w:t>
      </w:r>
      <w:r>
        <w:rPr>
          <w:rFonts w:hint="eastAsia" w:ascii="仿宋_GB2312" w:hAnsi="Times New Roman" w:eastAsia="仿宋_GB2312" w:cs="仿宋_GB2312"/>
          <w:sz w:val="32"/>
          <w:szCs w:val="32"/>
        </w:rPr>
        <w:t>万元，降低</w:t>
      </w:r>
      <w:r>
        <w:rPr>
          <w:rFonts w:ascii="仿宋_GB2312" w:hAnsi="Times New Roman" w:eastAsia="仿宋_GB2312" w:cs="仿宋_GB2312"/>
          <w:sz w:val="32"/>
          <w:szCs w:val="32"/>
        </w:rPr>
        <w:t>0.74%,</w:t>
      </w:r>
      <w:r>
        <w:rPr>
          <w:rFonts w:hint="eastAsia" w:ascii="仿宋_GB2312" w:hAnsi="Times New Roman" w:eastAsia="仿宋_GB2312" w:cs="仿宋_GB2312"/>
          <w:sz w:val="32"/>
          <w:szCs w:val="32"/>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仿宋_GB2312"/>
          <w:b/>
          <w:bCs/>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w:t>
      </w:r>
      <w:r>
        <w:rPr>
          <w:rFonts w:hint="eastAsia" w:ascii="仿宋_GB2312" w:eastAsia="仿宋_GB2312" w:cs="仿宋_GB2312"/>
          <w:sz w:val="32"/>
          <w:szCs w:val="32"/>
        </w:rPr>
        <w:t>本部门</w:t>
      </w:r>
      <w:r>
        <w:rPr>
          <w:rFonts w:ascii="仿宋_GB2312" w:eastAsia="仿宋_GB2312" w:cs="仿宋_GB2312"/>
          <w:sz w:val="32"/>
          <w:szCs w:val="32"/>
        </w:rPr>
        <w:t>2019</w:t>
      </w:r>
      <w:r>
        <w:rPr>
          <w:rFonts w:hint="eastAsia" w:ascii="仿宋_GB2312" w:eastAsia="仿宋_GB2312" w:cs="仿宋_GB2312"/>
          <w:sz w:val="32"/>
          <w:szCs w:val="32"/>
        </w:rPr>
        <w:t>年度未发生“公务用车购置”经费。公务用车购置费支出与年初预算、与上年度决算持平。</w:t>
      </w:r>
      <w:r>
        <w:rPr>
          <w:rFonts w:hint="eastAsia" w:ascii="仿宋_GB2312" w:hAnsi="Times New Roman" w:eastAsia="仿宋_GB2312" w:cs="仿宋_GB2312"/>
          <w:sz w:val="32"/>
          <w:szCs w:val="32"/>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年度单位公务用车保有量</w:t>
      </w:r>
      <w:r>
        <w:rPr>
          <w:rFonts w:ascii="仿宋_GB2312" w:hAnsi="Times New Roman" w:eastAsia="仿宋_GB2312" w:cs="仿宋_GB2312"/>
          <w:sz w:val="32"/>
          <w:szCs w:val="32"/>
        </w:rPr>
        <w:t>9</w:t>
      </w:r>
      <w:r>
        <w:rPr>
          <w:rFonts w:hint="eastAsia" w:ascii="仿宋_GB2312" w:hAnsi="Times New Roman" w:eastAsia="仿宋_GB2312" w:cs="仿宋_GB2312"/>
          <w:sz w:val="32"/>
          <w:szCs w:val="32"/>
        </w:rPr>
        <w:t>辆。公车运行维护费支出较预算减少</w:t>
      </w:r>
      <w:r>
        <w:rPr>
          <w:rFonts w:ascii="仿宋_GB2312" w:hAnsi="Times New Roman" w:eastAsia="仿宋_GB2312" w:cs="仿宋_GB2312"/>
          <w:sz w:val="32"/>
          <w:szCs w:val="32"/>
        </w:rPr>
        <w:t>11.15</w:t>
      </w:r>
      <w:r>
        <w:rPr>
          <w:rFonts w:hint="eastAsia" w:ascii="仿宋_GB2312" w:hAnsi="Times New Roman" w:eastAsia="仿宋_GB2312" w:cs="仿宋_GB2312"/>
          <w:sz w:val="32"/>
          <w:szCs w:val="32"/>
        </w:rPr>
        <w:t>万元，降低</w:t>
      </w:r>
      <w:r>
        <w:rPr>
          <w:rFonts w:ascii="仿宋_GB2312" w:hAnsi="Times New Roman" w:eastAsia="仿宋_GB2312" w:cs="仿宋_GB2312"/>
          <w:sz w:val="32"/>
          <w:szCs w:val="32"/>
        </w:rPr>
        <w:t>42.88%,</w:t>
      </w:r>
      <w:r>
        <w:rPr>
          <w:rFonts w:hint="eastAsia" w:ascii="仿宋_GB2312" w:hAnsi="Times New Roman" w:eastAsia="仿宋_GB2312" w:cs="仿宋_GB2312"/>
          <w:sz w:val="32"/>
          <w:szCs w:val="32"/>
          <w:lang w:eastAsia="zh-CN"/>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仿宋_GB2312"/>
          <w:sz w:val="32"/>
          <w:szCs w:val="32"/>
        </w:rPr>
        <w:t>；较上年减少</w:t>
      </w:r>
      <w:r>
        <w:rPr>
          <w:rFonts w:ascii="仿宋_GB2312" w:hAnsi="Times New Roman" w:eastAsia="仿宋_GB2312" w:cs="仿宋_GB2312"/>
          <w:sz w:val="32"/>
          <w:szCs w:val="32"/>
        </w:rPr>
        <w:t>0.11</w:t>
      </w:r>
      <w:r>
        <w:rPr>
          <w:rFonts w:hint="eastAsia" w:ascii="仿宋_GB2312" w:hAnsi="Times New Roman" w:eastAsia="仿宋_GB2312" w:cs="仿宋_GB2312"/>
          <w:sz w:val="32"/>
          <w:szCs w:val="32"/>
        </w:rPr>
        <w:t>万元，降低</w:t>
      </w:r>
      <w:r>
        <w:rPr>
          <w:rFonts w:ascii="仿宋_GB2312" w:hAnsi="Times New Roman" w:eastAsia="仿宋_GB2312" w:cs="仿宋_GB2312"/>
          <w:sz w:val="32"/>
          <w:szCs w:val="32"/>
        </w:rPr>
        <w:t>0.74%</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p>
    <w:p>
      <w:pPr>
        <w:spacing w:line="580" w:lineRule="exact"/>
        <w:ind w:firstLine="643" w:firstLineChars="200"/>
        <w:rPr>
          <w:rFonts w:ascii="仿宋_GB2312" w:eastAsia="仿宋_GB2312" w:cs="Times New Roman"/>
          <w:sz w:val="32"/>
          <w:szCs w:val="32"/>
        </w:rPr>
      </w:pPr>
      <w:r>
        <w:rPr>
          <w:rFonts w:hint="eastAsia" w:ascii="楷体_GB2312" w:hAnsi="Times New Roman" w:eastAsia="楷体_GB2312" w:cs="楷体_GB2312"/>
          <w:b/>
          <w:bCs/>
          <w:sz w:val="32"/>
          <w:szCs w:val="32"/>
        </w:rPr>
        <w:t>（三）公务接待费支出</w:t>
      </w:r>
      <w:r>
        <w:rPr>
          <w:rFonts w:ascii="楷体_GB2312" w:hAnsi="Times New Roman" w:eastAsia="楷体_GB2312" w:cs="楷体_GB2312"/>
          <w:b/>
          <w:bCs/>
          <w:sz w:val="32"/>
          <w:szCs w:val="32"/>
        </w:rPr>
        <w:t>0</w:t>
      </w:r>
      <w:r>
        <w:rPr>
          <w:rFonts w:hint="eastAsia" w:ascii="楷体_GB2312" w:hAnsi="Times New Roman"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2019</w:t>
      </w:r>
      <w:r>
        <w:rPr>
          <w:rFonts w:hint="eastAsia" w:ascii="仿宋_GB2312" w:eastAsia="仿宋_GB2312" w:cs="仿宋_GB2312"/>
          <w:sz w:val="32"/>
          <w:szCs w:val="32"/>
        </w:rPr>
        <w:t>年度公务接待共</w:t>
      </w:r>
      <w:r>
        <w:rPr>
          <w:rFonts w:ascii="仿宋_GB2312" w:eastAsia="仿宋_GB2312" w:cs="仿宋_GB2312"/>
          <w:sz w:val="32"/>
          <w:szCs w:val="32"/>
        </w:rPr>
        <w:t>0</w:t>
      </w:r>
      <w:r>
        <w:rPr>
          <w:rFonts w:hint="eastAsia" w:ascii="仿宋_GB2312" w:eastAsia="仿宋_GB2312" w:cs="仿宋_GB2312"/>
          <w:sz w:val="32"/>
          <w:szCs w:val="32"/>
        </w:rPr>
        <w:t>批次、</w:t>
      </w:r>
      <w:r>
        <w:rPr>
          <w:rFonts w:ascii="仿宋_GB2312" w:eastAsia="仿宋_GB2312" w:cs="仿宋_GB2312"/>
          <w:sz w:val="32"/>
          <w:szCs w:val="32"/>
        </w:rPr>
        <w:t>0</w:t>
      </w:r>
      <w:r>
        <w:rPr>
          <w:rFonts w:hint="eastAsia" w:ascii="仿宋_GB2312" w:eastAsia="仿宋_GB2312" w:cs="仿宋_GB2312"/>
          <w:sz w:val="32"/>
          <w:szCs w:val="32"/>
        </w:rPr>
        <w:t>人次。公务接待费支出较年初预算减少</w:t>
      </w:r>
      <w:r>
        <w:rPr>
          <w:rFonts w:ascii="仿宋_GB2312" w:eastAsia="仿宋_GB2312" w:cs="仿宋_GB2312"/>
          <w:sz w:val="32"/>
          <w:szCs w:val="32"/>
        </w:rPr>
        <w:t>1.01</w:t>
      </w:r>
      <w:r>
        <w:rPr>
          <w:rFonts w:hint="eastAsia" w:ascii="仿宋_GB2312" w:eastAsia="仿宋_GB2312" w:cs="仿宋_GB2312"/>
          <w:sz w:val="32"/>
          <w:szCs w:val="32"/>
        </w:rPr>
        <w:t>万元，降低</w:t>
      </w:r>
      <w:r>
        <w:rPr>
          <w:rFonts w:ascii="仿宋_GB2312" w:eastAsia="仿宋_GB2312" w:cs="仿宋_GB2312"/>
          <w:sz w:val="32"/>
          <w:szCs w:val="32"/>
        </w:rPr>
        <w:t>100%,</w:t>
      </w:r>
      <w:r>
        <w:rPr>
          <w:rFonts w:hint="eastAsia" w:ascii="仿宋_GB2312" w:eastAsia="仿宋_GB2312" w:cs="仿宋_GB2312"/>
          <w:sz w:val="32"/>
          <w:szCs w:val="32"/>
        </w:rPr>
        <w:t>主要是认真贯彻落实中央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r>
        <w:pict>
          <v:group id="组合 36" o:spid="_x0000_s1048" o:spt="203" style="position:absolute;left:0pt;margin-left:-0.55pt;margin-top:29.3pt;height:43.95pt;width:301.85pt;mso-position-horizontal-relative:page;mso-position-vertical-relative:page;z-index:251678720;mso-width-relative:page;mso-height-relative:page;" coordorigin="4551,52615" coordsize="8546,1398203">
            <o:lock v:ext="edit"/>
            <v:rect id="矩形 13" o:spid="_x0000_s1049" o:spt="1" style="position:absolute;left:4551;top:52615;height:1175;width:8546;v-text-anchor:middle;" fillcolor="#D9D9D9" filled="t" stroked="f" coordsize="21600,21600">
              <v:path/>
              <v:fill on="t" focussize="0,0"/>
              <v:stroke on="f" weight="2pt"/>
              <v:imagedata o:title=""/>
              <o:lock v:ext="edit"/>
            </v:rect>
            <v:rect id="_x0000_s1050" o:spid="_x0000_s1050" o:spt="1" style="position:absolute;left:4577;top:52890;height:1123;width:8324;v-text-anchor:middle;" fillcolor="#AD002D" filled="t" stroked="t" coordsize="21600,21600">
              <v:path/>
              <v:fill on="t" focussize="0,0"/>
              <v:stroke weight="2pt" color="#B0761F" joinstyle="round"/>
              <v:imagedata o:title=""/>
              <o:lock v:ext="edit"/>
              <v:textbox>
                <w:txbxContent>
                  <w:p>
                    <w:pPr>
                      <w:rPr>
                        <w:rFonts w:ascii="楷体" w:hAnsi="楷体" w:eastAsia="楷体" w:cs="Times New Roman"/>
                        <w:b/>
                        <w:bCs/>
                        <w:color w:val="FDEFBE"/>
                        <w:sz w:val="32"/>
                        <w:szCs w:val="32"/>
                      </w:rPr>
                    </w:pPr>
                    <w:r>
                      <w:rPr>
                        <w:rFonts w:ascii="楷体" w:hAnsi="楷体" w:eastAsia="楷体" w:cs="楷体"/>
                        <w:b/>
                        <w:bCs/>
                        <w:color w:val="FDEFBE"/>
                        <w:sz w:val="32"/>
                        <w:szCs w:val="32"/>
                      </w:rPr>
                      <w:t>2018</w:t>
                    </w:r>
                    <w:r>
                      <w:rPr>
                        <w:rFonts w:hint="eastAsia" w:ascii="楷体" w:hAnsi="楷体" w:eastAsia="楷体" w:cs="楷体"/>
                        <w:b/>
                        <w:bCs/>
                        <w:color w:val="FDEFBE"/>
                        <w:sz w:val="32"/>
                        <w:szCs w:val="32"/>
                      </w:rPr>
                      <w:t>年度部门决算</w:t>
                    </w:r>
                    <w:r>
                      <w:rPr>
                        <w:rFonts w:hint="eastAsia" w:ascii="MS Mincho" w:hAnsi="MS Mincho" w:eastAsia="MS Mincho" w:cs="MS Mincho"/>
                        <w:b/>
                        <w:bCs/>
                        <w:color w:val="FDEFBE"/>
                        <w:sz w:val="32"/>
                        <w:szCs w:val="32"/>
                      </w:rPr>
                      <w:t>☞</w:t>
                    </w:r>
                    <w:r>
                      <w:rPr>
                        <w:rFonts w:hint="eastAsia" w:ascii="楷体" w:hAnsi="楷体" w:eastAsia="楷体" w:cs="楷体"/>
                        <w:b/>
                        <w:bCs/>
                        <w:color w:val="FDEFBE"/>
                        <w:sz w:val="32"/>
                        <w:szCs w:val="32"/>
                      </w:rPr>
                      <w:t>部门决算情况说明</w:t>
                    </w:r>
                  </w:p>
                  <w:p>
                    <w:pPr>
                      <w:jc w:val="center"/>
                      <w:rPr>
                        <w:rFonts w:cs="Times New Roman"/>
                      </w:rPr>
                    </w:pPr>
                  </w:p>
                </w:txbxContent>
              </v:textbox>
            </v:rect>
            <w10:anchorlock/>
          </v:group>
        </w:pict>
      </w:r>
      <w:r>
        <w:rPr>
          <w:rFonts w:hint="eastAsia" w:ascii="仿宋_GB2312" w:eastAsia="仿宋_GB2312" w:cs="仿宋_GB2312"/>
          <w:sz w:val="32"/>
          <w:szCs w:val="32"/>
        </w:rPr>
        <w:t>；较上年度减少</w:t>
      </w:r>
      <w:r>
        <w:rPr>
          <w:rFonts w:ascii="仿宋_GB2312" w:eastAsia="仿宋_GB2312" w:cs="仿宋_GB2312"/>
          <w:sz w:val="32"/>
          <w:szCs w:val="32"/>
        </w:rPr>
        <w:t>0</w:t>
      </w:r>
      <w:r>
        <w:rPr>
          <w:rFonts w:hint="eastAsia" w:ascii="仿宋_GB2312" w:eastAsia="仿宋_GB2312" w:cs="仿宋_GB2312"/>
          <w:sz w:val="32"/>
          <w:szCs w:val="32"/>
        </w:rPr>
        <w:t>万元，降低</w:t>
      </w:r>
      <w:r>
        <w:rPr>
          <w:rFonts w:ascii="仿宋_GB2312" w:eastAsia="仿宋_GB2312" w:cs="仿宋_GB2312"/>
          <w:sz w:val="32"/>
          <w:szCs w:val="32"/>
        </w:rPr>
        <w:t>0%</w:t>
      </w:r>
      <w:r>
        <w:rPr>
          <w:rFonts w:hint="eastAsia" w:ascii="仿宋_GB2312" w:eastAsia="仿宋_GB2312" w:cs="仿宋_GB2312"/>
          <w:sz w:val="32"/>
          <w:szCs w:val="32"/>
        </w:rPr>
        <w:t>，主要是认真贯彻落实中央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p>
    <w:p>
      <w:pPr>
        <w:adjustRightInd w:val="0"/>
        <w:snapToGrid w:val="0"/>
        <w:spacing w:line="580" w:lineRule="exact"/>
        <w:ind w:left="420" w:left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ascii="仿宋_GB2312" w:hAnsi="仿宋_GB2312" w:eastAsia="仿宋_GB2312" w:cs="仿宋_GB2312"/>
          <w:b/>
          <w:bCs/>
          <w:sz w:val="32"/>
          <w:szCs w:val="32"/>
        </w:rPr>
        <w:t xml:space="preserve">1. </w:t>
      </w:r>
      <w:r>
        <w:rPr>
          <w:rFonts w:hint="eastAsia" w:ascii="仿宋_GB2312" w:hAnsi="仿宋_GB2312" w:eastAsia="仿宋_GB2312" w:cs="仿宋_GB2312"/>
          <w:b/>
          <w:bCs/>
          <w:sz w:val="32"/>
          <w:szCs w:val="32"/>
        </w:rPr>
        <w:t>预算绩效管理工作开展情况。</w:t>
      </w:r>
    </w:p>
    <w:p>
      <w:pPr>
        <w:adjustRightInd w:val="0"/>
        <w:snapToGrid w:val="0"/>
        <w:spacing w:line="580" w:lineRule="exact"/>
        <w:ind w:firstLine="640" w:firstLineChars="200"/>
        <w:rPr>
          <w:rFonts w:ascii="仿宋_GB2312" w:hAnsi="仿宋_GB2312" w:eastAsia="仿宋_GB2312" w:cs="Times New Roman"/>
          <w:b/>
          <w:bCs/>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年度一般公共预算项目支出全面开展绩效自评，项目</w:t>
      </w:r>
      <w:r>
        <w:rPr>
          <w:rFonts w:ascii="仿宋_GB2312" w:hAnsi="仿宋_GB2312" w:eastAsia="仿宋_GB2312" w:cs="仿宋_GB2312"/>
          <w:sz w:val="32"/>
          <w:szCs w:val="32"/>
        </w:rPr>
        <w:t>18</w:t>
      </w:r>
      <w:r>
        <w:rPr>
          <w:rFonts w:hint="eastAsia" w:ascii="仿宋_GB2312" w:hAnsi="仿宋_GB2312" w:eastAsia="仿宋_GB2312" w:cs="仿宋_GB2312"/>
          <w:sz w:val="32"/>
          <w:szCs w:val="32"/>
        </w:rPr>
        <w:t>个，共涉及资金</w:t>
      </w:r>
      <w:r>
        <w:rPr>
          <w:rFonts w:ascii="仿宋_GB2312" w:hAnsi="仿宋_GB2312" w:eastAsia="仿宋_GB2312" w:cs="仿宋_GB2312"/>
          <w:sz w:val="32"/>
          <w:szCs w:val="32"/>
        </w:rPr>
        <w:t>1489.734038</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年度“高邑县第三批（自主开发）占补平衡项目”等</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个政府性基金预算项目支出开展绩效自评，共涉及资金</w:t>
      </w:r>
      <w:r>
        <w:rPr>
          <w:rFonts w:ascii="仿宋_GB2312" w:hAnsi="仿宋_GB2312" w:eastAsia="仿宋_GB2312" w:cs="仿宋_GB2312"/>
          <w:sz w:val="32"/>
          <w:szCs w:val="32"/>
        </w:rPr>
        <w:t>1038.954588</w:t>
      </w:r>
      <w:r>
        <w:rPr>
          <w:rFonts w:hint="eastAsia" w:ascii="仿宋_GB2312" w:hAnsi="仿宋_GB2312" w:eastAsia="仿宋_GB2312" w:cs="仿宋_GB2312"/>
          <w:sz w:val="32"/>
          <w:szCs w:val="32"/>
        </w:rPr>
        <w:t>万元，占政府性基金预算项目支出总额的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年省级地下水超采”等</w:t>
      </w:r>
      <w:r>
        <w:rPr>
          <w:rFonts w:ascii="仿宋_GB2312" w:hAnsi="仿宋_GB2312" w:eastAsia="仿宋_GB2312" w:cs="仿宋_GB2312"/>
          <w:sz w:val="32"/>
          <w:szCs w:val="32"/>
        </w:rPr>
        <w:t>28</w:t>
      </w:r>
      <w:r>
        <w:rPr>
          <w:rFonts w:hint="eastAsia" w:ascii="仿宋_GB2312" w:hAnsi="仿宋_GB2312" w:eastAsia="仿宋_GB2312" w:cs="仿宋_GB2312"/>
          <w:sz w:val="32"/>
          <w:szCs w:val="32"/>
        </w:rPr>
        <w:t>个项目开展了部门评价，涉及一般公共预算支出</w:t>
      </w:r>
      <w:r>
        <w:rPr>
          <w:rFonts w:ascii="仿宋_GB2312" w:hAnsi="仿宋_GB2312" w:eastAsia="仿宋_GB2312" w:cs="仿宋_GB2312"/>
          <w:sz w:val="32"/>
          <w:szCs w:val="32"/>
        </w:rPr>
        <w:t>1489.734038</w:t>
      </w:r>
      <w:r>
        <w:rPr>
          <w:rFonts w:hint="eastAsia" w:ascii="仿宋_GB2312" w:hAnsi="仿宋_GB2312" w:eastAsia="仿宋_GB2312" w:cs="仿宋_GB2312"/>
          <w:sz w:val="32"/>
          <w:szCs w:val="32"/>
        </w:rPr>
        <w:t>万元，政府性基金预算支出</w:t>
      </w:r>
      <w:r>
        <w:rPr>
          <w:rFonts w:ascii="仿宋_GB2312" w:hAnsi="仿宋_GB2312" w:eastAsia="仿宋_GB2312" w:cs="仿宋_GB2312"/>
          <w:sz w:val="32"/>
          <w:szCs w:val="32"/>
        </w:rPr>
        <w:t>1038.954588</w:t>
      </w:r>
      <w:r>
        <w:rPr>
          <w:rFonts w:hint="eastAsia" w:ascii="仿宋_GB2312" w:hAnsi="仿宋_GB2312" w:eastAsia="仿宋_GB2312" w:cs="仿宋_GB2312"/>
          <w:sz w:val="32"/>
          <w:szCs w:val="32"/>
        </w:rPr>
        <w:t>万元。</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ascii="仿宋_GB2312" w:hAnsi="仿宋_GB2312" w:eastAsia="仿宋_GB2312" w:cs="仿宋_GB2312"/>
          <w:b/>
          <w:bCs/>
          <w:sz w:val="32"/>
          <w:szCs w:val="32"/>
        </w:rPr>
        <w:t xml:space="preserve">2. </w:t>
      </w:r>
      <w:r>
        <w:rPr>
          <w:rFonts w:hint="eastAsia" w:ascii="仿宋_GB2312" w:hAnsi="仿宋_GB2312" w:eastAsia="仿宋_GB2312" w:cs="仿宋_GB2312"/>
          <w:b/>
          <w:bCs/>
          <w:sz w:val="32"/>
          <w:szCs w:val="32"/>
        </w:rPr>
        <w:t>部门决算中项目绩效自评结果。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本部门在今年部门决算公开中反映高邑县</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年度建设用地节约集约利用状况整体评价项目、高邑县开发区</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年度建设用地节约集约利用状况专项评价项目、高邑县自然资源和规划局关于申请第三批（自主开发）耕地占补平衡（奖补项目）项目。</w:t>
      </w:r>
    </w:p>
    <w:p>
      <w:pPr>
        <w:numPr>
          <w:ilvl w:val="0"/>
          <w:numId w:val="5"/>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高邑县自然资源和规划局关于申请第三批（自主开发）耕地占补平衡（奖补项目）项目自评综述：根据年初设定的绩效目标，高邑县自然资源和规划局关于申请第三批（自主开发）耕地占补平衡（奖补项目）项目绩效自评得分为</w:t>
      </w:r>
      <w:r>
        <w:rPr>
          <w:rFonts w:ascii="仿宋_GB2312" w:hAnsi="仿宋_GB2312" w:eastAsia="仿宋_GB2312" w:cs="仿宋_GB2312"/>
          <w:sz w:val="32"/>
          <w:szCs w:val="32"/>
        </w:rPr>
        <w:t>98</w:t>
      </w:r>
      <w:r>
        <w:rPr>
          <w:rFonts w:hint="eastAsia" w:ascii="仿宋_GB2312" w:hAnsi="仿宋_GB2312" w:eastAsia="仿宋_GB2312" w:cs="仿宋_GB2312"/>
          <w:sz w:val="32"/>
          <w:szCs w:val="32"/>
        </w:rPr>
        <w:t>分（绩效自评表附后）。全年预算数为</w:t>
      </w:r>
      <w:r>
        <w:rPr>
          <w:rFonts w:ascii="仿宋_GB2312" w:hAnsi="仿宋_GB2312" w:eastAsia="仿宋_GB2312" w:cs="仿宋_GB2312"/>
          <w:sz w:val="32"/>
          <w:szCs w:val="32"/>
        </w:rPr>
        <w:t>8.9527</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8.9527</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。项目绩效目标完成情况：一是该项目完成施工后，我县第三批自行开垦新增耕地</w:t>
      </w:r>
      <w:r>
        <w:rPr>
          <w:rFonts w:ascii="仿宋_GB2312" w:hAnsi="仿宋_GB2312" w:eastAsia="仿宋_GB2312" w:cs="仿宋_GB2312"/>
          <w:sz w:val="32"/>
          <w:szCs w:val="32"/>
        </w:rPr>
        <w:t>1.7527</w:t>
      </w:r>
      <w:r>
        <w:rPr>
          <w:rFonts w:hint="eastAsia" w:ascii="仿宋_GB2312" w:hAnsi="仿宋_GB2312" w:eastAsia="仿宋_GB2312" w:cs="仿宋_GB2312"/>
          <w:sz w:val="32"/>
          <w:szCs w:val="32"/>
        </w:rPr>
        <w:t>公顷；二是增加我县占补平衡指标</w:t>
      </w:r>
      <w:r>
        <w:rPr>
          <w:rFonts w:ascii="仿宋_GB2312" w:hAnsi="仿宋_GB2312" w:eastAsia="仿宋_GB2312" w:cs="仿宋_GB2312"/>
          <w:sz w:val="32"/>
          <w:szCs w:val="32"/>
        </w:rPr>
        <w:t>1.7527</w:t>
      </w:r>
      <w:r>
        <w:rPr>
          <w:rFonts w:hint="eastAsia" w:ascii="仿宋_GB2312" w:hAnsi="仿宋_GB2312" w:eastAsia="仿宋_GB2312" w:cs="仿宋_GB2312"/>
          <w:sz w:val="32"/>
          <w:szCs w:val="32"/>
        </w:rPr>
        <w:t>公顷。发现的主要问题及原因：后期管护不到位，由于灌溉配套设施不到位，项目验收后部分村民进行撂荒，根据自然资源部和省市要求，要求对上述情况进行整改。下一步改进措施：加强后期管护，落实管护责任。</w:t>
      </w:r>
    </w:p>
    <w:p>
      <w:pPr>
        <w:adjustRightInd w:val="0"/>
        <w:snapToGrid w:val="0"/>
        <w:spacing w:line="580" w:lineRule="exact"/>
        <w:rPr>
          <w:rFonts w:ascii="仿宋_GB2312" w:hAnsi="仿宋_GB2312" w:eastAsia="仿宋_GB2312" w:cs="Times New Roman"/>
          <w:sz w:val="32"/>
          <w:szCs w:val="32"/>
        </w:rPr>
      </w:pPr>
    </w:p>
    <w:tbl>
      <w:tblPr>
        <w:tblStyle w:val="7"/>
        <w:tblpPr w:leftFromText="180" w:rightFromText="180" w:vertAnchor="text" w:horzAnchor="page" w:tblpX="961" w:tblpY="639"/>
        <w:tblOverlap w:val="never"/>
        <w:tblW w:w="0" w:type="auto"/>
        <w:tblInd w:w="0" w:type="dxa"/>
        <w:tblLayout w:type="fixed"/>
        <w:tblCellMar>
          <w:top w:w="0" w:type="dxa"/>
          <w:left w:w="0" w:type="dxa"/>
          <w:bottom w:w="0" w:type="dxa"/>
          <w:right w:w="0" w:type="dxa"/>
        </w:tblCellMar>
      </w:tblPr>
      <w:tblGrid>
        <w:gridCol w:w="900"/>
        <w:gridCol w:w="1077"/>
        <w:gridCol w:w="1200"/>
        <w:gridCol w:w="900"/>
        <w:gridCol w:w="1418"/>
        <w:gridCol w:w="955"/>
        <w:gridCol w:w="1295"/>
        <w:gridCol w:w="1869"/>
      </w:tblGrid>
      <w:tr>
        <w:tblPrEx>
          <w:tblCellMar>
            <w:top w:w="0" w:type="dxa"/>
            <w:left w:w="0" w:type="dxa"/>
            <w:bottom w:w="0" w:type="dxa"/>
            <w:right w:w="0" w:type="dxa"/>
          </w:tblCellMar>
        </w:tblPrEx>
        <w:trPr>
          <w:trHeight w:val="361" w:hRule="atLeast"/>
        </w:trPr>
        <w:tc>
          <w:tcPr>
            <w:tcW w:w="9614" w:type="dxa"/>
            <w:gridSpan w:val="8"/>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县级部门预算项目绩效自评表</w:t>
            </w:r>
          </w:p>
        </w:tc>
      </w:tr>
      <w:tr>
        <w:tblPrEx>
          <w:tblCellMar>
            <w:top w:w="0" w:type="dxa"/>
            <w:left w:w="0" w:type="dxa"/>
            <w:bottom w:w="0" w:type="dxa"/>
            <w:right w:w="0" w:type="dxa"/>
          </w:tblCellMar>
        </w:tblPrEx>
        <w:trPr>
          <w:trHeight w:val="176" w:hRule="atLeast"/>
        </w:trPr>
        <w:tc>
          <w:tcPr>
            <w:tcW w:w="9614" w:type="dxa"/>
            <w:gridSpan w:val="8"/>
            <w:tcMar>
              <w:top w:w="15" w:type="dxa"/>
              <w:left w:w="15" w:type="dxa"/>
              <w:bottom w:w="0" w:type="dxa"/>
              <w:right w:w="15" w:type="dxa"/>
            </w:tcMar>
            <w:vAlign w:val="bottom"/>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w:t>
            </w:r>
            <w:r>
              <w:rPr>
                <w:rFonts w:ascii="宋体" w:hAnsi="宋体" w:cs="宋体"/>
                <w:color w:val="000000"/>
                <w:kern w:val="0"/>
                <w:sz w:val="16"/>
                <w:szCs w:val="16"/>
              </w:rPr>
              <w:t xml:space="preserve">     2019 </w:t>
            </w:r>
            <w:r>
              <w:rPr>
                <w:rFonts w:hint="eastAsia" w:ascii="宋体" w:hAnsi="宋体" w:cs="宋体"/>
                <w:color w:val="000000"/>
                <w:kern w:val="0"/>
                <w:sz w:val="16"/>
                <w:szCs w:val="16"/>
              </w:rPr>
              <w:t>年度）</w:t>
            </w:r>
          </w:p>
        </w:tc>
      </w:tr>
      <w:tr>
        <w:tblPrEx>
          <w:tblCellMar>
            <w:top w:w="0" w:type="dxa"/>
            <w:left w:w="0" w:type="dxa"/>
            <w:bottom w:w="0" w:type="dxa"/>
            <w:right w:w="0" w:type="dxa"/>
          </w:tblCellMar>
        </w:tblPrEx>
        <w:trPr>
          <w:trHeight w:val="356" w:hRule="atLeast"/>
        </w:trPr>
        <w:tc>
          <w:tcPr>
            <w:tcW w:w="3177" w:type="dxa"/>
            <w:gridSpan w:val="3"/>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填报单位：高邑县自然资源和规划局</w:t>
            </w:r>
          </w:p>
        </w:tc>
        <w:tc>
          <w:tcPr>
            <w:tcW w:w="900" w:type="dxa"/>
            <w:tcMar>
              <w:top w:w="15" w:type="dxa"/>
              <w:left w:w="15" w:type="dxa"/>
              <w:bottom w:w="0" w:type="dxa"/>
              <w:right w:w="15" w:type="dxa"/>
            </w:tcMar>
            <w:vAlign w:val="center"/>
          </w:tcPr>
          <w:p>
            <w:pPr>
              <w:jc w:val="center"/>
              <w:rPr>
                <w:rFonts w:ascii="宋体" w:cs="Times New Roman"/>
                <w:color w:val="000000"/>
                <w:kern w:val="0"/>
                <w:sz w:val="16"/>
                <w:szCs w:val="16"/>
              </w:rPr>
            </w:pPr>
          </w:p>
        </w:tc>
        <w:tc>
          <w:tcPr>
            <w:tcW w:w="1418" w:type="dxa"/>
            <w:tcMar>
              <w:top w:w="15" w:type="dxa"/>
              <w:left w:w="15" w:type="dxa"/>
              <w:bottom w:w="0" w:type="dxa"/>
              <w:right w:w="15" w:type="dxa"/>
            </w:tcMar>
            <w:vAlign w:val="center"/>
          </w:tcPr>
          <w:p>
            <w:pPr>
              <w:jc w:val="center"/>
              <w:rPr>
                <w:rFonts w:ascii="宋体" w:cs="Times New Roman"/>
                <w:color w:val="000000"/>
                <w:kern w:val="0"/>
                <w:sz w:val="16"/>
                <w:szCs w:val="16"/>
              </w:rPr>
            </w:pPr>
          </w:p>
        </w:tc>
        <w:tc>
          <w:tcPr>
            <w:tcW w:w="955" w:type="dxa"/>
            <w:tcMar>
              <w:top w:w="15" w:type="dxa"/>
              <w:left w:w="15" w:type="dxa"/>
              <w:bottom w:w="0" w:type="dxa"/>
              <w:right w:w="15" w:type="dxa"/>
            </w:tcMar>
            <w:vAlign w:val="center"/>
          </w:tcPr>
          <w:p>
            <w:pPr>
              <w:jc w:val="center"/>
              <w:rPr>
                <w:rFonts w:ascii="宋体" w:cs="Times New Roman"/>
                <w:color w:val="000000"/>
                <w:kern w:val="0"/>
                <w:sz w:val="16"/>
                <w:szCs w:val="16"/>
              </w:rPr>
            </w:pPr>
          </w:p>
        </w:tc>
        <w:tc>
          <w:tcPr>
            <w:tcW w:w="1295" w:type="dxa"/>
            <w:tcMar>
              <w:top w:w="15" w:type="dxa"/>
              <w:left w:w="15" w:type="dxa"/>
              <w:bottom w:w="0" w:type="dxa"/>
              <w:right w:w="15" w:type="dxa"/>
            </w:tcMar>
            <w:vAlign w:val="center"/>
          </w:tcPr>
          <w:p>
            <w:pPr>
              <w:jc w:val="center"/>
              <w:rPr>
                <w:rFonts w:ascii="宋体" w:cs="Times New Roman"/>
                <w:color w:val="000000"/>
                <w:kern w:val="0"/>
                <w:sz w:val="16"/>
                <w:szCs w:val="16"/>
              </w:rPr>
            </w:pPr>
          </w:p>
        </w:tc>
        <w:tc>
          <w:tcPr>
            <w:tcW w:w="1869" w:type="dxa"/>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金额单位：万元</w:t>
            </w:r>
          </w:p>
        </w:tc>
      </w:tr>
      <w:tr>
        <w:tblPrEx>
          <w:tblCellMar>
            <w:top w:w="0" w:type="dxa"/>
            <w:left w:w="0" w:type="dxa"/>
            <w:bottom w:w="0" w:type="dxa"/>
            <w:right w:w="0" w:type="dxa"/>
          </w:tblCellMar>
        </w:tblPrEx>
        <w:trPr>
          <w:trHeight w:val="580" w:hRule="atLeast"/>
        </w:trPr>
        <w:tc>
          <w:tcPr>
            <w:tcW w:w="900" w:type="dxa"/>
            <w:tcBorders>
              <w:top w:val="single" w:color="000000" w:sz="4" w:space="0"/>
              <w:left w:val="single" w:color="000000" w:sz="4" w:space="0"/>
              <w:bottom w:val="nil"/>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cs="宋体"/>
                <w:kern w:val="0"/>
                <w:sz w:val="16"/>
                <w:szCs w:val="16"/>
              </w:rPr>
              <w:t>一、</w:t>
            </w:r>
            <w:r>
              <w:rPr>
                <w:kern w:val="0"/>
                <w:sz w:val="16"/>
                <w:szCs w:val="16"/>
              </w:rPr>
              <w:t xml:space="preserve"> </w:t>
            </w:r>
            <w:r>
              <w:rPr>
                <w:rFonts w:hint="eastAsia" w:cs="宋体"/>
                <w:kern w:val="0"/>
                <w:sz w:val="16"/>
                <w:szCs w:val="16"/>
              </w:rPr>
              <w:t>基本情况</w:t>
            </w:r>
          </w:p>
        </w:tc>
        <w:tc>
          <w:tcPr>
            <w:tcW w:w="1077"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项目名称</w:t>
            </w:r>
          </w:p>
        </w:tc>
        <w:tc>
          <w:tcPr>
            <w:tcW w:w="2100"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高邑县自然资源和规划局关于申请第三批（自主开发）耕地占补平衡（奖补项目）资金（专项资金）</w:t>
            </w:r>
          </w:p>
        </w:tc>
        <w:tc>
          <w:tcPr>
            <w:tcW w:w="1418"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实施</w:t>
            </w:r>
            <w:r>
              <w:rPr>
                <w:rFonts w:ascii="宋体" w:hAnsi="宋体" w:cs="宋体"/>
                <w:color w:val="000000"/>
                <w:kern w:val="0"/>
                <w:sz w:val="16"/>
                <w:szCs w:val="16"/>
              </w:rPr>
              <w:t>(</w:t>
            </w:r>
            <w:r>
              <w:rPr>
                <w:rFonts w:hint="eastAsia" w:ascii="宋体" w:hAnsi="宋体" w:cs="宋体"/>
                <w:color w:val="000000"/>
                <w:kern w:val="0"/>
                <w:sz w:val="16"/>
                <w:szCs w:val="16"/>
              </w:rPr>
              <w:t>主管）单位</w:t>
            </w:r>
          </w:p>
        </w:tc>
        <w:tc>
          <w:tcPr>
            <w:tcW w:w="4119"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高邑县自然资源和规划局</w:t>
            </w:r>
          </w:p>
        </w:tc>
      </w:tr>
      <w:tr>
        <w:tblPrEx>
          <w:tblCellMar>
            <w:top w:w="0" w:type="dxa"/>
            <w:left w:w="0" w:type="dxa"/>
            <w:bottom w:w="0" w:type="dxa"/>
            <w:right w:w="0" w:type="dxa"/>
          </w:tblCellMar>
        </w:tblPrEx>
        <w:trPr>
          <w:trHeight w:val="284" w:hRule="atLeast"/>
        </w:trPr>
        <w:tc>
          <w:tcPr>
            <w:tcW w:w="900"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二、预算执行情况</w:t>
            </w:r>
          </w:p>
        </w:tc>
        <w:tc>
          <w:tcPr>
            <w:tcW w:w="2277"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预算安排情况（调整后）</w:t>
            </w:r>
          </w:p>
        </w:tc>
        <w:tc>
          <w:tcPr>
            <w:tcW w:w="2318"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资金到位情况</w:t>
            </w:r>
          </w:p>
        </w:tc>
        <w:tc>
          <w:tcPr>
            <w:tcW w:w="2250"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资金执行情况</w:t>
            </w:r>
          </w:p>
        </w:tc>
        <w:tc>
          <w:tcPr>
            <w:tcW w:w="1869"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预算执行进度</w:t>
            </w:r>
          </w:p>
        </w:tc>
      </w:tr>
      <w:tr>
        <w:tblPrEx>
          <w:tblCellMar>
            <w:top w:w="0" w:type="dxa"/>
            <w:left w:w="0" w:type="dxa"/>
            <w:bottom w:w="0" w:type="dxa"/>
            <w:right w:w="0" w:type="dxa"/>
          </w:tblCellMar>
        </w:tblPrEx>
        <w:trPr>
          <w:trHeight w:val="283" w:hRule="atLeast"/>
        </w:trPr>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1077"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预算数：</w:t>
            </w:r>
          </w:p>
        </w:tc>
        <w:tc>
          <w:tcPr>
            <w:tcW w:w="12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8.9527</w:t>
            </w:r>
          </w:p>
        </w:tc>
        <w:tc>
          <w:tcPr>
            <w:tcW w:w="9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到位数：</w:t>
            </w:r>
          </w:p>
        </w:tc>
        <w:tc>
          <w:tcPr>
            <w:tcW w:w="1418"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8.9527</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执行数：</w:t>
            </w:r>
          </w:p>
        </w:tc>
        <w:tc>
          <w:tcPr>
            <w:tcW w:w="129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8.9527</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w:t>
            </w:r>
            <w:r>
              <w:rPr>
                <w:rFonts w:ascii="宋体" w:hAnsi="宋体" w:cs="宋体"/>
                <w:color w:val="000000"/>
                <w:kern w:val="0"/>
                <w:sz w:val="16"/>
                <w:szCs w:val="16"/>
              </w:rPr>
              <w:t>=</w:t>
            </w:r>
            <w:r>
              <w:rPr>
                <w:rFonts w:hint="eastAsia" w:ascii="宋体" w:hAnsi="宋体" w:cs="宋体"/>
                <w:color w:val="000000"/>
                <w:kern w:val="0"/>
                <w:sz w:val="16"/>
                <w:szCs w:val="16"/>
              </w:rPr>
              <w:t>执行数</w:t>
            </w:r>
            <w:r>
              <w:rPr>
                <w:rFonts w:ascii="宋体" w:hAnsi="宋体" w:cs="宋体"/>
                <w:color w:val="000000"/>
                <w:kern w:val="0"/>
                <w:sz w:val="16"/>
                <w:szCs w:val="16"/>
              </w:rPr>
              <w:t>/</w:t>
            </w:r>
            <w:r>
              <w:rPr>
                <w:rFonts w:hint="eastAsia" w:ascii="宋体" w:hAnsi="宋体" w:cs="宋体"/>
                <w:color w:val="000000"/>
                <w:kern w:val="0"/>
                <w:sz w:val="16"/>
                <w:szCs w:val="16"/>
              </w:rPr>
              <w:t>预算数</w:t>
            </w:r>
            <w:r>
              <w:rPr>
                <w:rFonts w:ascii="宋体" w:hAnsi="宋体" w:cs="宋体"/>
                <w:color w:val="000000"/>
                <w:kern w:val="0"/>
                <w:sz w:val="16"/>
                <w:szCs w:val="16"/>
              </w:rPr>
              <w:t>*100%</w:t>
            </w:r>
            <w:r>
              <w:rPr>
                <w:rFonts w:hint="eastAsia" w:ascii="宋体" w:hAnsi="宋体" w:cs="宋体"/>
                <w:color w:val="000000"/>
                <w:kern w:val="0"/>
                <w:sz w:val="16"/>
                <w:szCs w:val="16"/>
              </w:rPr>
              <w:t>）</w:t>
            </w:r>
          </w:p>
        </w:tc>
      </w:tr>
      <w:tr>
        <w:tblPrEx>
          <w:tblCellMar>
            <w:top w:w="0" w:type="dxa"/>
            <w:left w:w="0" w:type="dxa"/>
            <w:bottom w:w="0" w:type="dxa"/>
            <w:right w:w="0" w:type="dxa"/>
          </w:tblCellMar>
        </w:tblPrEx>
        <w:trPr>
          <w:trHeight w:val="283" w:hRule="atLeast"/>
        </w:trPr>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1077"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其中：财政资金</w:t>
            </w:r>
          </w:p>
        </w:tc>
        <w:tc>
          <w:tcPr>
            <w:tcW w:w="12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8.9527</w:t>
            </w:r>
          </w:p>
        </w:tc>
        <w:tc>
          <w:tcPr>
            <w:tcW w:w="9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其中：财政资金</w:t>
            </w:r>
          </w:p>
        </w:tc>
        <w:tc>
          <w:tcPr>
            <w:tcW w:w="1418"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8.9527</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其中：财政资金</w:t>
            </w:r>
          </w:p>
        </w:tc>
        <w:tc>
          <w:tcPr>
            <w:tcW w:w="129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8.9527</w:t>
            </w: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6"/>
                <w:szCs w:val="16"/>
              </w:rPr>
            </w:pPr>
          </w:p>
        </w:tc>
      </w:tr>
      <w:tr>
        <w:tblPrEx>
          <w:tblCellMar>
            <w:top w:w="0" w:type="dxa"/>
            <w:left w:w="0" w:type="dxa"/>
            <w:bottom w:w="0" w:type="dxa"/>
            <w:right w:w="0" w:type="dxa"/>
          </w:tblCellMar>
        </w:tblPrEx>
        <w:trPr>
          <w:trHeight w:val="250" w:hRule="atLeast"/>
        </w:trPr>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1077"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其他</w:t>
            </w:r>
          </w:p>
        </w:tc>
        <w:tc>
          <w:tcPr>
            <w:tcW w:w="12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宋体"/>
                <w:color w:val="000000"/>
                <w:kern w:val="0"/>
                <w:sz w:val="16"/>
                <w:szCs w:val="16"/>
              </w:rPr>
            </w:pPr>
            <w:r>
              <w:rPr>
                <w:rFonts w:ascii="宋体" w:cs="宋体"/>
                <w:color w:val="000000"/>
                <w:kern w:val="0"/>
                <w:sz w:val="16"/>
                <w:szCs w:val="16"/>
              </w:rPr>
              <w:t>0</w:t>
            </w:r>
          </w:p>
        </w:tc>
        <w:tc>
          <w:tcPr>
            <w:tcW w:w="9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其他</w:t>
            </w:r>
          </w:p>
        </w:tc>
        <w:tc>
          <w:tcPr>
            <w:tcW w:w="1418"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宋体"/>
                <w:color w:val="000000"/>
                <w:kern w:val="0"/>
                <w:sz w:val="16"/>
                <w:szCs w:val="16"/>
              </w:rPr>
            </w:pPr>
            <w:r>
              <w:rPr>
                <w:rFonts w:ascii="宋体" w:cs="宋体"/>
                <w:color w:val="000000"/>
                <w:kern w:val="0"/>
                <w:sz w:val="16"/>
                <w:szCs w:val="16"/>
              </w:rPr>
              <w:t>0</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其他</w:t>
            </w:r>
          </w:p>
        </w:tc>
        <w:tc>
          <w:tcPr>
            <w:tcW w:w="129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宋体"/>
                <w:color w:val="000000"/>
                <w:kern w:val="0"/>
                <w:sz w:val="16"/>
                <w:szCs w:val="16"/>
              </w:rPr>
            </w:pPr>
            <w:r>
              <w:rPr>
                <w:rFonts w:ascii="宋体" w:cs="宋体"/>
                <w:color w:val="000000"/>
                <w:kern w:val="0"/>
                <w:sz w:val="16"/>
                <w:szCs w:val="16"/>
              </w:rPr>
              <w:t>0</w:t>
            </w: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kern w:val="0"/>
                <w:sz w:val="16"/>
                <w:szCs w:val="16"/>
              </w:rPr>
            </w:pPr>
          </w:p>
        </w:tc>
      </w:tr>
      <w:tr>
        <w:tblPrEx>
          <w:tblCellMar>
            <w:top w:w="0" w:type="dxa"/>
            <w:left w:w="0" w:type="dxa"/>
            <w:bottom w:w="0" w:type="dxa"/>
            <w:right w:w="0" w:type="dxa"/>
          </w:tblCellMar>
        </w:tblPrEx>
        <w:trPr>
          <w:trHeight w:val="291" w:hRule="atLeast"/>
        </w:trPr>
        <w:tc>
          <w:tcPr>
            <w:tcW w:w="900"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三、目标完成情况</w:t>
            </w:r>
          </w:p>
        </w:tc>
        <w:tc>
          <w:tcPr>
            <w:tcW w:w="3177"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年度预期目标</w:t>
            </w:r>
          </w:p>
        </w:tc>
        <w:tc>
          <w:tcPr>
            <w:tcW w:w="3668"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具体完成情况</w:t>
            </w:r>
          </w:p>
        </w:tc>
        <w:tc>
          <w:tcPr>
            <w:tcW w:w="1869"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总体完成率</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3177" w:type="dxa"/>
            <w:gridSpan w:val="3"/>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该项目完成施工后，我县第三批自行开垦新增耕地</w:t>
            </w:r>
            <w:r>
              <w:rPr>
                <w:rFonts w:ascii="宋体" w:hAnsi="宋体" w:cs="宋体"/>
                <w:color w:val="000000"/>
                <w:kern w:val="0"/>
                <w:sz w:val="16"/>
                <w:szCs w:val="16"/>
              </w:rPr>
              <w:t>1.7527</w:t>
            </w:r>
            <w:r>
              <w:rPr>
                <w:rFonts w:hint="eastAsia" w:ascii="宋体" w:hAnsi="宋体" w:cs="宋体"/>
                <w:color w:val="000000"/>
                <w:kern w:val="0"/>
                <w:sz w:val="16"/>
                <w:szCs w:val="16"/>
              </w:rPr>
              <w:t>公顷。</w:t>
            </w:r>
            <w:r>
              <w:rPr>
                <w:rFonts w:ascii="宋体" w:hAnsi="宋体" w:cs="宋体"/>
                <w:color w:val="000000"/>
                <w:kern w:val="0"/>
                <w:sz w:val="16"/>
                <w:szCs w:val="16"/>
              </w:rPr>
              <w:t xml:space="preserve"> </w:t>
            </w:r>
          </w:p>
        </w:tc>
        <w:tc>
          <w:tcPr>
            <w:tcW w:w="3668" w:type="dxa"/>
            <w:gridSpan w:val="3"/>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已经完成新增耕地</w:t>
            </w:r>
            <w:r>
              <w:rPr>
                <w:rFonts w:ascii="宋体" w:hAnsi="宋体" w:cs="宋体"/>
                <w:color w:val="000000"/>
                <w:kern w:val="0"/>
                <w:sz w:val="16"/>
                <w:szCs w:val="16"/>
              </w:rPr>
              <w:t>1.7527</w:t>
            </w:r>
            <w:r>
              <w:rPr>
                <w:rFonts w:hint="eastAsia" w:ascii="宋体" w:hAnsi="宋体" w:cs="宋体"/>
                <w:color w:val="000000"/>
                <w:kern w:val="0"/>
                <w:sz w:val="16"/>
                <w:szCs w:val="16"/>
              </w:rPr>
              <w:t>公顷，增加我县占补平衡指标</w:t>
            </w:r>
            <w:r>
              <w:rPr>
                <w:rFonts w:ascii="宋体" w:hAnsi="宋体" w:cs="宋体"/>
                <w:color w:val="000000"/>
                <w:kern w:val="0"/>
                <w:sz w:val="16"/>
                <w:szCs w:val="16"/>
              </w:rPr>
              <w:t>1.7527</w:t>
            </w:r>
            <w:r>
              <w:rPr>
                <w:rFonts w:hint="eastAsia" w:ascii="宋体" w:hAnsi="宋体" w:cs="宋体"/>
                <w:color w:val="000000"/>
                <w:kern w:val="0"/>
                <w:sz w:val="16"/>
                <w:szCs w:val="16"/>
              </w:rPr>
              <w:t>公顷</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3177"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3668"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3177"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3668"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95" w:hRule="atLeast"/>
        </w:trPr>
        <w:tc>
          <w:tcPr>
            <w:tcW w:w="900"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cs="宋体"/>
                <w:kern w:val="0"/>
                <w:sz w:val="16"/>
                <w:szCs w:val="16"/>
              </w:rPr>
              <w:t>四、</w:t>
            </w:r>
            <w:r>
              <w:rPr>
                <w:kern w:val="0"/>
                <w:sz w:val="16"/>
                <w:szCs w:val="16"/>
              </w:rPr>
              <w:t xml:space="preserve"> </w:t>
            </w:r>
            <w:r>
              <w:rPr>
                <w:rFonts w:hint="eastAsia" w:cs="宋体"/>
                <w:kern w:val="0"/>
                <w:sz w:val="16"/>
                <w:szCs w:val="16"/>
              </w:rPr>
              <w:t>年度绩效指标完成情况</w:t>
            </w:r>
          </w:p>
        </w:tc>
        <w:tc>
          <w:tcPr>
            <w:tcW w:w="1077"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一级指标</w:t>
            </w:r>
          </w:p>
        </w:tc>
        <w:tc>
          <w:tcPr>
            <w:tcW w:w="1200"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二级指标</w:t>
            </w:r>
          </w:p>
        </w:tc>
        <w:tc>
          <w:tcPr>
            <w:tcW w:w="2318"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三级指标</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预期指标值</w:t>
            </w:r>
          </w:p>
        </w:tc>
        <w:tc>
          <w:tcPr>
            <w:tcW w:w="129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实际完成值</w:t>
            </w:r>
          </w:p>
        </w:tc>
        <w:tc>
          <w:tcPr>
            <w:tcW w:w="1869"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自评得分</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restart"/>
            <w:tcBorders>
              <w:top w:val="single" w:color="000000" w:sz="4" w:space="0"/>
              <w:left w:val="single" w:color="000000" w:sz="4" w:space="0"/>
              <w:bottom w:val="nil"/>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产出指标（</w:t>
            </w:r>
            <w:r>
              <w:rPr>
                <w:rFonts w:ascii="宋体" w:hAnsi="宋体" w:cs="宋体"/>
                <w:color w:val="000000"/>
                <w:kern w:val="0"/>
                <w:sz w:val="16"/>
                <w:szCs w:val="16"/>
              </w:rPr>
              <w:t>40</w:t>
            </w:r>
            <w:r>
              <w:rPr>
                <w:rFonts w:hint="eastAsia" w:ascii="宋体" w:hAnsi="宋体" w:cs="宋体"/>
                <w:color w:val="000000"/>
                <w:kern w:val="0"/>
                <w:sz w:val="16"/>
                <w:szCs w:val="16"/>
              </w:rPr>
              <w:t>）</w:t>
            </w:r>
          </w:p>
        </w:tc>
        <w:tc>
          <w:tcPr>
            <w:tcW w:w="1200"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数量指标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指标</w:t>
            </w:r>
            <w:r>
              <w:rPr>
                <w:rFonts w:ascii="宋体" w:hAnsi="宋体" w:cs="宋体"/>
                <w:color w:val="000000"/>
                <w:kern w:val="0"/>
                <w:sz w:val="16"/>
                <w:szCs w:val="16"/>
              </w:rPr>
              <w:t xml:space="preserve"> </w:t>
            </w:r>
            <w:r>
              <w:rPr>
                <w:rFonts w:hint="eastAsia" w:ascii="宋体" w:hAnsi="宋体" w:cs="宋体"/>
                <w:color w:val="000000"/>
                <w:kern w:val="0"/>
                <w:sz w:val="16"/>
                <w:szCs w:val="16"/>
              </w:rPr>
              <w:t>１新增耕地</w:t>
            </w:r>
            <w:r>
              <w:rPr>
                <w:rFonts w:ascii="宋体" w:hAnsi="宋体" w:cs="宋体"/>
                <w:color w:val="000000"/>
                <w:kern w:val="0"/>
                <w:sz w:val="16"/>
                <w:szCs w:val="16"/>
              </w:rPr>
              <w:t>1.7527</w:t>
            </w:r>
            <w:r>
              <w:rPr>
                <w:rFonts w:hint="eastAsia" w:ascii="宋体" w:hAnsi="宋体" w:cs="宋体"/>
                <w:color w:val="000000"/>
                <w:kern w:val="0"/>
                <w:sz w:val="16"/>
                <w:szCs w:val="16"/>
              </w:rPr>
              <w:t>公顷</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完成新增耕地</w:t>
            </w:r>
            <w:r>
              <w:rPr>
                <w:rFonts w:ascii="宋体" w:hAnsi="宋体" w:cs="宋体"/>
                <w:color w:val="000000"/>
                <w:kern w:val="0"/>
                <w:sz w:val="16"/>
                <w:szCs w:val="16"/>
              </w:rPr>
              <w:t>1.7527</w:t>
            </w:r>
            <w:r>
              <w:rPr>
                <w:rFonts w:hint="eastAsia" w:ascii="宋体" w:hAnsi="宋体" w:cs="宋体"/>
                <w:color w:val="000000"/>
                <w:kern w:val="0"/>
                <w:sz w:val="16"/>
                <w:szCs w:val="16"/>
              </w:rPr>
              <w:t>公顷</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已经完成新增耕地</w:t>
            </w:r>
            <w:r>
              <w:rPr>
                <w:rFonts w:ascii="宋体" w:hAnsi="宋体" w:cs="宋体"/>
                <w:color w:val="000000"/>
                <w:kern w:val="0"/>
                <w:sz w:val="16"/>
                <w:szCs w:val="16"/>
              </w:rPr>
              <w:t>1.7527</w:t>
            </w:r>
            <w:r>
              <w:rPr>
                <w:rFonts w:hint="eastAsia" w:ascii="宋体" w:hAnsi="宋体" w:cs="宋体"/>
                <w:color w:val="000000"/>
                <w:kern w:val="0"/>
                <w:sz w:val="16"/>
                <w:szCs w:val="16"/>
              </w:rPr>
              <w:t>公顷</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质量指标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达到验收合格标准</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合格</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合格</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时效指标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在省市规定的时间内完成</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按时完成</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按时完成</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成本指标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符合有关成本定额标准</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符合标准</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符合标准</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single" w:color="000000" w:sz="4" w:space="0"/>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566"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预算执行率指标</w:t>
            </w:r>
            <w:r>
              <w:rPr>
                <w:rFonts w:ascii="宋体" w:cs="Times New Roman"/>
                <w:color w:val="000000"/>
                <w:kern w:val="0"/>
                <w:sz w:val="16"/>
                <w:szCs w:val="16"/>
              </w:rPr>
              <w:br w:type="textWrapping"/>
            </w:r>
            <w:r>
              <w:rPr>
                <w:rFonts w:hint="eastAsia" w:ascii="宋体" w:hAnsi="宋体" w:cs="宋体"/>
                <w:color w:val="000000"/>
                <w:kern w:val="0"/>
                <w:sz w:val="16"/>
                <w:szCs w:val="16"/>
              </w:rPr>
              <w:t>（</w:t>
            </w:r>
            <w:r>
              <w:rPr>
                <w:rFonts w:ascii="宋体" w:hAnsi="宋体" w:cs="宋体"/>
                <w:color w:val="000000"/>
                <w:kern w:val="0"/>
                <w:sz w:val="16"/>
                <w:szCs w:val="16"/>
              </w:rPr>
              <w:t>10</w:t>
            </w:r>
            <w:r>
              <w:rPr>
                <w:rFonts w:hint="eastAsia" w:ascii="宋体" w:hAnsi="宋体" w:cs="宋体"/>
                <w:color w:val="000000"/>
                <w:kern w:val="0"/>
                <w:sz w:val="16"/>
                <w:szCs w:val="16"/>
              </w:rPr>
              <w:t>分）</w:t>
            </w:r>
          </w:p>
        </w:tc>
        <w:tc>
          <w:tcPr>
            <w:tcW w:w="1200" w:type="dxa"/>
            <w:tcBorders>
              <w:top w:val="nil"/>
              <w:left w:val="nil"/>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预算执行率</w:t>
            </w:r>
          </w:p>
        </w:tc>
        <w:tc>
          <w:tcPr>
            <w:tcW w:w="2318"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预算执行率</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100%</w:t>
            </w:r>
          </w:p>
        </w:tc>
        <w:tc>
          <w:tcPr>
            <w:tcW w:w="1295"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100%</w:t>
            </w:r>
          </w:p>
        </w:tc>
        <w:tc>
          <w:tcPr>
            <w:tcW w:w="1869"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restart"/>
            <w:tcBorders>
              <w:top w:val="nil"/>
              <w:left w:val="single" w:color="000000" w:sz="4" w:space="0"/>
              <w:bottom w:val="nil"/>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效益指标（</w:t>
            </w:r>
            <w:r>
              <w:rPr>
                <w:rFonts w:ascii="宋体" w:hAnsi="宋体" w:cs="宋体"/>
                <w:color w:val="000000"/>
                <w:kern w:val="0"/>
                <w:sz w:val="16"/>
                <w:szCs w:val="16"/>
              </w:rPr>
              <w:t>40</w:t>
            </w:r>
            <w:r>
              <w:rPr>
                <w:rFonts w:hint="eastAsia" w:ascii="宋体" w:hAnsi="宋体" w:cs="宋体"/>
                <w:color w:val="000000"/>
                <w:kern w:val="0"/>
                <w:sz w:val="16"/>
                <w:szCs w:val="16"/>
              </w:rPr>
              <w:t>）</w:t>
            </w:r>
          </w:p>
        </w:tc>
        <w:tc>
          <w:tcPr>
            <w:tcW w:w="1200" w:type="dxa"/>
            <w:vMerge w:val="restart"/>
            <w:tcBorders>
              <w:top w:val="single" w:color="000000" w:sz="4" w:space="0"/>
              <w:left w:val="nil"/>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经济效益指标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增加了我县的财政收入</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restart"/>
            <w:tcBorders>
              <w:top w:val="single" w:color="000000" w:sz="4" w:space="0"/>
              <w:left w:val="nil"/>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社会效益指标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增加就业机会</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restart"/>
            <w:tcBorders>
              <w:top w:val="single" w:color="000000" w:sz="4" w:space="0"/>
              <w:left w:val="nil"/>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生态效益指标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改善了生态环境</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kern w:val="0"/>
                <w:sz w:val="16"/>
                <w:szCs w:val="16"/>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center"/>
              <w:textAlignment w:val="center"/>
              <w:rPr>
                <w:rFonts w:ascii="宋体" w:cs="Times New Roman"/>
                <w:color w:val="000000"/>
                <w:kern w:val="0"/>
                <w:sz w:val="16"/>
                <w:szCs w:val="16"/>
              </w:rPr>
            </w:pPr>
          </w:p>
        </w:tc>
        <w:tc>
          <w:tcPr>
            <w:tcW w:w="1077" w:type="dxa"/>
            <w:vMerge w:val="continue"/>
            <w:tcBorders>
              <w:top w:val="nil"/>
              <w:left w:val="single" w:color="000000" w:sz="4" w:space="0"/>
              <w:bottom w:val="nil"/>
              <w:right w:val="single" w:color="000000" w:sz="4" w:space="0"/>
            </w:tcBorders>
            <w:vAlign w:val="center"/>
          </w:tcPr>
          <w:p>
            <w:pPr>
              <w:widowControl/>
              <w:jc w:val="center"/>
              <w:textAlignment w:val="center"/>
              <w:rPr>
                <w:rFonts w:ascii="宋体" w:cs="Times New Roman"/>
                <w:color w:val="000000"/>
                <w:kern w:val="0"/>
                <w:sz w:val="16"/>
                <w:szCs w:val="16"/>
              </w:rPr>
            </w:pPr>
          </w:p>
        </w:tc>
        <w:tc>
          <w:tcPr>
            <w:tcW w:w="1200" w:type="dxa"/>
            <w:vMerge w:val="restart"/>
            <w:tcBorders>
              <w:top w:val="single" w:color="000000" w:sz="4" w:space="0"/>
              <w:left w:val="nil"/>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可持续影响指标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为农业发展奠定基础</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kern w:val="0"/>
                <w:sz w:val="16"/>
                <w:szCs w:val="16"/>
              </w:rPr>
            </w:pPr>
            <w:r>
              <w:rPr>
                <w:rFonts w:hint="eastAsia" w:ascii="宋体" w:hAnsi="宋体" w:cs="宋体"/>
                <w:color w:val="000000"/>
                <w:kern w:val="0"/>
                <w:sz w:val="16"/>
                <w:szCs w:val="16"/>
              </w:rPr>
              <w:t>完成</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hAnsi="宋体" w:cs="宋体"/>
                <w:color w:val="000000"/>
                <w:kern w:val="0"/>
                <w:sz w:val="16"/>
                <w:szCs w:val="16"/>
              </w:rPr>
            </w:pPr>
            <w:r>
              <w:rPr>
                <w:rFonts w:ascii="宋体" w:hAnsi="宋体" w:cs="宋体"/>
                <w:color w:val="000000"/>
                <w:kern w:val="0"/>
                <w:sz w:val="16"/>
                <w:szCs w:val="16"/>
              </w:rPr>
              <w:t>9</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077" w:type="dxa"/>
            <w:vMerge w:val="continue"/>
            <w:tcBorders>
              <w:top w:val="nil"/>
              <w:left w:val="single" w:color="000000" w:sz="4" w:space="0"/>
              <w:bottom w:val="nil"/>
              <w:right w:val="single" w:color="000000" w:sz="4" w:space="0"/>
            </w:tcBorders>
            <w:vAlign w:val="center"/>
          </w:tcPr>
          <w:p>
            <w:pPr>
              <w:widowControl/>
              <w:jc w:val="left"/>
              <w:rPr>
                <w:rFonts w:ascii="宋体" w:cs="Times New Roman"/>
                <w:color w:val="000000"/>
                <w:sz w:val="13"/>
                <w:szCs w:val="13"/>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077" w:type="dxa"/>
            <w:vMerge w:val="continue"/>
            <w:tcBorders>
              <w:top w:val="nil"/>
              <w:left w:val="single" w:color="000000" w:sz="4" w:space="0"/>
              <w:bottom w:val="nil"/>
              <w:right w:val="single" w:color="000000" w:sz="4" w:space="0"/>
            </w:tcBorders>
            <w:vAlign w:val="center"/>
          </w:tcPr>
          <w:p>
            <w:pPr>
              <w:widowControl/>
              <w:jc w:val="left"/>
              <w:rPr>
                <w:rFonts w:ascii="宋体" w:cs="Times New Roman"/>
                <w:color w:val="000000"/>
                <w:sz w:val="13"/>
                <w:szCs w:val="13"/>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077"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满意度指标</w:t>
            </w:r>
            <w:r>
              <w:rPr>
                <w:rFonts w:ascii="宋体" w:cs="Times New Roman"/>
                <w:color w:val="000000"/>
                <w:kern w:val="0"/>
                <w:sz w:val="13"/>
                <w:szCs w:val="13"/>
              </w:rPr>
              <w:br w:type="textWrapping"/>
            </w:r>
            <w:r>
              <w:rPr>
                <w:rFonts w:hint="eastAsia" w:ascii="宋体" w:hAnsi="宋体" w:cs="宋体"/>
                <w:color w:val="000000"/>
                <w:kern w:val="0"/>
                <w:sz w:val="13"/>
                <w:szCs w:val="13"/>
              </w:rPr>
              <w:t>（</w:t>
            </w:r>
            <w:r>
              <w:rPr>
                <w:rFonts w:ascii="宋体" w:hAnsi="宋体" w:cs="宋体"/>
                <w:color w:val="000000"/>
                <w:kern w:val="0"/>
                <w:sz w:val="13"/>
                <w:szCs w:val="13"/>
              </w:rPr>
              <w:t>10</w:t>
            </w:r>
            <w:r>
              <w:rPr>
                <w:rFonts w:hint="eastAsia" w:ascii="宋体" w:hAnsi="宋体" w:cs="宋体"/>
                <w:color w:val="000000"/>
                <w:kern w:val="0"/>
                <w:sz w:val="13"/>
                <w:szCs w:val="13"/>
              </w:rPr>
              <w:t>分）</w:t>
            </w:r>
          </w:p>
        </w:tc>
        <w:tc>
          <w:tcPr>
            <w:tcW w:w="1200" w:type="dxa"/>
            <w:vMerge w:val="restart"/>
            <w:tcBorders>
              <w:top w:val="single" w:color="000000" w:sz="4" w:space="0"/>
              <w:left w:val="nil"/>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满意度指标</w:t>
            </w:r>
          </w:p>
        </w:tc>
        <w:tc>
          <w:tcPr>
            <w:tcW w:w="2318"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受众群众满意度</w:t>
            </w:r>
          </w:p>
        </w:tc>
        <w:tc>
          <w:tcPr>
            <w:tcW w:w="95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满意</w:t>
            </w:r>
          </w:p>
        </w:tc>
        <w:tc>
          <w:tcPr>
            <w:tcW w:w="1295"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满意</w:t>
            </w:r>
          </w:p>
        </w:tc>
        <w:tc>
          <w:tcPr>
            <w:tcW w:w="1869"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ascii="宋体" w:hAnsi="宋体" w:cs="宋体"/>
                <w:color w:val="000000"/>
                <w:sz w:val="13"/>
                <w:szCs w:val="13"/>
              </w:rPr>
              <w:t>9</w:t>
            </w: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r>
      <w:tr>
        <w:tblPrEx>
          <w:tblCellMar>
            <w:top w:w="0" w:type="dxa"/>
            <w:left w:w="0" w:type="dxa"/>
            <w:bottom w:w="0" w:type="dxa"/>
            <w:right w:w="0" w:type="dxa"/>
          </w:tblCellMar>
        </w:tblPrEx>
        <w:trPr>
          <w:trHeight w:val="312"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12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231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c>
          <w:tcPr>
            <w:tcW w:w="95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29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186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3"/>
                <w:szCs w:val="13"/>
              </w:rPr>
            </w:pPr>
          </w:p>
        </w:tc>
      </w:tr>
      <w:tr>
        <w:tblPrEx>
          <w:tblCellMar>
            <w:top w:w="0" w:type="dxa"/>
            <w:left w:w="0" w:type="dxa"/>
            <w:bottom w:w="0" w:type="dxa"/>
            <w:right w:w="0" w:type="dxa"/>
          </w:tblCellMar>
        </w:tblPrEx>
        <w:trPr>
          <w:trHeight w:val="275" w:hRule="atLeast"/>
        </w:trPr>
        <w:tc>
          <w:tcPr>
            <w:tcW w:w="900"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3"/>
                <w:szCs w:val="13"/>
              </w:rPr>
            </w:pPr>
          </w:p>
        </w:tc>
        <w:tc>
          <w:tcPr>
            <w:tcW w:w="6845" w:type="dxa"/>
            <w:gridSpan w:val="6"/>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hint="eastAsia" w:ascii="宋体" w:hAnsi="宋体" w:cs="宋体"/>
                <w:color w:val="000000"/>
                <w:kern w:val="0"/>
                <w:sz w:val="13"/>
                <w:szCs w:val="13"/>
              </w:rPr>
              <w:t>总分</w:t>
            </w:r>
          </w:p>
        </w:tc>
        <w:tc>
          <w:tcPr>
            <w:tcW w:w="1869"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3"/>
                <w:szCs w:val="13"/>
              </w:rPr>
            </w:pPr>
            <w:r>
              <w:rPr>
                <w:rFonts w:ascii="宋体" w:hAnsi="宋体" w:cs="宋体"/>
                <w:color w:val="000000"/>
                <w:kern w:val="0"/>
                <w:sz w:val="13"/>
                <w:szCs w:val="13"/>
              </w:rPr>
              <w:t>98</w:t>
            </w:r>
          </w:p>
        </w:tc>
      </w:tr>
      <w:tr>
        <w:tblPrEx>
          <w:tblCellMar>
            <w:top w:w="0" w:type="dxa"/>
            <w:left w:w="0" w:type="dxa"/>
            <w:bottom w:w="0" w:type="dxa"/>
            <w:right w:w="0" w:type="dxa"/>
          </w:tblCellMar>
        </w:tblPrEx>
        <w:trPr>
          <w:trHeight w:val="555" w:hRule="atLeast"/>
        </w:trPr>
        <w:tc>
          <w:tcPr>
            <w:tcW w:w="900" w:type="dxa"/>
            <w:tcBorders>
              <w:top w:val="nil"/>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3"/>
                <w:szCs w:val="13"/>
              </w:rPr>
            </w:pPr>
            <w:r>
              <w:rPr>
                <w:rStyle w:val="16"/>
                <w:rFonts w:hint="eastAsia"/>
                <w:sz w:val="13"/>
                <w:szCs w:val="13"/>
              </w:rPr>
              <w:t>五、</w:t>
            </w:r>
            <w:r>
              <w:rPr>
                <w:rStyle w:val="17"/>
                <w:rFonts w:ascii="宋体" w:hAnsi="宋体" w:cs="宋体"/>
                <w:sz w:val="13"/>
                <w:szCs w:val="13"/>
              </w:rPr>
              <w:t xml:space="preserve"> </w:t>
            </w:r>
            <w:r>
              <w:rPr>
                <w:rStyle w:val="16"/>
                <w:rFonts w:hint="eastAsia"/>
                <w:sz w:val="13"/>
                <w:szCs w:val="13"/>
              </w:rPr>
              <w:t>存在问题、原因及下一步整改措施</w:t>
            </w:r>
          </w:p>
        </w:tc>
        <w:tc>
          <w:tcPr>
            <w:tcW w:w="8714" w:type="dxa"/>
            <w:gridSpan w:val="7"/>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3"/>
                <w:szCs w:val="13"/>
              </w:rPr>
            </w:pPr>
            <w:r>
              <w:rPr>
                <w:rFonts w:hint="eastAsia" w:ascii="宋体" w:hAnsi="宋体" w:cs="宋体"/>
                <w:color w:val="000000"/>
                <w:kern w:val="0"/>
                <w:sz w:val="13"/>
                <w:szCs w:val="13"/>
              </w:rPr>
              <w:t>该项目完成后，主要存在后期管护责任不到位问题，需要明确责任，确保发挥应有效益</w:t>
            </w:r>
          </w:p>
        </w:tc>
      </w:tr>
    </w:tbl>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高邑县</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建设用地节约集约利用状况整体评价项目绩效自评综述：根据年度预期目标，整体评价以市县级行政辖区为评价单元，主要评价行政区内建设用地供应和利用情况、建设用地承载人口、经济投入产出轻度及其变化趋势等，开展评价工作是促进建设用地利用方式转变的基础工作，对推进生态文明建设。全年预算数为</w:t>
      </w:r>
      <w:r>
        <w:rPr>
          <w:rFonts w:ascii="仿宋_GB2312" w:hAnsi="仿宋_GB2312" w:eastAsia="仿宋_GB2312" w:cs="仿宋_GB2312"/>
          <w:sz w:val="32"/>
          <w:szCs w:val="32"/>
        </w:rPr>
        <w:t>17</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17</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。通过前期资料收集，外业调查，内业处理，</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日前完成《高邑县区域建设用地节约集约利用状况工作报告》</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套、《高邑县区域建设用地节约集约利用状况技术报告》</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套，并提交省厅要求填写的评价表格；从而实现节约集约用地，同时对低效用地改造挖潜，提高建设用地效率和效益；通过本次绩效评价，在下一步的工作中切实加强组织领导，推进全员参与预算绩效管理，加强预算执行监控，逐步实现全过程预算绩效管理。</w:t>
      </w:r>
      <w:r>
        <w:rPr>
          <w:rFonts w:ascii="仿宋_GB2312" w:hAnsi="仿宋_GB2312" w:eastAsia="仿宋_GB2312" w:cs="仿宋_GB2312"/>
          <w:sz w:val="32"/>
          <w:szCs w:val="32"/>
        </w:rPr>
        <w:t xml:space="preserve"> </w:t>
      </w:r>
    </w:p>
    <w:tbl>
      <w:tblPr>
        <w:tblStyle w:val="7"/>
        <w:tblW w:w="0" w:type="auto"/>
        <w:tblInd w:w="2" w:type="dxa"/>
        <w:tblLayout w:type="fixed"/>
        <w:tblCellMar>
          <w:top w:w="0" w:type="dxa"/>
          <w:left w:w="0" w:type="dxa"/>
          <w:bottom w:w="0" w:type="dxa"/>
          <w:right w:w="0" w:type="dxa"/>
        </w:tblCellMar>
      </w:tblPr>
      <w:tblGrid>
        <w:gridCol w:w="1083"/>
        <w:gridCol w:w="1083"/>
        <w:gridCol w:w="1083"/>
        <w:gridCol w:w="1083"/>
        <w:gridCol w:w="1083"/>
        <w:gridCol w:w="1083"/>
        <w:gridCol w:w="1083"/>
        <w:gridCol w:w="1152"/>
      </w:tblGrid>
      <w:tr>
        <w:tblPrEx>
          <w:tblCellMar>
            <w:top w:w="0" w:type="dxa"/>
            <w:left w:w="0" w:type="dxa"/>
            <w:bottom w:w="0" w:type="dxa"/>
            <w:right w:w="0" w:type="dxa"/>
          </w:tblCellMar>
        </w:tblPrEx>
        <w:trPr>
          <w:trHeight w:val="210" w:hRule="atLeast"/>
        </w:trPr>
        <w:tc>
          <w:tcPr>
            <w:tcW w:w="8733" w:type="dxa"/>
            <w:gridSpan w:val="8"/>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县级部门预算项目绩效自评表</w:t>
            </w:r>
          </w:p>
        </w:tc>
      </w:tr>
      <w:tr>
        <w:tblPrEx>
          <w:tblCellMar>
            <w:top w:w="0" w:type="dxa"/>
            <w:left w:w="0" w:type="dxa"/>
            <w:bottom w:w="0" w:type="dxa"/>
            <w:right w:w="0" w:type="dxa"/>
          </w:tblCellMar>
        </w:tblPrEx>
        <w:trPr>
          <w:trHeight w:val="210" w:hRule="atLeast"/>
        </w:trPr>
        <w:tc>
          <w:tcPr>
            <w:tcW w:w="8733" w:type="dxa"/>
            <w:gridSpan w:val="8"/>
            <w:tcMar>
              <w:top w:w="15" w:type="dxa"/>
              <w:left w:w="15" w:type="dxa"/>
              <w:bottom w:w="0" w:type="dxa"/>
              <w:right w:w="15" w:type="dxa"/>
            </w:tcMar>
            <w:vAlign w:val="bottom"/>
          </w:tcPr>
          <w:p>
            <w:pPr>
              <w:widowControl/>
              <w:jc w:val="center"/>
              <w:textAlignment w:val="bottom"/>
              <w:rPr>
                <w:rFonts w:ascii="宋体" w:cs="Times New Roman"/>
                <w:color w:val="000000"/>
                <w:sz w:val="16"/>
                <w:szCs w:val="16"/>
              </w:rPr>
            </w:pPr>
            <w:r>
              <w:rPr>
                <w:rFonts w:hint="eastAsia" w:ascii="宋体" w:hAnsi="宋体" w:cs="宋体"/>
                <w:color w:val="000000"/>
                <w:kern w:val="0"/>
                <w:sz w:val="16"/>
                <w:szCs w:val="16"/>
              </w:rPr>
              <w:t>（</w:t>
            </w:r>
            <w:r>
              <w:rPr>
                <w:rFonts w:ascii="宋体" w:hAnsi="宋体" w:cs="宋体"/>
                <w:color w:val="000000"/>
                <w:kern w:val="0"/>
                <w:sz w:val="16"/>
                <w:szCs w:val="16"/>
              </w:rPr>
              <w:t xml:space="preserve">     2019 </w:t>
            </w:r>
            <w:r>
              <w:rPr>
                <w:rFonts w:hint="eastAsia" w:ascii="宋体" w:hAnsi="宋体" w:cs="宋体"/>
                <w:color w:val="000000"/>
                <w:kern w:val="0"/>
                <w:sz w:val="16"/>
                <w:szCs w:val="16"/>
              </w:rPr>
              <w:t>年度）</w:t>
            </w:r>
          </w:p>
        </w:tc>
      </w:tr>
      <w:tr>
        <w:tblPrEx>
          <w:tblCellMar>
            <w:top w:w="0" w:type="dxa"/>
            <w:left w:w="0" w:type="dxa"/>
            <w:bottom w:w="0" w:type="dxa"/>
            <w:right w:w="0" w:type="dxa"/>
          </w:tblCellMar>
        </w:tblPrEx>
        <w:trPr>
          <w:trHeight w:val="210" w:hRule="atLeast"/>
        </w:trPr>
        <w:tc>
          <w:tcPr>
            <w:tcW w:w="3249" w:type="dxa"/>
            <w:gridSpan w:val="3"/>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填报单位：高邑县自然资源和规划局</w:t>
            </w:r>
          </w:p>
        </w:tc>
        <w:tc>
          <w:tcPr>
            <w:tcW w:w="1083" w:type="dxa"/>
            <w:tcMar>
              <w:top w:w="15" w:type="dxa"/>
              <w:left w:w="15" w:type="dxa"/>
              <w:bottom w:w="0" w:type="dxa"/>
              <w:right w:w="15" w:type="dxa"/>
            </w:tcMar>
            <w:vAlign w:val="center"/>
          </w:tcPr>
          <w:p>
            <w:pPr>
              <w:jc w:val="center"/>
              <w:rPr>
                <w:rFonts w:ascii="宋体" w:cs="Times New Roman"/>
                <w:color w:val="000000"/>
                <w:sz w:val="16"/>
                <w:szCs w:val="16"/>
              </w:rPr>
            </w:pPr>
          </w:p>
        </w:tc>
        <w:tc>
          <w:tcPr>
            <w:tcW w:w="1083" w:type="dxa"/>
            <w:tcMar>
              <w:top w:w="15" w:type="dxa"/>
              <w:left w:w="15" w:type="dxa"/>
              <w:bottom w:w="0" w:type="dxa"/>
              <w:right w:w="15" w:type="dxa"/>
            </w:tcMar>
            <w:vAlign w:val="center"/>
          </w:tcPr>
          <w:p>
            <w:pPr>
              <w:jc w:val="center"/>
              <w:rPr>
                <w:rFonts w:ascii="宋体" w:cs="Times New Roman"/>
                <w:color w:val="000000"/>
                <w:sz w:val="16"/>
                <w:szCs w:val="16"/>
              </w:rPr>
            </w:pPr>
          </w:p>
        </w:tc>
        <w:tc>
          <w:tcPr>
            <w:tcW w:w="1083" w:type="dxa"/>
            <w:tcMar>
              <w:top w:w="15" w:type="dxa"/>
              <w:left w:w="15" w:type="dxa"/>
              <w:bottom w:w="0" w:type="dxa"/>
              <w:right w:w="15" w:type="dxa"/>
            </w:tcMar>
            <w:vAlign w:val="center"/>
          </w:tcPr>
          <w:p>
            <w:pPr>
              <w:jc w:val="center"/>
              <w:rPr>
                <w:rFonts w:ascii="宋体" w:cs="Times New Roman"/>
                <w:color w:val="000000"/>
                <w:sz w:val="16"/>
                <w:szCs w:val="16"/>
              </w:rPr>
            </w:pPr>
          </w:p>
        </w:tc>
        <w:tc>
          <w:tcPr>
            <w:tcW w:w="1083" w:type="dxa"/>
            <w:tcMar>
              <w:top w:w="15" w:type="dxa"/>
              <w:left w:w="15" w:type="dxa"/>
              <w:bottom w:w="0" w:type="dxa"/>
              <w:right w:w="15" w:type="dxa"/>
            </w:tcMar>
            <w:vAlign w:val="center"/>
          </w:tcPr>
          <w:p>
            <w:pPr>
              <w:jc w:val="center"/>
              <w:rPr>
                <w:rFonts w:ascii="宋体" w:cs="Times New Roman"/>
                <w:color w:val="000000"/>
                <w:sz w:val="16"/>
                <w:szCs w:val="16"/>
              </w:rPr>
            </w:pPr>
          </w:p>
        </w:tc>
        <w:tc>
          <w:tcPr>
            <w:tcW w:w="1152" w:type="dxa"/>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金额单位：万元</w:t>
            </w:r>
          </w:p>
        </w:tc>
      </w:tr>
      <w:tr>
        <w:tblPrEx>
          <w:tblCellMar>
            <w:top w:w="0" w:type="dxa"/>
            <w:left w:w="0" w:type="dxa"/>
            <w:bottom w:w="0" w:type="dxa"/>
            <w:right w:w="0" w:type="dxa"/>
          </w:tblCellMar>
        </w:tblPrEx>
        <w:trPr>
          <w:trHeight w:val="800" w:hRule="atLeast"/>
        </w:trPr>
        <w:tc>
          <w:tcPr>
            <w:tcW w:w="1083" w:type="dxa"/>
            <w:tcBorders>
              <w:top w:val="single" w:color="000000" w:sz="4" w:space="0"/>
              <w:left w:val="single" w:color="000000" w:sz="4" w:space="0"/>
              <w:bottom w:val="nil"/>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一、</w:t>
            </w:r>
            <w:r>
              <w:rPr>
                <w:rFonts w:ascii="宋体" w:hAnsi="宋体" w:cs="宋体"/>
                <w:color w:val="000000"/>
                <w:kern w:val="0"/>
                <w:sz w:val="16"/>
                <w:szCs w:val="16"/>
              </w:rPr>
              <w:t xml:space="preserve"> </w:t>
            </w:r>
            <w:r>
              <w:rPr>
                <w:rFonts w:hint="eastAsia" w:ascii="宋体" w:hAnsi="宋体" w:cs="宋体"/>
                <w:color w:val="000000"/>
                <w:kern w:val="0"/>
                <w:sz w:val="16"/>
                <w:szCs w:val="16"/>
              </w:rPr>
              <w:t>基本情况</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项目名称</w:t>
            </w:r>
          </w:p>
        </w:tc>
        <w:tc>
          <w:tcPr>
            <w:tcW w:w="2166"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关于我县</w:t>
            </w:r>
            <w:r>
              <w:rPr>
                <w:rFonts w:ascii="宋体" w:hAnsi="宋体" w:cs="宋体"/>
                <w:color w:val="000000"/>
                <w:kern w:val="0"/>
                <w:sz w:val="16"/>
                <w:szCs w:val="16"/>
              </w:rPr>
              <w:t>2019</w:t>
            </w:r>
            <w:r>
              <w:rPr>
                <w:rFonts w:hint="eastAsia" w:ascii="宋体" w:hAnsi="宋体" w:cs="宋体"/>
                <w:color w:val="000000"/>
                <w:kern w:val="0"/>
                <w:sz w:val="16"/>
                <w:szCs w:val="16"/>
              </w:rPr>
              <w:t>年度建设用地节约集约利用状况整体评价经费的请示（专项资金）</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实施</w:t>
            </w:r>
            <w:r>
              <w:rPr>
                <w:rFonts w:ascii="宋体" w:hAnsi="宋体" w:cs="宋体"/>
                <w:color w:val="000000"/>
                <w:kern w:val="0"/>
                <w:sz w:val="16"/>
                <w:szCs w:val="16"/>
              </w:rPr>
              <w:t>(</w:t>
            </w:r>
            <w:r>
              <w:rPr>
                <w:rFonts w:hint="eastAsia" w:ascii="宋体" w:hAnsi="宋体" w:cs="宋体"/>
                <w:color w:val="000000"/>
                <w:kern w:val="0"/>
                <w:sz w:val="16"/>
                <w:szCs w:val="16"/>
              </w:rPr>
              <w:t>主管）单位</w:t>
            </w:r>
          </w:p>
        </w:tc>
        <w:tc>
          <w:tcPr>
            <w:tcW w:w="3318"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高邑县自然资源和规划局</w:t>
            </w:r>
          </w:p>
        </w:tc>
      </w:tr>
      <w:tr>
        <w:tblPrEx>
          <w:tblCellMar>
            <w:top w:w="0" w:type="dxa"/>
            <w:left w:w="0" w:type="dxa"/>
            <w:bottom w:w="0" w:type="dxa"/>
            <w:right w:w="0" w:type="dxa"/>
          </w:tblCellMar>
        </w:tblPrEx>
        <w:trPr>
          <w:trHeight w:val="210" w:hRule="atLeast"/>
        </w:trPr>
        <w:tc>
          <w:tcPr>
            <w:tcW w:w="1083"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二、预算执行情况</w:t>
            </w:r>
          </w:p>
        </w:tc>
        <w:tc>
          <w:tcPr>
            <w:tcW w:w="2166"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预算安排情况（调整后）</w:t>
            </w:r>
          </w:p>
        </w:tc>
        <w:tc>
          <w:tcPr>
            <w:tcW w:w="2166"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资金到位情况</w:t>
            </w:r>
          </w:p>
        </w:tc>
        <w:tc>
          <w:tcPr>
            <w:tcW w:w="2166"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资金执行情况</w:t>
            </w:r>
          </w:p>
        </w:tc>
        <w:tc>
          <w:tcPr>
            <w:tcW w:w="1152"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预算执行进度</w:t>
            </w:r>
          </w:p>
        </w:tc>
      </w:tr>
      <w:tr>
        <w:tblPrEx>
          <w:tblCellMar>
            <w:top w:w="0" w:type="dxa"/>
            <w:left w:w="0" w:type="dxa"/>
            <w:bottom w:w="0" w:type="dxa"/>
            <w:right w:w="0" w:type="dxa"/>
          </w:tblCellMar>
        </w:tblPrEx>
        <w:trPr>
          <w:trHeight w:val="210" w:hRule="atLeast"/>
        </w:trPr>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预算数：</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到位数：</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执行数：</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p>
        </w:tc>
        <w:tc>
          <w:tcPr>
            <w:tcW w:w="1152"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w:t>
            </w:r>
            <w:r>
              <w:rPr>
                <w:rFonts w:ascii="宋体" w:hAnsi="宋体" w:cs="宋体"/>
                <w:color w:val="000000"/>
                <w:kern w:val="0"/>
                <w:sz w:val="16"/>
                <w:szCs w:val="16"/>
              </w:rPr>
              <w:t>=</w:t>
            </w:r>
            <w:r>
              <w:rPr>
                <w:rFonts w:hint="eastAsia" w:ascii="宋体" w:hAnsi="宋体" w:cs="宋体"/>
                <w:color w:val="000000"/>
                <w:kern w:val="0"/>
                <w:sz w:val="16"/>
                <w:szCs w:val="16"/>
              </w:rPr>
              <w:t>执行数</w:t>
            </w:r>
            <w:r>
              <w:rPr>
                <w:rFonts w:ascii="宋体" w:hAnsi="宋体" w:cs="宋体"/>
                <w:color w:val="000000"/>
                <w:kern w:val="0"/>
                <w:sz w:val="16"/>
                <w:szCs w:val="16"/>
              </w:rPr>
              <w:t>/</w:t>
            </w:r>
            <w:r>
              <w:rPr>
                <w:rFonts w:hint="eastAsia" w:ascii="宋体" w:hAnsi="宋体" w:cs="宋体"/>
                <w:color w:val="000000"/>
                <w:kern w:val="0"/>
                <w:sz w:val="16"/>
                <w:szCs w:val="16"/>
              </w:rPr>
              <w:t>预算数</w:t>
            </w:r>
            <w:r>
              <w:rPr>
                <w:rFonts w:ascii="宋体" w:hAnsi="宋体" w:cs="宋体"/>
                <w:color w:val="000000"/>
                <w:kern w:val="0"/>
                <w:sz w:val="16"/>
                <w:szCs w:val="16"/>
              </w:rPr>
              <w:t>*100%</w:t>
            </w:r>
            <w:r>
              <w:rPr>
                <w:rFonts w:hint="eastAsia" w:ascii="宋体" w:hAnsi="宋体" w:cs="宋体"/>
                <w:color w:val="000000"/>
                <w:kern w:val="0"/>
                <w:sz w:val="16"/>
                <w:szCs w:val="16"/>
              </w:rPr>
              <w:t>）</w:t>
            </w:r>
          </w:p>
        </w:tc>
      </w:tr>
      <w:tr>
        <w:tblPrEx>
          <w:tblCellMar>
            <w:top w:w="0" w:type="dxa"/>
            <w:left w:w="0" w:type="dxa"/>
            <w:bottom w:w="0" w:type="dxa"/>
            <w:right w:w="0" w:type="dxa"/>
          </w:tblCellMar>
        </w:tblPrEx>
        <w:trPr>
          <w:trHeight w:val="420" w:hRule="atLeast"/>
        </w:trPr>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其中：财政资金</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其中：财政资金</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其中：财政资金</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p>
        </w:tc>
        <w:tc>
          <w:tcPr>
            <w:tcW w:w="115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r>
      <w:tr>
        <w:tblPrEx>
          <w:tblCellMar>
            <w:top w:w="0" w:type="dxa"/>
            <w:left w:w="0" w:type="dxa"/>
            <w:bottom w:w="0" w:type="dxa"/>
            <w:right w:w="0" w:type="dxa"/>
          </w:tblCellMar>
        </w:tblPrEx>
        <w:trPr>
          <w:trHeight w:val="210" w:hRule="atLeast"/>
        </w:trPr>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其他</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cs="宋体"/>
                <w:color w:val="000000"/>
                <w:kern w:val="0"/>
                <w:sz w:val="16"/>
                <w:szCs w:val="16"/>
              </w:rPr>
              <w:t>0</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其他</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cs="宋体"/>
                <w:color w:val="000000"/>
                <w:kern w:val="0"/>
                <w:sz w:val="16"/>
                <w:szCs w:val="16"/>
              </w:rPr>
              <w:t>0</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right"/>
              <w:textAlignment w:val="center"/>
              <w:rPr>
                <w:rFonts w:ascii="宋体" w:cs="Times New Roman"/>
                <w:color w:val="000000"/>
                <w:sz w:val="16"/>
                <w:szCs w:val="16"/>
              </w:rPr>
            </w:pPr>
            <w:r>
              <w:rPr>
                <w:rFonts w:hint="eastAsia" w:ascii="宋体" w:hAnsi="宋体" w:cs="宋体"/>
                <w:color w:val="000000"/>
                <w:kern w:val="0"/>
                <w:sz w:val="16"/>
                <w:szCs w:val="16"/>
              </w:rPr>
              <w:t>其他</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cs="宋体"/>
                <w:color w:val="000000"/>
                <w:kern w:val="0"/>
                <w:sz w:val="16"/>
                <w:szCs w:val="16"/>
              </w:rPr>
              <w:t>0</w:t>
            </w:r>
          </w:p>
        </w:tc>
        <w:tc>
          <w:tcPr>
            <w:tcW w:w="115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r>
      <w:tr>
        <w:tblPrEx>
          <w:tblCellMar>
            <w:top w:w="0" w:type="dxa"/>
            <w:left w:w="0" w:type="dxa"/>
            <w:bottom w:w="0" w:type="dxa"/>
            <w:right w:w="0" w:type="dxa"/>
          </w:tblCellMar>
        </w:tblPrEx>
        <w:trPr>
          <w:trHeight w:val="210" w:hRule="atLeast"/>
        </w:trPr>
        <w:tc>
          <w:tcPr>
            <w:tcW w:w="1083"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三、目标完成情况</w:t>
            </w:r>
          </w:p>
        </w:tc>
        <w:tc>
          <w:tcPr>
            <w:tcW w:w="3249"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年度预期目标</w:t>
            </w:r>
          </w:p>
        </w:tc>
        <w:tc>
          <w:tcPr>
            <w:tcW w:w="3249"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具体完成情况</w:t>
            </w:r>
          </w:p>
        </w:tc>
        <w:tc>
          <w:tcPr>
            <w:tcW w:w="1152"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总体完成率</w:t>
            </w:r>
          </w:p>
        </w:tc>
      </w:tr>
      <w:tr>
        <w:tblPrEx>
          <w:tblCellMar>
            <w:top w:w="0" w:type="dxa"/>
            <w:left w:w="0" w:type="dxa"/>
            <w:bottom w:w="0" w:type="dxa"/>
            <w:right w:w="0" w:type="dxa"/>
          </w:tblCellMar>
        </w:tblPrEx>
        <w:trPr>
          <w:trHeight w:val="312" w:hRule="atLeast"/>
        </w:trPr>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3249" w:type="dxa"/>
            <w:gridSpan w:val="3"/>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整体评价以市县级行政辖区为评价单元，主要评价行政区内建设用地供应和利用情况、建设用地承载人口、经济投入产出轻度及其变化趋势等，开展评价工作是促进建设用地利用方式转变的基础工作，对推进生态文明建设。</w:t>
            </w:r>
          </w:p>
        </w:tc>
        <w:tc>
          <w:tcPr>
            <w:tcW w:w="3249" w:type="dxa"/>
            <w:gridSpan w:val="3"/>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通过前期资料收集，外业调查，内业处理，</w:t>
            </w:r>
            <w:r>
              <w:rPr>
                <w:rFonts w:ascii="宋体" w:hAnsi="宋体" w:cs="宋体"/>
                <w:color w:val="000000"/>
                <w:kern w:val="0"/>
                <w:sz w:val="16"/>
                <w:szCs w:val="16"/>
              </w:rPr>
              <w:t>2019</w:t>
            </w:r>
            <w:r>
              <w:rPr>
                <w:rFonts w:hint="eastAsia" w:ascii="宋体" w:hAnsi="宋体" w:cs="宋体"/>
                <w:color w:val="000000"/>
                <w:kern w:val="0"/>
                <w:sz w:val="16"/>
                <w:szCs w:val="16"/>
              </w:rPr>
              <w:t>年</w:t>
            </w:r>
            <w:r>
              <w:rPr>
                <w:rFonts w:ascii="宋体" w:hAnsi="宋体" w:cs="宋体"/>
                <w:color w:val="000000"/>
                <w:kern w:val="0"/>
                <w:sz w:val="16"/>
                <w:szCs w:val="16"/>
              </w:rPr>
              <w:t>8</w:t>
            </w:r>
            <w:r>
              <w:rPr>
                <w:rFonts w:hint="eastAsia" w:ascii="宋体" w:hAnsi="宋体" w:cs="宋体"/>
                <w:color w:val="000000"/>
                <w:kern w:val="0"/>
                <w:sz w:val="16"/>
                <w:szCs w:val="16"/>
              </w:rPr>
              <w:t>月</w:t>
            </w:r>
            <w:r>
              <w:rPr>
                <w:rFonts w:ascii="宋体" w:hAnsi="宋体" w:cs="宋体"/>
                <w:color w:val="000000"/>
                <w:kern w:val="0"/>
                <w:sz w:val="16"/>
                <w:szCs w:val="16"/>
              </w:rPr>
              <w:t>10</w:t>
            </w:r>
            <w:r>
              <w:rPr>
                <w:rFonts w:hint="eastAsia" w:ascii="宋体" w:hAnsi="宋体" w:cs="宋体"/>
                <w:color w:val="000000"/>
                <w:kern w:val="0"/>
                <w:sz w:val="16"/>
                <w:szCs w:val="16"/>
              </w:rPr>
              <w:t>日前完成《高邑县区域建设用地节约集约利用状况工作报告》</w:t>
            </w:r>
            <w:r>
              <w:rPr>
                <w:rFonts w:ascii="宋体" w:hAnsi="宋体" w:cs="宋体"/>
                <w:color w:val="000000"/>
                <w:kern w:val="0"/>
                <w:sz w:val="16"/>
                <w:szCs w:val="16"/>
              </w:rPr>
              <w:t>1</w:t>
            </w:r>
            <w:r>
              <w:rPr>
                <w:rFonts w:hint="eastAsia" w:ascii="宋体" w:hAnsi="宋体" w:cs="宋体"/>
                <w:color w:val="000000"/>
                <w:kern w:val="0"/>
                <w:sz w:val="16"/>
                <w:szCs w:val="16"/>
              </w:rPr>
              <w:t>套、《高邑县区域建设用地节约集约利用状况技术报告》</w:t>
            </w:r>
            <w:r>
              <w:rPr>
                <w:rFonts w:ascii="宋体" w:hAnsi="宋体" w:cs="宋体"/>
                <w:color w:val="000000"/>
                <w:kern w:val="0"/>
                <w:sz w:val="16"/>
                <w:szCs w:val="16"/>
              </w:rPr>
              <w:t>1</w:t>
            </w:r>
            <w:r>
              <w:rPr>
                <w:rFonts w:hint="eastAsia" w:ascii="宋体" w:hAnsi="宋体" w:cs="宋体"/>
                <w:color w:val="000000"/>
                <w:kern w:val="0"/>
                <w:sz w:val="16"/>
                <w:szCs w:val="16"/>
              </w:rPr>
              <w:t>套，并提交省厅要求填写的评价表格；从而实现节约集约用地，同时对低效用地改造挖潜，提高建设用地效率和效益。</w:t>
            </w:r>
            <w:r>
              <w:rPr>
                <w:rFonts w:ascii="宋体" w:hAnsi="宋体" w:cs="宋体"/>
                <w:color w:val="000000"/>
                <w:kern w:val="0"/>
                <w:sz w:val="16"/>
                <w:szCs w:val="16"/>
              </w:rPr>
              <w:t xml:space="preserve"> </w:t>
            </w:r>
          </w:p>
        </w:tc>
        <w:tc>
          <w:tcPr>
            <w:tcW w:w="1152" w:type="dxa"/>
            <w:vMerge w:val="restar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r>
      <w:tr>
        <w:tblPrEx>
          <w:tblCellMar>
            <w:top w:w="0" w:type="dxa"/>
            <w:left w:w="0" w:type="dxa"/>
            <w:bottom w:w="0" w:type="dxa"/>
            <w:right w:w="0" w:type="dxa"/>
          </w:tblCellMar>
        </w:tblPrEx>
        <w:trPr>
          <w:trHeight w:val="312" w:hRule="atLeast"/>
        </w:trPr>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3249"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3249"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115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r>
      <w:tr>
        <w:tblPrEx>
          <w:tblCellMar>
            <w:top w:w="0" w:type="dxa"/>
            <w:left w:w="0" w:type="dxa"/>
            <w:bottom w:w="0" w:type="dxa"/>
            <w:right w:w="0" w:type="dxa"/>
          </w:tblCellMar>
        </w:tblPrEx>
        <w:trPr>
          <w:trHeight w:val="1120" w:hRule="atLeast"/>
        </w:trPr>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3249"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3249"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115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r>
      <w:tr>
        <w:tblPrEx>
          <w:tblCellMar>
            <w:top w:w="0" w:type="dxa"/>
            <w:left w:w="0" w:type="dxa"/>
            <w:bottom w:w="0" w:type="dxa"/>
            <w:right w:w="0" w:type="dxa"/>
          </w:tblCellMar>
        </w:tblPrEx>
        <w:trPr>
          <w:trHeight w:val="210" w:hRule="atLeast"/>
        </w:trPr>
        <w:tc>
          <w:tcPr>
            <w:tcW w:w="1083" w:type="dxa"/>
            <w:vMerge w:val="restart"/>
            <w:tcBorders>
              <w:top w:val="single" w:color="000000" w:sz="4" w:space="0"/>
              <w:left w:val="single" w:color="000000" w:sz="4" w:space="0"/>
              <w:bottom w:val="single" w:color="000000" w:sz="4" w:space="0"/>
              <w:right w:val="nil"/>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四、</w:t>
            </w:r>
            <w:r>
              <w:rPr>
                <w:rFonts w:ascii="宋体" w:hAnsi="宋体" w:cs="宋体"/>
                <w:color w:val="000000"/>
                <w:kern w:val="0"/>
                <w:sz w:val="16"/>
                <w:szCs w:val="16"/>
              </w:rPr>
              <w:t xml:space="preserve"> </w:t>
            </w:r>
            <w:r>
              <w:rPr>
                <w:rFonts w:hint="eastAsia" w:ascii="宋体" w:hAnsi="宋体" w:cs="宋体"/>
                <w:color w:val="000000"/>
                <w:kern w:val="0"/>
                <w:sz w:val="16"/>
                <w:szCs w:val="16"/>
              </w:rPr>
              <w:t>年度绩效指标完成情况</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一级指标</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二级指标</w:t>
            </w:r>
          </w:p>
        </w:tc>
        <w:tc>
          <w:tcPr>
            <w:tcW w:w="2166"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三级指标</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预期指标值</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实际完成值</w:t>
            </w:r>
          </w:p>
        </w:tc>
        <w:tc>
          <w:tcPr>
            <w:tcW w:w="1152"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自评得分</w:t>
            </w:r>
          </w:p>
        </w:tc>
      </w:tr>
      <w:tr>
        <w:tblPrEx>
          <w:tblCellMar>
            <w:top w:w="0" w:type="dxa"/>
            <w:left w:w="0" w:type="dxa"/>
            <w:bottom w:w="0" w:type="dxa"/>
            <w:right w:w="0" w:type="dxa"/>
          </w:tblCellMar>
        </w:tblPrEx>
        <w:trPr>
          <w:trHeight w:val="64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nil"/>
              <w:right w:val="single" w:color="000000" w:sz="4" w:space="0"/>
            </w:tcBorders>
            <w:tcMar>
              <w:top w:w="15" w:type="dxa"/>
              <w:left w:w="15" w:type="dxa"/>
              <w:bottom w:w="0" w:type="dxa"/>
              <w:right w:w="15" w:type="dxa"/>
            </w:tcMar>
            <w:vAlign w:val="center"/>
          </w:tcPr>
          <w:p>
            <w:pPr>
              <w:jc w:val="center"/>
              <w:rPr>
                <w:rFonts w:ascii="宋体" w:cs="Times New Roman"/>
                <w:color w:val="000000"/>
                <w:sz w:val="16"/>
                <w:szCs w:val="16"/>
              </w:rPr>
            </w:pPr>
          </w:p>
        </w:tc>
        <w:tc>
          <w:tcPr>
            <w:tcW w:w="1083" w:type="dxa"/>
            <w:tcBorders>
              <w:top w:val="single" w:color="000000" w:sz="4" w:space="0"/>
              <w:left w:val="single" w:color="000000" w:sz="4" w:space="0"/>
              <w:bottom w:val="nil"/>
              <w:right w:val="single" w:color="000000" w:sz="4" w:space="0"/>
            </w:tcBorders>
            <w:tcMar>
              <w:top w:w="15" w:type="dxa"/>
              <w:left w:w="15" w:type="dxa"/>
              <w:bottom w:w="0" w:type="dxa"/>
              <w:right w:w="15" w:type="dxa"/>
            </w:tcMar>
            <w:vAlign w:val="center"/>
          </w:tcPr>
          <w:p>
            <w:pPr>
              <w:jc w:val="center"/>
              <w:rPr>
                <w:rFonts w:ascii="宋体" w:cs="Times New Roman"/>
                <w:color w:val="000000"/>
                <w:sz w:val="16"/>
                <w:szCs w:val="16"/>
              </w:rPr>
            </w:pPr>
          </w:p>
        </w:tc>
        <w:tc>
          <w:tcPr>
            <w:tcW w:w="2166" w:type="dxa"/>
            <w:gridSpan w:val="2"/>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指标</w:t>
            </w:r>
            <w:r>
              <w:rPr>
                <w:rFonts w:ascii="宋体" w:hAnsi="宋体" w:cs="宋体"/>
                <w:color w:val="000000"/>
                <w:kern w:val="0"/>
                <w:sz w:val="16"/>
                <w:szCs w:val="16"/>
              </w:rPr>
              <w:t xml:space="preserve"> </w:t>
            </w:r>
            <w:r>
              <w:rPr>
                <w:rFonts w:hint="eastAsia" w:ascii="宋体" w:hAnsi="宋体" w:cs="宋体"/>
                <w:color w:val="000000"/>
                <w:kern w:val="0"/>
                <w:sz w:val="16"/>
                <w:szCs w:val="16"/>
              </w:rPr>
              <w:t>１</w:t>
            </w:r>
            <w:r>
              <w:rPr>
                <w:rFonts w:ascii="宋体" w:hAnsi="宋体" w:cs="宋体"/>
                <w:color w:val="000000"/>
                <w:kern w:val="0"/>
                <w:sz w:val="16"/>
                <w:szCs w:val="16"/>
              </w:rPr>
              <w:t>(</w:t>
            </w:r>
            <w:r>
              <w:rPr>
                <w:rFonts w:hint="eastAsia" w:ascii="宋体" w:hAnsi="宋体" w:cs="宋体"/>
                <w:color w:val="000000"/>
                <w:kern w:val="0"/>
                <w:sz w:val="16"/>
                <w:szCs w:val="16"/>
              </w:rPr>
              <w:t>与绩效目标申报表一致）</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w:t>
            </w:r>
            <w:r>
              <w:rPr>
                <w:rFonts w:hint="eastAsia" w:ascii="宋体" w:hAnsi="宋体" w:cs="宋体"/>
                <w:color w:val="000000"/>
                <w:kern w:val="0"/>
                <w:sz w:val="16"/>
                <w:szCs w:val="16"/>
              </w:rPr>
              <w:t>与绩效目标申报表一致）</w:t>
            </w:r>
          </w:p>
        </w:tc>
        <w:tc>
          <w:tcPr>
            <w:tcW w:w="1083"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（截止预算年度末的完成情况）</w:t>
            </w:r>
          </w:p>
        </w:tc>
        <w:tc>
          <w:tcPr>
            <w:tcW w:w="1152" w:type="dxa"/>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rPr>
                <w:rFonts w:ascii="宋体" w:cs="Times New Roman"/>
                <w:color w:val="000000"/>
                <w:sz w:val="16"/>
                <w:szCs w:val="16"/>
              </w:rPr>
            </w:pPr>
          </w:p>
        </w:tc>
      </w:tr>
      <w:tr>
        <w:tblPrEx>
          <w:tblCellMar>
            <w:top w:w="0" w:type="dxa"/>
            <w:left w:w="0" w:type="dxa"/>
            <w:bottom w:w="0" w:type="dxa"/>
            <w:right w:w="0" w:type="dxa"/>
          </w:tblCellMar>
        </w:tblPrEx>
        <w:trPr>
          <w:trHeight w:val="58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产出指标（</w:t>
            </w:r>
            <w:r>
              <w:rPr>
                <w:rFonts w:ascii="宋体" w:hAnsi="宋体" w:cs="宋体"/>
                <w:color w:val="000000"/>
                <w:kern w:val="0"/>
                <w:sz w:val="16"/>
                <w:szCs w:val="16"/>
              </w:rPr>
              <w:t>40</w:t>
            </w:r>
            <w:r>
              <w:rPr>
                <w:rFonts w:hint="eastAsia" w:ascii="宋体" w:hAnsi="宋体" w:cs="宋体"/>
                <w:color w:val="000000"/>
                <w:kern w:val="0"/>
                <w:sz w:val="16"/>
                <w:szCs w:val="16"/>
              </w:rPr>
              <w:t>）</w:t>
            </w:r>
          </w:p>
        </w:tc>
        <w:tc>
          <w:tcPr>
            <w:tcW w:w="10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数量指标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高邑县区域建设用地节约集约利用状况工作报告</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2.5</w:t>
            </w:r>
          </w:p>
        </w:tc>
      </w:tr>
      <w:tr>
        <w:tblPrEx>
          <w:tblCellMar>
            <w:top w:w="0" w:type="dxa"/>
            <w:left w:w="0" w:type="dxa"/>
            <w:bottom w:w="0" w:type="dxa"/>
            <w:right w:w="0" w:type="dxa"/>
          </w:tblCellMar>
        </w:tblPrEx>
        <w:trPr>
          <w:trHeight w:val="48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高邑县区域建设用地节约集约利用状况评价技术报告</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2.5</w:t>
            </w:r>
          </w:p>
        </w:tc>
      </w:tr>
      <w:tr>
        <w:tblPrEx>
          <w:tblCellMar>
            <w:top w:w="0" w:type="dxa"/>
            <w:left w:w="0" w:type="dxa"/>
            <w:bottom w:w="0" w:type="dxa"/>
            <w:right w:w="0" w:type="dxa"/>
          </w:tblCellMar>
        </w:tblPrEx>
        <w:trPr>
          <w:trHeight w:val="48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高邑县</w:t>
            </w:r>
            <w:r>
              <w:rPr>
                <w:rFonts w:ascii="宋体" w:hAnsi="宋体" w:cs="宋体"/>
                <w:color w:val="000000"/>
                <w:kern w:val="0"/>
                <w:sz w:val="16"/>
                <w:szCs w:val="16"/>
              </w:rPr>
              <w:t>2018</w:t>
            </w:r>
            <w:r>
              <w:rPr>
                <w:rFonts w:hint="eastAsia" w:ascii="宋体" w:hAnsi="宋体" w:cs="宋体"/>
                <w:color w:val="000000"/>
                <w:kern w:val="0"/>
                <w:sz w:val="16"/>
                <w:szCs w:val="16"/>
              </w:rPr>
              <w:t>年度土地变更一览表</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2</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2</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2.5</w:t>
            </w:r>
          </w:p>
        </w:tc>
      </w:tr>
      <w:tr>
        <w:tblPrEx>
          <w:tblCellMar>
            <w:top w:w="0" w:type="dxa"/>
            <w:left w:w="0" w:type="dxa"/>
            <w:bottom w:w="0" w:type="dxa"/>
            <w:right w:w="0" w:type="dxa"/>
          </w:tblCellMar>
        </w:tblPrEx>
        <w:trPr>
          <w:trHeight w:val="54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高邑县</w:t>
            </w:r>
            <w:r>
              <w:rPr>
                <w:rFonts w:ascii="宋体" w:hAnsi="宋体" w:cs="宋体"/>
                <w:color w:val="000000"/>
                <w:kern w:val="0"/>
                <w:sz w:val="16"/>
                <w:szCs w:val="16"/>
              </w:rPr>
              <w:t>2019</w:t>
            </w:r>
            <w:r>
              <w:rPr>
                <w:rFonts w:hint="eastAsia" w:ascii="宋体" w:hAnsi="宋体" w:cs="宋体"/>
                <w:color w:val="000000"/>
                <w:kern w:val="0"/>
                <w:sz w:val="16"/>
                <w:szCs w:val="16"/>
              </w:rPr>
              <w:t>年度建设用地节约集约利用状况整体评价表格</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2.5</w:t>
            </w:r>
          </w:p>
        </w:tc>
      </w:tr>
      <w:tr>
        <w:tblPrEx>
          <w:tblCellMar>
            <w:top w:w="0" w:type="dxa"/>
            <w:left w:w="0" w:type="dxa"/>
            <w:bottom w:w="0" w:type="dxa"/>
            <w:right w:w="0" w:type="dxa"/>
          </w:tblCellMar>
        </w:tblPrEx>
        <w:trPr>
          <w:trHeight w:val="44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质量指标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通过省自然资源厅质量审核</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46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时效指标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截止</w:t>
            </w:r>
            <w:r>
              <w:rPr>
                <w:rFonts w:ascii="宋体" w:hAnsi="宋体" w:cs="宋体"/>
                <w:color w:val="000000"/>
                <w:kern w:val="0"/>
                <w:sz w:val="16"/>
                <w:szCs w:val="16"/>
              </w:rPr>
              <w:t>2019</w:t>
            </w:r>
            <w:r>
              <w:rPr>
                <w:rFonts w:hint="eastAsia" w:ascii="宋体" w:hAnsi="宋体" w:cs="宋体"/>
                <w:color w:val="000000"/>
                <w:kern w:val="0"/>
                <w:sz w:val="16"/>
                <w:szCs w:val="16"/>
              </w:rPr>
              <w:t>年</w:t>
            </w:r>
            <w:r>
              <w:rPr>
                <w:rFonts w:ascii="宋体" w:hAnsi="宋体" w:cs="宋体"/>
                <w:color w:val="000000"/>
                <w:kern w:val="0"/>
                <w:sz w:val="16"/>
                <w:szCs w:val="16"/>
              </w:rPr>
              <w:t>8</w:t>
            </w:r>
            <w:r>
              <w:rPr>
                <w:rFonts w:hint="eastAsia" w:ascii="宋体" w:hAnsi="宋体" w:cs="宋体"/>
                <w:color w:val="000000"/>
                <w:kern w:val="0"/>
                <w:sz w:val="16"/>
                <w:szCs w:val="16"/>
              </w:rPr>
              <w:t>月</w:t>
            </w:r>
            <w:r>
              <w:rPr>
                <w:rFonts w:ascii="宋体" w:hAnsi="宋体" w:cs="宋体"/>
                <w:color w:val="000000"/>
                <w:kern w:val="0"/>
                <w:sz w:val="16"/>
                <w:szCs w:val="16"/>
              </w:rPr>
              <w:t>10</w:t>
            </w:r>
            <w:r>
              <w:rPr>
                <w:rFonts w:hint="eastAsia" w:ascii="宋体" w:hAnsi="宋体" w:cs="宋体"/>
                <w:color w:val="000000"/>
                <w:kern w:val="0"/>
                <w:sz w:val="16"/>
                <w:szCs w:val="16"/>
              </w:rPr>
              <w:t>日提交成果</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按时完成</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按时完成</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46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成本指标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r>
              <w:rPr>
                <w:rFonts w:hint="eastAsia" w:ascii="宋体" w:hAnsi="宋体" w:cs="宋体"/>
                <w:color w:val="000000"/>
                <w:kern w:val="0"/>
                <w:sz w:val="16"/>
                <w:szCs w:val="16"/>
              </w:rPr>
              <w:t>万</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17</w:t>
            </w:r>
            <w:r>
              <w:rPr>
                <w:rFonts w:hint="eastAsia" w:ascii="宋体" w:hAnsi="宋体" w:cs="宋体"/>
                <w:color w:val="000000"/>
                <w:kern w:val="0"/>
                <w:sz w:val="16"/>
                <w:szCs w:val="16"/>
              </w:rPr>
              <w:t>万</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48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预算执行率指标</w:t>
            </w:r>
            <w:r>
              <w:rPr>
                <w:rFonts w:ascii="宋体" w:cs="Times New Roman"/>
                <w:color w:val="000000"/>
                <w:kern w:val="0"/>
                <w:sz w:val="16"/>
                <w:szCs w:val="16"/>
              </w:rPr>
              <w:br w:type="textWrapping"/>
            </w:r>
            <w:r>
              <w:rPr>
                <w:rFonts w:hint="eastAsia" w:ascii="宋体" w:hAnsi="宋体" w:cs="宋体"/>
                <w:color w:val="000000"/>
                <w:kern w:val="0"/>
                <w:sz w:val="16"/>
                <w:szCs w:val="16"/>
              </w:rPr>
              <w:t>（</w:t>
            </w:r>
            <w:r>
              <w:rPr>
                <w:rFonts w:ascii="宋体" w:hAnsi="宋体" w:cs="宋体"/>
                <w:color w:val="000000"/>
                <w:kern w:val="0"/>
                <w:sz w:val="16"/>
                <w:szCs w:val="16"/>
              </w:rPr>
              <w:t>10</w:t>
            </w:r>
            <w:r>
              <w:rPr>
                <w:rFonts w:hint="eastAsia" w:ascii="宋体" w:hAnsi="宋体" w:cs="宋体"/>
                <w:color w:val="000000"/>
                <w:kern w:val="0"/>
                <w:sz w:val="16"/>
                <w:szCs w:val="16"/>
              </w:rPr>
              <w:t>分）</w:t>
            </w:r>
          </w:p>
        </w:tc>
        <w:tc>
          <w:tcPr>
            <w:tcW w:w="1083" w:type="dxa"/>
            <w:tcBorders>
              <w:top w:val="nil"/>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预算执行率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left"/>
              <w:rPr>
                <w:rFonts w:ascii="宋体" w:cs="Times New Roman"/>
                <w:color w:val="000000"/>
                <w:sz w:val="16"/>
                <w:szCs w:val="16"/>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50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restart"/>
            <w:tcBorders>
              <w:top w:val="nil"/>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效益指标（</w:t>
            </w:r>
            <w:r>
              <w:rPr>
                <w:rFonts w:ascii="宋体" w:hAnsi="宋体" w:cs="宋体"/>
                <w:color w:val="000000"/>
                <w:kern w:val="0"/>
                <w:sz w:val="16"/>
                <w:szCs w:val="16"/>
              </w:rPr>
              <w:t>40</w:t>
            </w:r>
            <w:r>
              <w:rPr>
                <w:rFonts w:hint="eastAsia" w:ascii="宋体" w:hAnsi="宋体" w:cs="宋体"/>
                <w:color w:val="000000"/>
                <w:kern w:val="0"/>
                <w:sz w:val="16"/>
                <w:szCs w:val="16"/>
              </w:rPr>
              <w:t>）</w:t>
            </w:r>
          </w:p>
        </w:tc>
        <w:tc>
          <w:tcPr>
            <w:tcW w:w="1083" w:type="dxa"/>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经济效益指标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促进土地节约集约利用，提高土地使用效率</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15</w:t>
            </w:r>
          </w:p>
        </w:tc>
      </w:tr>
      <w:tr>
        <w:tblPrEx>
          <w:tblCellMar>
            <w:top w:w="0" w:type="dxa"/>
            <w:left w:w="0" w:type="dxa"/>
            <w:bottom w:w="0" w:type="dxa"/>
            <w:right w:w="0" w:type="dxa"/>
          </w:tblCellMar>
        </w:tblPrEx>
        <w:trPr>
          <w:trHeight w:val="44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nil"/>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社会效益指标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促进县域建设用地效率和效益提升</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15</w:t>
            </w:r>
          </w:p>
        </w:tc>
      </w:tr>
      <w:tr>
        <w:tblPrEx>
          <w:tblCellMar>
            <w:top w:w="0" w:type="dxa"/>
            <w:left w:w="0" w:type="dxa"/>
            <w:bottom w:w="0" w:type="dxa"/>
            <w:right w:w="0" w:type="dxa"/>
          </w:tblCellMar>
        </w:tblPrEx>
        <w:trPr>
          <w:trHeight w:val="52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nil"/>
              <w:left w:val="single" w:color="000000" w:sz="4" w:space="0"/>
              <w:bottom w:val="nil"/>
              <w:right w:val="single" w:color="000000" w:sz="4" w:space="0"/>
            </w:tcBorders>
            <w:vAlign w:val="center"/>
          </w:tcPr>
          <w:p>
            <w:pPr>
              <w:widowControl/>
              <w:jc w:val="left"/>
              <w:rPr>
                <w:rFonts w:ascii="宋体" w:cs="Times New Roman"/>
                <w:color w:val="000000"/>
                <w:sz w:val="16"/>
                <w:szCs w:val="16"/>
              </w:rPr>
            </w:pPr>
          </w:p>
        </w:tc>
        <w:tc>
          <w:tcPr>
            <w:tcW w:w="1083" w:type="dxa"/>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可持续影响指标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优化城乡建设用地布局，促进县域经济社会可持续发展</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w:t>
            </w:r>
          </w:p>
        </w:tc>
      </w:tr>
      <w:tr>
        <w:tblPrEx>
          <w:tblCellMar>
            <w:top w:w="0" w:type="dxa"/>
            <w:left w:w="0" w:type="dxa"/>
            <w:bottom w:w="0" w:type="dxa"/>
            <w:right w:w="0" w:type="dxa"/>
          </w:tblCellMar>
        </w:tblPrEx>
        <w:trPr>
          <w:trHeight w:val="46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满意度指标</w:t>
            </w:r>
            <w:r>
              <w:rPr>
                <w:rFonts w:ascii="宋体" w:cs="Times New Roman"/>
                <w:color w:val="000000"/>
                <w:kern w:val="0"/>
                <w:sz w:val="16"/>
                <w:szCs w:val="16"/>
              </w:rPr>
              <w:br w:type="textWrapping"/>
            </w:r>
            <w:r>
              <w:rPr>
                <w:rFonts w:hint="eastAsia" w:ascii="宋体" w:hAnsi="宋体" w:cs="宋体"/>
                <w:color w:val="000000"/>
                <w:kern w:val="0"/>
                <w:sz w:val="16"/>
                <w:szCs w:val="16"/>
              </w:rPr>
              <w:t>（</w:t>
            </w:r>
            <w:r>
              <w:rPr>
                <w:rFonts w:ascii="宋体" w:hAnsi="宋体" w:cs="宋体"/>
                <w:color w:val="000000"/>
                <w:kern w:val="0"/>
                <w:sz w:val="16"/>
                <w:szCs w:val="16"/>
              </w:rPr>
              <w:t>10</w:t>
            </w:r>
            <w:r>
              <w:rPr>
                <w:rFonts w:hint="eastAsia" w:ascii="宋体" w:hAnsi="宋体" w:cs="宋体"/>
                <w:color w:val="000000"/>
                <w:kern w:val="0"/>
                <w:sz w:val="16"/>
                <w:szCs w:val="16"/>
              </w:rPr>
              <w:t>分）</w:t>
            </w:r>
          </w:p>
        </w:tc>
        <w:tc>
          <w:tcPr>
            <w:tcW w:w="1083" w:type="dxa"/>
            <w:vMerge w:val="restart"/>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满意度指标</w:t>
            </w: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受益单位满意度</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90%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98%</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5</w:t>
            </w:r>
          </w:p>
        </w:tc>
      </w:tr>
      <w:tr>
        <w:tblPrEx>
          <w:tblCellMar>
            <w:top w:w="0" w:type="dxa"/>
            <w:left w:w="0" w:type="dxa"/>
            <w:bottom w:w="0" w:type="dxa"/>
            <w:right w:w="0" w:type="dxa"/>
          </w:tblCellMar>
        </w:tblPrEx>
        <w:trPr>
          <w:trHeight w:val="40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1083"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cs="Times New Roman"/>
                <w:color w:val="000000"/>
                <w:sz w:val="16"/>
                <w:szCs w:val="16"/>
              </w:rPr>
            </w:pPr>
          </w:p>
        </w:tc>
        <w:tc>
          <w:tcPr>
            <w:tcW w:w="21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受益公众满意度</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90%</w:t>
            </w:r>
          </w:p>
        </w:tc>
        <w:tc>
          <w:tcPr>
            <w:tcW w:w="108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98%</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5</w:t>
            </w:r>
          </w:p>
        </w:tc>
      </w:tr>
      <w:tr>
        <w:tblPrEx>
          <w:tblCellMar>
            <w:top w:w="0" w:type="dxa"/>
            <w:left w:w="0" w:type="dxa"/>
            <w:bottom w:w="0" w:type="dxa"/>
            <w:right w:w="0" w:type="dxa"/>
          </w:tblCellMar>
        </w:tblPrEx>
        <w:trPr>
          <w:trHeight w:val="210" w:hRule="atLeast"/>
        </w:trPr>
        <w:tc>
          <w:tcPr>
            <w:tcW w:w="1083"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6"/>
                <w:szCs w:val="16"/>
              </w:rPr>
            </w:pPr>
          </w:p>
        </w:tc>
        <w:tc>
          <w:tcPr>
            <w:tcW w:w="6498"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hint="eastAsia" w:ascii="宋体" w:hAnsi="宋体" w:cs="宋体"/>
                <w:color w:val="000000"/>
                <w:kern w:val="0"/>
                <w:sz w:val="16"/>
                <w:szCs w:val="16"/>
              </w:rPr>
              <w:t>总分</w:t>
            </w:r>
          </w:p>
        </w:tc>
        <w:tc>
          <w:tcPr>
            <w:tcW w:w="11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r>
      <w:tr>
        <w:tblPrEx>
          <w:tblCellMar>
            <w:top w:w="0" w:type="dxa"/>
            <w:left w:w="0" w:type="dxa"/>
            <w:bottom w:w="0" w:type="dxa"/>
            <w:right w:w="0" w:type="dxa"/>
          </w:tblCellMar>
        </w:tblPrEx>
        <w:trPr>
          <w:trHeight w:val="630" w:hRule="atLeast"/>
        </w:trPr>
        <w:tc>
          <w:tcPr>
            <w:tcW w:w="1083" w:type="dxa"/>
            <w:tcBorders>
              <w:top w:val="nil"/>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五、</w:t>
            </w:r>
            <w:r>
              <w:rPr>
                <w:rFonts w:ascii="宋体" w:hAnsi="宋体" w:cs="宋体"/>
                <w:color w:val="000000"/>
                <w:kern w:val="0"/>
                <w:sz w:val="16"/>
                <w:szCs w:val="16"/>
              </w:rPr>
              <w:t xml:space="preserve"> </w:t>
            </w:r>
            <w:r>
              <w:rPr>
                <w:rFonts w:hint="eastAsia" w:ascii="宋体" w:hAnsi="宋体" w:cs="宋体"/>
                <w:color w:val="000000"/>
                <w:kern w:val="0"/>
                <w:sz w:val="16"/>
                <w:szCs w:val="16"/>
              </w:rPr>
              <w:t>存在问题、原因及下一步整改措施</w:t>
            </w:r>
          </w:p>
        </w:tc>
        <w:tc>
          <w:tcPr>
            <w:tcW w:w="7650" w:type="dxa"/>
            <w:gridSpan w:val="7"/>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left"/>
              <w:textAlignment w:val="center"/>
              <w:rPr>
                <w:rFonts w:ascii="宋体" w:cs="Times New Roman"/>
                <w:color w:val="000000"/>
                <w:sz w:val="16"/>
                <w:szCs w:val="16"/>
              </w:rPr>
            </w:pPr>
            <w:r>
              <w:rPr>
                <w:rFonts w:hint="eastAsia" w:ascii="宋体" w:hAnsi="宋体" w:cs="宋体"/>
                <w:color w:val="000000"/>
                <w:kern w:val="0"/>
                <w:sz w:val="16"/>
                <w:szCs w:val="16"/>
              </w:rPr>
              <w:t>通过本次绩效评价，在下一步的工作中切实加强组织领导，推进全员参与预算绩效管理，加强预算执行监控，逐步实现全过程预算绩效管理。</w:t>
            </w:r>
            <w:r>
              <w:rPr>
                <w:rStyle w:val="18"/>
              </w:rPr>
              <w:t xml:space="preserve"> </w:t>
            </w:r>
          </w:p>
        </w:tc>
      </w:tr>
    </w:tbl>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）高邑县</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年度建设用地节约集约利用状况专项评价项目绩效自评综述：根据年初设定的绩效目标，高邑县</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年度建设用地节约集约利用状况专项评价项目自评得分为</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分（评价自评表附后）。全年预算数为</w:t>
      </w:r>
      <w:r>
        <w:rPr>
          <w:rFonts w:ascii="仿宋_GB2312" w:hAnsi="仿宋_GB2312" w:eastAsia="仿宋_GB2312" w:cs="仿宋_GB2312"/>
          <w:sz w:val="32"/>
          <w:szCs w:val="32"/>
        </w:rPr>
        <w:t>17</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绩效目标完成情况：一是专项评价以国家级和省级开发区为评价单元，主要评价开发区批准范围、开发区实际管理范围内的建设用地利用状况，产出和就业等用地绩效、工业用地再开发潜力等，为开发区优化用地结构、促进产业转型升级等提供支撑。二是通过前期资料收集，外业调查，内业处理，</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日前完成《河北高邑经济开发区土地集约利用评价工作报告》</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套、《河北高邑经济开发区土地集约利用评价专题报告》</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套、《河北高邑经济开发区土地集约利用评价技术报告》</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套，同时提交开发区基础数据表格及评价工作表格，完成河北高邑开发区土地集约利用程度数据分析图层。从而实现节约集约用地、同时对低效用地改造挖潜，提高开发区建设用地效率和效益。发现的主要问题：通过本次绩效评价，在下一步的工作中切实加强组织领导，推进全员参与预算绩效管理，加强预算执行监控，逐步实现全过程预算绩效管理。</w:t>
      </w:r>
    </w:p>
    <w:p>
      <w:pPr>
        <w:adjustRightInd w:val="0"/>
        <w:snapToGrid w:val="0"/>
        <w:spacing w:line="580" w:lineRule="exact"/>
        <w:rPr>
          <w:rFonts w:ascii="仿宋_GB2312" w:hAnsi="仿宋_GB2312" w:eastAsia="仿宋_GB2312" w:cs="Times New Roman"/>
          <w:sz w:val="32"/>
          <w:szCs w:val="32"/>
        </w:rPr>
      </w:pPr>
    </w:p>
    <w:tbl>
      <w:tblPr>
        <w:tblStyle w:val="7"/>
        <w:tblW w:w="0" w:type="auto"/>
        <w:tblInd w:w="2" w:type="dxa"/>
        <w:tblLayout w:type="fixed"/>
        <w:tblCellMar>
          <w:top w:w="0" w:type="dxa"/>
          <w:left w:w="0" w:type="dxa"/>
          <w:bottom w:w="0" w:type="dxa"/>
          <w:right w:w="0" w:type="dxa"/>
        </w:tblCellMar>
      </w:tblPr>
      <w:tblGrid>
        <w:gridCol w:w="975"/>
        <w:gridCol w:w="1080"/>
        <w:gridCol w:w="1215"/>
        <w:gridCol w:w="1140"/>
        <w:gridCol w:w="1080"/>
        <w:gridCol w:w="1530"/>
        <w:gridCol w:w="1110"/>
        <w:gridCol w:w="1350"/>
      </w:tblGrid>
      <w:tr>
        <w:tblPrEx>
          <w:tblCellMar>
            <w:top w:w="0" w:type="dxa"/>
            <w:left w:w="0" w:type="dxa"/>
            <w:bottom w:w="0" w:type="dxa"/>
            <w:right w:w="0" w:type="dxa"/>
          </w:tblCellMar>
        </w:tblPrEx>
        <w:trPr>
          <w:trHeight w:val="225" w:hRule="atLeast"/>
        </w:trPr>
        <w:tc>
          <w:tcPr>
            <w:tcW w:w="9480" w:type="dxa"/>
            <w:gridSpan w:val="8"/>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县级部门预算项目绩效自评表</w:t>
            </w:r>
          </w:p>
        </w:tc>
      </w:tr>
      <w:tr>
        <w:tblPrEx>
          <w:tblCellMar>
            <w:top w:w="0" w:type="dxa"/>
            <w:left w:w="0" w:type="dxa"/>
            <w:bottom w:w="0" w:type="dxa"/>
            <w:right w:w="0" w:type="dxa"/>
          </w:tblCellMar>
        </w:tblPrEx>
        <w:trPr>
          <w:trHeight w:val="225" w:hRule="atLeast"/>
        </w:trPr>
        <w:tc>
          <w:tcPr>
            <w:tcW w:w="9480" w:type="dxa"/>
            <w:gridSpan w:val="8"/>
            <w:shd w:val="clear" w:color="auto" w:fill="FFFFFF"/>
            <w:tcMar>
              <w:top w:w="15" w:type="dxa"/>
              <w:left w:w="15" w:type="dxa"/>
              <w:bottom w:w="0" w:type="dxa"/>
              <w:right w:w="15" w:type="dxa"/>
            </w:tcMar>
            <w:vAlign w:val="bottom"/>
          </w:tcPr>
          <w:p>
            <w:pPr>
              <w:widowControl/>
              <w:jc w:val="center"/>
              <w:textAlignment w:val="bottom"/>
              <w:rPr>
                <w:rFonts w:ascii="宋体" w:cs="Times New Roman"/>
                <w:color w:val="000000"/>
                <w:sz w:val="18"/>
                <w:szCs w:val="18"/>
              </w:rPr>
            </w:pPr>
            <w:r>
              <w:rPr>
                <w:rFonts w:hint="eastAsia" w:ascii="宋体" w:hAnsi="宋体" w:cs="宋体"/>
                <w:color w:val="000000"/>
                <w:kern w:val="0"/>
                <w:sz w:val="18"/>
                <w:szCs w:val="18"/>
              </w:rPr>
              <w:t>（</w:t>
            </w:r>
            <w:r>
              <w:rPr>
                <w:rFonts w:ascii="宋体" w:hAnsi="宋体" w:cs="宋体"/>
                <w:color w:val="000000"/>
                <w:kern w:val="0"/>
                <w:sz w:val="18"/>
                <w:szCs w:val="18"/>
              </w:rPr>
              <w:t xml:space="preserve">     2019 </w:t>
            </w:r>
            <w:r>
              <w:rPr>
                <w:rFonts w:hint="eastAsia" w:ascii="宋体" w:hAnsi="宋体" w:cs="宋体"/>
                <w:color w:val="000000"/>
                <w:kern w:val="0"/>
                <w:sz w:val="18"/>
                <w:szCs w:val="18"/>
              </w:rPr>
              <w:t>年度）</w:t>
            </w:r>
          </w:p>
        </w:tc>
      </w:tr>
      <w:tr>
        <w:tblPrEx>
          <w:tblCellMar>
            <w:top w:w="0" w:type="dxa"/>
            <w:left w:w="0" w:type="dxa"/>
            <w:bottom w:w="0" w:type="dxa"/>
            <w:right w:w="0" w:type="dxa"/>
          </w:tblCellMar>
        </w:tblPrEx>
        <w:trPr>
          <w:trHeight w:val="225" w:hRule="atLeast"/>
        </w:trPr>
        <w:tc>
          <w:tcPr>
            <w:tcW w:w="3270" w:type="dxa"/>
            <w:gridSpan w:val="3"/>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填报单位：高邑县自然资源和规划局</w:t>
            </w:r>
          </w:p>
        </w:tc>
        <w:tc>
          <w:tcPr>
            <w:tcW w:w="1140" w:type="dxa"/>
            <w:shd w:val="clear" w:color="auto" w:fill="FFFFFF"/>
            <w:tcMar>
              <w:top w:w="15" w:type="dxa"/>
              <w:left w:w="15" w:type="dxa"/>
              <w:bottom w:w="0" w:type="dxa"/>
              <w:right w:w="15" w:type="dxa"/>
            </w:tcMar>
            <w:vAlign w:val="center"/>
          </w:tcPr>
          <w:p>
            <w:pPr>
              <w:jc w:val="center"/>
              <w:rPr>
                <w:rFonts w:ascii="宋体" w:cs="Times New Roman"/>
                <w:color w:val="000000"/>
                <w:sz w:val="18"/>
                <w:szCs w:val="18"/>
              </w:rPr>
            </w:pPr>
          </w:p>
        </w:tc>
        <w:tc>
          <w:tcPr>
            <w:tcW w:w="1080" w:type="dxa"/>
            <w:shd w:val="clear" w:color="auto" w:fill="FFFFFF"/>
            <w:tcMar>
              <w:top w:w="15" w:type="dxa"/>
              <w:left w:w="15" w:type="dxa"/>
              <w:bottom w:w="0" w:type="dxa"/>
              <w:right w:w="15" w:type="dxa"/>
            </w:tcMar>
            <w:vAlign w:val="center"/>
          </w:tcPr>
          <w:p>
            <w:pPr>
              <w:jc w:val="center"/>
              <w:rPr>
                <w:rFonts w:ascii="宋体" w:cs="Times New Roman"/>
                <w:color w:val="000000"/>
                <w:sz w:val="18"/>
                <w:szCs w:val="18"/>
              </w:rPr>
            </w:pPr>
          </w:p>
        </w:tc>
        <w:tc>
          <w:tcPr>
            <w:tcW w:w="1530" w:type="dxa"/>
            <w:shd w:val="clear" w:color="auto" w:fill="FFFFFF"/>
            <w:tcMar>
              <w:top w:w="15" w:type="dxa"/>
              <w:left w:w="15" w:type="dxa"/>
              <w:bottom w:w="0" w:type="dxa"/>
              <w:right w:w="15" w:type="dxa"/>
            </w:tcMar>
            <w:vAlign w:val="center"/>
          </w:tcPr>
          <w:p>
            <w:pPr>
              <w:jc w:val="center"/>
              <w:rPr>
                <w:rFonts w:ascii="宋体" w:cs="Times New Roman"/>
                <w:color w:val="000000"/>
                <w:sz w:val="18"/>
                <w:szCs w:val="18"/>
              </w:rPr>
            </w:pPr>
          </w:p>
        </w:tc>
        <w:tc>
          <w:tcPr>
            <w:tcW w:w="1110" w:type="dxa"/>
            <w:shd w:val="clear" w:color="auto" w:fill="FFFFFF"/>
            <w:tcMar>
              <w:top w:w="15" w:type="dxa"/>
              <w:left w:w="15" w:type="dxa"/>
              <w:bottom w:w="0" w:type="dxa"/>
              <w:right w:w="15" w:type="dxa"/>
            </w:tcMar>
            <w:vAlign w:val="center"/>
          </w:tcPr>
          <w:p>
            <w:pPr>
              <w:jc w:val="center"/>
              <w:rPr>
                <w:rFonts w:ascii="宋体" w:cs="Times New Roman"/>
                <w:color w:val="000000"/>
                <w:sz w:val="18"/>
                <w:szCs w:val="18"/>
              </w:rPr>
            </w:pPr>
          </w:p>
        </w:tc>
        <w:tc>
          <w:tcPr>
            <w:tcW w:w="1350" w:type="dxa"/>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1242" w:hRule="atLeast"/>
        </w:trPr>
        <w:tc>
          <w:tcPr>
            <w:tcW w:w="975" w:type="dxa"/>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一、</w:t>
            </w:r>
            <w:r>
              <w:rPr>
                <w:rFonts w:ascii="宋体" w:hAnsi="宋体" w:cs="宋体"/>
                <w:color w:val="000000"/>
                <w:kern w:val="0"/>
                <w:sz w:val="18"/>
                <w:szCs w:val="18"/>
              </w:rPr>
              <w:t xml:space="preserve"> </w:t>
            </w:r>
            <w:r>
              <w:rPr>
                <w:rFonts w:hint="eastAsia" w:ascii="宋体" w:hAnsi="宋体" w:cs="宋体"/>
                <w:color w:val="000000"/>
                <w:kern w:val="0"/>
                <w:sz w:val="18"/>
                <w:szCs w:val="18"/>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项目名称</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关于我县开发区</w:t>
            </w:r>
            <w:r>
              <w:rPr>
                <w:rFonts w:ascii="宋体" w:hAnsi="宋体" w:cs="宋体"/>
                <w:color w:val="000000"/>
                <w:kern w:val="0"/>
                <w:sz w:val="18"/>
                <w:szCs w:val="18"/>
              </w:rPr>
              <w:t>2019</w:t>
            </w:r>
            <w:r>
              <w:rPr>
                <w:rFonts w:hint="eastAsia" w:ascii="宋体" w:hAnsi="宋体" w:cs="宋体"/>
                <w:color w:val="000000"/>
                <w:kern w:val="0"/>
                <w:sz w:val="18"/>
                <w:szCs w:val="18"/>
              </w:rPr>
              <w:t>年度建设用地节约集约利用状况专项评价经费的请示（专项资金）</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实施</w:t>
            </w:r>
            <w:r>
              <w:rPr>
                <w:rFonts w:ascii="宋体" w:hAnsi="宋体" w:cs="宋体"/>
                <w:color w:val="000000"/>
                <w:kern w:val="0"/>
                <w:sz w:val="18"/>
                <w:szCs w:val="18"/>
              </w:rPr>
              <w:t>(</w:t>
            </w:r>
            <w:r>
              <w:rPr>
                <w:rFonts w:hint="eastAsia" w:ascii="宋体" w:hAnsi="宋体" w:cs="宋体"/>
                <w:color w:val="000000"/>
                <w:kern w:val="0"/>
                <w:sz w:val="18"/>
                <w:szCs w:val="18"/>
              </w:rPr>
              <w:t>主管）单位</w:t>
            </w:r>
          </w:p>
        </w:tc>
        <w:tc>
          <w:tcPr>
            <w:tcW w:w="3990" w:type="dxa"/>
            <w:gridSpan w:val="3"/>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高邑县自然资源和规划局</w:t>
            </w:r>
          </w:p>
        </w:tc>
      </w:tr>
      <w:tr>
        <w:tblPrEx>
          <w:tblCellMar>
            <w:top w:w="0" w:type="dxa"/>
            <w:left w:w="0" w:type="dxa"/>
            <w:bottom w:w="0" w:type="dxa"/>
            <w:right w:w="0" w:type="dxa"/>
          </w:tblCellMar>
        </w:tblPrEx>
        <w:trPr>
          <w:trHeight w:val="225" w:hRule="atLeast"/>
        </w:trPr>
        <w:tc>
          <w:tcPr>
            <w:tcW w:w="9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预算安排情况（调整后）</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资金到位情况</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资金执行情况</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预算执行进度</w:t>
            </w:r>
          </w:p>
        </w:tc>
      </w:tr>
      <w:tr>
        <w:tblPrEx>
          <w:tblCellMar>
            <w:top w:w="0" w:type="dxa"/>
            <w:left w:w="0" w:type="dxa"/>
            <w:bottom w:w="0" w:type="dxa"/>
            <w:right w:w="0" w:type="dxa"/>
          </w:tblCellMar>
        </w:tblPrEx>
        <w:trPr>
          <w:trHeight w:val="225" w:hRule="atLeast"/>
        </w:trPr>
        <w:tc>
          <w:tcPr>
            <w:tcW w:w="97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预算数：</w:t>
            </w: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p>
        </w:tc>
        <w:tc>
          <w:tcPr>
            <w:tcW w:w="11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执行数：</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w:t>
            </w:r>
            <w:r>
              <w:rPr>
                <w:rFonts w:ascii="宋体" w:hAnsi="宋体" w:cs="宋体"/>
                <w:color w:val="000000"/>
                <w:kern w:val="0"/>
                <w:sz w:val="18"/>
                <w:szCs w:val="18"/>
              </w:rPr>
              <w:t>=</w:t>
            </w:r>
            <w:r>
              <w:rPr>
                <w:rFonts w:hint="eastAsia" w:ascii="宋体" w:hAnsi="宋体" w:cs="宋体"/>
                <w:color w:val="000000"/>
                <w:kern w:val="0"/>
                <w:sz w:val="18"/>
                <w:szCs w:val="18"/>
              </w:rPr>
              <w:t>执行数</w:t>
            </w:r>
            <w:r>
              <w:rPr>
                <w:rFonts w:ascii="宋体" w:hAnsi="宋体" w:cs="宋体"/>
                <w:color w:val="000000"/>
                <w:kern w:val="0"/>
                <w:sz w:val="18"/>
                <w:szCs w:val="18"/>
              </w:rPr>
              <w:t>/</w:t>
            </w:r>
            <w:r>
              <w:rPr>
                <w:rFonts w:hint="eastAsia" w:ascii="宋体" w:hAnsi="宋体" w:cs="宋体"/>
                <w:color w:val="000000"/>
                <w:kern w:val="0"/>
                <w:sz w:val="18"/>
                <w:szCs w:val="18"/>
              </w:rPr>
              <w:t>预算数</w:t>
            </w:r>
            <w:r>
              <w:rPr>
                <w:rFonts w:ascii="宋体" w:hAnsi="宋体" w:cs="宋体"/>
                <w:color w:val="000000"/>
                <w:kern w:val="0"/>
                <w:sz w:val="18"/>
                <w:szCs w:val="18"/>
              </w:rPr>
              <w:t>*100%</w:t>
            </w:r>
            <w:r>
              <w:rPr>
                <w:rFonts w:hint="eastAsia" w:ascii="宋体" w:hAnsi="宋体" w:cs="宋体"/>
                <w:color w:val="000000"/>
                <w:kern w:val="0"/>
                <w:sz w:val="18"/>
                <w:szCs w:val="18"/>
              </w:rPr>
              <w:t>）</w:t>
            </w:r>
          </w:p>
        </w:tc>
      </w:tr>
      <w:tr>
        <w:tblPrEx>
          <w:tblCellMar>
            <w:top w:w="0" w:type="dxa"/>
            <w:left w:w="0" w:type="dxa"/>
            <w:bottom w:w="0" w:type="dxa"/>
            <w:right w:w="0" w:type="dxa"/>
          </w:tblCellMar>
        </w:tblPrEx>
        <w:trPr>
          <w:trHeight w:val="450" w:hRule="atLeast"/>
        </w:trPr>
        <w:tc>
          <w:tcPr>
            <w:tcW w:w="97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其中：财政资金</w:t>
            </w: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p>
        </w:tc>
        <w:tc>
          <w:tcPr>
            <w:tcW w:w="11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p>
        </w:tc>
        <w:tc>
          <w:tcPr>
            <w:tcW w:w="135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r>
      <w:tr>
        <w:tblPrEx>
          <w:tblCellMar>
            <w:top w:w="0" w:type="dxa"/>
            <w:left w:w="0" w:type="dxa"/>
            <w:bottom w:w="0" w:type="dxa"/>
            <w:right w:w="0" w:type="dxa"/>
          </w:tblCellMar>
        </w:tblPrEx>
        <w:trPr>
          <w:trHeight w:val="225" w:hRule="atLeast"/>
        </w:trPr>
        <w:tc>
          <w:tcPr>
            <w:tcW w:w="97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其他</w:t>
            </w: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cs="宋体"/>
                <w:color w:val="000000"/>
                <w:kern w:val="0"/>
                <w:sz w:val="18"/>
                <w:szCs w:val="18"/>
              </w:rPr>
              <w:t>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cs="宋体"/>
                <w:color w:val="000000"/>
                <w:kern w:val="0"/>
                <w:sz w:val="18"/>
                <w:szCs w:val="18"/>
              </w:rPr>
              <w:t>0</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right"/>
              <w:textAlignment w:val="center"/>
              <w:rPr>
                <w:rFonts w:ascii="宋体" w:cs="Times New Roman"/>
                <w:color w:val="000000"/>
                <w:sz w:val="18"/>
                <w:szCs w:val="18"/>
              </w:rPr>
            </w:pPr>
            <w:r>
              <w:rPr>
                <w:rFonts w:hint="eastAsia" w:ascii="宋体" w:hAnsi="宋体" w:cs="宋体"/>
                <w:color w:val="000000"/>
                <w:kern w:val="0"/>
                <w:sz w:val="18"/>
                <w:szCs w:val="18"/>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cs="宋体"/>
                <w:color w:val="000000"/>
                <w:kern w:val="0"/>
                <w:sz w:val="18"/>
                <w:szCs w:val="18"/>
              </w:rPr>
              <w:t>0</w:t>
            </w:r>
          </w:p>
        </w:tc>
        <w:tc>
          <w:tcPr>
            <w:tcW w:w="135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r>
      <w:tr>
        <w:tblPrEx>
          <w:tblCellMar>
            <w:top w:w="0" w:type="dxa"/>
            <w:left w:w="0" w:type="dxa"/>
            <w:bottom w:w="0" w:type="dxa"/>
            <w:right w:w="0" w:type="dxa"/>
          </w:tblCellMar>
        </w:tblPrEx>
        <w:trPr>
          <w:trHeight w:val="225" w:hRule="atLeast"/>
        </w:trPr>
        <w:tc>
          <w:tcPr>
            <w:tcW w:w="9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三、目标完成情况</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年度预期目标</w:t>
            </w:r>
          </w:p>
        </w:tc>
        <w:tc>
          <w:tcPr>
            <w:tcW w:w="3720"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具体完成情况</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总体完成率</w:t>
            </w:r>
          </w:p>
        </w:tc>
      </w:tr>
      <w:tr>
        <w:tblPrEx>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3435"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专项评价以国家级和省级开发区为评价单元，主要评价开发区批准范围、开发区实际管理范围内的建设用地利用状况，产出和就业等用地绩效、工业用地再开发潜力等，为开发区优化用地结构、促进产业转型升级等提供支撑。</w:t>
            </w:r>
          </w:p>
        </w:tc>
        <w:tc>
          <w:tcPr>
            <w:tcW w:w="3720"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通过前期资料收集，外业调查，内业处理，</w:t>
            </w:r>
            <w:r>
              <w:rPr>
                <w:rFonts w:ascii="宋体" w:hAnsi="宋体" w:cs="宋体"/>
                <w:color w:val="000000"/>
                <w:kern w:val="0"/>
                <w:sz w:val="18"/>
                <w:szCs w:val="18"/>
              </w:rPr>
              <w:t>2019</w:t>
            </w:r>
            <w:r>
              <w:rPr>
                <w:rFonts w:hint="eastAsia" w:ascii="宋体" w:hAnsi="宋体" w:cs="宋体"/>
                <w:color w:val="000000"/>
                <w:kern w:val="0"/>
                <w:sz w:val="18"/>
                <w:szCs w:val="18"/>
              </w:rPr>
              <w:t>年</w:t>
            </w:r>
            <w:r>
              <w:rPr>
                <w:rFonts w:ascii="宋体" w:hAnsi="宋体" w:cs="宋体"/>
                <w:color w:val="000000"/>
                <w:kern w:val="0"/>
                <w:sz w:val="18"/>
                <w:szCs w:val="18"/>
              </w:rPr>
              <w:t>8</w:t>
            </w:r>
            <w:r>
              <w:rPr>
                <w:rFonts w:hint="eastAsia" w:ascii="宋体" w:hAnsi="宋体" w:cs="宋体"/>
                <w:color w:val="000000"/>
                <w:kern w:val="0"/>
                <w:sz w:val="18"/>
                <w:szCs w:val="18"/>
              </w:rPr>
              <w:t>月</w:t>
            </w:r>
            <w:r>
              <w:rPr>
                <w:rFonts w:ascii="宋体" w:hAnsi="宋体" w:cs="宋体"/>
                <w:color w:val="000000"/>
                <w:kern w:val="0"/>
                <w:sz w:val="18"/>
                <w:szCs w:val="18"/>
              </w:rPr>
              <w:t>15</w:t>
            </w:r>
            <w:r>
              <w:rPr>
                <w:rFonts w:hint="eastAsia" w:ascii="宋体" w:hAnsi="宋体" w:cs="宋体"/>
                <w:color w:val="000000"/>
                <w:kern w:val="0"/>
                <w:sz w:val="18"/>
                <w:szCs w:val="18"/>
              </w:rPr>
              <w:t>日前完成《河北高邑经济开发区土地集约利用评价工作报告》</w:t>
            </w:r>
            <w:r>
              <w:rPr>
                <w:rFonts w:ascii="宋体" w:hAnsi="宋体" w:cs="宋体"/>
                <w:color w:val="000000"/>
                <w:kern w:val="0"/>
                <w:sz w:val="18"/>
                <w:szCs w:val="18"/>
              </w:rPr>
              <w:t>1</w:t>
            </w:r>
            <w:r>
              <w:rPr>
                <w:rFonts w:hint="eastAsia" w:ascii="宋体" w:hAnsi="宋体" w:cs="宋体"/>
                <w:color w:val="000000"/>
                <w:kern w:val="0"/>
                <w:sz w:val="18"/>
                <w:szCs w:val="18"/>
              </w:rPr>
              <w:t>套、《河北高邑经济开发区土地集约利用评价专题报告》</w:t>
            </w:r>
            <w:r>
              <w:rPr>
                <w:rFonts w:ascii="宋体" w:hAnsi="宋体" w:cs="宋体"/>
                <w:color w:val="000000"/>
                <w:kern w:val="0"/>
                <w:sz w:val="18"/>
                <w:szCs w:val="18"/>
              </w:rPr>
              <w:t>1</w:t>
            </w:r>
            <w:r>
              <w:rPr>
                <w:rFonts w:hint="eastAsia" w:ascii="宋体" w:hAnsi="宋体" w:cs="宋体"/>
                <w:color w:val="000000"/>
                <w:kern w:val="0"/>
                <w:sz w:val="18"/>
                <w:szCs w:val="18"/>
              </w:rPr>
              <w:t>套、《河北高邑经济开发区土地集约利用评价技术报告》</w:t>
            </w:r>
            <w:r>
              <w:rPr>
                <w:rFonts w:ascii="宋体" w:hAnsi="宋体" w:cs="宋体"/>
                <w:color w:val="000000"/>
                <w:kern w:val="0"/>
                <w:sz w:val="18"/>
                <w:szCs w:val="18"/>
              </w:rPr>
              <w:t>1</w:t>
            </w:r>
            <w:r>
              <w:rPr>
                <w:rFonts w:hint="eastAsia" w:ascii="宋体" w:hAnsi="宋体" w:cs="宋体"/>
                <w:color w:val="000000"/>
                <w:kern w:val="0"/>
                <w:sz w:val="18"/>
                <w:szCs w:val="18"/>
              </w:rPr>
              <w:t>套，同时提交开发区基础数据表格及评价工作表格，完成河北高邑开发区土地集约利用程度数据分析图层。从而实现节约集约用地、同时对低效用地改造挖潜，提高开发区建设用地效率和效益。</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r>
      <w:tr>
        <w:tblPrEx>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37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135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r>
      <w:tr>
        <w:tblPrEx>
          <w:tblCellMar>
            <w:top w:w="0" w:type="dxa"/>
            <w:left w:w="0" w:type="dxa"/>
            <w:bottom w:w="0" w:type="dxa"/>
            <w:right w:w="0" w:type="dxa"/>
          </w:tblCellMar>
        </w:tblPrEx>
        <w:trPr>
          <w:trHeight w:val="1920" w:hRule="atLeast"/>
        </w:trPr>
        <w:tc>
          <w:tcPr>
            <w:tcW w:w="97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37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135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r>
      <w:tr>
        <w:tblPrEx>
          <w:tblCellMar>
            <w:top w:w="0" w:type="dxa"/>
            <w:left w:w="0" w:type="dxa"/>
            <w:bottom w:w="0" w:type="dxa"/>
            <w:right w:w="0" w:type="dxa"/>
          </w:tblCellMar>
        </w:tblPrEx>
        <w:trPr>
          <w:trHeight w:val="420" w:hRule="atLeast"/>
        </w:trPr>
        <w:tc>
          <w:tcPr>
            <w:tcW w:w="975" w:type="dxa"/>
            <w:vMerge w:val="restart"/>
            <w:tcBorders>
              <w:top w:val="single" w:color="000000" w:sz="4" w:space="0"/>
              <w:left w:val="single" w:color="000000" w:sz="4" w:space="0"/>
              <w:bottom w:val="single" w:color="000000" w:sz="4" w:space="0"/>
              <w:right w:val="nil"/>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四、</w:t>
            </w:r>
            <w:r>
              <w:rPr>
                <w:rFonts w:ascii="宋体" w:hAnsi="宋体" w:cs="宋体"/>
                <w:color w:val="000000"/>
                <w:kern w:val="0"/>
                <w:sz w:val="18"/>
                <w:szCs w:val="18"/>
              </w:rPr>
              <w:t xml:space="preserve"> </w:t>
            </w:r>
            <w:r>
              <w:rPr>
                <w:rFonts w:hint="eastAsia" w:ascii="宋体" w:hAnsi="宋体" w:cs="宋体"/>
                <w:color w:val="000000"/>
                <w:kern w:val="0"/>
                <w:sz w:val="18"/>
                <w:szCs w:val="18"/>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一级指标</w:t>
            </w: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二级指标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三级指标</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预期指标值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实际完成值</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自评得分</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产出指标（</w:t>
            </w:r>
            <w:r>
              <w:rPr>
                <w:rFonts w:ascii="宋体" w:hAnsi="宋体" w:cs="宋体"/>
                <w:color w:val="000000"/>
                <w:kern w:val="0"/>
                <w:sz w:val="18"/>
                <w:szCs w:val="18"/>
              </w:rPr>
              <w:t>40</w:t>
            </w:r>
            <w:r>
              <w:rPr>
                <w:rFonts w:hint="eastAsia" w:ascii="宋体" w:hAnsi="宋体" w:cs="宋体"/>
                <w:color w:val="000000"/>
                <w:kern w:val="0"/>
                <w:sz w:val="18"/>
                <w:szCs w:val="18"/>
              </w:rPr>
              <w:t>）</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数量指标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指标</w:t>
            </w:r>
            <w:r>
              <w:rPr>
                <w:rFonts w:ascii="宋体" w:hAnsi="宋体" w:cs="宋体"/>
                <w:color w:val="000000"/>
                <w:kern w:val="0"/>
                <w:sz w:val="18"/>
                <w:szCs w:val="18"/>
              </w:rPr>
              <w:t xml:space="preserve"> </w:t>
            </w:r>
            <w:r>
              <w:rPr>
                <w:rFonts w:hint="eastAsia" w:ascii="宋体" w:hAnsi="宋体" w:cs="宋体"/>
                <w:color w:val="000000"/>
                <w:kern w:val="0"/>
                <w:sz w:val="18"/>
                <w:szCs w:val="18"/>
              </w:rPr>
              <w:t>１</w:t>
            </w:r>
            <w:r>
              <w:rPr>
                <w:rFonts w:ascii="宋体" w:hAnsi="宋体" w:cs="宋体"/>
                <w:color w:val="000000"/>
                <w:kern w:val="0"/>
                <w:sz w:val="18"/>
                <w:szCs w:val="18"/>
              </w:rPr>
              <w:t>(</w:t>
            </w:r>
            <w:r>
              <w:rPr>
                <w:rFonts w:hint="eastAsia" w:ascii="宋体" w:hAnsi="宋体" w:cs="宋体"/>
                <w:color w:val="000000"/>
                <w:kern w:val="0"/>
                <w:sz w:val="18"/>
                <w:szCs w:val="18"/>
              </w:rPr>
              <w:t>与绩效目标申报表一致）</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w:t>
            </w:r>
            <w:r>
              <w:rPr>
                <w:rFonts w:hint="eastAsia" w:ascii="宋体" w:hAnsi="宋体" w:cs="宋体"/>
                <w:color w:val="000000"/>
                <w:kern w:val="0"/>
                <w:sz w:val="18"/>
                <w:szCs w:val="18"/>
              </w:rPr>
              <w:t>与绩效目标申报表一致）</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（截止预算年度末的完成情况）</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宋体" w:cs="Times New Roman"/>
                <w:color w:val="000000"/>
                <w:sz w:val="18"/>
                <w:szCs w:val="18"/>
              </w:rPr>
            </w:pP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河北高邑经济开发区土地集约利用评价工作报告</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河北高邑经济开发区土地集约利用评价专题报告</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河北高邑经济开发区土地集约利用评价技术报告</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河北高邑开发区土地集约利用年度监测统计基础数据表</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开发区土地集约利用程度评价工作用表</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河北高邑经济开发区数据图层（矢量数据）</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质量指标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通过省自然资源厅质量审核</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时效指标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截止</w:t>
            </w:r>
            <w:r>
              <w:rPr>
                <w:rFonts w:ascii="宋体" w:hAnsi="宋体" w:cs="宋体"/>
                <w:color w:val="000000"/>
                <w:kern w:val="0"/>
                <w:sz w:val="18"/>
                <w:szCs w:val="18"/>
              </w:rPr>
              <w:t>2019</w:t>
            </w:r>
            <w:r>
              <w:rPr>
                <w:rFonts w:hint="eastAsia" w:ascii="宋体" w:hAnsi="宋体" w:cs="宋体"/>
                <w:color w:val="000000"/>
                <w:kern w:val="0"/>
                <w:sz w:val="18"/>
                <w:szCs w:val="18"/>
              </w:rPr>
              <w:t>年</w:t>
            </w:r>
            <w:r>
              <w:rPr>
                <w:rFonts w:ascii="宋体" w:hAnsi="宋体" w:cs="宋体"/>
                <w:color w:val="000000"/>
                <w:kern w:val="0"/>
                <w:sz w:val="18"/>
                <w:szCs w:val="18"/>
              </w:rPr>
              <w:t>8</w:t>
            </w:r>
            <w:r>
              <w:rPr>
                <w:rFonts w:hint="eastAsia" w:ascii="宋体" w:hAnsi="宋体" w:cs="宋体"/>
                <w:color w:val="000000"/>
                <w:kern w:val="0"/>
                <w:sz w:val="18"/>
                <w:szCs w:val="18"/>
              </w:rPr>
              <w:t>月</w:t>
            </w:r>
            <w:r>
              <w:rPr>
                <w:rFonts w:ascii="宋体" w:hAnsi="宋体" w:cs="宋体"/>
                <w:color w:val="000000"/>
                <w:kern w:val="0"/>
                <w:sz w:val="18"/>
                <w:szCs w:val="18"/>
              </w:rPr>
              <w:t>15</w:t>
            </w:r>
            <w:r>
              <w:rPr>
                <w:rFonts w:hint="eastAsia" w:ascii="宋体" w:hAnsi="宋体" w:cs="宋体"/>
                <w:color w:val="000000"/>
                <w:kern w:val="0"/>
                <w:sz w:val="18"/>
                <w:szCs w:val="18"/>
              </w:rPr>
              <w:t>日提交成果</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按时完成</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按时完成</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成本指标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成本指标</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r>
              <w:rPr>
                <w:rFonts w:hint="eastAsia" w:ascii="宋体" w:hAnsi="宋体" w:cs="宋体"/>
                <w:color w:val="000000"/>
                <w:kern w:val="0"/>
                <w:sz w:val="18"/>
                <w:szCs w:val="18"/>
              </w:rPr>
              <w:t>万</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17</w:t>
            </w:r>
            <w:r>
              <w:rPr>
                <w:rFonts w:hint="eastAsia" w:ascii="宋体" w:hAnsi="宋体" w:cs="宋体"/>
                <w:color w:val="000000"/>
                <w:kern w:val="0"/>
                <w:sz w:val="18"/>
                <w:szCs w:val="18"/>
              </w:rPr>
              <w:t>万</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r>
      <w:tr>
        <w:tblPrEx>
          <w:tblCellMar>
            <w:top w:w="0" w:type="dxa"/>
            <w:left w:w="0" w:type="dxa"/>
            <w:bottom w:w="0" w:type="dxa"/>
            <w:right w:w="0" w:type="dxa"/>
          </w:tblCellMar>
        </w:tblPrEx>
        <w:trPr>
          <w:trHeight w:val="675"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预算执行率指标</w:t>
            </w:r>
            <w:r>
              <w:rPr>
                <w:rFonts w:ascii="宋体" w:cs="Times New Roman"/>
                <w:color w:val="000000"/>
                <w:kern w:val="0"/>
                <w:sz w:val="18"/>
                <w:szCs w:val="18"/>
              </w:rPr>
              <w:br w:type="textWrapping"/>
            </w:r>
            <w:r>
              <w:rPr>
                <w:rFonts w:hint="eastAsia" w:ascii="宋体" w:hAnsi="宋体" w:cs="宋体"/>
                <w:color w:val="000000"/>
                <w:kern w:val="0"/>
                <w:sz w:val="18"/>
                <w:szCs w:val="18"/>
              </w:rPr>
              <w:t>（</w:t>
            </w:r>
            <w:r>
              <w:rPr>
                <w:rFonts w:ascii="宋体" w:hAnsi="宋体" w:cs="宋体"/>
                <w:color w:val="000000"/>
                <w:kern w:val="0"/>
                <w:sz w:val="18"/>
                <w:szCs w:val="18"/>
              </w:rPr>
              <w:t>10</w:t>
            </w:r>
            <w:r>
              <w:rPr>
                <w:rFonts w:hint="eastAsia" w:ascii="宋体" w:hAnsi="宋体" w:cs="宋体"/>
                <w:color w:val="000000"/>
                <w:kern w:val="0"/>
                <w:sz w:val="18"/>
                <w:szCs w:val="18"/>
              </w:rPr>
              <w:t>分）</w:t>
            </w:r>
          </w:p>
        </w:tc>
        <w:tc>
          <w:tcPr>
            <w:tcW w:w="1215" w:type="dxa"/>
            <w:tcBorders>
              <w:top w:val="nil"/>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预算执行率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预算执行率</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w:t>
            </w:r>
          </w:p>
        </w:tc>
      </w:tr>
      <w:tr>
        <w:tblPrEx>
          <w:tblCellMar>
            <w:top w:w="0" w:type="dxa"/>
            <w:left w:w="0" w:type="dxa"/>
            <w:bottom w:w="0" w:type="dxa"/>
            <w:right w:w="0" w:type="dxa"/>
          </w:tblCellMar>
        </w:tblPrEx>
        <w:trPr>
          <w:trHeight w:val="63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restart"/>
            <w:tcBorders>
              <w:top w:val="nil"/>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效益指标（</w:t>
            </w:r>
            <w:r>
              <w:rPr>
                <w:rFonts w:ascii="宋体" w:hAnsi="宋体" w:cs="宋体"/>
                <w:color w:val="000000"/>
                <w:kern w:val="0"/>
                <w:sz w:val="18"/>
                <w:szCs w:val="18"/>
              </w:rPr>
              <w:t>40</w:t>
            </w:r>
            <w:r>
              <w:rPr>
                <w:rFonts w:hint="eastAsia" w:ascii="宋体" w:hAnsi="宋体" w:cs="宋体"/>
                <w:color w:val="000000"/>
                <w:kern w:val="0"/>
                <w:sz w:val="18"/>
                <w:szCs w:val="18"/>
              </w:rPr>
              <w:t>）</w:t>
            </w:r>
          </w:p>
        </w:tc>
        <w:tc>
          <w:tcPr>
            <w:tcW w:w="1215" w:type="dxa"/>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经济效益指标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促进开发区土地集约利用，经济效益提升</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15</w:t>
            </w:r>
          </w:p>
        </w:tc>
      </w:tr>
      <w:tr>
        <w:tblPrEx>
          <w:tblCellMar>
            <w:top w:w="0" w:type="dxa"/>
            <w:left w:w="0" w:type="dxa"/>
            <w:bottom w:w="0" w:type="dxa"/>
            <w:right w:w="0" w:type="dxa"/>
          </w:tblCellMar>
        </w:tblPrEx>
        <w:trPr>
          <w:trHeight w:val="559"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nil"/>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社会效益指标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促进高邑开发区建设用地效率和效益提升</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15</w:t>
            </w:r>
          </w:p>
        </w:tc>
      </w:tr>
      <w:tr>
        <w:tblPrEx>
          <w:tblCellMar>
            <w:top w:w="0" w:type="dxa"/>
            <w:left w:w="0" w:type="dxa"/>
            <w:bottom w:w="0" w:type="dxa"/>
            <w:right w:w="0" w:type="dxa"/>
          </w:tblCellMar>
        </w:tblPrEx>
        <w:trPr>
          <w:trHeight w:val="66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nil"/>
              <w:left w:val="single" w:color="000000" w:sz="4" w:space="0"/>
              <w:bottom w:val="nil"/>
              <w:right w:val="single" w:color="000000" w:sz="4" w:space="0"/>
            </w:tcBorders>
            <w:vAlign w:val="center"/>
          </w:tcPr>
          <w:p>
            <w:pPr>
              <w:widowControl/>
              <w:jc w:val="left"/>
              <w:rPr>
                <w:rFonts w:ascii="宋体" w:cs="Times New Roman"/>
                <w:color w:val="000000"/>
                <w:sz w:val="18"/>
                <w:szCs w:val="18"/>
              </w:rPr>
            </w:pPr>
          </w:p>
        </w:tc>
        <w:tc>
          <w:tcPr>
            <w:tcW w:w="1215" w:type="dxa"/>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可持续影响指标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提升开发区用地效率，促进可持续发展</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c>
          <w:tcPr>
            <w:tcW w:w="1350" w:type="dxa"/>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w:t>
            </w:r>
          </w:p>
        </w:tc>
      </w:tr>
      <w:tr>
        <w:tblPrEx>
          <w:tblCellMar>
            <w:top w:w="0" w:type="dxa"/>
            <w:left w:w="0" w:type="dxa"/>
            <w:bottom w:w="0" w:type="dxa"/>
            <w:right w:w="0" w:type="dxa"/>
          </w:tblCellMar>
        </w:tblPrEx>
        <w:trPr>
          <w:trHeight w:val="465"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满意度指标</w:t>
            </w:r>
            <w:r>
              <w:rPr>
                <w:rFonts w:ascii="宋体" w:cs="Times New Roman"/>
                <w:color w:val="000000"/>
                <w:kern w:val="0"/>
                <w:sz w:val="18"/>
                <w:szCs w:val="18"/>
              </w:rPr>
              <w:br w:type="textWrapping"/>
            </w:r>
            <w:r>
              <w:rPr>
                <w:rFonts w:hint="eastAsia" w:ascii="宋体" w:hAnsi="宋体" w:cs="宋体"/>
                <w:color w:val="000000"/>
                <w:kern w:val="0"/>
                <w:sz w:val="18"/>
                <w:szCs w:val="18"/>
              </w:rPr>
              <w:t>（</w:t>
            </w:r>
            <w:r>
              <w:rPr>
                <w:rFonts w:ascii="宋体" w:hAnsi="宋体" w:cs="宋体"/>
                <w:color w:val="000000"/>
                <w:kern w:val="0"/>
                <w:sz w:val="18"/>
                <w:szCs w:val="18"/>
              </w:rPr>
              <w:t>10</w:t>
            </w:r>
            <w:r>
              <w:rPr>
                <w:rFonts w:hint="eastAsia" w:ascii="宋体" w:hAnsi="宋体" w:cs="宋体"/>
                <w:color w:val="000000"/>
                <w:kern w:val="0"/>
                <w:sz w:val="18"/>
                <w:szCs w:val="18"/>
              </w:rPr>
              <w:t>分）</w:t>
            </w:r>
          </w:p>
        </w:tc>
        <w:tc>
          <w:tcPr>
            <w:tcW w:w="1215" w:type="dxa"/>
            <w:vMerge w:val="restart"/>
            <w:tcBorders>
              <w:top w:val="single" w:color="000000" w:sz="4" w:space="0"/>
              <w:left w:val="nil"/>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满意度指标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受益单位满意度</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90%</w:t>
            </w:r>
          </w:p>
        </w:tc>
        <w:tc>
          <w:tcPr>
            <w:tcW w:w="1110" w:type="dxa"/>
            <w:tcBorders>
              <w:top w:val="single" w:color="000000" w:sz="4" w:space="0"/>
              <w:left w:val="single" w:color="000000" w:sz="4" w:space="0"/>
              <w:bottom w:val="single" w:color="000000" w:sz="4" w:space="0"/>
              <w:right w:val="nil"/>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98%</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r>
      <w:tr>
        <w:tblPrEx>
          <w:tblCellMar>
            <w:top w:w="0" w:type="dxa"/>
            <w:left w:w="0" w:type="dxa"/>
            <w:bottom w:w="0" w:type="dxa"/>
            <w:right w:w="0" w:type="dxa"/>
          </w:tblCellMar>
        </w:tblPrEx>
        <w:trPr>
          <w:trHeight w:val="480"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121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cs="Times New Roman"/>
                <w:color w:val="000000"/>
                <w:sz w:val="18"/>
                <w:szCs w:val="18"/>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受益公众满意度</w:t>
            </w:r>
          </w:p>
        </w:tc>
        <w:tc>
          <w:tcPr>
            <w:tcW w:w="15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90%</w:t>
            </w:r>
          </w:p>
        </w:tc>
        <w:tc>
          <w:tcPr>
            <w:tcW w:w="1110" w:type="dxa"/>
            <w:tcBorders>
              <w:top w:val="single" w:color="000000" w:sz="4" w:space="0"/>
              <w:left w:val="single" w:color="000000" w:sz="4" w:space="0"/>
              <w:bottom w:val="single" w:color="000000" w:sz="4" w:space="0"/>
              <w:right w:val="nil"/>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98%</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r>
      <w:tr>
        <w:tblPrEx>
          <w:tblCellMar>
            <w:top w:w="0" w:type="dxa"/>
            <w:left w:w="0" w:type="dxa"/>
            <w:bottom w:w="0" w:type="dxa"/>
            <w:right w:w="0" w:type="dxa"/>
          </w:tblCellMar>
        </w:tblPrEx>
        <w:trPr>
          <w:trHeight w:val="225" w:hRule="atLeast"/>
        </w:trPr>
        <w:tc>
          <w:tcPr>
            <w:tcW w:w="975" w:type="dxa"/>
            <w:vMerge w:val="continue"/>
            <w:tcBorders>
              <w:top w:val="single" w:color="000000" w:sz="4" w:space="0"/>
              <w:left w:val="single" w:color="000000" w:sz="4" w:space="0"/>
              <w:bottom w:val="single" w:color="000000" w:sz="4" w:space="0"/>
              <w:right w:val="nil"/>
            </w:tcBorders>
            <w:vAlign w:val="center"/>
          </w:tcPr>
          <w:p>
            <w:pPr>
              <w:widowControl/>
              <w:jc w:val="left"/>
              <w:rPr>
                <w:rFonts w:ascii="宋体" w:cs="Times New Roman"/>
                <w:color w:val="000000"/>
                <w:sz w:val="18"/>
                <w:szCs w:val="18"/>
              </w:rPr>
            </w:pPr>
          </w:p>
        </w:tc>
        <w:tc>
          <w:tcPr>
            <w:tcW w:w="7155"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hint="eastAsia" w:ascii="宋体" w:hAnsi="宋体" w:cs="宋体"/>
                <w:color w:val="000000"/>
                <w:kern w:val="0"/>
                <w:sz w:val="18"/>
                <w:szCs w:val="18"/>
              </w:rPr>
              <w:t>总分</w:t>
            </w:r>
          </w:p>
        </w:tc>
        <w:tc>
          <w:tcPr>
            <w:tcW w:w="1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center"/>
              <w:textAlignment w:val="center"/>
              <w:rPr>
                <w:rFonts w:ascii="宋体" w:cs="Times New Roman"/>
                <w:color w:val="000000"/>
                <w:sz w:val="18"/>
                <w:szCs w:val="18"/>
              </w:rPr>
            </w:pPr>
            <w:r>
              <w:rPr>
                <w:rFonts w:ascii="宋体" w:hAnsi="宋体" w:cs="宋体"/>
                <w:color w:val="000000"/>
                <w:kern w:val="0"/>
                <w:sz w:val="18"/>
                <w:szCs w:val="18"/>
              </w:rPr>
              <w:t>100</w:t>
            </w:r>
          </w:p>
        </w:tc>
      </w:tr>
      <w:tr>
        <w:tblPrEx>
          <w:tblCellMar>
            <w:top w:w="0" w:type="dxa"/>
            <w:left w:w="0" w:type="dxa"/>
            <w:bottom w:w="0" w:type="dxa"/>
            <w:right w:w="0" w:type="dxa"/>
          </w:tblCellMar>
        </w:tblPrEx>
        <w:trPr>
          <w:trHeight w:val="675" w:hRule="atLeast"/>
        </w:trPr>
        <w:tc>
          <w:tcPr>
            <w:tcW w:w="975" w:type="dxa"/>
            <w:tcBorders>
              <w:top w:val="nil"/>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五、</w:t>
            </w:r>
            <w:r>
              <w:rPr>
                <w:rFonts w:ascii="宋体" w:hAnsi="宋体" w:cs="宋体"/>
                <w:color w:val="000000"/>
                <w:kern w:val="0"/>
                <w:sz w:val="18"/>
                <w:szCs w:val="18"/>
              </w:rPr>
              <w:t xml:space="preserve"> </w:t>
            </w:r>
            <w:r>
              <w:rPr>
                <w:rFonts w:hint="eastAsia" w:ascii="宋体" w:hAnsi="宋体" w:cs="宋体"/>
                <w:color w:val="000000"/>
                <w:kern w:val="0"/>
                <w:sz w:val="18"/>
                <w:szCs w:val="18"/>
              </w:rPr>
              <w:t>存在问题、原因及下一步整改措施</w:t>
            </w:r>
          </w:p>
        </w:tc>
        <w:tc>
          <w:tcPr>
            <w:tcW w:w="8505" w:type="dxa"/>
            <w:gridSpan w:val="7"/>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widowControl/>
              <w:jc w:val="left"/>
              <w:textAlignment w:val="center"/>
              <w:rPr>
                <w:rFonts w:ascii="宋体" w:cs="Times New Roman"/>
                <w:color w:val="000000"/>
                <w:sz w:val="18"/>
                <w:szCs w:val="18"/>
              </w:rPr>
            </w:pPr>
            <w:r>
              <w:rPr>
                <w:rFonts w:hint="eastAsia" w:ascii="宋体" w:hAnsi="宋体" w:cs="宋体"/>
                <w:color w:val="000000"/>
                <w:kern w:val="0"/>
                <w:sz w:val="18"/>
                <w:szCs w:val="18"/>
              </w:rPr>
              <w:t>通过本次绩效评价，在下一步的工作中切实加强组织领导，推进全员参与预算绩效管理，加强预算执行监控，逐步实现全过程预算绩效管理。</w:t>
            </w:r>
            <w:r>
              <w:rPr>
                <w:rFonts w:ascii="宋体" w:hAnsi="宋体" w:cs="宋体"/>
                <w:color w:val="000000"/>
                <w:kern w:val="0"/>
                <w:sz w:val="18"/>
                <w:szCs w:val="18"/>
              </w:rPr>
              <w:t xml:space="preserve"> </w:t>
            </w:r>
          </w:p>
        </w:tc>
      </w:tr>
    </w:tbl>
    <w:p>
      <w:pPr>
        <w:adjustRightInd w:val="0"/>
        <w:snapToGrid w:val="0"/>
        <w:spacing w:line="580" w:lineRule="exact"/>
        <w:rPr>
          <w:rFonts w:ascii="仿宋_GB2312" w:hAnsi="仿宋_GB2312" w:eastAsia="仿宋_GB2312" w:cs="Times New Roman"/>
          <w:sz w:val="32"/>
          <w:szCs w:val="32"/>
        </w:rPr>
      </w:pPr>
    </w:p>
    <w:p>
      <w:pPr>
        <w:keepNext/>
        <w:keepLines/>
        <w:snapToGrid w:val="0"/>
        <w:spacing w:line="580" w:lineRule="exact"/>
        <w:ind w:firstLine="643" w:firstLineChars="200"/>
        <w:outlineLvl w:val="1"/>
        <w:rPr>
          <w:rFonts w:ascii="仿宋_GB2312" w:hAnsi="仿宋_GB2312" w:eastAsia="仿宋_GB2312" w:cs="Times New Roman"/>
          <w:b/>
          <w:bCs/>
          <w:sz w:val="32"/>
          <w:szCs w:val="32"/>
        </w:rPr>
      </w:pPr>
      <w:r>
        <w:rPr>
          <w:rFonts w:ascii="仿宋_GB2312" w:hAnsi="仿宋_GB2312" w:eastAsia="仿宋_GB2312" w:cs="仿宋_GB2312"/>
          <w:b/>
          <w:bCs/>
          <w:sz w:val="32"/>
          <w:szCs w:val="32"/>
        </w:rPr>
        <w:t>3.</w:t>
      </w: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没有财政评价项目绩效评价结果。</w:t>
      </w:r>
      <w:r>
        <w:pict>
          <v:group id="_x0000_s1051" o:spid="_x0000_s1051" o:spt="203" style="position:absolute;left:0pt;margin-left:-0.55pt;margin-top:29.3pt;height:43.95pt;width:301.85pt;mso-position-horizontal-relative:page;mso-position-vertical-relative:page;z-index:251677696;mso-width-relative:page;mso-height-relative:page;" coordorigin="4551,52615" coordsize="8546,1398203203">
            <o:lock v:ext="edit"/>
            <v:rect id="_x0000_s1052" o:spid="_x0000_s1052" o:spt="1" style="position:absolute;left:4551;top:52615;height:1175;width:8546;v-text-anchor:middle;" fillcolor="#D9D9D9" filled="t" stroked="f" coordsize="21600,21600">
              <v:path/>
              <v:fill on="t" focussize="0,0"/>
              <v:stroke on="f" weight="2pt"/>
              <v:imagedata o:title=""/>
              <o:lock v:ext="edit"/>
            </v:rect>
            <v:rect id="_x0000_s1053" o:spid="_x0000_s1053" o:spt="1" style="position:absolute;left:4577;top:52890;height:1123;width:8324;v-text-anchor:middle;" fillcolor="#AD002D" filled="t" stroked="t" coordsize="21600,21600">
              <v:path/>
              <v:fill on="t" focussize="0,0"/>
              <v:stroke weight="2pt" color="#B0761F" joinstyle="round"/>
              <v:imagedata o:title=""/>
              <o:lock v:ext="edit"/>
              <v:textbox>
                <w:txbxContent>
                  <w:p>
                    <w:pPr>
                      <w:rPr>
                        <w:rFonts w:ascii="楷体" w:hAnsi="楷体" w:eastAsia="楷体" w:cs="Times New Roman"/>
                        <w:b/>
                        <w:bCs/>
                        <w:color w:val="FDEFBE"/>
                        <w:sz w:val="32"/>
                        <w:szCs w:val="32"/>
                      </w:rPr>
                    </w:pPr>
                    <w:r>
                      <w:rPr>
                        <w:rFonts w:ascii="楷体" w:hAnsi="楷体" w:eastAsia="楷体" w:cs="楷体"/>
                        <w:b/>
                        <w:bCs/>
                        <w:color w:val="FDEFBE"/>
                        <w:sz w:val="32"/>
                        <w:szCs w:val="32"/>
                      </w:rPr>
                      <w:t>2018</w:t>
                    </w:r>
                    <w:r>
                      <w:rPr>
                        <w:rFonts w:hint="eastAsia" w:ascii="楷体" w:hAnsi="楷体" w:eastAsia="楷体" w:cs="楷体"/>
                        <w:b/>
                        <w:bCs/>
                        <w:color w:val="FDEFBE"/>
                        <w:sz w:val="32"/>
                        <w:szCs w:val="32"/>
                      </w:rPr>
                      <w:t>年度部门决算</w:t>
                    </w:r>
                    <w:r>
                      <w:rPr>
                        <w:rFonts w:hint="eastAsia" w:ascii="MS Mincho" w:hAnsi="MS Mincho" w:eastAsia="MS Mincho" w:cs="MS Mincho"/>
                        <w:b/>
                        <w:bCs/>
                        <w:color w:val="FDEFBE"/>
                        <w:sz w:val="32"/>
                        <w:szCs w:val="32"/>
                      </w:rPr>
                      <w:t>☞</w:t>
                    </w:r>
                    <w:r>
                      <w:rPr>
                        <w:rFonts w:hint="eastAsia" w:ascii="楷体" w:hAnsi="楷体" w:eastAsia="楷体" w:cs="楷体"/>
                        <w:b/>
                        <w:bCs/>
                        <w:color w:val="FDEFBE"/>
                        <w:sz w:val="32"/>
                        <w:szCs w:val="32"/>
                      </w:rPr>
                      <w:t>部门决算情况说明</w:t>
                    </w:r>
                  </w:p>
                  <w:p>
                    <w:pPr>
                      <w:jc w:val="center"/>
                      <w:rPr>
                        <w:rFonts w:cs="Times New Roman"/>
                      </w:rPr>
                    </w:pPr>
                  </w:p>
                </w:txbxContent>
              </v:textbox>
            </v:rect>
            <w10:anchorlock/>
          </v:group>
        </w:pic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黑体"/>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（一）机关运行经费情况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年度机关运行经费支出</w:t>
      </w:r>
      <w:r>
        <w:rPr>
          <w:rFonts w:ascii="仿宋_GB2312" w:hAnsi="Times New Roman" w:eastAsia="仿宋_GB2312" w:cs="仿宋_GB2312"/>
          <w:sz w:val="32"/>
          <w:szCs w:val="32"/>
        </w:rPr>
        <w:t>422.72</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2018</w:t>
      </w:r>
      <w:r>
        <w:rPr>
          <w:rFonts w:hint="eastAsia" w:ascii="仿宋_GB2312" w:hAnsi="Times New Roman" w:eastAsia="仿宋_GB2312" w:cs="仿宋_GB2312"/>
          <w:sz w:val="32"/>
          <w:szCs w:val="32"/>
        </w:rPr>
        <w:t>年度增加</w:t>
      </w:r>
      <w:r>
        <w:rPr>
          <w:rFonts w:ascii="仿宋_GB2312" w:hAnsi="Times New Roman" w:eastAsia="仿宋_GB2312" w:cs="仿宋_GB2312"/>
          <w:sz w:val="32"/>
          <w:szCs w:val="32"/>
        </w:rPr>
        <w:t>211.67</w:t>
      </w:r>
      <w:r>
        <w:rPr>
          <w:rFonts w:hint="eastAsia" w:ascii="仿宋_GB2312" w:hAnsi="Times New Roman" w:eastAsia="仿宋_GB2312" w:cs="仿宋_GB2312"/>
          <w:sz w:val="32"/>
          <w:szCs w:val="32"/>
        </w:rPr>
        <w:t>万元，增长</w:t>
      </w:r>
      <w:r>
        <w:rPr>
          <w:rFonts w:ascii="仿宋_GB2312" w:hAnsi="Times New Roman" w:eastAsia="仿宋_GB2312" w:cs="仿宋_GB2312"/>
          <w:sz w:val="32"/>
          <w:szCs w:val="32"/>
        </w:rPr>
        <w:t>100.29%</w:t>
      </w:r>
      <w:r>
        <w:rPr>
          <w:rFonts w:hint="eastAsia" w:ascii="仿宋_GB2312" w:hAnsi="Times New Roman" w:eastAsia="仿宋_GB2312" w:cs="仿宋_GB2312"/>
          <w:sz w:val="32"/>
          <w:szCs w:val="32"/>
        </w:rPr>
        <w:t>。主要原因是机构改革，支出增加。</w:t>
      </w:r>
    </w:p>
    <w:p>
      <w:pPr>
        <w:keepNext/>
        <w:keepLines/>
        <w:snapToGrid w:val="0"/>
        <w:spacing w:line="580" w:lineRule="exact"/>
        <w:ind w:firstLine="643" w:firstLineChars="200"/>
        <w:outlineLvl w:val="2"/>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（二）政府采购情况</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2019</w:t>
      </w:r>
      <w:r>
        <w:rPr>
          <w:rFonts w:hint="eastAsia" w:ascii="仿宋_GB2312" w:eastAsia="仿宋_GB2312" w:cs="仿宋_GB2312"/>
          <w:sz w:val="32"/>
          <w:szCs w:val="32"/>
        </w:rPr>
        <w:t>年度政府采购支出总额</w:t>
      </w:r>
      <w:r>
        <w:rPr>
          <w:rFonts w:ascii="仿宋_GB2312" w:eastAsia="仿宋_GB2312" w:cs="仿宋_GB2312"/>
          <w:sz w:val="32"/>
          <w:szCs w:val="32"/>
        </w:rPr>
        <w:t>0</w:t>
      </w:r>
      <w:r>
        <w:rPr>
          <w:rFonts w:hint="eastAsia" w:ascii="仿宋_GB2312" w:eastAsia="仿宋_GB2312" w:cs="仿宋_GB2312"/>
          <w:sz w:val="32"/>
          <w:szCs w:val="32"/>
        </w:rPr>
        <w:t>万元，从采购类型来看，</w:t>
      </w:r>
      <w:r>
        <w:rPr>
          <w:rFonts w:hint="eastAsia" w:ascii="仿宋_GB2312" w:hAnsi="仿宋_GB2312" w:eastAsia="仿宋_GB2312" w:cs="仿宋_GB2312"/>
          <w:color w:val="000000"/>
          <w:sz w:val="32"/>
          <w:szCs w:val="32"/>
        </w:rPr>
        <w:t>政府采购货物</w:t>
      </w:r>
      <w:r>
        <w:rPr>
          <w:rFonts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rPr>
        <w:t>万元、政府采购工程支出</w:t>
      </w:r>
      <w:r>
        <w:rPr>
          <w:rFonts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rPr>
        <w:t>万元、政府采购服务支出</w:t>
      </w:r>
      <w:r>
        <w:rPr>
          <w:rFonts w:ascii="仿宋_GB2312" w:hAnsi="仿宋_GB2312" w:eastAsia="仿宋_GB2312" w:cs="仿宋_GB2312"/>
          <w:color w:val="000000"/>
          <w:sz w:val="32"/>
          <w:szCs w:val="32"/>
        </w:rPr>
        <w:t xml:space="preserve"> 0</w:t>
      </w:r>
      <w:r>
        <w:rPr>
          <w:rFonts w:hint="eastAsia" w:ascii="仿宋_GB2312" w:hAnsi="仿宋_GB2312" w:eastAsia="仿宋_GB2312" w:cs="仿宋_GB2312"/>
          <w:color w:val="000000"/>
          <w:sz w:val="32"/>
          <w:szCs w:val="32"/>
        </w:rPr>
        <w:t>万元。授予中小企业合同金</w:t>
      </w:r>
      <w:r>
        <w:rPr>
          <w:rFonts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rPr>
        <w:t>万元，占政府采购支出总额的</w:t>
      </w:r>
      <w:r>
        <w:rPr>
          <w:rFonts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rPr>
        <w:t>，其中授予小微企业合同金额</w:t>
      </w:r>
      <w:r>
        <w:rPr>
          <w:rFonts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rPr>
        <w:t>万元，占政府采购支出总额的</w:t>
      </w:r>
      <w:r>
        <w:rPr>
          <w:rFonts w:ascii="仿宋_GB2312" w:hAnsi="仿宋_GB2312" w:eastAsia="仿宋_GB2312" w:cs="仿宋_GB2312"/>
          <w:color w:val="000000"/>
          <w:sz w:val="32"/>
          <w:szCs w:val="32"/>
        </w:rPr>
        <w:t>0%</w:t>
      </w:r>
      <w:r>
        <w:rPr>
          <w:rFonts w:hint="eastAsia" w:ascii="仿宋_GB2312" w:hAnsi="仿宋_GB2312" w:eastAsia="仿宋_GB2312" w:cs="仿宋_GB2312"/>
          <w:color w:val="000000"/>
          <w:sz w:val="32"/>
          <w:szCs w:val="32"/>
        </w:rPr>
        <w:t>。</w:t>
      </w:r>
    </w:p>
    <w:p>
      <w:pPr>
        <w:keepNext/>
        <w:keepLines/>
        <w:snapToGrid w:val="0"/>
        <w:spacing w:line="580" w:lineRule="exact"/>
        <w:ind w:firstLine="643" w:firstLineChars="200"/>
        <w:outlineLvl w:val="2"/>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（三）国有资产占用情况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ascii="仿宋_GB2312" w:hAnsi="Times New Roman" w:eastAsia="仿宋_GB2312" w:cs="仿宋_GB2312"/>
          <w:sz w:val="32"/>
          <w:szCs w:val="32"/>
        </w:rPr>
        <w:t>9</w:t>
      </w:r>
      <w:r>
        <w:rPr>
          <w:rFonts w:hint="eastAsia" w:ascii="仿宋_GB2312" w:hAnsi="Times New Roman" w:eastAsia="仿宋_GB2312" w:cs="仿宋_GB2312"/>
          <w:sz w:val="32"/>
          <w:szCs w:val="32"/>
        </w:rPr>
        <w:t>辆，比上年增加</w:t>
      </w:r>
      <w:r>
        <w:rPr>
          <w:rFonts w:ascii="仿宋_GB2312" w:hAnsi="Times New Roman" w:eastAsia="仿宋_GB2312" w:cs="仿宋_GB2312"/>
          <w:sz w:val="32"/>
          <w:szCs w:val="32"/>
        </w:rPr>
        <w:t>4</w:t>
      </w:r>
      <w:r>
        <w:rPr>
          <w:rFonts w:hint="eastAsia" w:ascii="仿宋_GB2312" w:hAnsi="Times New Roman" w:eastAsia="仿宋_GB2312" w:cs="仿宋_GB2312"/>
          <w:sz w:val="32"/>
          <w:szCs w:val="32"/>
        </w:rPr>
        <w:t>辆，主要是因为机构改革。其中，副部（省）级及以上领导用车</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辆，主要领导干部用车</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辆，机要通信用车</w:t>
      </w: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辆，应急保障用车</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辆，执法执勤用车</w:t>
      </w:r>
      <w:r>
        <w:rPr>
          <w:rFonts w:ascii="仿宋_GB2312" w:hAnsi="Times New Roman" w:eastAsia="仿宋_GB2312" w:cs="仿宋_GB2312"/>
          <w:sz w:val="32"/>
          <w:szCs w:val="32"/>
        </w:rPr>
        <w:t>5</w:t>
      </w:r>
      <w:r>
        <w:rPr>
          <w:rFonts w:hint="eastAsia" w:ascii="仿宋_GB2312" w:hAnsi="Times New Roman" w:eastAsia="仿宋_GB2312" w:cs="仿宋_GB2312"/>
          <w:sz w:val="32"/>
          <w:szCs w:val="32"/>
        </w:rPr>
        <w:t>辆，特种专业技术用车</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辆，离退休干部用车</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辆，其他用车</w:t>
      </w: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辆，其他用车主要是老旧车辆不能使用。</w:t>
      </w:r>
    </w:p>
    <w:p>
      <w:pPr>
        <w:adjustRightInd w:val="0"/>
        <w:snapToGrid w:val="0"/>
        <w:spacing w:line="580" w:lineRule="exact"/>
        <w:ind w:firstLine="640" w:firstLineChars="200"/>
        <w:rPr>
          <w:rFonts w:ascii="楷体_GB2312" w:hAnsi="Times New Roman" w:eastAsia="仿宋_GB2312" w:cs="Times New Roman"/>
          <w:b/>
          <w:bCs/>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年度单位价值</w:t>
      </w:r>
      <w:r>
        <w:rPr>
          <w:rFonts w:ascii="仿宋_GB2312" w:hAnsi="TimesNewRomanPSMT" w:eastAsia="仿宋_GB2312" w:cs="仿宋_GB2312"/>
          <w:sz w:val="32"/>
          <w:szCs w:val="32"/>
        </w:rPr>
        <w:t>50</w:t>
      </w:r>
      <w:r>
        <w:rPr>
          <w:rFonts w:hint="eastAsia" w:ascii="仿宋_GB2312" w:hAnsi="Times New Roman" w:eastAsia="仿宋_GB2312" w:cs="仿宋_GB2312"/>
          <w:sz w:val="32"/>
          <w:szCs w:val="32"/>
        </w:rPr>
        <w:t>万元以上通用设备</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台（套），比上年增加</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套，主要是认真贯彻落实中央</w:t>
      </w:r>
      <w:r>
        <w:rPr>
          <w:rFonts w:hint="eastAsia" w:ascii="仿宋_GB2312" w:hAnsi="Times New Roman" w:eastAsia="仿宋_GB2312" w:cs="仿宋_GB2312"/>
          <w:sz w:val="32"/>
          <w:szCs w:val="32"/>
          <w:lang w:eastAsia="zh-CN"/>
        </w:rPr>
        <w:t>八项规定</w:t>
      </w:r>
      <w:r>
        <w:rPr>
          <w:rFonts w:hint="eastAsia" w:ascii="仿宋_GB2312" w:hAnsi="Times New Roman" w:eastAsia="仿宋_GB2312" w:cs="仿宋_GB2312"/>
          <w:sz w:val="32"/>
          <w:szCs w:val="32"/>
        </w:rPr>
        <w:t>精神和厉行节约。单位价值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万元以上专用设备</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台（套），比上年增加（减少）</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套，主要是认真贯彻落实中央</w:t>
      </w:r>
      <w:r>
        <w:rPr>
          <w:rFonts w:hint="eastAsia" w:ascii="仿宋_GB2312" w:hAnsi="Times New Roman" w:eastAsia="仿宋_GB2312" w:cs="仿宋_GB2312"/>
          <w:sz w:val="32"/>
          <w:szCs w:val="32"/>
          <w:lang w:eastAsia="zh-CN"/>
        </w:rPr>
        <w:t>八项规定</w:t>
      </w:r>
      <w:r>
        <w:rPr>
          <w:rFonts w:hint="eastAsia" w:ascii="仿宋_GB2312" w:hAnsi="Times New Roman" w:eastAsia="仿宋_GB2312" w:cs="仿宋_GB2312"/>
          <w:sz w:val="32"/>
          <w:szCs w:val="32"/>
        </w:rPr>
        <w:t>精神和厉行节约。</w:t>
      </w:r>
    </w:p>
    <w:p>
      <w:pPr>
        <w:keepNext/>
        <w:keepLines/>
        <w:snapToGrid w:val="0"/>
        <w:spacing w:line="580" w:lineRule="exact"/>
        <w:ind w:firstLine="643" w:firstLineChars="200"/>
        <w:outlineLvl w:val="2"/>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2019</w:t>
      </w:r>
      <w:r>
        <w:rPr>
          <w:rFonts w:hint="eastAsia" w:ascii="仿宋_GB2312" w:hAnsi="Times New Roman" w:eastAsia="仿宋_GB2312" w:cs="仿宋_GB2312"/>
          <w:sz w:val="32"/>
          <w:szCs w:val="32"/>
        </w:rPr>
        <w:t>年度国有资本经营预算财政拨款无收支及结转结余情况，故</w:t>
      </w:r>
      <w:r>
        <w:rPr>
          <w:rFonts w:ascii="仿宋_GB2312" w:hAnsi="Times New Roman" w:eastAsia="仿宋_GB2312" w:cs="仿宋_GB2312"/>
          <w:sz w:val="32"/>
          <w:szCs w:val="32"/>
        </w:rPr>
        <w:t>09</w:t>
      </w:r>
      <w:r>
        <w:rPr>
          <w:rFonts w:hint="eastAsia" w:ascii="仿宋_GB2312" w:hAnsi="Times New Roman" w:eastAsia="仿宋_GB2312" w:cs="仿宋_GB2312"/>
          <w:sz w:val="32"/>
          <w:szCs w:val="32"/>
        </w:rPr>
        <w:t>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jc w:val="left"/>
        <w:rPr>
          <w:rFonts w:ascii="宋体" w:cs="Times New Roman"/>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rPr>
          <w:rFonts w:ascii="黑体" w:hAnsi="黑体" w:eastAsia="黑体" w:cs="Times New Roman"/>
          <w:sz w:val="56"/>
          <w:szCs w:val="56"/>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ascii="黑体" w:hAnsi="黑体" w:eastAsia="黑体" w:cs="Times New Roman"/>
          <w:sz w:val="56"/>
          <w:szCs w:val="56"/>
        </w:rPr>
      </w:pPr>
    </w:p>
    <w:p>
      <w:pPr>
        <w:jc w:val="center"/>
        <w:rPr>
          <w:rFonts w:cs="Times New Roman"/>
          <w:sz w:val="72"/>
          <w:szCs w:val="72"/>
        </w:rPr>
      </w:pPr>
      <w:r>
        <w:pict>
          <v:shape id="_x0000_s1054" o:spid="_x0000_s1054" o:spt="202" type="#_x0000_t202" style="position:absolute;left:0pt;margin-left:-80.45pt;margin-top:34.8pt;height:263.1pt;width:613.65pt;z-index:251669504;v-text-anchor:middle;mso-width-relative:page;mso-height-relative:page;" fillcolor="#FFD966" filled="t" stroked="t" coordsize="21600,21600">
            <v:path/>
            <v:fill type="pattern" on="t" focussize="0,0" r:id="rId17"/>
            <v:stroke weight="0.5pt" color="#FFD966" joinstyle="round"/>
            <v:imagedata o:title=""/>
            <o:lock v:ext="edit"/>
            <v:textbox>
              <w:txbxContent>
                <w:p>
                  <w:pPr>
                    <w:widowControl/>
                    <w:jc w:val="center"/>
                    <w:rPr>
                      <w:rFonts w:cs="Times New Roman"/>
                    </w:rP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w10:anchorlock/>
          </v:shape>
        </w:pic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tabs>
          <w:tab w:val="left" w:pos="886"/>
        </w:tabs>
        <w:jc w:val="left"/>
        <w:rPr>
          <w:rFonts w:cs="Times New Roman"/>
        </w:rPr>
        <w:sectPr>
          <w:headerReference r:id="rId1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p>
      <w:pPr>
        <w:rPr>
          <w:rFonts w:cs="Times New Roman"/>
        </w:rPr>
      </w:pPr>
    </w:p>
    <w:p>
      <w:pPr>
        <w:rPr>
          <w:rFonts w:cs="Times New Roman"/>
        </w:rPr>
      </w:pPr>
    </w:p>
    <w:p>
      <w:pPr>
        <w:rPr>
          <w:rFonts w:cs="Times New Roman"/>
        </w:rPr>
      </w:pPr>
    </w:p>
    <w:p>
      <w:pPr>
        <w:tabs>
          <w:tab w:val="left" w:pos="235"/>
        </w:tabs>
        <w:jc w:val="left"/>
        <w:rPr>
          <w:rFonts w:cs="Times New Roman"/>
        </w:rPr>
      </w:pPr>
    </w:p>
    <w:p>
      <w:pPr>
        <w:tabs>
          <w:tab w:val="left" w:pos="235"/>
        </w:tabs>
        <w:jc w:val="left"/>
        <w:rPr>
          <w:rFonts w:cs="Times New Roman"/>
        </w:rPr>
      </w:pPr>
    </w:p>
    <w:p>
      <w:pPr>
        <w:tabs>
          <w:tab w:val="left" w:pos="235"/>
        </w:tabs>
        <w:jc w:val="left"/>
        <w:rPr>
          <w:rFonts w:cs="Times New Roman"/>
        </w:rPr>
      </w:pPr>
    </w:p>
    <w:p>
      <w:pPr>
        <w:tabs>
          <w:tab w:val="left" w:pos="235"/>
        </w:tabs>
        <w:jc w:val="left"/>
        <w:rPr>
          <w:rFonts w:cs="Times New Roman"/>
        </w:rPr>
      </w:pPr>
    </w:p>
    <w:p>
      <w:pPr>
        <w:tabs>
          <w:tab w:val="left" w:pos="235"/>
        </w:tabs>
        <w:jc w:val="left"/>
        <w:rPr>
          <w:rFonts w:cs="Times New Roman"/>
        </w:rPr>
      </w:pPr>
    </w:p>
    <w:p>
      <w:pPr>
        <w:tabs>
          <w:tab w:val="left" w:pos="235"/>
        </w:tabs>
        <w:jc w:val="left"/>
        <w:rPr>
          <w:rFonts w:cs="Times New Roman"/>
        </w:rPr>
        <w:sectPr>
          <w:pgSz w:w="11906" w:h="16838"/>
          <w:pgMar w:top="2098" w:right="1474" w:bottom="1985" w:left="1588" w:header="851" w:footer="992" w:gutter="0"/>
          <w:pgNumType w:fmt="numberInDash"/>
          <w:cols w:space="425" w:num="1"/>
          <w:docGrid w:type="lines" w:linePitch="312" w:charSpace="0"/>
        </w:sectPr>
      </w:pPr>
    </w:p>
    <w:p>
      <w:pPr>
        <w:rPr>
          <w:rFonts w:cs="Times New Roman"/>
        </w:rPr>
      </w:pPr>
    </w:p>
    <w:p>
      <w:pPr>
        <w:tabs>
          <w:tab w:val="left" w:pos="235"/>
        </w:tabs>
        <w:jc w:val="left"/>
        <w:rPr>
          <w:rFonts w:cs="Times New Roman"/>
        </w:rPr>
        <w:sectPr>
          <w:headerReference r:id="rId15" w:type="default"/>
          <w:pgSz w:w="11906" w:h="16838"/>
          <w:pgMar w:top="2098" w:right="1474" w:bottom="1985" w:left="1588" w:header="851" w:footer="992" w:gutter="0"/>
          <w:pgNumType w:fmt="numberInDash"/>
          <w:cols w:space="425" w:num="1"/>
          <w:docGrid w:type="lines" w:linePitch="312" w:charSpace="0"/>
        </w:sectPr>
      </w:pPr>
      <w:r>
        <w:pict>
          <v:shape id="_x0000_s1055" o:spid="_x0000_s1055" o:spt="202" type="#_x0000_t202" style="position:absolute;left:0pt;margin-left:-82.05pt;margin-top:111.85pt;height:263.1pt;width:613.65pt;z-index:251669504;v-text-anchor:middle;mso-width-relative:page;mso-height-relative:page;" fillcolor="#FFD966" filled="t" stroked="t" coordsize="21600,21600">
            <v:path/>
            <v:fill type="pattern" on="t" focussize="0,0"/>
            <v:stroke weight="0.5pt" color="#FFD96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rPr>
                      <w:rFonts w:ascii="黑体" w:hAnsi="黑体" w:eastAsia="黑体" w:cs="Times New Roman"/>
                      <w:color w:val="000000"/>
                      <w:sz w:val="90"/>
                      <w:szCs w:val="90"/>
                    </w:rPr>
                  </w:pPr>
                  <w:r>
                    <w:rPr>
                      <w:rFonts w:ascii="黑体" w:hAnsi="黑体" w:eastAsia="黑体" w:cs="黑体"/>
                      <w:color w:val="000000"/>
                      <w:sz w:val="90"/>
                      <w:szCs w:val="90"/>
                    </w:rPr>
                    <w:t>2019</w:t>
                  </w:r>
                  <w:r>
                    <w:rPr>
                      <w:rFonts w:hint="eastAsia" w:ascii="黑体" w:hAnsi="黑体" w:eastAsia="黑体" w:cs="黑体"/>
                      <w:color w:val="000000"/>
                      <w:sz w:val="90"/>
                      <w:szCs w:val="90"/>
                    </w:rPr>
                    <w:t>年度部门决算报表</w:t>
                  </w:r>
                </w:p>
                <w:p>
                  <w:pPr>
                    <w:widowControl/>
                    <w:jc w:val="center"/>
                    <w:rPr>
                      <w:rFonts w:ascii="黑体" w:hAnsi="黑体" w:eastAsia="黑体" w:cs="Times New Roman"/>
                      <w:color w:val="000000"/>
                      <w:sz w:val="90"/>
                      <w:szCs w:val="90"/>
                    </w:rPr>
                  </w:pPr>
                </w:p>
                <w:p>
                  <w:pPr>
                    <w:widowControl/>
                    <w:jc w:val="center"/>
                    <w:rPr>
                      <w:rFonts w:ascii="黑体" w:hAnsi="黑体" w:eastAsia="黑体" w:cs="Times New Roman"/>
                      <w:color w:val="000000"/>
                      <w:sz w:val="90"/>
                      <w:szCs w:val="90"/>
                    </w:rPr>
                  </w:pPr>
                </w:p>
                <w:p>
                  <w:pPr>
                    <w:widowControl/>
                    <w:jc w:val="center"/>
                    <w:rPr>
                      <w:rFonts w:ascii="黑体" w:hAnsi="黑体" w:eastAsia="黑体" w:cs="Times New Roman"/>
                      <w:color w:val="000000"/>
                      <w:sz w:val="90"/>
                      <w:szCs w:val="90"/>
                    </w:rPr>
                  </w:pPr>
                </w:p>
                <w:p>
                  <w:pPr>
                    <w:widowControl/>
                    <w:jc w:val="center"/>
                    <w:rPr>
                      <w:rFonts w:cs="Times New Roman"/>
                    </w:rPr>
                  </w:pPr>
                  <w:r>
                    <w:rPr>
                      <w:rFonts w:ascii="黑体" w:hAnsi="黑体" w:eastAsia="黑体" w:cs="黑体"/>
                      <w:color w:val="000000"/>
                      <w:sz w:val="90"/>
                      <w:szCs w:val="90"/>
                    </w:rPr>
                    <w:t>9</w:t>
                  </w:r>
                </w:p>
              </w:txbxContent>
            </v:textbox>
            <w10:anchorlock/>
          </v:shape>
        </w:pic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本部门应公开</w:t>
      </w:r>
      <w:r>
        <w:rPr>
          <w:rFonts w:eastAsia="仿宋_GB2312"/>
          <w:sz w:val="32"/>
          <w:szCs w:val="32"/>
        </w:rPr>
        <w:t>9</w:t>
      </w:r>
      <w:r>
        <w:rPr>
          <w:rFonts w:hint="eastAsia" w:eastAsia="仿宋_GB2312" w:cs="仿宋_GB2312"/>
          <w:sz w:val="32"/>
          <w:szCs w:val="32"/>
        </w:rPr>
        <w:t>张决算表格，即：</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一、收入支出决算总表（公开</w:t>
      </w:r>
      <w:r>
        <w:rPr>
          <w:rFonts w:eastAsia="仿宋_GB2312"/>
          <w:sz w:val="32"/>
          <w:szCs w:val="32"/>
        </w:rPr>
        <w:t>01</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二、收入决算表（公开</w:t>
      </w:r>
      <w:r>
        <w:rPr>
          <w:rFonts w:eastAsia="仿宋_GB2312"/>
          <w:sz w:val="32"/>
          <w:szCs w:val="32"/>
        </w:rPr>
        <w:t>02</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三、支出决算表（公开</w:t>
      </w:r>
      <w:r>
        <w:rPr>
          <w:rFonts w:eastAsia="仿宋_GB2312"/>
          <w:sz w:val="32"/>
          <w:szCs w:val="32"/>
        </w:rPr>
        <w:t>03</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四、财政拨款收入支出决算总表（公开</w:t>
      </w:r>
      <w:r>
        <w:rPr>
          <w:rFonts w:eastAsia="仿宋_GB2312"/>
          <w:sz w:val="32"/>
          <w:szCs w:val="32"/>
        </w:rPr>
        <w:t>04</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五、一般公共预算财政拨款支出决算表（公开</w:t>
      </w:r>
      <w:r>
        <w:rPr>
          <w:rFonts w:eastAsia="仿宋_GB2312"/>
          <w:sz w:val="32"/>
          <w:szCs w:val="32"/>
        </w:rPr>
        <w:t>05</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六、一般公共预算财政拨款基本支出决算表（公开</w:t>
      </w:r>
      <w:r>
        <w:rPr>
          <w:rFonts w:eastAsia="仿宋_GB2312"/>
          <w:sz w:val="32"/>
          <w:szCs w:val="32"/>
        </w:rPr>
        <w:t>06</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七、一般公共预算财政拨款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经费支出决算表（公开</w:t>
      </w:r>
      <w:r>
        <w:rPr>
          <w:rFonts w:eastAsia="仿宋_GB2312"/>
          <w:sz w:val="32"/>
          <w:szCs w:val="32"/>
        </w:rPr>
        <w:t>07</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八、政府性基金预算财政拨款收入支出决算表（公开</w:t>
      </w:r>
      <w:r>
        <w:rPr>
          <w:rFonts w:eastAsia="仿宋_GB2312"/>
          <w:sz w:val="32"/>
          <w:szCs w:val="32"/>
        </w:rPr>
        <w:t>08</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九、国有资本经营预算财政拨款支出决算表（公开</w:t>
      </w:r>
      <w:r>
        <w:rPr>
          <w:rFonts w:eastAsia="仿宋_GB2312"/>
          <w:sz w:val="32"/>
          <w:szCs w:val="32"/>
        </w:rPr>
        <w:t>09</w:t>
      </w:r>
      <w:r>
        <w:rPr>
          <w:rFonts w:hint="eastAsia" w:eastAsia="仿宋_GB2312" w:cs="仿宋_GB2312"/>
          <w:sz w:val="32"/>
          <w:szCs w:val="32"/>
        </w:rPr>
        <w:t>表）</w:t>
      </w:r>
    </w:p>
    <w:p>
      <w:pPr>
        <w:spacing w:line="580" w:lineRule="exact"/>
        <w:ind w:left="640" w:firstLine="640" w:firstLineChars="200"/>
        <w:rPr>
          <w:rFonts w:eastAsia="仿宋_GB2312" w:cs="Times New Roman"/>
          <w:sz w:val="32"/>
          <w:szCs w:val="32"/>
        </w:rPr>
      </w:pPr>
      <w:r>
        <w:rPr>
          <w:rFonts w:hint="eastAsia" w:eastAsia="仿宋_GB2312" w:cs="仿宋_GB2312"/>
          <w:sz w:val="32"/>
          <w:szCs w:val="32"/>
        </w:rPr>
        <w:t>详见附表：《高邑县</w:t>
      </w:r>
      <w:r>
        <w:rPr>
          <w:rFonts w:hint="eastAsia" w:eastAsia="仿宋_GB2312" w:cs="仿宋_GB2312"/>
          <w:sz w:val="32"/>
          <w:szCs w:val="32"/>
          <w:lang w:eastAsia="zh-CN"/>
        </w:rPr>
        <w:t>自然资源和规划局</w:t>
      </w:r>
      <w:r>
        <w:rPr>
          <w:rFonts w:eastAsia="仿宋_GB2312"/>
          <w:sz w:val="32"/>
          <w:szCs w:val="32"/>
        </w:rPr>
        <w:t>2019</w:t>
      </w:r>
      <w:r>
        <w:rPr>
          <w:rFonts w:hint="eastAsia" w:eastAsia="仿宋_GB2312" w:cs="仿宋_GB2312"/>
          <w:sz w:val="32"/>
          <w:szCs w:val="32"/>
        </w:rPr>
        <w:t>年度部门决算公开表》</w:t>
      </w:r>
    </w:p>
    <w:p>
      <w:pPr>
        <w:snapToGrid w:val="0"/>
        <w:spacing w:line="560" w:lineRule="exact"/>
        <w:ind w:firstLine="640" w:firstLineChars="200"/>
        <w:rPr>
          <w:rFonts w:ascii="仿宋_GB2312" w:hAnsi="宋体" w:eastAsia="仿宋_GB2312" w:cs="Times New Roman"/>
          <w:color w:val="000000"/>
          <w:kern w:val="0"/>
          <w:sz w:val="32"/>
          <w:szCs w:val="32"/>
        </w:rPr>
      </w:pPr>
    </w:p>
    <w:p>
      <w:pPr>
        <w:jc w:val="left"/>
        <w:rPr>
          <w:rFonts w:cs="Times New Roman"/>
        </w:rPr>
      </w:pPr>
    </w:p>
    <w:p>
      <w:pPr>
        <w:rPr>
          <w:rFonts w:cs="Times New Roman"/>
        </w:rPr>
      </w:pPr>
      <w:r>
        <w:rPr>
          <w:rFonts w:cs="Times New Roman"/>
        </w:rPr>
        <w:tab/>
      </w:r>
      <w:r>
        <w:rPr>
          <w:rFonts w:cs="Times New Roman"/>
        </w:rPr>
        <w:tab/>
      </w:r>
      <w:r>
        <w:rPr>
          <w:rFonts w:cs="Times New Roman"/>
        </w:rPr>
        <w:tab/>
      </w:r>
      <w:r>
        <w:rPr>
          <w:rFonts w:cs="Times New Roman"/>
        </w:rPr>
        <w:tab/>
      </w:r>
      <w:r>
        <w:rPr>
          <w:rFonts w:cs="Times New Roman"/>
        </w:rPr>
        <w:br w:type="page"/>
      </w:r>
    </w:p>
    <w:p>
      <w:pPr>
        <w:rPr>
          <w:rFonts w:cs="Times New Roman"/>
        </w:rPr>
      </w:pPr>
      <w:r>
        <w:pict>
          <v:rect id="_x0000_s1056" o:spid="_x0000_s1056" o:spt="1" style="position:absolute;left:0pt;margin-left:-90pt;margin-top:-85.8pt;height:841.15pt;width:595.1pt;z-index:251670528;v-text-anchor:middle;mso-width-relative:page;mso-height-relative:page;" fillcolor="#FFC000" filled="t" stroked="f" coordsize="21600,21600">
            <v:path/>
            <v:fill on="t" focussize="0,0"/>
            <v:stroke on="f" weight="1pt"/>
            <v:imagedata o:title=""/>
            <o:lock v:ext="edit"/>
            <w10:anchorlock/>
          </v:rect>
        </w:pict>
      </w:r>
    </w:p>
    <w:p>
      <w:pPr>
        <w:rPr>
          <w:rFonts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
    <w:altName w:val="Times New Roman"/>
    <w:panose1 w:val="00000000000000000000"/>
    <w:charset w:val="00"/>
    <w:family w:val="auto"/>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MS Mincho">
    <w:altName w:val="Yu Gothic UI"/>
    <w:panose1 w:val="02020609040205080304"/>
    <w:charset w:val="80"/>
    <w:family w:val="modern"/>
    <w:pitch w:val="default"/>
    <w:sig w:usb0="00000000" w:usb1="00000000" w:usb2="00000012" w:usb3="00000000" w:csb0="4002009F" w:csb1="DFD70000"/>
  </w:font>
  <w:font w:name="TimesNewRomanPSMT">
    <w:altName w:val="Arial"/>
    <w:panose1 w:val="00000000000000000000"/>
    <w:charset w:val="00"/>
    <w:family w:val="swiss"/>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6D27D2EB"/>
    <w:multiLevelType w:val="singleLevel"/>
    <w:tmpl w:val="6D27D2EB"/>
    <w:lvl w:ilvl="0" w:tentative="0">
      <w:start w:val="5"/>
      <w:numFmt w:val="chineseCounting"/>
      <w:suff w:val="nothing"/>
      <w:lvlText w:val="%1、"/>
      <w:lvlJc w:val="left"/>
      <w:rPr>
        <w:rFonts w:hint="eastAsia"/>
      </w:rPr>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1"/>
  </w:num>
  <w:num w:numId="3">
    <w:abstractNumId w:val="0"/>
  </w:num>
  <w:num w:numId="4">
    <w:abstractNumId w:val="3"/>
  </w:num>
  <w:num w:numId="5">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6"/>
  <w:embedSystem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Y3MDg2NDUxNDQ1ODY3ZWU0NjM4M2YwNTFmNzgyMGQifQ=="/>
  </w:docVars>
  <w:rsids>
    <w:rsidRoot w:val="6AAF1C96"/>
    <w:rsid w:val="00045779"/>
    <w:rsid w:val="0005023B"/>
    <w:rsid w:val="0007063E"/>
    <w:rsid w:val="00073392"/>
    <w:rsid w:val="00073F4E"/>
    <w:rsid w:val="00080F87"/>
    <w:rsid w:val="00086C89"/>
    <w:rsid w:val="000A39FB"/>
    <w:rsid w:val="000B303C"/>
    <w:rsid w:val="00117746"/>
    <w:rsid w:val="00153766"/>
    <w:rsid w:val="00163F95"/>
    <w:rsid w:val="00180804"/>
    <w:rsid w:val="00180A9A"/>
    <w:rsid w:val="001829C0"/>
    <w:rsid w:val="00184809"/>
    <w:rsid w:val="00192112"/>
    <w:rsid w:val="001969A6"/>
    <w:rsid w:val="001B0127"/>
    <w:rsid w:val="001B7BB0"/>
    <w:rsid w:val="001C12D5"/>
    <w:rsid w:val="001C69F7"/>
    <w:rsid w:val="001D6F97"/>
    <w:rsid w:val="00215E81"/>
    <w:rsid w:val="00257269"/>
    <w:rsid w:val="002650EC"/>
    <w:rsid w:val="002A03E6"/>
    <w:rsid w:val="002A6C46"/>
    <w:rsid w:val="002C19B5"/>
    <w:rsid w:val="00302DB8"/>
    <w:rsid w:val="00393BB6"/>
    <w:rsid w:val="00394276"/>
    <w:rsid w:val="003A4EE8"/>
    <w:rsid w:val="003A5BCE"/>
    <w:rsid w:val="003C1E9D"/>
    <w:rsid w:val="00437DD1"/>
    <w:rsid w:val="00442CC2"/>
    <w:rsid w:val="00446244"/>
    <w:rsid w:val="00467738"/>
    <w:rsid w:val="00473C20"/>
    <w:rsid w:val="00494B6D"/>
    <w:rsid w:val="004A04E1"/>
    <w:rsid w:val="004C06EE"/>
    <w:rsid w:val="004D61CB"/>
    <w:rsid w:val="004E1B80"/>
    <w:rsid w:val="004E24D6"/>
    <w:rsid w:val="005011D6"/>
    <w:rsid w:val="00503F2E"/>
    <w:rsid w:val="005251D2"/>
    <w:rsid w:val="00542F67"/>
    <w:rsid w:val="00544D80"/>
    <w:rsid w:val="00552226"/>
    <w:rsid w:val="00566120"/>
    <w:rsid w:val="00582E6D"/>
    <w:rsid w:val="005954D5"/>
    <w:rsid w:val="005A53FA"/>
    <w:rsid w:val="005B7F3A"/>
    <w:rsid w:val="005D1293"/>
    <w:rsid w:val="005F247D"/>
    <w:rsid w:val="00613C59"/>
    <w:rsid w:val="00615DA7"/>
    <w:rsid w:val="00617239"/>
    <w:rsid w:val="0063267D"/>
    <w:rsid w:val="00644D5F"/>
    <w:rsid w:val="00657F86"/>
    <w:rsid w:val="006645F0"/>
    <w:rsid w:val="006727AD"/>
    <w:rsid w:val="00691425"/>
    <w:rsid w:val="006A516E"/>
    <w:rsid w:val="006B0830"/>
    <w:rsid w:val="006E434E"/>
    <w:rsid w:val="00712F75"/>
    <w:rsid w:val="00716E2B"/>
    <w:rsid w:val="00747937"/>
    <w:rsid w:val="00770F18"/>
    <w:rsid w:val="00773B74"/>
    <w:rsid w:val="0078290C"/>
    <w:rsid w:val="007C06CA"/>
    <w:rsid w:val="007C486D"/>
    <w:rsid w:val="007D5022"/>
    <w:rsid w:val="007E79B7"/>
    <w:rsid w:val="008163FB"/>
    <w:rsid w:val="0082605B"/>
    <w:rsid w:val="00853FB8"/>
    <w:rsid w:val="00855C36"/>
    <w:rsid w:val="00857DBE"/>
    <w:rsid w:val="008701BC"/>
    <w:rsid w:val="0087041A"/>
    <w:rsid w:val="00883D92"/>
    <w:rsid w:val="008A5362"/>
    <w:rsid w:val="008F21F1"/>
    <w:rsid w:val="008F221B"/>
    <w:rsid w:val="008F484E"/>
    <w:rsid w:val="008F5A2D"/>
    <w:rsid w:val="009144B4"/>
    <w:rsid w:val="009144F0"/>
    <w:rsid w:val="00921602"/>
    <w:rsid w:val="009437E0"/>
    <w:rsid w:val="009454DB"/>
    <w:rsid w:val="009536B9"/>
    <w:rsid w:val="00957EA1"/>
    <w:rsid w:val="00966E5B"/>
    <w:rsid w:val="009B17C7"/>
    <w:rsid w:val="009B4EF0"/>
    <w:rsid w:val="009D271F"/>
    <w:rsid w:val="009F6FBC"/>
    <w:rsid w:val="00A01DAA"/>
    <w:rsid w:val="00A036F5"/>
    <w:rsid w:val="00A343AC"/>
    <w:rsid w:val="00A929C2"/>
    <w:rsid w:val="00A94E70"/>
    <w:rsid w:val="00AA5C17"/>
    <w:rsid w:val="00AB5F20"/>
    <w:rsid w:val="00AC5BDC"/>
    <w:rsid w:val="00AD097F"/>
    <w:rsid w:val="00AE0CF1"/>
    <w:rsid w:val="00AE121D"/>
    <w:rsid w:val="00B844F4"/>
    <w:rsid w:val="00BA06A1"/>
    <w:rsid w:val="00BA770A"/>
    <w:rsid w:val="00BC5EC6"/>
    <w:rsid w:val="00C054DE"/>
    <w:rsid w:val="00C118C4"/>
    <w:rsid w:val="00C6673C"/>
    <w:rsid w:val="00C679A9"/>
    <w:rsid w:val="00C732B3"/>
    <w:rsid w:val="00C7541C"/>
    <w:rsid w:val="00C84A96"/>
    <w:rsid w:val="00CC0FAA"/>
    <w:rsid w:val="00CD0736"/>
    <w:rsid w:val="00CF2692"/>
    <w:rsid w:val="00D1570F"/>
    <w:rsid w:val="00D32830"/>
    <w:rsid w:val="00D84949"/>
    <w:rsid w:val="00DB2D17"/>
    <w:rsid w:val="00DB412A"/>
    <w:rsid w:val="00DB7153"/>
    <w:rsid w:val="00DB7F05"/>
    <w:rsid w:val="00DE2332"/>
    <w:rsid w:val="00DF0068"/>
    <w:rsid w:val="00DF60B9"/>
    <w:rsid w:val="00E028C3"/>
    <w:rsid w:val="00E04353"/>
    <w:rsid w:val="00E14F77"/>
    <w:rsid w:val="00E3076B"/>
    <w:rsid w:val="00E36978"/>
    <w:rsid w:val="00E82A1E"/>
    <w:rsid w:val="00EA05EC"/>
    <w:rsid w:val="00EC06F4"/>
    <w:rsid w:val="00EE4E36"/>
    <w:rsid w:val="00EF7340"/>
    <w:rsid w:val="00F34AA9"/>
    <w:rsid w:val="00F53FD5"/>
    <w:rsid w:val="00F6637A"/>
    <w:rsid w:val="00F665F4"/>
    <w:rsid w:val="00FB0FB3"/>
    <w:rsid w:val="00FD225F"/>
    <w:rsid w:val="00FD2745"/>
    <w:rsid w:val="011B660B"/>
    <w:rsid w:val="011D70BC"/>
    <w:rsid w:val="02A87983"/>
    <w:rsid w:val="04A13739"/>
    <w:rsid w:val="04D962D5"/>
    <w:rsid w:val="05B00A30"/>
    <w:rsid w:val="071A69A1"/>
    <w:rsid w:val="073151F7"/>
    <w:rsid w:val="08DD7351"/>
    <w:rsid w:val="08E857A9"/>
    <w:rsid w:val="099C070F"/>
    <w:rsid w:val="0B011416"/>
    <w:rsid w:val="0F0E6CB7"/>
    <w:rsid w:val="10341388"/>
    <w:rsid w:val="12DF3B8A"/>
    <w:rsid w:val="13A11C0A"/>
    <w:rsid w:val="13E52244"/>
    <w:rsid w:val="15F228B7"/>
    <w:rsid w:val="16A878FA"/>
    <w:rsid w:val="1864533D"/>
    <w:rsid w:val="18797562"/>
    <w:rsid w:val="190054A7"/>
    <w:rsid w:val="1D5854AB"/>
    <w:rsid w:val="1DCD1C2D"/>
    <w:rsid w:val="20012625"/>
    <w:rsid w:val="219218C7"/>
    <w:rsid w:val="229723B5"/>
    <w:rsid w:val="23085418"/>
    <w:rsid w:val="255625B8"/>
    <w:rsid w:val="25864E37"/>
    <w:rsid w:val="266100C4"/>
    <w:rsid w:val="26854A3E"/>
    <w:rsid w:val="27141E24"/>
    <w:rsid w:val="27EE3C57"/>
    <w:rsid w:val="29545EA1"/>
    <w:rsid w:val="2A172298"/>
    <w:rsid w:val="2A6356DC"/>
    <w:rsid w:val="2D6579A5"/>
    <w:rsid w:val="2F1E332E"/>
    <w:rsid w:val="2F86185D"/>
    <w:rsid w:val="30642C6F"/>
    <w:rsid w:val="30C913E7"/>
    <w:rsid w:val="3169440F"/>
    <w:rsid w:val="316B01CC"/>
    <w:rsid w:val="31BF14A1"/>
    <w:rsid w:val="31C2036A"/>
    <w:rsid w:val="320D02A5"/>
    <w:rsid w:val="324A144B"/>
    <w:rsid w:val="33C6013D"/>
    <w:rsid w:val="348E566F"/>
    <w:rsid w:val="37B67C23"/>
    <w:rsid w:val="383C0110"/>
    <w:rsid w:val="38423F4D"/>
    <w:rsid w:val="38C866FA"/>
    <w:rsid w:val="39381EB2"/>
    <w:rsid w:val="39516CF2"/>
    <w:rsid w:val="3A226944"/>
    <w:rsid w:val="3AEE6A48"/>
    <w:rsid w:val="3B18280C"/>
    <w:rsid w:val="3C0D1475"/>
    <w:rsid w:val="3C1620AA"/>
    <w:rsid w:val="3C380EA9"/>
    <w:rsid w:val="3D744891"/>
    <w:rsid w:val="3D8F080F"/>
    <w:rsid w:val="3DC31971"/>
    <w:rsid w:val="3F2A0B4A"/>
    <w:rsid w:val="40E30E46"/>
    <w:rsid w:val="4168754F"/>
    <w:rsid w:val="43315518"/>
    <w:rsid w:val="448160DE"/>
    <w:rsid w:val="44856F67"/>
    <w:rsid w:val="44C066C2"/>
    <w:rsid w:val="44CE1FA4"/>
    <w:rsid w:val="455F6565"/>
    <w:rsid w:val="45B246BD"/>
    <w:rsid w:val="47020807"/>
    <w:rsid w:val="47B86A3E"/>
    <w:rsid w:val="48547505"/>
    <w:rsid w:val="487F73ED"/>
    <w:rsid w:val="4A347EAE"/>
    <w:rsid w:val="4B35587F"/>
    <w:rsid w:val="4C923224"/>
    <w:rsid w:val="4CC10349"/>
    <w:rsid w:val="4D341F77"/>
    <w:rsid w:val="4D43499C"/>
    <w:rsid w:val="4E8F7B78"/>
    <w:rsid w:val="4F4909A8"/>
    <w:rsid w:val="51142332"/>
    <w:rsid w:val="52600405"/>
    <w:rsid w:val="529B4319"/>
    <w:rsid w:val="52B622A2"/>
    <w:rsid w:val="54021335"/>
    <w:rsid w:val="553C689C"/>
    <w:rsid w:val="55C13217"/>
    <w:rsid w:val="564D5657"/>
    <w:rsid w:val="568F3040"/>
    <w:rsid w:val="56B516CF"/>
    <w:rsid w:val="57383692"/>
    <w:rsid w:val="57773DD6"/>
    <w:rsid w:val="578B79AB"/>
    <w:rsid w:val="5977253E"/>
    <w:rsid w:val="5A2C6B39"/>
    <w:rsid w:val="5ACF54E3"/>
    <w:rsid w:val="5C746B42"/>
    <w:rsid w:val="5CCD3FD5"/>
    <w:rsid w:val="5E0A0C1A"/>
    <w:rsid w:val="5F2971FB"/>
    <w:rsid w:val="5F8E5303"/>
    <w:rsid w:val="5FE03F7C"/>
    <w:rsid w:val="616E377E"/>
    <w:rsid w:val="61FA5F9D"/>
    <w:rsid w:val="62EB2693"/>
    <w:rsid w:val="633B649B"/>
    <w:rsid w:val="637D76C1"/>
    <w:rsid w:val="64CD6910"/>
    <w:rsid w:val="65141AAA"/>
    <w:rsid w:val="66030723"/>
    <w:rsid w:val="6789158D"/>
    <w:rsid w:val="67D81BA4"/>
    <w:rsid w:val="6A157543"/>
    <w:rsid w:val="6AAF1C96"/>
    <w:rsid w:val="6AED3E9B"/>
    <w:rsid w:val="6B5E76E3"/>
    <w:rsid w:val="6B9247A0"/>
    <w:rsid w:val="6BCA129C"/>
    <w:rsid w:val="6CA46E40"/>
    <w:rsid w:val="6CE42A71"/>
    <w:rsid w:val="6DA16D54"/>
    <w:rsid w:val="6DAC6D67"/>
    <w:rsid w:val="6FC11F2E"/>
    <w:rsid w:val="709C395A"/>
    <w:rsid w:val="70D54939"/>
    <w:rsid w:val="71244B3F"/>
    <w:rsid w:val="727A2A10"/>
    <w:rsid w:val="7311642C"/>
    <w:rsid w:val="73482C1C"/>
    <w:rsid w:val="740B7F4F"/>
    <w:rsid w:val="742E3C6F"/>
    <w:rsid w:val="74540B83"/>
    <w:rsid w:val="756439E3"/>
    <w:rsid w:val="75681757"/>
    <w:rsid w:val="75A346A8"/>
    <w:rsid w:val="761A19F1"/>
    <w:rsid w:val="7662713A"/>
    <w:rsid w:val="76B954BE"/>
    <w:rsid w:val="772E048D"/>
    <w:rsid w:val="78C41B4D"/>
    <w:rsid w:val="795060D4"/>
    <w:rsid w:val="79B9382C"/>
    <w:rsid w:val="7A031C91"/>
    <w:rsid w:val="7A516B29"/>
    <w:rsid w:val="7AB367D1"/>
    <w:rsid w:val="7B043B76"/>
    <w:rsid w:val="7B40404C"/>
    <w:rsid w:val="7B9E2922"/>
    <w:rsid w:val="7C041A6A"/>
    <w:rsid w:val="7C0568A4"/>
    <w:rsid w:val="7E327570"/>
    <w:rsid w:val="7E6F2FB8"/>
    <w:rsid w:val="7F1C02EF"/>
    <w:rsid w:val="7F6D2749"/>
    <w:rsid w:val="7FC4211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 w:hAnsi="??" w:eastAsia="宋体" w:cs="??"/>
      <w:kern w:val="2"/>
      <w:sz w:val="21"/>
      <w:szCs w:val="21"/>
      <w:lang w:val="en-US" w:eastAsia="zh-CN" w:bidi="ar-SA"/>
    </w:rPr>
  </w:style>
  <w:style w:type="paragraph" w:styleId="2">
    <w:name w:val="heading 1"/>
    <w:basedOn w:val="1"/>
    <w:next w:val="1"/>
    <w:link w:val="10"/>
    <w:qFormat/>
    <w:uiPriority w:val="99"/>
    <w:pPr>
      <w:keepNext/>
      <w:keepLines/>
      <w:spacing w:before="340" w:after="330" w:line="578" w:lineRule="auto"/>
      <w:outlineLvl w:val="0"/>
    </w:pPr>
    <w:rPr>
      <w:b/>
      <w:bCs/>
      <w:kern w:val="44"/>
      <w:sz w:val="44"/>
      <w:szCs w:val="44"/>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1"/>
    <w:qFormat/>
    <w:uiPriority w:val="99"/>
    <w:rPr>
      <w:rFonts w:ascii="仿宋_GB2312" w:hAnsi="仿宋_GB2312" w:eastAsia="仿宋_GB2312" w:cs="仿宋_GB2312"/>
      <w:sz w:val="32"/>
      <w:szCs w:val="32"/>
      <w:lang w:val="zh-CN"/>
    </w:rPr>
  </w:style>
  <w:style w:type="paragraph" w:styleId="4">
    <w:name w:val="Balloon Text"/>
    <w:basedOn w:val="1"/>
    <w:link w:val="12"/>
    <w:semiHidden/>
    <w:qFormat/>
    <w:uiPriority w:val="99"/>
    <w:rPr>
      <w:sz w:val="18"/>
      <w:szCs w:val="18"/>
    </w:rPr>
  </w:style>
  <w:style w:type="paragraph" w:styleId="5">
    <w:name w:val="footer"/>
    <w:basedOn w:val="1"/>
    <w:link w:val="13"/>
    <w:uiPriority w:val="99"/>
    <w:pPr>
      <w:tabs>
        <w:tab w:val="center" w:pos="4153"/>
        <w:tab w:val="right" w:pos="8306"/>
      </w:tabs>
      <w:snapToGrid w:val="0"/>
      <w:jc w:val="left"/>
    </w:pPr>
    <w:rPr>
      <w:sz w:val="18"/>
      <w:szCs w:val="18"/>
    </w:rPr>
  </w:style>
  <w:style w:type="paragraph" w:styleId="6">
    <w:name w:val="header"/>
    <w:basedOn w:val="1"/>
    <w:link w:val="14"/>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basedOn w:val="7"/>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Heading 1 Char"/>
    <w:basedOn w:val="9"/>
    <w:link w:val="2"/>
    <w:qFormat/>
    <w:locked/>
    <w:uiPriority w:val="99"/>
    <w:rPr>
      <w:rFonts w:ascii="??" w:hAnsi="??" w:cs="??"/>
      <w:b/>
      <w:bCs/>
      <w:kern w:val="44"/>
      <w:sz w:val="44"/>
      <w:szCs w:val="44"/>
    </w:rPr>
  </w:style>
  <w:style w:type="character" w:customStyle="1" w:styleId="11">
    <w:name w:val="Body Text Char"/>
    <w:basedOn w:val="9"/>
    <w:link w:val="3"/>
    <w:semiHidden/>
    <w:qFormat/>
    <w:locked/>
    <w:uiPriority w:val="99"/>
    <w:rPr>
      <w:rFonts w:ascii="??" w:hAnsi="??" w:cs="??"/>
    </w:rPr>
  </w:style>
  <w:style w:type="character" w:customStyle="1" w:styleId="12">
    <w:name w:val="Balloon Text Char"/>
    <w:basedOn w:val="9"/>
    <w:link w:val="4"/>
    <w:semiHidden/>
    <w:locked/>
    <w:uiPriority w:val="99"/>
    <w:rPr>
      <w:rFonts w:ascii="??" w:hAnsi="??" w:cs="??"/>
      <w:kern w:val="2"/>
      <w:sz w:val="18"/>
      <w:szCs w:val="18"/>
    </w:rPr>
  </w:style>
  <w:style w:type="character" w:customStyle="1" w:styleId="13">
    <w:name w:val="Footer Char"/>
    <w:basedOn w:val="9"/>
    <w:link w:val="5"/>
    <w:locked/>
    <w:uiPriority w:val="99"/>
    <w:rPr>
      <w:sz w:val="18"/>
      <w:szCs w:val="18"/>
    </w:rPr>
  </w:style>
  <w:style w:type="character" w:customStyle="1" w:styleId="14">
    <w:name w:val="Header Char"/>
    <w:basedOn w:val="9"/>
    <w:link w:val="6"/>
    <w:locked/>
    <w:uiPriority w:val="99"/>
    <w:rPr>
      <w:rFonts w:ascii="??" w:hAnsi="??" w:cs="??"/>
      <w:sz w:val="18"/>
      <w:szCs w:val="18"/>
    </w:rPr>
  </w:style>
  <w:style w:type="paragraph" w:customStyle="1" w:styleId="15">
    <w:name w:val="列出段落1"/>
    <w:basedOn w:val="1"/>
    <w:uiPriority w:val="99"/>
    <w:pPr>
      <w:spacing w:before="2"/>
      <w:ind w:left="119" w:right="434" w:firstLine="643"/>
    </w:pPr>
    <w:rPr>
      <w:rFonts w:ascii="仿宋_GB2312" w:hAnsi="仿宋_GB2312" w:eastAsia="仿宋_GB2312" w:cs="仿宋_GB2312"/>
      <w:lang w:val="zh-CN"/>
    </w:rPr>
  </w:style>
  <w:style w:type="character" w:customStyle="1" w:styleId="16">
    <w:name w:val="font51"/>
    <w:basedOn w:val="9"/>
    <w:uiPriority w:val="99"/>
    <w:rPr>
      <w:rFonts w:ascii="宋体" w:hAnsi="宋体" w:eastAsia="宋体" w:cs="宋体"/>
      <w:color w:val="000000"/>
      <w:sz w:val="22"/>
      <w:szCs w:val="22"/>
      <w:u w:val="none"/>
    </w:rPr>
  </w:style>
  <w:style w:type="character" w:customStyle="1" w:styleId="17">
    <w:name w:val="font31"/>
    <w:basedOn w:val="9"/>
    <w:uiPriority w:val="99"/>
    <w:rPr>
      <w:rFonts w:ascii="Calibri" w:hAnsi="Calibri" w:cs="Calibri"/>
      <w:color w:val="000000"/>
      <w:sz w:val="22"/>
      <w:szCs w:val="22"/>
      <w:u w:val="none"/>
    </w:rPr>
  </w:style>
  <w:style w:type="character" w:customStyle="1" w:styleId="18">
    <w:name w:val="font21"/>
    <w:basedOn w:val="9"/>
    <w:uiPriority w:val="99"/>
    <w:rPr>
      <w:rFonts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7.emf"/><Relationship Id="rId27" Type="http://schemas.openxmlformats.org/officeDocument/2006/relationships/oleObject" Target="embeddings/oleObject5.bin"/><Relationship Id="rId26" Type="http://schemas.openxmlformats.org/officeDocument/2006/relationships/image" Target="media/image6.emf"/><Relationship Id="rId25" Type="http://schemas.openxmlformats.org/officeDocument/2006/relationships/oleObject" Target="embeddings/oleObject4.bin"/><Relationship Id="rId24" Type="http://schemas.openxmlformats.org/officeDocument/2006/relationships/image" Target="media/image5.emf"/><Relationship Id="rId23" Type="http://schemas.openxmlformats.org/officeDocument/2006/relationships/oleObject" Target="embeddings/oleObject3.bin"/><Relationship Id="rId22" Type="http://schemas.openxmlformats.org/officeDocument/2006/relationships/image" Target="media/image4.emf"/><Relationship Id="rId21" Type="http://schemas.openxmlformats.org/officeDocument/2006/relationships/oleObject" Target="embeddings/oleObject2.bin"/><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emf"/><Relationship Id="rId18" Type="http://schemas.openxmlformats.org/officeDocument/2006/relationships/oleObject" Target="embeddings/oleObject1.bin"/><Relationship Id="rId17" Type="http://schemas.openxmlformats.org/officeDocument/2006/relationships/image" Target="media/image1.GIF"/><Relationship Id="rId16" Type="http://schemas.openxmlformats.org/officeDocument/2006/relationships/theme" Target="theme/theme1.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1"/>
    <customShpInfo spid="_x0000_s1032"/>
    <customShpInfo spid="_x0000_s1030"/>
    <customShpInfo spid="_x0000_s1034"/>
    <customShpInfo spid="_x0000_s1035"/>
    <customShpInfo spid="_x0000_s1033"/>
    <customShpInfo spid="_x0000_s1036"/>
    <customShpInfo spid="_x0000_s1037"/>
    <customShpInfo spid="_x0000_s1038"/>
    <customShpInfo spid="_x0000_s1039"/>
    <customShpInfo spid="_x0000_s1040"/>
    <customShpInfo spid="_x0000_s1042"/>
    <customShpInfo spid="_x0000_s1043"/>
    <customShpInfo spid="_x0000_s1041"/>
    <customShpInfo spid="_x0000_s1044"/>
    <customShpInfo spid="_x0000_s1045"/>
    <customShpInfo spid="_x0000_s1046"/>
    <customShpInfo spid="_x0000_s1047"/>
    <customShpInfo spid="_x0000_s1049"/>
    <customShpInfo spid="_x0000_s1050"/>
    <customShpInfo spid="_x0000_s1048"/>
    <customShpInfo spid="_x0000_s1052"/>
    <customShpInfo spid="_x0000_s1053"/>
    <customShpInfo spid="_x0000_s1051"/>
    <customShpInfo spid="_x0000_s1054"/>
    <customShpInfo spid="_x0000_s1055"/>
    <customShpInfo spid="_x0000_s105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33</Pages>
  <Words>1843</Words>
  <Characters>10511</Characters>
  <Lines>0</Lines>
  <Paragraphs>0</Paragraphs>
  <TotalTime>10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AdMinistration</cp:lastModifiedBy>
  <cp:lastPrinted>2020-07-30T02:37:00Z</cp:lastPrinted>
  <dcterms:modified xsi:type="dcterms:W3CDTF">2024-09-27T15:14:33Z</dcterms:modified>
  <cp:revision>162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2A21D09FD4F945AFBAB5C6689E29BAC7</vt:lpwstr>
  </property>
</Properties>
</file>