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AE00AC">
      <w:pPr>
        <w:snapToGrid/>
        <w:spacing w:before="0" w:beforeAutospacing="0" w:after="0" w:afterAutospacing="0" w:line="240" w:lineRule="auto"/>
        <w:jc w:val="both"/>
        <w:textAlignment w:val="baseline"/>
        <w:rPr>
          <w:b w:val="0"/>
          <w:i w:val="0"/>
          <w:caps w:val="0"/>
          <w:spacing w:val="0"/>
          <w:w w:val="100"/>
          <w:sz w:val="20"/>
        </w:r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w:rPr>
          <w:b w:val="0"/>
          <w:i w:val="0"/>
          <w:caps w:val="0"/>
          <w:spacing w:val="0"/>
          <w:w w:val="100"/>
          <w:sz w:val="21"/>
        </w:rP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6BA63E0D">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6BA63E0D">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w:rPr>
          <w:b w:val="0"/>
          <w:i w:val="0"/>
          <w:caps w:val="0"/>
          <w:spacing w:val="0"/>
          <w:w w:val="100"/>
          <w:sz w:val="21"/>
        </w:rP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1D2B5A">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2A1D2B5A">
                      <w:pPr>
                        <w:jc w:val="center"/>
                      </w:pPr>
                    </w:p>
                  </w:txbxContent>
                </v:textbox>
              </v:shape>
            </w:pict>
          </mc:Fallback>
        </mc:AlternateContent>
      </w:r>
      <w:r>
        <w:rPr>
          <w:b w:val="0"/>
          <w:i w:val="0"/>
          <w:caps w:val="0"/>
          <w:spacing w:val="0"/>
          <w:w w:val="100"/>
          <w:sz w:val="21"/>
        </w:rP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3E5380DF">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3E5380DF">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w:rPr>
          <w:b w:val="0"/>
          <w:i w:val="0"/>
          <w:caps w:val="0"/>
          <w:spacing w:val="0"/>
          <w:w w:val="100"/>
          <w:sz w:val="21"/>
        </w:rP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6620EB9">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06620EB9">
                      <w:pPr>
                        <w:jc w:val="center"/>
                      </w:pPr>
                    </w:p>
                  </w:txbxContent>
                </v:textbox>
              </v:shape>
            </w:pict>
          </mc:Fallback>
        </mc:AlternateContent>
      </w:r>
      <w:r>
        <w:rPr>
          <w:b w:val="0"/>
          <w:i w:val="0"/>
          <w:caps w:val="0"/>
          <w:spacing w:val="0"/>
          <w:w w:val="100"/>
          <w:sz w:val="21"/>
        </w:rP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w:rPr>
          <w:b w:val="0"/>
          <w:i w:val="0"/>
          <w:caps w:val="0"/>
          <w:spacing w:val="0"/>
          <w:w w:val="100"/>
          <w:sz w:val="21"/>
        </w:rP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1957CD35">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1957CD35">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w:rPr>
          <w:b w:val="0"/>
          <w:i w:val="0"/>
          <w:caps w:val="0"/>
          <w:spacing w:val="0"/>
          <w:w w:val="100"/>
          <w:sz w:val="21"/>
        </w:rP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72E33A7C"/>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72E33A7C"/>
                  </w:txbxContent>
                </v:textbox>
              </v:rect>
            </w:pict>
          </mc:Fallback>
        </mc:AlternateContent>
      </w:r>
      <w:r>
        <w:rPr>
          <w:rFonts w:hint="eastAsia"/>
          <w:b w:val="0"/>
          <w:i w:val="0"/>
          <w:caps w:val="0"/>
          <w:spacing w:val="0"/>
          <w:w w:val="100"/>
          <w:sz w:val="21"/>
          <w:lang w:val="en-US" w:eastAsia="zh-CN"/>
        </w:rPr>
        <w:t xml:space="preserve"> </w:t>
      </w:r>
    </w:p>
    <w:p w14:paraId="63EAF95F">
      <w:pPr>
        <w:snapToGrid/>
        <w:spacing w:before="0" w:beforeAutospacing="0" w:after="0" w:afterAutospacing="0" w:line="240" w:lineRule="auto"/>
        <w:jc w:val="both"/>
        <w:textAlignment w:val="baseline"/>
        <w:rPr>
          <w:b w:val="0"/>
          <w:i w:val="0"/>
          <w:caps w:val="0"/>
          <w:spacing w:val="0"/>
          <w:w w:val="100"/>
          <w:sz w:val="20"/>
        </w:rPr>
      </w:pPr>
    </w:p>
    <w:p w14:paraId="38DD1D8A">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0D47A8B8">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7B36C67A">
      <w:pPr>
        <w:snapToGrid/>
        <w:spacing w:before="0" w:beforeAutospacing="0" w:after="0" w:afterAutospacing="0" w:line="240" w:lineRule="auto"/>
        <w:jc w:val="both"/>
        <w:textAlignment w:val="baseline"/>
        <w:rPr>
          <w:rFonts w:ascii="黑体" w:hAnsi="Times New Roman" w:eastAsia="黑体" w:cs="Times New Roman"/>
          <w:b w:val="0"/>
          <w:i w:val="0"/>
          <w:caps w:val="0"/>
          <w:spacing w:val="0"/>
          <w:w w:val="100"/>
          <w:sz w:val="48"/>
          <w:szCs w:val="48"/>
        </w:rPr>
      </w:pPr>
      <w:r>
        <w:rPr>
          <w:rFonts w:hint="eastAsia" w:ascii="黑体" w:hAnsi="Times New Roman" w:eastAsia="黑体" w:cs="Times New Roman"/>
          <w:b w:val="0"/>
          <w:i w:val="0"/>
          <w:caps w:val="0"/>
          <w:spacing w:val="0"/>
          <w:w w:val="100"/>
          <w:sz w:val="48"/>
          <w:szCs w:val="48"/>
        </w:rPr>
        <w:br w:type="page"/>
      </w:r>
    </w:p>
    <w:p w14:paraId="4C8BD7B9">
      <w:pPr>
        <w:tabs>
          <w:tab w:val="left" w:pos="2728"/>
        </w:tabs>
        <w:snapToGrid/>
        <w:spacing w:before="0" w:beforeAutospacing="0" w:after="0" w:afterAutospacing="0" w:line="240" w:lineRule="auto"/>
        <w:jc w:val="both"/>
        <w:textAlignment w:val="baseline"/>
        <w:rPr>
          <w:rFonts w:ascii="黑体" w:hAnsi="Times New Roman" w:eastAsia="黑体" w:cs="Times New Roman"/>
          <w:b w:val="0"/>
          <w:i w:val="0"/>
          <w:caps w:val="0"/>
          <w:spacing w:val="0"/>
          <w:w w:val="100"/>
          <w:sz w:val="48"/>
          <w:szCs w:val="48"/>
        </w:rPr>
      </w:pPr>
      <w:r>
        <w:rPr>
          <w:rFonts w:hint="eastAsia" w:ascii="黑体" w:hAnsi="Times New Roman" w:eastAsia="黑体" w:cs="Times New Roman"/>
          <w:b w:val="0"/>
          <w:i w:val="0"/>
          <w:caps w:val="0"/>
          <w:spacing w:val="0"/>
          <w:w w:val="100"/>
          <w:sz w:val="48"/>
          <w:szCs w:val="48"/>
        </w:rPr>
        <w:tab/>
      </w:r>
    </w:p>
    <w:p w14:paraId="3B29771A">
      <w:pPr>
        <w:snapToGrid/>
        <w:spacing w:before="0" w:beforeAutospacing="0" w:after="0" w:afterAutospacing="0" w:line="240" w:lineRule="auto"/>
        <w:jc w:val="both"/>
        <w:textAlignment w:val="baseline"/>
        <w:rPr>
          <w:rFonts w:ascii="黑体" w:hAnsi="黑体" w:eastAsia="黑体" w:cs="黑体"/>
          <w:b w:val="0"/>
          <w:i w:val="0"/>
          <w:caps w:val="0"/>
          <w:spacing w:val="0"/>
          <w:w w:val="100"/>
          <w:sz w:val="56"/>
          <w:szCs w:val="72"/>
        </w:rPr>
      </w:pPr>
    </w:p>
    <w:p w14:paraId="7C18CDBA">
      <w:pPr>
        <w:snapToGrid/>
        <w:spacing w:before="0" w:beforeAutospacing="0" w:after="0" w:afterAutospacing="0" w:line="240" w:lineRule="auto"/>
        <w:jc w:val="both"/>
        <w:textAlignment w:val="baseline"/>
        <w:rPr>
          <w:rFonts w:ascii="黑体" w:hAnsi="黑体" w:eastAsia="黑体" w:cs="黑体"/>
          <w:b/>
          <w:bCs/>
          <w:i w:val="0"/>
          <w:caps w:val="0"/>
          <w:spacing w:val="0"/>
          <w:w w:val="100"/>
          <w:sz w:val="72"/>
          <w:szCs w:val="96"/>
        </w:rPr>
      </w:pPr>
      <w:r>
        <w:rPr>
          <w:rFonts w:hint="eastAsia" w:ascii="黑体" w:hAnsi="黑体" w:eastAsia="黑体" w:cs="黑体"/>
          <w:b/>
          <w:bCs/>
          <w:i w:val="0"/>
          <w:caps w:val="0"/>
          <w:spacing w:val="0"/>
          <w:w w:val="100"/>
          <w:sz w:val="72"/>
          <w:szCs w:val="96"/>
        </w:rPr>
        <w:t>2019年度部门决算公开文本</w:t>
      </w:r>
    </w:p>
    <w:p w14:paraId="0A913D3A">
      <w:pPr>
        <w:snapToGrid/>
        <w:spacing w:before="0" w:beforeAutospacing="0" w:after="0" w:afterAutospacing="0" w:line="360" w:lineRule="auto"/>
        <w:jc w:val="center"/>
        <w:textAlignment w:val="baseline"/>
        <w:rPr>
          <w:rFonts w:ascii="黑体" w:hAnsi="黑体" w:eastAsia="黑体" w:cs="黑体"/>
          <w:b w:val="0"/>
          <w:i w:val="0"/>
          <w:caps w:val="0"/>
          <w:spacing w:val="0"/>
          <w:w w:val="100"/>
          <w:sz w:val="56"/>
          <w:szCs w:val="72"/>
        </w:rPr>
      </w:pPr>
    </w:p>
    <w:p w14:paraId="7ADA83C7">
      <w:pPr>
        <w:snapToGrid/>
        <w:spacing w:before="0" w:beforeAutospacing="0" w:after="0" w:afterAutospacing="0" w:line="600" w:lineRule="auto"/>
        <w:jc w:val="center"/>
        <w:textAlignment w:val="baseline"/>
        <w:rPr>
          <w:rFonts w:ascii="黑体" w:hAnsi="黑体" w:eastAsia="黑体" w:cs="黑体"/>
          <w:b w:val="0"/>
          <w:i w:val="0"/>
          <w:caps w:val="0"/>
          <w:spacing w:val="0"/>
          <w:w w:val="100"/>
          <w:sz w:val="56"/>
          <w:szCs w:val="72"/>
        </w:rPr>
      </w:pPr>
    </w:p>
    <w:p w14:paraId="6254093F">
      <w:pPr>
        <w:snapToGrid/>
        <w:spacing w:before="0" w:beforeAutospacing="0" w:after="0" w:afterAutospacing="0" w:line="600" w:lineRule="auto"/>
        <w:jc w:val="center"/>
        <w:textAlignment w:val="baseline"/>
        <w:rPr>
          <w:rFonts w:ascii="黑体" w:hAnsi="黑体" w:eastAsia="黑体" w:cs="黑体"/>
          <w:b w:val="0"/>
          <w:i w:val="0"/>
          <w:caps w:val="0"/>
          <w:spacing w:val="0"/>
          <w:w w:val="100"/>
          <w:sz w:val="56"/>
          <w:szCs w:val="72"/>
        </w:rPr>
      </w:pPr>
    </w:p>
    <w:p w14:paraId="54E90CDA">
      <w:pPr>
        <w:snapToGrid/>
        <w:spacing w:before="0" w:beforeAutospacing="0" w:after="0" w:afterAutospacing="0" w:line="600" w:lineRule="auto"/>
        <w:jc w:val="center"/>
        <w:textAlignment w:val="baseline"/>
        <w:rPr>
          <w:rFonts w:ascii="黑体" w:hAnsi="黑体" w:eastAsia="黑体" w:cs="黑体"/>
          <w:b w:val="0"/>
          <w:i w:val="0"/>
          <w:caps w:val="0"/>
          <w:spacing w:val="0"/>
          <w:w w:val="100"/>
          <w:sz w:val="56"/>
          <w:szCs w:val="72"/>
        </w:rPr>
      </w:pPr>
    </w:p>
    <w:p w14:paraId="72F2FD31">
      <w:pPr>
        <w:snapToGrid/>
        <w:spacing w:before="0" w:beforeAutospacing="0" w:after="0" w:afterAutospacing="0" w:line="600" w:lineRule="auto"/>
        <w:jc w:val="center"/>
        <w:textAlignment w:val="baseline"/>
        <w:rPr>
          <w:rFonts w:ascii="黑体" w:hAnsi="黑体" w:eastAsia="黑体" w:cs="黑体"/>
          <w:b w:val="0"/>
          <w:i w:val="0"/>
          <w:caps w:val="0"/>
          <w:spacing w:val="0"/>
          <w:w w:val="100"/>
          <w:sz w:val="56"/>
          <w:szCs w:val="72"/>
        </w:rPr>
      </w:pPr>
    </w:p>
    <w:p w14:paraId="1F7D7A6E">
      <w:pPr>
        <w:snapToGrid/>
        <w:spacing w:before="0" w:beforeAutospacing="0" w:after="0" w:afterAutospacing="0" w:line="480" w:lineRule="auto"/>
        <w:jc w:val="center"/>
        <w:textAlignment w:val="baseline"/>
        <w:rPr>
          <w:rFonts w:ascii="黑体" w:hAnsi="黑体" w:eastAsia="黑体" w:cs="黑体"/>
          <w:b w:val="0"/>
          <w:i w:val="0"/>
          <w:caps w:val="0"/>
          <w:spacing w:val="0"/>
          <w:w w:val="100"/>
          <w:sz w:val="56"/>
          <w:szCs w:val="72"/>
        </w:rPr>
      </w:pPr>
    </w:p>
    <w:p w14:paraId="31EFD91D">
      <w:pPr>
        <w:snapToGrid/>
        <w:spacing w:before="0" w:beforeAutospacing="0" w:after="0" w:afterAutospacing="0" w:line="480" w:lineRule="auto"/>
        <w:jc w:val="center"/>
        <w:textAlignment w:val="baseline"/>
        <w:rPr>
          <w:rFonts w:ascii="黑体" w:hAnsi="黑体" w:eastAsia="黑体" w:cs="黑体"/>
          <w:b w:val="0"/>
          <w:i w:val="0"/>
          <w:caps w:val="0"/>
          <w:spacing w:val="0"/>
          <w:w w:val="100"/>
          <w:sz w:val="56"/>
          <w:szCs w:val="72"/>
        </w:rPr>
      </w:pPr>
    </w:p>
    <w:p w14:paraId="46B5C1ED">
      <w:pPr>
        <w:snapToGrid w:val="0"/>
        <w:spacing w:before="0" w:beforeAutospacing="0" w:after="0" w:afterAutospacing="0" w:line="240" w:lineRule="auto"/>
        <w:ind w:firstLine="2640" w:firstLineChars="600"/>
        <w:jc w:val="both"/>
        <w:textAlignment w:val="baseline"/>
        <w:rPr>
          <w:rFonts w:hint="eastAsia" w:ascii="楷体_GB2312" w:hAnsi="楷体_GB2312" w:eastAsia="楷体_GB2312" w:cs="楷体_GB2312"/>
          <w:b w:val="0"/>
          <w:i w:val="0"/>
          <w:caps w:val="0"/>
          <w:color w:val="000000" w:themeColor="text1"/>
          <w:spacing w:val="0"/>
          <w:w w:val="100"/>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rPr>
      </w:pPr>
    </w:p>
    <w:p w14:paraId="617F2882">
      <w:pPr>
        <w:snapToGrid w:val="0"/>
        <w:spacing w:before="0" w:beforeAutospacing="0" w:after="0" w:afterAutospacing="0" w:line="240" w:lineRule="auto"/>
        <w:ind w:firstLine="2640" w:firstLineChars="600"/>
        <w:jc w:val="both"/>
        <w:textAlignment w:val="baseline"/>
        <w:rPr>
          <w:rFonts w:hint="eastAsia" w:ascii="楷体_GB2312" w:hAnsi="楷体_GB2312" w:eastAsia="楷体_GB2312" w:cs="楷体_GB2312"/>
          <w:b w:val="0"/>
          <w:i w:val="0"/>
          <w:caps w:val="0"/>
          <w:color w:val="000000" w:themeColor="text1"/>
          <w:spacing w:val="0"/>
          <w:w w:val="100"/>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rPr>
      </w:pPr>
    </w:p>
    <w:p w14:paraId="29059EAB">
      <w:pPr>
        <w:snapToGrid w:val="0"/>
        <w:spacing w:before="0" w:beforeAutospacing="0" w:after="0" w:afterAutospacing="0" w:line="240" w:lineRule="auto"/>
        <w:ind w:firstLine="2640" w:firstLineChars="600"/>
        <w:jc w:val="both"/>
        <w:textAlignment w:val="baseline"/>
        <w:rPr>
          <w:rFonts w:hint="eastAsia" w:ascii="楷体_GB2312" w:hAnsi="楷体_GB2312" w:eastAsia="楷体_GB2312" w:cs="楷体_GB2312"/>
          <w:b w:val="0"/>
          <w:i w:val="0"/>
          <w:caps w:val="0"/>
          <w:color w:val="000000" w:themeColor="text1"/>
          <w:spacing w:val="0"/>
          <w:w w:val="100"/>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rPr>
      </w:pPr>
    </w:p>
    <w:p w14:paraId="75AC8408">
      <w:pPr>
        <w:snapToGrid w:val="0"/>
        <w:spacing w:before="0" w:beforeAutospacing="0" w:after="0" w:afterAutospacing="0" w:line="240" w:lineRule="auto"/>
        <w:jc w:val="center"/>
        <w:textAlignment w:val="baseline"/>
        <w:rPr>
          <w:rFonts w:hint="eastAsia" w:ascii="楷体_GB2312" w:hAnsi="楷体_GB2312" w:eastAsia="楷体_GB2312" w:cs="楷体_GB2312"/>
          <w:b w:val="0"/>
          <w:i w:val="0"/>
          <w:caps w:val="0"/>
          <w:color w:val="000000" w:themeColor="text1"/>
          <w:spacing w:val="0"/>
          <w:w w:val="100"/>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rPr>
      </w:pPr>
      <w:r>
        <w:rPr>
          <w:rFonts w:hint="eastAsia" w:ascii="楷体_GB2312" w:hAnsi="楷体_GB2312" w:eastAsia="楷体_GB2312" w:cs="楷体_GB2312"/>
          <w:b w:val="0"/>
          <w:i w:val="0"/>
          <w:caps w:val="0"/>
          <w:color w:val="000000" w:themeColor="text1"/>
          <w:spacing w:val="0"/>
          <w:w w:val="100"/>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rPr>
        <w:t>高邑县行政审批局</w:t>
      </w:r>
    </w:p>
    <w:p w14:paraId="5EFF54CC">
      <w:pPr>
        <w:snapToGrid w:val="0"/>
        <w:spacing w:before="0" w:beforeAutospacing="0" w:after="0" w:afterAutospacing="0" w:line="240" w:lineRule="auto"/>
        <w:jc w:val="center"/>
        <w:textAlignment w:val="baseline"/>
        <w:rPr>
          <w:rFonts w:hint="eastAsia" w:ascii="楷体_GB2312" w:hAnsi="楷体_GB2312" w:eastAsia="楷体_GB2312" w:cs="楷体_GB2312"/>
          <w:b w:val="0"/>
          <w:i w:val="0"/>
          <w:caps w:val="0"/>
          <w:color w:val="000000" w:themeColor="text1"/>
          <w:spacing w:val="0"/>
          <w:w w:val="100"/>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b w:val="0"/>
          <w:i w:val="0"/>
          <w:caps w:val="0"/>
          <w:color w:val="000000" w:themeColor="text1"/>
          <w:spacing w:val="0"/>
          <w:w w:val="100"/>
          <w:kern w:val="0"/>
          <w:sz w:val="44"/>
          <w:szCs w:val="44"/>
          <w14:shadow w14:blurRad="38100" w14:dist="19050" w14:dir="2700000" w14:sx="100000" w14:sy="100000" w14:kx="0" w14:ky="0" w14:algn="tl">
            <w14:schemeClr w14:val="dk1">
              <w14:alpha w14:val="60000"/>
            </w14:schemeClr>
          </w14:shadow>
          <w14:textFill>
            <w14:solidFill>
              <w14:schemeClr w14:val="tx1"/>
            </w14:solidFill>
          </w14:textFill>
        </w:rPr>
        <w:t>二〇二〇年</w:t>
      </w:r>
      <w:r>
        <w:rPr>
          <w:rFonts w:hint="eastAsia" w:ascii="楷体_GB2312" w:hAnsi="楷体_GB2312" w:eastAsia="楷体_GB2312" w:cs="楷体_GB2312"/>
          <w:b w:val="0"/>
          <w:i w:val="0"/>
          <w:caps w:val="0"/>
          <w:color w:val="000000" w:themeColor="text1"/>
          <w:spacing w:val="0"/>
          <w:w w:val="100"/>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rPr>
        <w:t>九</w:t>
      </w:r>
      <w:r>
        <w:rPr>
          <w:rFonts w:hint="eastAsia" w:ascii="楷体_GB2312" w:hAnsi="楷体_GB2312" w:eastAsia="楷体_GB2312" w:cs="楷体_GB2312"/>
          <w:b w:val="0"/>
          <w:i w:val="0"/>
          <w:caps w:val="0"/>
          <w:color w:val="000000" w:themeColor="text1"/>
          <w:spacing w:val="0"/>
          <w:w w:val="100"/>
          <w:kern w:val="0"/>
          <w:sz w:val="44"/>
          <w:szCs w:val="44"/>
          <w14:shadow w14:blurRad="38100" w14:dist="19050" w14:dir="2700000" w14:sx="100000" w14:sy="100000" w14:kx="0" w14:ky="0" w14:algn="tl">
            <w14:schemeClr w14:val="dk1">
              <w14:alpha w14:val="60000"/>
            </w14:schemeClr>
          </w14:shadow>
          <w14:textFill>
            <w14:solidFill>
              <w14:schemeClr w14:val="tx1"/>
            </w14:solidFill>
          </w14:textFill>
        </w:rPr>
        <w:t>月</w:t>
      </w:r>
    </w:p>
    <w:p w14:paraId="23178DB4">
      <w:pPr>
        <w:tabs>
          <w:tab w:val="left" w:pos="2728"/>
        </w:tabs>
        <w:snapToGrid/>
        <w:spacing w:before="0" w:beforeAutospacing="0" w:after="0" w:afterAutospacing="0" w:line="240" w:lineRule="auto"/>
        <w:jc w:val="center"/>
        <w:textAlignment w:val="baseline"/>
        <w:rPr>
          <w:rFonts w:ascii="黑体" w:hAnsi="Times New Roman" w:eastAsia="黑体" w:cs="Times New Roman"/>
          <w:b w:val="0"/>
          <w:i w:val="0"/>
          <w:caps w:val="0"/>
          <w:spacing w:val="0"/>
          <w:w w:val="100"/>
          <w:sz w:val="48"/>
          <w:szCs w:val="48"/>
        </w:rPr>
      </w:pPr>
      <w:r>
        <w:rPr>
          <w:rFonts w:hint="eastAsia" w:ascii="黑体" w:hAnsi="Times New Roman" w:eastAsia="黑体" w:cs="Times New Roman"/>
          <w:b w:val="0"/>
          <w:i w:val="0"/>
          <w:caps w:val="0"/>
          <w:spacing w:val="0"/>
          <w:w w:val="100"/>
          <w:sz w:val="48"/>
          <w:szCs w:val="48"/>
        </w:rPr>
        <w:t>目    录</w:t>
      </w:r>
    </w:p>
    <w:p w14:paraId="4402EE0D">
      <w:pPr>
        <w:widowControl/>
        <w:snapToGrid/>
        <w:spacing w:before="0" w:beforeAutospacing="0" w:after="160" w:afterAutospacing="0" w:line="580" w:lineRule="exact"/>
        <w:ind w:firstLine="640" w:firstLineChars="200"/>
        <w:jc w:val="both"/>
        <w:textAlignment w:val="baseline"/>
        <w:rPr>
          <w:rFonts w:ascii="Times New Roman" w:hAnsi="Times New Roman" w:eastAsia="黑体" w:cs="Times New Roman"/>
          <w:b w:val="0"/>
          <w:i w:val="0"/>
          <w:caps w:val="0"/>
          <w:spacing w:val="0"/>
          <w:w w:val="100"/>
          <w:sz w:val="32"/>
          <w:szCs w:val="32"/>
        </w:rPr>
      </w:pPr>
    </w:p>
    <w:p w14:paraId="375A6A5B">
      <w:pPr>
        <w:widowControl/>
        <w:snapToGrid/>
        <w:spacing w:before="0" w:beforeAutospacing="0" w:after="160" w:afterAutospacing="0" w:line="580" w:lineRule="exact"/>
        <w:ind w:firstLine="640" w:firstLineChars="200"/>
        <w:jc w:val="both"/>
        <w:textAlignment w:val="baseline"/>
        <w:rPr>
          <w:rFonts w:ascii="Times New Roman" w:hAnsi="Times New Roman" w:eastAsia="仿宋_GB2312" w:cs="Times New Roman"/>
          <w:b w:val="0"/>
          <w:i w:val="0"/>
          <w:caps w:val="0"/>
          <w:spacing w:val="0"/>
          <w:w w:val="100"/>
          <w:sz w:val="24"/>
          <w:szCs w:val="32"/>
        </w:rPr>
      </w:pPr>
      <w:r>
        <w:rPr>
          <w:rFonts w:ascii="Times New Roman" w:hAnsi="Times New Roman" w:eastAsia="黑体" w:cs="Times New Roman"/>
          <w:b w:val="0"/>
          <w:i w:val="0"/>
          <w:caps w:val="0"/>
          <w:spacing w:val="0"/>
          <w:w w:val="100"/>
          <w:sz w:val="32"/>
          <w:szCs w:val="32"/>
        </w:rPr>
        <w:t>第一部分   部门概况</w:t>
      </w:r>
    </w:p>
    <w:p w14:paraId="392A0FE4">
      <w:pPr>
        <w:widowControl/>
        <w:snapToGrid/>
        <w:spacing w:before="0" w:beforeAutospacing="0" w:after="160" w:afterAutospacing="0" w:line="580" w:lineRule="exact"/>
        <w:ind w:firstLine="1273" w:firstLineChars="398"/>
        <w:jc w:val="both"/>
        <w:textAlignment w:val="baseline"/>
        <w:rPr>
          <w:rFonts w:ascii="Times New Roman" w:hAnsi="Times New Roman" w:eastAsia="仿宋_GB2312" w:cs="Times New Roman"/>
          <w:b w:val="0"/>
          <w:i w:val="0"/>
          <w:caps w:val="0"/>
          <w:spacing w:val="0"/>
          <w:w w:val="100"/>
          <w:sz w:val="32"/>
          <w:szCs w:val="32"/>
        </w:rPr>
      </w:pPr>
      <w:r>
        <w:rPr>
          <w:rFonts w:ascii="Times New Roman" w:hAnsi="Times New Roman" w:eastAsia="仿宋_GB2312" w:cs="Times New Roman"/>
          <w:b w:val="0"/>
          <w:i w:val="0"/>
          <w:caps w:val="0"/>
          <w:spacing w:val="0"/>
          <w:w w:val="100"/>
          <w:sz w:val="32"/>
          <w:szCs w:val="32"/>
        </w:rPr>
        <w:t>一、部门</w:t>
      </w:r>
      <w:r>
        <w:rPr>
          <w:rFonts w:hint="eastAsia" w:ascii="Times New Roman" w:hAnsi="Times New Roman" w:eastAsia="仿宋_GB2312" w:cs="Times New Roman"/>
          <w:b w:val="0"/>
          <w:i w:val="0"/>
          <w:caps w:val="0"/>
          <w:spacing w:val="0"/>
          <w:w w:val="100"/>
          <w:sz w:val="32"/>
          <w:szCs w:val="32"/>
        </w:rPr>
        <w:t>职责</w:t>
      </w:r>
    </w:p>
    <w:p w14:paraId="2FF7D0A8">
      <w:pPr>
        <w:widowControl/>
        <w:snapToGrid/>
        <w:spacing w:before="0" w:beforeAutospacing="0" w:after="160" w:afterAutospacing="0" w:line="580" w:lineRule="exact"/>
        <w:ind w:firstLine="1273" w:firstLineChars="398"/>
        <w:jc w:val="both"/>
        <w:textAlignment w:val="baseline"/>
        <w:rPr>
          <w:rFonts w:ascii="Times New Roman" w:hAnsi="Times New Roman" w:eastAsia="仿宋_GB2312" w:cs="Times New Roman"/>
          <w:b w:val="0"/>
          <w:i w:val="0"/>
          <w:caps w:val="0"/>
          <w:spacing w:val="0"/>
          <w:w w:val="100"/>
          <w:sz w:val="32"/>
          <w:szCs w:val="32"/>
        </w:rPr>
      </w:pPr>
      <w:r>
        <w:rPr>
          <w:rFonts w:ascii="Times New Roman" w:hAnsi="Times New Roman" w:eastAsia="仿宋_GB2312" w:cs="Times New Roman"/>
          <w:b w:val="0"/>
          <w:i w:val="0"/>
          <w:caps w:val="0"/>
          <w:spacing w:val="0"/>
          <w:w w:val="100"/>
          <w:sz w:val="32"/>
          <w:szCs w:val="32"/>
        </w:rPr>
        <w:t>二、</w:t>
      </w:r>
      <w:r>
        <w:rPr>
          <w:rFonts w:hint="eastAsia" w:ascii="Times New Roman" w:hAnsi="Times New Roman" w:eastAsia="仿宋_GB2312" w:cs="Times New Roman"/>
          <w:b w:val="0"/>
          <w:i w:val="0"/>
          <w:caps w:val="0"/>
          <w:spacing w:val="0"/>
          <w:w w:val="100"/>
          <w:sz w:val="32"/>
          <w:szCs w:val="32"/>
        </w:rPr>
        <w:t>机构设置</w:t>
      </w:r>
    </w:p>
    <w:p w14:paraId="2068A060">
      <w:pPr>
        <w:widowControl/>
        <w:snapToGrid/>
        <w:spacing w:before="0" w:beforeAutospacing="0" w:after="160" w:afterAutospacing="0" w:line="580" w:lineRule="exact"/>
        <w:ind w:firstLine="640" w:firstLineChars="200"/>
        <w:jc w:val="both"/>
        <w:textAlignment w:val="baseline"/>
        <w:rPr>
          <w:rFonts w:ascii="Times New Roman" w:hAnsi="Times New Roman" w:eastAsia="黑体" w:cs="Times New Roman"/>
          <w:b w:val="0"/>
          <w:i w:val="0"/>
          <w:caps w:val="0"/>
          <w:spacing w:val="0"/>
          <w:w w:val="100"/>
          <w:sz w:val="32"/>
          <w:szCs w:val="32"/>
        </w:rPr>
      </w:pPr>
      <w:r>
        <w:rPr>
          <w:rFonts w:ascii="Times New Roman" w:hAnsi="Times New Roman" w:eastAsia="黑体" w:cs="Times New Roman"/>
          <w:b w:val="0"/>
          <w:i w:val="0"/>
          <w:caps w:val="0"/>
          <w:spacing w:val="0"/>
          <w:w w:val="100"/>
          <w:sz w:val="32"/>
          <w:szCs w:val="32"/>
        </w:rPr>
        <w:t>第二部分   201</w:t>
      </w:r>
      <w:r>
        <w:rPr>
          <w:rFonts w:hint="eastAsia" w:ascii="Times New Roman" w:hAnsi="Times New Roman" w:eastAsia="黑体" w:cs="Times New Roman"/>
          <w:b w:val="0"/>
          <w:i w:val="0"/>
          <w:caps w:val="0"/>
          <w:spacing w:val="0"/>
          <w:w w:val="100"/>
          <w:sz w:val="32"/>
          <w:szCs w:val="32"/>
        </w:rPr>
        <w:t>9</w:t>
      </w:r>
      <w:r>
        <w:rPr>
          <w:rFonts w:ascii="Times New Roman" w:hAnsi="Times New Roman" w:eastAsia="黑体" w:cs="Times New Roman"/>
          <w:b w:val="0"/>
          <w:i w:val="0"/>
          <w:caps w:val="0"/>
          <w:spacing w:val="0"/>
          <w:w w:val="100"/>
          <w:sz w:val="32"/>
          <w:szCs w:val="32"/>
        </w:rPr>
        <w:t>年部门决算情况说明</w:t>
      </w:r>
    </w:p>
    <w:p w14:paraId="21FFE1DF">
      <w:pPr>
        <w:widowControl/>
        <w:snapToGrid/>
        <w:spacing w:before="0" w:beforeAutospacing="0" w:after="160" w:afterAutospacing="0" w:line="580" w:lineRule="exact"/>
        <w:ind w:left="640" w:firstLine="640" w:firstLineChars="200"/>
        <w:jc w:val="both"/>
        <w:textAlignment w:val="baseline"/>
        <w:rPr>
          <w:rFonts w:ascii="Times New Roman" w:hAnsi="Times New Roman" w:eastAsia="仿宋_GB2312" w:cs="Times New Roman"/>
          <w:b w:val="0"/>
          <w:i w:val="0"/>
          <w:caps w:val="0"/>
          <w:spacing w:val="0"/>
          <w:w w:val="100"/>
          <w:sz w:val="32"/>
          <w:szCs w:val="32"/>
        </w:rPr>
      </w:pPr>
      <w:r>
        <w:rPr>
          <w:rFonts w:ascii="Times New Roman" w:hAnsi="Times New Roman" w:eastAsia="仿宋_GB2312" w:cs="Times New Roman"/>
          <w:b w:val="0"/>
          <w:i w:val="0"/>
          <w:caps w:val="0"/>
          <w:spacing w:val="0"/>
          <w:w w:val="100"/>
          <w:sz w:val="32"/>
          <w:szCs w:val="32"/>
        </w:rPr>
        <w:t>一、收入支出决算总体情况说明</w:t>
      </w:r>
    </w:p>
    <w:p w14:paraId="50800D38">
      <w:pPr>
        <w:widowControl/>
        <w:snapToGrid/>
        <w:spacing w:before="0" w:beforeAutospacing="0" w:after="160" w:afterAutospacing="0" w:line="580" w:lineRule="exact"/>
        <w:ind w:left="640" w:firstLine="640" w:firstLineChars="200"/>
        <w:jc w:val="both"/>
        <w:textAlignment w:val="baseline"/>
        <w:rPr>
          <w:rFonts w:ascii="Times New Roman" w:hAnsi="Times New Roman" w:eastAsia="仿宋_GB2312" w:cs="Times New Roman"/>
          <w:b w:val="0"/>
          <w:i w:val="0"/>
          <w:caps w:val="0"/>
          <w:spacing w:val="0"/>
          <w:w w:val="100"/>
          <w:sz w:val="32"/>
          <w:szCs w:val="32"/>
        </w:rPr>
      </w:pPr>
      <w:r>
        <w:rPr>
          <w:rFonts w:ascii="Times New Roman" w:hAnsi="Times New Roman" w:eastAsia="仿宋_GB2312" w:cs="Times New Roman"/>
          <w:b w:val="0"/>
          <w:i w:val="0"/>
          <w:caps w:val="0"/>
          <w:spacing w:val="0"/>
          <w:w w:val="100"/>
          <w:sz w:val="32"/>
          <w:szCs w:val="32"/>
        </w:rPr>
        <w:t>二、收入决算情况说明</w:t>
      </w:r>
    </w:p>
    <w:p w14:paraId="1708E58A">
      <w:pPr>
        <w:widowControl/>
        <w:snapToGrid/>
        <w:spacing w:before="0" w:beforeAutospacing="0" w:after="160" w:afterAutospacing="0" w:line="580" w:lineRule="exact"/>
        <w:ind w:left="640" w:firstLine="640" w:firstLineChars="200"/>
        <w:jc w:val="both"/>
        <w:textAlignment w:val="baseline"/>
        <w:rPr>
          <w:rFonts w:ascii="Times New Roman" w:hAnsi="Times New Roman" w:eastAsia="仿宋_GB2312" w:cs="Times New Roman"/>
          <w:b w:val="0"/>
          <w:i w:val="0"/>
          <w:caps w:val="0"/>
          <w:spacing w:val="0"/>
          <w:w w:val="100"/>
          <w:sz w:val="32"/>
          <w:szCs w:val="32"/>
        </w:rPr>
      </w:pPr>
      <w:r>
        <w:rPr>
          <w:rFonts w:ascii="Times New Roman" w:hAnsi="Times New Roman" w:eastAsia="仿宋_GB2312" w:cs="Times New Roman"/>
          <w:b w:val="0"/>
          <w:i w:val="0"/>
          <w:caps w:val="0"/>
          <w:spacing w:val="0"/>
          <w:w w:val="100"/>
          <w:sz w:val="32"/>
          <w:szCs w:val="32"/>
        </w:rPr>
        <w:t>三、支出决算情况说明</w:t>
      </w:r>
    </w:p>
    <w:p w14:paraId="10EDF1AD">
      <w:pPr>
        <w:widowControl/>
        <w:snapToGrid/>
        <w:spacing w:before="0" w:beforeAutospacing="0" w:after="160" w:afterAutospacing="0" w:line="580" w:lineRule="exact"/>
        <w:ind w:left="640" w:firstLine="640" w:firstLineChars="200"/>
        <w:jc w:val="both"/>
        <w:textAlignment w:val="baseline"/>
        <w:rPr>
          <w:rFonts w:ascii="Times New Roman" w:hAnsi="Times New Roman" w:eastAsia="仿宋_GB2312" w:cs="Times New Roman"/>
          <w:b w:val="0"/>
          <w:i w:val="0"/>
          <w:caps w:val="0"/>
          <w:spacing w:val="0"/>
          <w:w w:val="100"/>
          <w:sz w:val="32"/>
          <w:szCs w:val="32"/>
        </w:rPr>
      </w:pPr>
      <w:r>
        <w:rPr>
          <w:rFonts w:ascii="Times New Roman" w:hAnsi="Times New Roman" w:eastAsia="仿宋_GB2312" w:cs="Times New Roman"/>
          <w:b w:val="0"/>
          <w:i w:val="0"/>
          <w:caps w:val="0"/>
          <w:spacing w:val="0"/>
          <w:w w:val="100"/>
          <w:sz w:val="32"/>
          <w:szCs w:val="32"/>
        </w:rPr>
        <w:t>四、财政拨款收入支出决算总体情况说明</w:t>
      </w:r>
    </w:p>
    <w:p w14:paraId="787B2BFB">
      <w:pPr>
        <w:widowControl/>
        <w:snapToGrid/>
        <w:spacing w:before="0" w:beforeAutospacing="0" w:after="160" w:afterAutospacing="0" w:line="580" w:lineRule="exact"/>
        <w:ind w:left="640" w:firstLine="640" w:firstLineChars="200"/>
        <w:jc w:val="both"/>
        <w:textAlignment w:val="baseline"/>
        <w:rPr>
          <w:rFonts w:ascii="Times New Roman" w:hAnsi="Times New Roman" w:eastAsia="仿宋_GB2312" w:cs="Times New Roman"/>
          <w:b w:val="0"/>
          <w:i w:val="0"/>
          <w:caps w:val="0"/>
          <w:spacing w:val="0"/>
          <w:w w:val="100"/>
          <w:sz w:val="32"/>
          <w:szCs w:val="32"/>
        </w:rPr>
      </w:pPr>
      <w:r>
        <w:rPr>
          <w:rFonts w:hint="eastAsia" w:ascii="Times New Roman" w:hAnsi="Times New Roman" w:eastAsia="仿宋_GB2312" w:cs="Times New Roman"/>
          <w:b w:val="0"/>
          <w:i w:val="0"/>
          <w:caps w:val="0"/>
          <w:spacing w:val="0"/>
          <w:w w:val="100"/>
          <w:sz w:val="32"/>
          <w:szCs w:val="32"/>
        </w:rPr>
        <w:t>五、一般公共预算</w:t>
      </w:r>
      <w:r>
        <w:rPr>
          <w:rFonts w:ascii="Times New Roman" w:hAnsi="Times New Roman" w:eastAsia="仿宋_GB2312" w:cs="Times New Roman"/>
          <w:b w:val="0"/>
          <w:i w:val="0"/>
          <w:caps w:val="0"/>
          <w:spacing w:val="0"/>
          <w:w w:val="100"/>
          <w:sz w:val="32"/>
          <w:szCs w:val="32"/>
        </w:rPr>
        <w:t>“三公”经费支出决算情况说明</w:t>
      </w:r>
    </w:p>
    <w:p w14:paraId="6686ADD2">
      <w:pPr>
        <w:widowControl/>
        <w:snapToGrid/>
        <w:spacing w:before="0" w:beforeAutospacing="0" w:after="160" w:afterAutospacing="0" w:line="580" w:lineRule="exact"/>
        <w:ind w:left="640" w:firstLine="640" w:firstLineChars="200"/>
        <w:jc w:val="both"/>
        <w:textAlignment w:val="baseline"/>
        <w:rPr>
          <w:rFonts w:ascii="Times New Roman" w:hAnsi="Times New Roman" w:eastAsia="仿宋_GB2312" w:cs="Times New Roman"/>
          <w:b w:val="0"/>
          <w:i w:val="0"/>
          <w:caps w:val="0"/>
          <w:spacing w:val="0"/>
          <w:w w:val="100"/>
          <w:sz w:val="32"/>
          <w:szCs w:val="32"/>
        </w:rPr>
      </w:pPr>
      <w:r>
        <w:rPr>
          <w:rFonts w:hint="eastAsia" w:ascii="Times New Roman" w:hAnsi="Times New Roman" w:eastAsia="仿宋_GB2312" w:cs="Times New Roman"/>
          <w:b w:val="0"/>
          <w:i w:val="0"/>
          <w:caps w:val="0"/>
          <w:spacing w:val="0"/>
          <w:w w:val="100"/>
          <w:sz w:val="32"/>
          <w:szCs w:val="32"/>
        </w:rPr>
        <w:t>六</w:t>
      </w:r>
      <w:r>
        <w:rPr>
          <w:rFonts w:ascii="Times New Roman" w:hAnsi="Times New Roman" w:eastAsia="仿宋_GB2312" w:cs="Times New Roman"/>
          <w:b w:val="0"/>
          <w:i w:val="0"/>
          <w:caps w:val="0"/>
          <w:spacing w:val="0"/>
          <w:w w:val="100"/>
          <w:sz w:val="32"/>
          <w:szCs w:val="32"/>
        </w:rPr>
        <w:t>、预算绩效情况说明</w:t>
      </w:r>
    </w:p>
    <w:p w14:paraId="4942F63A">
      <w:pPr>
        <w:widowControl/>
        <w:snapToGrid/>
        <w:spacing w:before="0" w:beforeAutospacing="0" w:after="160" w:afterAutospacing="0" w:line="580" w:lineRule="exact"/>
        <w:ind w:left="640" w:firstLine="640" w:firstLineChars="200"/>
        <w:jc w:val="both"/>
        <w:textAlignment w:val="baseline"/>
        <w:rPr>
          <w:rFonts w:ascii="Times New Roman" w:hAnsi="Times New Roman" w:eastAsia="仿宋_GB2312" w:cs="Times New Roman"/>
          <w:b w:val="0"/>
          <w:i w:val="0"/>
          <w:caps w:val="0"/>
          <w:spacing w:val="0"/>
          <w:w w:val="100"/>
          <w:sz w:val="32"/>
          <w:szCs w:val="32"/>
        </w:rPr>
      </w:pPr>
      <w:r>
        <w:rPr>
          <w:rFonts w:hint="eastAsia" w:ascii="Times New Roman" w:hAnsi="Times New Roman" w:eastAsia="仿宋_GB2312" w:cs="Times New Roman"/>
          <w:b w:val="0"/>
          <w:i w:val="0"/>
          <w:caps w:val="0"/>
          <w:spacing w:val="0"/>
          <w:w w:val="100"/>
          <w:sz w:val="32"/>
          <w:szCs w:val="32"/>
        </w:rPr>
        <w:t>七</w:t>
      </w:r>
      <w:r>
        <w:rPr>
          <w:rFonts w:ascii="Times New Roman" w:hAnsi="Times New Roman" w:eastAsia="仿宋_GB2312" w:cs="Times New Roman"/>
          <w:b w:val="0"/>
          <w:i w:val="0"/>
          <w:caps w:val="0"/>
          <w:spacing w:val="0"/>
          <w:w w:val="100"/>
          <w:sz w:val="32"/>
          <w:szCs w:val="32"/>
        </w:rPr>
        <w:t>、其他重要事项的说明</w:t>
      </w:r>
    </w:p>
    <w:p w14:paraId="06462F7A">
      <w:pPr>
        <w:widowControl/>
        <w:snapToGrid/>
        <w:spacing w:before="0" w:beforeAutospacing="0" w:after="160" w:afterAutospacing="0" w:line="580" w:lineRule="exact"/>
        <w:ind w:firstLine="640" w:firstLineChars="200"/>
        <w:jc w:val="both"/>
        <w:textAlignment w:val="baseline"/>
        <w:rPr>
          <w:rFonts w:ascii="Times New Roman" w:hAnsi="Times New Roman" w:eastAsia="黑体" w:cs="Times New Roman"/>
          <w:b w:val="0"/>
          <w:i w:val="0"/>
          <w:caps w:val="0"/>
          <w:spacing w:val="0"/>
          <w:w w:val="100"/>
          <w:sz w:val="32"/>
          <w:szCs w:val="32"/>
        </w:rPr>
      </w:pPr>
      <w:r>
        <w:rPr>
          <w:rFonts w:ascii="Times New Roman" w:hAnsi="Times New Roman" w:eastAsia="黑体" w:cs="Times New Roman"/>
          <w:b w:val="0"/>
          <w:i w:val="0"/>
          <w:caps w:val="0"/>
          <w:spacing w:val="0"/>
          <w:w w:val="100"/>
          <w:sz w:val="32"/>
          <w:szCs w:val="32"/>
        </w:rPr>
        <w:t>第三部分</w:t>
      </w:r>
      <w:r>
        <w:rPr>
          <w:rFonts w:hint="eastAsia" w:ascii="Times New Roman" w:hAnsi="Times New Roman" w:eastAsia="黑体" w:cs="Times New Roman"/>
          <w:b w:val="0"/>
          <w:i w:val="0"/>
          <w:caps w:val="0"/>
          <w:spacing w:val="0"/>
          <w:w w:val="100"/>
          <w:sz w:val="32"/>
          <w:szCs w:val="32"/>
        </w:rPr>
        <w:t xml:space="preserve">  </w:t>
      </w:r>
      <w:r>
        <w:rPr>
          <w:rFonts w:ascii="Times New Roman" w:hAnsi="Times New Roman" w:eastAsia="黑体" w:cs="Times New Roman"/>
          <w:b w:val="0"/>
          <w:i w:val="0"/>
          <w:caps w:val="0"/>
          <w:spacing w:val="0"/>
          <w:w w:val="100"/>
          <w:sz w:val="32"/>
          <w:szCs w:val="32"/>
        </w:rPr>
        <w:t>名词解释</w:t>
      </w:r>
    </w:p>
    <w:p w14:paraId="065FA04D">
      <w:pPr>
        <w:widowControl/>
        <w:snapToGrid/>
        <w:spacing w:before="0" w:beforeAutospacing="0" w:after="160" w:afterAutospacing="0" w:line="580" w:lineRule="exact"/>
        <w:ind w:firstLine="640" w:firstLineChars="200"/>
        <w:jc w:val="both"/>
        <w:textAlignment w:val="baseline"/>
        <w:rPr>
          <w:rFonts w:ascii="Times New Roman" w:hAnsi="Times New Roman" w:eastAsia="仿宋_GB2312" w:cs="Times New Roman"/>
          <w:b w:val="0"/>
          <w:i w:val="0"/>
          <w:caps w:val="0"/>
          <w:spacing w:val="0"/>
          <w:w w:val="100"/>
          <w:sz w:val="20"/>
          <w:szCs w:val="32"/>
        </w:rPr>
      </w:pPr>
      <w:r>
        <w:rPr>
          <w:rFonts w:ascii="Times New Roman" w:hAnsi="Times New Roman" w:eastAsia="黑体" w:cs="Times New Roman"/>
          <w:b w:val="0"/>
          <w:i w:val="0"/>
          <w:caps w:val="0"/>
          <w:spacing w:val="0"/>
          <w:w w:val="100"/>
          <w:sz w:val="32"/>
          <w:szCs w:val="32"/>
        </w:rPr>
        <w:t>第</w:t>
      </w:r>
      <w:r>
        <w:rPr>
          <w:rFonts w:hint="eastAsia" w:ascii="Times New Roman" w:hAnsi="Times New Roman" w:eastAsia="黑体" w:cs="Times New Roman"/>
          <w:b w:val="0"/>
          <w:i w:val="0"/>
          <w:caps w:val="0"/>
          <w:spacing w:val="0"/>
          <w:w w:val="100"/>
          <w:sz w:val="32"/>
          <w:szCs w:val="32"/>
        </w:rPr>
        <w:t>四</w:t>
      </w:r>
      <w:r>
        <w:rPr>
          <w:rFonts w:ascii="Times New Roman" w:hAnsi="Times New Roman" w:eastAsia="黑体" w:cs="Times New Roman"/>
          <w:b w:val="0"/>
          <w:i w:val="0"/>
          <w:caps w:val="0"/>
          <w:spacing w:val="0"/>
          <w:w w:val="100"/>
          <w:sz w:val="32"/>
          <w:szCs w:val="32"/>
        </w:rPr>
        <w:t>部分</w:t>
      </w:r>
      <w:r>
        <w:rPr>
          <w:rFonts w:hint="eastAsia" w:ascii="Times New Roman" w:hAnsi="Times New Roman" w:eastAsia="黑体" w:cs="Times New Roman"/>
          <w:b w:val="0"/>
          <w:i w:val="0"/>
          <w:caps w:val="0"/>
          <w:spacing w:val="0"/>
          <w:w w:val="100"/>
          <w:sz w:val="32"/>
          <w:szCs w:val="32"/>
        </w:rPr>
        <w:t xml:space="preserve">  </w:t>
      </w:r>
      <w:r>
        <w:rPr>
          <w:rFonts w:ascii="Times New Roman" w:hAnsi="Times New Roman" w:eastAsia="黑体" w:cs="Times New Roman"/>
          <w:b w:val="0"/>
          <w:i w:val="0"/>
          <w:caps w:val="0"/>
          <w:spacing w:val="0"/>
          <w:w w:val="100"/>
          <w:sz w:val="32"/>
          <w:szCs w:val="32"/>
        </w:rPr>
        <w:t>201</w:t>
      </w:r>
      <w:r>
        <w:rPr>
          <w:rFonts w:hint="eastAsia" w:ascii="Times New Roman" w:hAnsi="Times New Roman" w:eastAsia="黑体" w:cs="Times New Roman"/>
          <w:b w:val="0"/>
          <w:i w:val="0"/>
          <w:caps w:val="0"/>
          <w:spacing w:val="0"/>
          <w:w w:val="100"/>
          <w:sz w:val="32"/>
          <w:szCs w:val="32"/>
        </w:rPr>
        <w:t>9</w:t>
      </w:r>
      <w:r>
        <w:rPr>
          <w:rFonts w:ascii="Times New Roman" w:hAnsi="Times New Roman" w:eastAsia="黑体" w:cs="Times New Roman"/>
          <w:b w:val="0"/>
          <w:i w:val="0"/>
          <w:caps w:val="0"/>
          <w:spacing w:val="0"/>
          <w:w w:val="100"/>
          <w:sz w:val="32"/>
          <w:szCs w:val="32"/>
        </w:rPr>
        <w:t>年度部门决算报表</w:t>
      </w:r>
    </w:p>
    <w:p w14:paraId="1F9B610E">
      <w:pPr>
        <w:widowControl/>
        <w:snapToGrid/>
        <w:spacing w:before="0" w:beforeAutospacing="0" w:after="160" w:afterAutospacing="0" w:line="580" w:lineRule="exact"/>
        <w:ind w:firstLine="640" w:firstLineChars="200"/>
        <w:jc w:val="both"/>
        <w:textAlignment w:val="baseline"/>
        <w:rPr>
          <w:rFonts w:ascii="Times New Roman" w:hAnsi="Times New Roman" w:eastAsia="黑体" w:cs="Times New Roman"/>
          <w:b w:val="0"/>
          <w:i w:val="0"/>
          <w:caps w:val="0"/>
          <w:spacing w:val="0"/>
          <w:w w:val="100"/>
          <w:sz w:val="32"/>
          <w:szCs w:val="32"/>
        </w:rPr>
      </w:pPr>
    </w:p>
    <w:p w14:paraId="2319D3E7">
      <w:pPr>
        <w:widowControl/>
        <w:snapToGrid/>
        <w:spacing w:before="0" w:beforeAutospacing="0" w:after="160" w:afterAutospacing="0" w:line="580" w:lineRule="exact"/>
        <w:ind w:firstLine="640" w:firstLineChars="200"/>
        <w:jc w:val="both"/>
        <w:textAlignment w:val="baseline"/>
        <w:rPr>
          <w:rFonts w:ascii="Times New Roman" w:hAnsi="Times New Roman" w:eastAsia="黑体" w:cs="Times New Roman"/>
          <w:b w:val="0"/>
          <w:i w:val="0"/>
          <w:caps w:val="0"/>
          <w:spacing w:val="0"/>
          <w:w w:val="100"/>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0770A3B1">
      <w:pPr>
        <w:widowControl/>
        <w:snapToGrid/>
        <w:spacing w:before="0" w:beforeAutospacing="0" w:after="0" w:afterAutospacing="0" w:line="580" w:lineRule="exact"/>
        <w:ind w:firstLine="640" w:firstLineChars="200"/>
        <w:jc w:val="both"/>
        <w:textAlignment w:val="baseline"/>
        <w:rPr>
          <w:rFonts w:eastAsia="黑体"/>
          <w:b w:val="0"/>
          <w:i w:val="0"/>
          <w:caps w:val="0"/>
          <w:spacing w:val="0"/>
          <w:w w:val="100"/>
          <w:sz w:val="32"/>
          <w:szCs w:val="32"/>
        </w:rPr>
      </w:pPr>
    </w:p>
    <w:p w14:paraId="634033F8">
      <w:pPr>
        <w:widowControl/>
        <w:snapToGrid/>
        <w:spacing w:before="0" w:beforeAutospacing="0" w:after="0" w:afterAutospacing="0" w:line="580" w:lineRule="exact"/>
        <w:ind w:firstLine="640" w:firstLineChars="200"/>
        <w:jc w:val="both"/>
        <w:textAlignment w:val="baseline"/>
        <w:rPr>
          <w:rFonts w:eastAsia="黑体"/>
          <w:b w:val="0"/>
          <w:i w:val="0"/>
          <w:caps w:val="0"/>
          <w:spacing w:val="0"/>
          <w:w w:val="100"/>
          <w:sz w:val="32"/>
          <w:szCs w:val="32"/>
        </w:rPr>
      </w:pPr>
    </w:p>
    <w:p w14:paraId="28C033D5">
      <w:pPr>
        <w:widowControl/>
        <w:snapToGrid/>
        <w:spacing w:before="0" w:beforeAutospacing="0" w:after="0" w:afterAutospacing="0" w:line="580" w:lineRule="exact"/>
        <w:ind w:firstLine="640" w:firstLineChars="200"/>
        <w:jc w:val="both"/>
        <w:textAlignment w:val="baseline"/>
        <w:rPr>
          <w:rFonts w:eastAsia="黑体"/>
          <w:b w:val="0"/>
          <w:i w:val="0"/>
          <w:caps w:val="0"/>
          <w:spacing w:val="0"/>
          <w:w w:val="100"/>
          <w:sz w:val="32"/>
          <w:szCs w:val="32"/>
        </w:rPr>
      </w:pPr>
    </w:p>
    <w:p w14:paraId="5EC5A52F">
      <w:pPr>
        <w:snapToGrid/>
        <w:spacing w:before="0" w:beforeAutospacing="0" w:after="0" w:afterAutospacing="0" w:line="240" w:lineRule="auto"/>
        <w:jc w:val="both"/>
        <w:textAlignment w:val="baseline"/>
        <w:rPr>
          <w:b w:val="0"/>
          <w:i w:val="0"/>
          <w:caps w:val="0"/>
          <w:spacing w:val="0"/>
          <w:w w:val="100"/>
          <w:sz w:val="20"/>
        </w:rPr>
      </w:pPr>
      <w:r>
        <w:rPr>
          <w:b w:val="0"/>
          <w:i w:val="0"/>
          <w:caps w:val="0"/>
          <w:spacing w:val="0"/>
          <w:w w:val="100"/>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628AEED3">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14:paraId="628AEED3">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rPr>
          <w:b w:val="0"/>
          <w:i w:val="0"/>
          <w:caps w:val="0"/>
          <w:spacing w:val="0"/>
          <w:w w:val="100"/>
          <w:sz w:val="21"/>
        </w:rPr>
        <w:br w:type="page"/>
      </w:r>
    </w:p>
    <w:p w14:paraId="202996E7">
      <w:pPr>
        <w:pStyle w:val="2"/>
        <w:snapToGrid/>
        <w:spacing w:before="0" w:beforeAutospacing="0" w:after="0" w:afterAutospacing="0" w:line="580" w:lineRule="exact"/>
        <w:ind w:firstLine="640" w:firstLineChars="200"/>
        <w:jc w:val="left"/>
        <w:textAlignment w:val="baseline"/>
        <w:rPr>
          <w:rFonts w:ascii="黑体" w:eastAsia="黑体" w:cs="黑体"/>
          <w:b w:val="0"/>
          <w:bCs w:val="0"/>
          <w:i w:val="0"/>
          <w:caps w:val="0"/>
          <w:spacing w:val="0"/>
          <w:w w:val="100"/>
          <w:kern w:val="0"/>
          <w:sz w:val="32"/>
          <w:szCs w:val="32"/>
        </w:rPr>
      </w:pPr>
      <w:r>
        <w:rPr>
          <w:rFonts w:hint="eastAsia" w:ascii="黑体" w:eastAsia="黑体" w:cs="黑体"/>
          <w:b w:val="0"/>
          <w:bCs w:val="0"/>
          <w:i w:val="0"/>
          <w:caps w:val="0"/>
          <w:spacing w:val="0"/>
          <w:w w:val="100"/>
          <w:kern w:val="0"/>
          <w:sz w:val="32"/>
          <w:szCs w:val="32"/>
        </w:rPr>
        <w:t>一、部门职责</w:t>
      </w:r>
    </w:p>
    <w:p w14:paraId="4B82AE91">
      <w:pPr>
        <w:pStyle w:val="11"/>
        <w:keepLines w:val="0"/>
        <w:widowControl w:val="0"/>
        <w:snapToGrid/>
        <w:spacing w:before="0" w:beforeAutospacing="0" w:after="0" w:afterAutospacing="0" w:line="600" w:lineRule="exact"/>
        <w:ind w:left="0" w:leftChars="0" w:right="0" w:firstLine="640"/>
        <w:jc w:val="left"/>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1.行政审批、业务管理：负责项目投资、市场主体登记设立、建设交通、涉农事</w:t>
      </w:r>
      <w:r>
        <w:rPr>
          <w:rFonts w:hint="eastAsia" w:hAnsi="仿宋"/>
          <w:b w:val="0"/>
          <w:i w:val="0"/>
          <w:caps w:val="0"/>
          <w:spacing w:val="0"/>
          <w:w w:val="100"/>
          <w:sz w:val="32"/>
          <w:szCs w:val="32"/>
          <w:lang w:val="en-US" w:eastAsia="zh-CN"/>
        </w:rPr>
        <w:t>务</w:t>
      </w:r>
      <w:r>
        <w:rPr>
          <w:rFonts w:hint="eastAsia" w:ascii="仿宋_GB2312" w:hAnsi="仿宋" w:eastAsia="仿宋_GB2312"/>
          <w:b w:val="0"/>
          <w:i w:val="0"/>
          <w:caps w:val="0"/>
          <w:spacing w:val="0"/>
          <w:w w:val="100"/>
          <w:sz w:val="32"/>
          <w:szCs w:val="32"/>
        </w:rPr>
        <w:t>、社会事务等方面的行政审批相关事项，规范行政审批行为，管理有制度、考核有依据。</w:t>
      </w:r>
    </w:p>
    <w:p w14:paraId="143D593C">
      <w:pPr>
        <w:keepLines w:val="0"/>
        <w:widowControl w:val="0"/>
        <w:snapToGrid/>
        <w:spacing w:before="0" w:beforeAutospacing="0" w:after="0" w:afterAutospacing="0" w:line="600" w:lineRule="exact"/>
        <w:ind w:left="0" w:leftChars="0" w:right="0" w:firstLine="320" w:firstLineChars="10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1</w:t>
      </w:r>
      <w:r>
        <w:rPr>
          <w:rFonts w:hint="eastAsia" w:ascii="仿宋_GB2312" w:hAnsi="仿宋" w:eastAsia="仿宋_GB2312"/>
          <w:b w:val="0"/>
          <w:i w:val="0"/>
          <w:caps w:val="0"/>
          <w:spacing w:val="0"/>
          <w:w w:val="100"/>
          <w:sz w:val="32"/>
          <w:szCs w:val="32"/>
        </w:rPr>
        <w:t>）项目投资：负责招投标核准；负责固定资产投资项目节能评估和审查；负责固定资产投资项目核准和备案；负责重大固定资产投资项目社会稳定风险评估等工作。</w:t>
      </w:r>
    </w:p>
    <w:p w14:paraId="61D38E13">
      <w:pPr>
        <w:keepLines w:val="0"/>
        <w:widowControl w:val="0"/>
        <w:snapToGrid/>
        <w:spacing w:before="0" w:beforeAutospacing="0" w:after="0" w:afterAutospacing="0" w:line="600" w:lineRule="exact"/>
        <w:ind w:left="0" w:leftChars="0" w:right="0" w:firstLine="320" w:firstLineChars="10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2</w:t>
      </w:r>
      <w:r>
        <w:rPr>
          <w:rFonts w:hint="eastAsia" w:ascii="仿宋_GB2312" w:hAnsi="仿宋" w:eastAsia="仿宋_GB2312"/>
          <w:b w:val="0"/>
          <w:i w:val="0"/>
          <w:caps w:val="0"/>
          <w:spacing w:val="0"/>
          <w:w w:val="100"/>
          <w:sz w:val="32"/>
          <w:szCs w:val="32"/>
        </w:rPr>
        <w:t>）市场主体登记设立：负责股权出质设立、变更、注销登记、负责有限责任公司设立、变更、注销登记（含分支机构）的行政许可等审批事项。</w:t>
      </w:r>
    </w:p>
    <w:p w14:paraId="591D16FA">
      <w:pPr>
        <w:keepLines w:val="0"/>
        <w:widowControl w:val="0"/>
        <w:snapToGrid/>
        <w:spacing w:before="0" w:beforeAutospacing="0" w:after="0" w:afterAutospacing="0" w:line="600" w:lineRule="exact"/>
        <w:ind w:left="0" w:leftChars="0" w:right="0" w:firstLine="480" w:firstLineChars="15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3</w:t>
      </w:r>
      <w:r>
        <w:rPr>
          <w:rFonts w:hint="eastAsia" w:ascii="仿宋_GB2312" w:hAnsi="仿宋" w:eastAsia="仿宋_GB2312"/>
          <w:b w:val="0"/>
          <w:i w:val="0"/>
          <w:caps w:val="0"/>
          <w:spacing w:val="0"/>
          <w:w w:val="100"/>
          <w:sz w:val="32"/>
          <w:szCs w:val="32"/>
        </w:rPr>
        <w:t>）建设交通：负责挖掘城市道路审批、负责在城市设置户外广告牌、指示牌、标语牌、画廊、橱窗、霓虹灯、灯箱、旗帜显示屏幕审批等工作。</w:t>
      </w:r>
    </w:p>
    <w:p w14:paraId="191E6562">
      <w:pPr>
        <w:keepLines w:val="0"/>
        <w:widowControl w:val="0"/>
        <w:snapToGrid/>
        <w:spacing w:before="0" w:beforeAutospacing="0" w:after="0" w:afterAutospacing="0" w:line="600" w:lineRule="exact"/>
        <w:ind w:left="0" w:leftChars="0" w:right="0" w:firstLine="56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4</w:t>
      </w:r>
      <w:r>
        <w:rPr>
          <w:rFonts w:hint="eastAsia" w:ascii="仿宋_GB2312" w:hAnsi="仿宋" w:eastAsia="仿宋_GB2312"/>
          <w:b w:val="0"/>
          <w:i w:val="0"/>
          <w:caps w:val="0"/>
          <w:spacing w:val="0"/>
          <w:w w:val="100"/>
          <w:sz w:val="32"/>
          <w:szCs w:val="32"/>
        </w:rPr>
        <w:t>）涉农事务：负责兽药经营许可证、负责动物防疫条件合格证、负责农作物种子生产经营许可证等审批业务。</w:t>
      </w:r>
    </w:p>
    <w:p w14:paraId="6506897A">
      <w:pPr>
        <w:keepLines w:val="0"/>
        <w:widowControl w:val="0"/>
        <w:snapToGrid/>
        <w:spacing w:before="0" w:beforeAutospacing="0" w:after="0" w:afterAutospacing="0" w:line="600" w:lineRule="exact"/>
        <w:ind w:left="0" w:leftChars="0" w:right="0" w:firstLine="56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5</w:t>
      </w:r>
      <w:r>
        <w:rPr>
          <w:rFonts w:hint="eastAsia" w:ascii="仿宋_GB2312" w:hAnsi="仿宋" w:eastAsia="仿宋_GB2312"/>
          <w:b w:val="0"/>
          <w:i w:val="0"/>
          <w:caps w:val="0"/>
          <w:spacing w:val="0"/>
          <w:w w:val="100"/>
          <w:sz w:val="32"/>
          <w:szCs w:val="32"/>
        </w:rPr>
        <w:t>）社会事务：负责学校或者校车服务提供者申请取得校车使用许可、负责民办教育机构设立、负责社会养老服务机构的设立审批等业务。</w:t>
      </w:r>
    </w:p>
    <w:p w14:paraId="2D04B60F">
      <w:pPr>
        <w:keepLines w:val="0"/>
        <w:widowControl w:val="0"/>
        <w:snapToGrid/>
        <w:spacing w:before="0" w:beforeAutospacing="0" w:after="0" w:afterAutospacing="0" w:line="600" w:lineRule="exact"/>
        <w:ind w:left="0" w:leftChars="0" w:right="0" w:firstLine="56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（6）现场勘验：负责所有勘验事项的现场踏勘；负责制定勘验事项的规范性文件；负责现场踏勘和联合踏勘的组织协调工作；负责勘验政策、法律、法规的解释和宣传。</w:t>
      </w:r>
    </w:p>
    <w:p w14:paraId="10EB344F">
      <w:pPr>
        <w:keepLines w:val="0"/>
        <w:widowControl w:val="0"/>
        <w:snapToGrid/>
        <w:spacing w:before="0" w:beforeAutospacing="0" w:after="0" w:afterAutospacing="0" w:line="600" w:lineRule="exact"/>
        <w:ind w:left="0" w:leftChars="0" w:right="0" w:firstLine="56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7）政策法规：负责政务公开信息的制定与发布；推进“互联网+政务服务”；负责法律法规的宣传、教育、培训，行政法规类规范性文件的制定等工作。负责审批事项适用的法律法规条款和前置条件进行梳理、研究，优化环节，压缩时限，并依法进行审批；负责对接省市相关业务主管部门和联系县级相关部门，做好相关法律法规和政策的有效衔接；负责组织接受上级部门依法行政考核工作；负责行政应诉等工作。负责向有关部门推送审批事项信息工作。</w:t>
      </w:r>
      <w:r>
        <w:rPr>
          <w:rFonts w:hint="eastAsia" w:ascii="仿宋_GB2312" w:hAnsi="仿宋" w:eastAsia="仿宋_GB2312"/>
          <w:b w:val="0"/>
          <w:i w:val="0"/>
          <w:caps w:val="0"/>
          <w:spacing w:val="0"/>
          <w:w w:val="100"/>
          <w:sz w:val="32"/>
          <w:szCs w:val="32"/>
        </w:rPr>
        <w:tab/>
      </w:r>
    </w:p>
    <w:p w14:paraId="4FB64B9A">
      <w:pPr>
        <w:keepLines w:val="0"/>
        <w:widowControl w:val="0"/>
        <w:snapToGrid/>
        <w:spacing w:before="0" w:beforeAutospacing="0" w:after="0" w:afterAutospacing="0" w:line="600" w:lineRule="exact"/>
        <w:ind w:left="0" w:leftChars="0" w:right="0" w:firstLine="56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2、办公场所修缮、设备维护：负责对办公场所修缮，各项办公设备的正常运行，保证各进驻窗口正常办公，正常运转。</w:t>
      </w:r>
    </w:p>
    <w:p w14:paraId="11D1C352">
      <w:pPr>
        <w:keepLines w:val="0"/>
        <w:widowControl w:val="0"/>
        <w:snapToGrid/>
        <w:spacing w:before="0" w:beforeAutospacing="0" w:after="0" w:afterAutospacing="0" w:line="600" w:lineRule="exact"/>
        <w:ind w:left="0" w:leftChars="0" w:right="0" w:firstLine="56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3、审批平台、信息化、便民服务体系建设：负责搭建审批平台、建设各级便民服务体系。</w:t>
      </w:r>
    </w:p>
    <w:p w14:paraId="6B49E5D3">
      <w:pPr>
        <w:keepLines w:val="0"/>
        <w:widowControl w:val="0"/>
        <w:snapToGrid/>
        <w:spacing w:before="0" w:beforeAutospacing="0" w:after="0" w:afterAutospacing="0" w:line="600" w:lineRule="exact"/>
        <w:ind w:left="0" w:leftChars="0" w:right="0" w:firstLine="56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4、其他派驻部门人员及事项管理：负责垂直、双重管理及其他部门派驻政务中心的窗口人员及其行政审批事项的规范、管理和监督。</w:t>
      </w:r>
    </w:p>
    <w:p w14:paraId="1DE6F1AD">
      <w:pPr>
        <w:keepLines w:val="0"/>
        <w:widowControl w:val="0"/>
        <w:snapToGrid/>
        <w:spacing w:before="0" w:beforeAutospacing="0" w:after="0" w:afterAutospacing="0" w:line="600" w:lineRule="exact"/>
        <w:ind w:left="0" w:leftChars="0" w:right="0" w:firstLine="56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5、优化环境工作：协助对优化环境工作进行研究，协助县纪委监察局查办破坏发展环境工作案件。</w:t>
      </w:r>
    </w:p>
    <w:p w14:paraId="01EB068B">
      <w:pPr>
        <w:keepLines w:val="0"/>
        <w:widowControl w:val="0"/>
        <w:snapToGrid/>
        <w:spacing w:before="0" w:beforeAutospacing="0" w:after="0" w:afterAutospacing="0" w:line="600" w:lineRule="exact"/>
        <w:ind w:left="0" w:leftChars="0" w:right="0" w:firstLine="56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6、教育培训管理：负责本部门工作人员的教育、培训、管理和绩效考核。</w:t>
      </w:r>
    </w:p>
    <w:p w14:paraId="25E42268">
      <w:pPr>
        <w:keepLines w:val="0"/>
        <w:widowControl w:val="0"/>
        <w:snapToGrid/>
        <w:spacing w:before="0" w:beforeAutospacing="0" w:after="0" w:afterAutospacing="0" w:line="600" w:lineRule="exact"/>
        <w:ind w:left="0" w:leftChars="0" w:right="0" w:firstLine="56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7、公共资源交易管理：为各类公共资源交易活动办理登记、发布信息、提供设施齐全、服务规范的场所。</w:t>
      </w:r>
      <w:r>
        <w:rPr>
          <w:rFonts w:hint="eastAsia" w:ascii="仿宋_GB2312" w:hAnsi="仿宋" w:eastAsia="仿宋_GB2312"/>
          <w:b w:val="0"/>
          <w:i w:val="0"/>
          <w:caps w:val="0"/>
          <w:spacing w:val="0"/>
          <w:w w:val="100"/>
          <w:sz w:val="32"/>
          <w:szCs w:val="32"/>
        </w:rPr>
        <w:tab/>
      </w:r>
    </w:p>
    <w:p w14:paraId="1C9C41EE">
      <w:pPr>
        <w:keepLines/>
        <w:snapToGrid/>
        <w:spacing w:before="0" w:beforeAutospacing="0" w:after="0" w:afterAutospacing="0" w:line="580" w:lineRule="exact"/>
        <w:ind w:firstLine="640" w:firstLineChars="200"/>
        <w:jc w:val="left"/>
        <w:textAlignment w:val="baseline"/>
        <w:rPr>
          <w:rFonts w:ascii="黑体" w:hAnsi="Calibri" w:eastAsia="黑体" w:cs="黑体"/>
          <w:b w:val="0"/>
          <w:i w:val="0"/>
          <w:caps w:val="0"/>
          <w:spacing w:val="0"/>
          <w:w w:val="100"/>
          <w:kern w:val="0"/>
          <w:sz w:val="32"/>
          <w:szCs w:val="32"/>
        </w:rPr>
      </w:pPr>
      <w:r>
        <w:rPr>
          <w:rFonts w:hint="eastAsia" w:ascii="黑体" w:hAnsi="Calibri" w:eastAsia="黑体" w:cs="黑体"/>
          <w:b w:val="0"/>
          <w:i w:val="0"/>
          <w:caps w:val="0"/>
          <w:spacing w:val="0"/>
          <w:w w:val="100"/>
          <w:kern w:val="0"/>
          <w:sz w:val="32"/>
          <w:szCs w:val="32"/>
        </w:rPr>
        <w:t>二、机构设置</w:t>
      </w:r>
    </w:p>
    <w:p w14:paraId="3E902F9B">
      <w:pPr>
        <w:keepLines w:val="0"/>
        <w:widowControl w:val="0"/>
        <w:snapToGrid/>
        <w:spacing w:before="0" w:beforeAutospacing="0" w:after="0" w:afterAutospacing="0" w:line="600" w:lineRule="exact"/>
        <w:ind w:left="0" w:leftChars="0" w:right="0" w:firstLine="56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lang w:eastAsia="zh-CN"/>
        </w:rPr>
        <w:t>从决算编报单位构成看，</w:t>
      </w:r>
      <w:r>
        <w:rPr>
          <w:rFonts w:hint="eastAsia" w:ascii="仿宋_GB2312" w:hAnsi="仿宋" w:eastAsia="仿宋_GB2312"/>
          <w:b w:val="0"/>
          <w:i w:val="0"/>
          <w:caps w:val="0"/>
          <w:spacing w:val="0"/>
          <w:w w:val="100"/>
          <w:sz w:val="32"/>
          <w:szCs w:val="32"/>
        </w:rPr>
        <w:t>纳入</w:t>
      </w:r>
      <w:r>
        <w:rPr>
          <w:rFonts w:hint="eastAsia" w:ascii="仿宋_GB2312" w:hAnsi="仿宋" w:eastAsia="仿宋_GB2312"/>
          <w:b w:val="0"/>
          <w:i w:val="0"/>
          <w:caps w:val="0"/>
          <w:spacing w:val="0"/>
          <w:w w:val="100"/>
          <w:sz w:val="32"/>
          <w:szCs w:val="32"/>
          <w:lang w:val="en-US" w:eastAsia="zh-CN"/>
        </w:rPr>
        <w:t>2019年度</w:t>
      </w:r>
      <w:r>
        <w:rPr>
          <w:rFonts w:hint="eastAsia" w:ascii="仿宋_GB2312" w:hAnsi="仿宋" w:eastAsia="仿宋_GB2312"/>
          <w:b w:val="0"/>
          <w:i w:val="0"/>
          <w:caps w:val="0"/>
          <w:spacing w:val="0"/>
          <w:w w:val="100"/>
          <w:sz w:val="32"/>
          <w:szCs w:val="32"/>
        </w:rPr>
        <w:t>本部门决算汇编范围的独立核算单位（以下简称“单位”）共1个，</w:t>
      </w:r>
      <w:r>
        <w:rPr>
          <w:rFonts w:hint="eastAsia" w:ascii="仿宋_GB2312" w:hAnsi="仿宋" w:eastAsia="仿宋_GB2312"/>
          <w:b w:val="0"/>
          <w:i w:val="0"/>
          <w:caps w:val="0"/>
          <w:spacing w:val="0"/>
          <w:w w:val="100"/>
          <w:sz w:val="32"/>
          <w:szCs w:val="32"/>
          <w:lang w:eastAsia="zh-CN"/>
        </w:rPr>
        <w:t>具体情况如下：</w:t>
      </w:r>
    </w:p>
    <w:p w14:paraId="5C937070">
      <w:pPr>
        <w:snapToGrid/>
        <w:spacing w:before="0" w:beforeAutospacing="0" w:after="0" w:afterAutospacing="0" w:line="560" w:lineRule="exact"/>
        <w:ind w:firstLine="3080" w:firstLineChars="700"/>
        <w:jc w:val="both"/>
        <w:textAlignment w:val="baseline"/>
        <w:rPr>
          <w:rFonts w:ascii="方正小标宋简体" w:hAnsi="仿宋" w:eastAsia="方正小标宋简体" w:cs="ArialUnicodeMS"/>
          <w:b w:val="0"/>
          <w:i w:val="0"/>
          <w:caps w:val="0"/>
          <w:spacing w:val="0"/>
          <w:w w:val="100"/>
          <w:kern w:val="0"/>
          <w:sz w:val="44"/>
          <w:szCs w:val="44"/>
        </w:rPr>
      </w:pPr>
    </w:p>
    <w:p w14:paraId="3FAC65E5">
      <w:pPr>
        <w:snapToGrid/>
        <w:spacing w:before="0" w:beforeAutospacing="0" w:after="0" w:afterAutospacing="0" w:line="560" w:lineRule="exact"/>
        <w:ind w:firstLine="2880" w:firstLineChars="900"/>
        <w:jc w:val="both"/>
        <w:textAlignment w:val="baseline"/>
        <w:rPr>
          <w:rFonts w:ascii="仿宋" w:hAnsi="仿宋" w:eastAsia="仿宋" w:cs="ArialUnicodeMS"/>
          <w:b w:val="0"/>
          <w:i w:val="0"/>
          <w:caps w:val="0"/>
          <w:spacing w:val="0"/>
          <w:w w:val="100"/>
          <w:kern w:val="0"/>
          <w:sz w:val="32"/>
          <w:szCs w:val="32"/>
        </w:rPr>
      </w:pPr>
    </w:p>
    <w:tbl>
      <w:tblPr>
        <w:tblStyle w:val="6"/>
        <w:tblW w:w="81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3608"/>
      </w:tblGrid>
      <w:tr w14:paraId="7D26E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60B082B7">
            <w:pPr>
              <w:snapToGrid/>
              <w:spacing w:before="0" w:beforeAutospacing="0" w:after="0" w:afterAutospacing="0" w:line="560" w:lineRule="exact"/>
              <w:jc w:val="center"/>
              <w:textAlignment w:val="baseline"/>
              <w:rPr>
                <w:rFonts w:ascii="黑体" w:hAnsi="黑体" w:eastAsia="黑体" w:cs="ArialUnicodeMS"/>
                <w:b w:val="0"/>
                <w:i w:val="0"/>
                <w:caps w:val="0"/>
                <w:spacing w:val="0"/>
                <w:w w:val="100"/>
                <w:kern w:val="0"/>
                <w:sz w:val="32"/>
                <w:szCs w:val="32"/>
              </w:rPr>
            </w:pPr>
            <w:r>
              <w:rPr>
                <w:rFonts w:hint="eastAsia" w:ascii="黑体" w:hAnsi="黑体" w:eastAsia="黑体" w:cs="ArialUnicodeMS"/>
                <w:b w:val="0"/>
                <w:i w:val="0"/>
                <w:caps w:val="0"/>
                <w:spacing w:val="0"/>
                <w:w w:val="100"/>
                <w:kern w:val="0"/>
                <w:sz w:val="32"/>
                <w:szCs w:val="32"/>
              </w:rPr>
              <w:t>单位名称</w:t>
            </w:r>
          </w:p>
        </w:tc>
        <w:tc>
          <w:tcPr>
            <w:tcW w:w="2265" w:type="dxa"/>
          </w:tcPr>
          <w:p w14:paraId="30E7FFF3">
            <w:pPr>
              <w:snapToGrid/>
              <w:spacing w:before="0" w:beforeAutospacing="0" w:after="0" w:afterAutospacing="0" w:line="560" w:lineRule="exact"/>
              <w:jc w:val="center"/>
              <w:textAlignment w:val="baseline"/>
              <w:rPr>
                <w:rFonts w:ascii="黑体" w:hAnsi="黑体" w:eastAsia="黑体" w:cs="ArialUnicodeMS"/>
                <w:b w:val="0"/>
                <w:i w:val="0"/>
                <w:caps w:val="0"/>
                <w:spacing w:val="0"/>
                <w:w w:val="100"/>
                <w:kern w:val="0"/>
                <w:sz w:val="32"/>
                <w:szCs w:val="32"/>
              </w:rPr>
            </w:pPr>
            <w:r>
              <w:rPr>
                <w:rFonts w:hint="eastAsia" w:ascii="黑体" w:hAnsi="黑体" w:eastAsia="黑体" w:cs="ArialUnicodeMS"/>
                <w:b w:val="0"/>
                <w:i w:val="0"/>
                <w:caps w:val="0"/>
                <w:spacing w:val="0"/>
                <w:w w:val="100"/>
                <w:kern w:val="0"/>
                <w:sz w:val="32"/>
                <w:szCs w:val="32"/>
              </w:rPr>
              <w:t>单位</w:t>
            </w:r>
            <w:r>
              <w:rPr>
                <w:rFonts w:hint="eastAsia" w:ascii="黑体" w:hAnsi="黑体" w:eastAsia="黑体" w:cs="ArialUnicodeMS"/>
                <w:b w:val="0"/>
                <w:i w:val="0"/>
                <w:caps w:val="0"/>
                <w:spacing w:val="0"/>
                <w:w w:val="100"/>
                <w:kern w:val="0"/>
                <w:sz w:val="32"/>
                <w:szCs w:val="32"/>
                <w:lang w:eastAsia="zh-CN"/>
              </w:rPr>
              <w:t>基本</w:t>
            </w:r>
            <w:r>
              <w:rPr>
                <w:rFonts w:hint="eastAsia" w:ascii="黑体" w:hAnsi="黑体" w:eastAsia="黑体" w:cs="ArialUnicodeMS"/>
                <w:b w:val="0"/>
                <w:i w:val="0"/>
                <w:caps w:val="0"/>
                <w:spacing w:val="0"/>
                <w:w w:val="100"/>
                <w:kern w:val="0"/>
                <w:sz w:val="32"/>
                <w:szCs w:val="32"/>
              </w:rPr>
              <w:t>性质</w:t>
            </w:r>
          </w:p>
        </w:tc>
        <w:tc>
          <w:tcPr>
            <w:tcW w:w="3608" w:type="dxa"/>
          </w:tcPr>
          <w:p w14:paraId="6F1129E4">
            <w:pPr>
              <w:snapToGrid/>
              <w:spacing w:before="0" w:beforeAutospacing="0" w:after="0" w:afterAutospacing="0" w:line="560" w:lineRule="exact"/>
              <w:jc w:val="center"/>
              <w:textAlignment w:val="baseline"/>
              <w:rPr>
                <w:rFonts w:ascii="黑体" w:hAnsi="黑体" w:eastAsia="黑体" w:cs="ArialUnicodeMS"/>
                <w:b w:val="0"/>
                <w:i w:val="0"/>
                <w:caps w:val="0"/>
                <w:spacing w:val="0"/>
                <w:w w:val="100"/>
                <w:kern w:val="0"/>
                <w:sz w:val="32"/>
                <w:szCs w:val="32"/>
              </w:rPr>
            </w:pPr>
            <w:r>
              <w:rPr>
                <w:rFonts w:hint="eastAsia" w:ascii="黑体" w:hAnsi="黑体" w:eastAsia="黑体" w:cs="ArialUnicodeMS"/>
                <w:b w:val="0"/>
                <w:i w:val="0"/>
                <w:caps w:val="0"/>
                <w:spacing w:val="0"/>
                <w:w w:val="100"/>
                <w:kern w:val="0"/>
                <w:sz w:val="32"/>
                <w:szCs w:val="32"/>
              </w:rPr>
              <w:t>经费形式</w:t>
            </w:r>
          </w:p>
        </w:tc>
      </w:tr>
      <w:tr w14:paraId="7941C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0A8921C4">
            <w:pPr>
              <w:snapToGrid/>
              <w:spacing w:before="0" w:beforeAutospacing="0" w:after="0" w:afterAutospacing="0" w:line="560" w:lineRule="exact"/>
              <w:jc w:val="center"/>
              <w:textAlignment w:val="baseline"/>
              <w:rPr>
                <w:rFonts w:hint="eastAsia" w:ascii="仿宋_GB2312" w:hAnsi="仿宋" w:eastAsia="仿宋_GB2312" w:cs="ArialUnicodeMS"/>
                <w:b w:val="0"/>
                <w:i w:val="0"/>
                <w:caps w:val="0"/>
                <w:spacing w:val="0"/>
                <w:w w:val="100"/>
                <w:kern w:val="0"/>
                <w:sz w:val="24"/>
                <w:lang w:eastAsia="zh-CN"/>
              </w:rPr>
            </w:pPr>
            <w:r>
              <w:rPr>
                <w:rFonts w:hint="eastAsia" w:ascii="仿宋_GB2312" w:hAnsi="仿宋" w:eastAsia="仿宋_GB2312" w:cs="ArialUnicodeMS"/>
                <w:b w:val="0"/>
                <w:i w:val="0"/>
                <w:caps w:val="0"/>
                <w:spacing w:val="0"/>
                <w:w w:val="100"/>
                <w:kern w:val="0"/>
                <w:sz w:val="24"/>
              </w:rPr>
              <w:t>高邑县行政审批局</w:t>
            </w:r>
            <w:r>
              <w:rPr>
                <w:rFonts w:hint="eastAsia" w:ascii="仿宋_GB2312" w:hAnsi="仿宋" w:eastAsia="仿宋_GB2312" w:cs="ArialUnicodeMS"/>
                <w:b w:val="0"/>
                <w:i w:val="0"/>
                <w:caps w:val="0"/>
                <w:spacing w:val="0"/>
                <w:w w:val="100"/>
                <w:kern w:val="0"/>
                <w:sz w:val="24"/>
                <w:lang w:eastAsia="zh-CN"/>
              </w:rPr>
              <w:t>（本级）</w:t>
            </w:r>
          </w:p>
        </w:tc>
        <w:tc>
          <w:tcPr>
            <w:tcW w:w="2265" w:type="dxa"/>
          </w:tcPr>
          <w:p w14:paraId="726F64D8">
            <w:pPr>
              <w:snapToGrid/>
              <w:spacing w:before="0" w:beforeAutospacing="0" w:after="0" w:afterAutospacing="0" w:line="560" w:lineRule="exact"/>
              <w:jc w:val="center"/>
              <w:textAlignment w:val="baseline"/>
              <w:rPr>
                <w:rFonts w:hint="eastAsia" w:ascii="仿宋_GB2312" w:hAnsi="仿宋" w:eastAsia="仿宋_GB2312" w:cs="ArialUnicodeMS"/>
                <w:b w:val="0"/>
                <w:i w:val="0"/>
                <w:caps w:val="0"/>
                <w:spacing w:val="0"/>
                <w:w w:val="100"/>
                <w:kern w:val="0"/>
                <w:sz w:val="24"/>
                <w:lang w:eastAsia="zh-CN"/>
              </w:rPr>
            </w:pPr>
            <w:r>
              <w:rPr>
                <w:rFonts w:hint="eastAsia" w:ascii="仿宋_GB2312" w:hAnsi="仿宋" w:eastAsia="仿宋_GB2312" w:cs="ArialUnicodeMS"/>
                <w:b w:val="0"/>
                <w:i w:val="0"/>
                <w:caps w:val="0"/>
                <w:spacing w:val="0"/>
                <w:w w:val="100"/>
                <w:kern w:val="0"/>
                <w:sz w:val="24"/>
              </w:rPr>
              <w:t>行政</w:t>
            </w:r>
            <w:r>
              <w:rPr>
                <w:rFonts w:hint="eastAsia" w:ascii="仿宋_GB2312" w:hAnsi="仿宋" w:eastAsia="仿宋_GB2312" w:cs="ArialUnicodeMS"/>
                <w:b w:val="0"/>
                <w:i w:val="0"/>
                <w:caps w:val="0"/>
                <w:spacing w:val="0"/>
                <w:w w:val="100"/>
                <w:kern w:val="0"/>
                <w:sz w:val="24"/>
                <w:lang w:eastAsia="zh-CN"/>
              </w:rPr>
              <w:t>单位</w:t>
            </w:r>
          </w:p>
        </w:tc>
        <w:tc>
          <w:tcPr>
            <w:tcW w:w="3608" w:type="dxa"/>
          </w:tcPr>
          <w:p w14:paraId="43ECE69D">
            <w:pPr>
              <w:snapToGrid/>
              <w:spacing w:before="0" w:beforeAutospacing="0" w:after="0" w:afterAutospacing="0" w:line="560" w:lineRule="exact"/>
              <w:jc w:val="center"/>
              <w:textAlignment w:val="baseline"/>
              <w:rPr>
                <w:rFonts w:ascii="仿宋_GB2312" w:hAnsi="仿宋" w:eastAsia="仿宋_GB2312" w:cs="ArialUnicodeMS"/>
                <w:b w:val="0"/>
                <w:i w:val="0"/>
                <w:caps w:val="0"/>
                <w:spacing w:val="0"/>
                <w:w w:val="100"/>
                <w:kern w:val="0"/>
                <w:sz w:val="24"/>
              </w:rPr>
            </w:pPr>
            <w:r>
              <w:rPr>
                <w:rFonts w:hint="eastAsia" w:ascii="仿宋_GB2312" w:hAnsi="仿宋" w:eastAsia="仿宋_GB2312" w:cs="ArialUnicodeMS"/>
                <w:b w:val="0"/>
                <w:i w:val="0"/>
                <w:caps w:val="0"/>
                <w:spacing w:val="0"/>
                <w:w w:val="100"/>
                <w:kern w:val="0"/>
                <w:sz w:val="24"/>
              </w:rPr>
              <w:t>财政拨款</w:t>
            </w:r>
          </w:p>
        </w:tc>
      </w:tr>
    </w:tbl>
    <w:p w14:paraId="4359D6D3">
      <w:pPr>
        <w:snapToGrid/>
        <w:spacing w:before="0" w:beforeAutospacing="0" w:after="0" w:afterAutospacing="0" w:line="600" w:lineRule="exact"/>
        <w:ind w:firstLine="640" w:firstLineChars="200"/>
        <w:jc w:val="both"/>
        <w:textAlignment w:val="baseline"/>
        <w:rPr>
          <w:rFonts w:ascii="仿宋_GB2312" w:hAnsi="仿宋" w:eastAsia="仿宋_GB2312"/>
          <w:b w:val="0"/>
          <w:i w:val="0"/>
          <w:caps w:val="0"/>
          <w:spacing w:val="0"/>
          <w:w w:val="100"/>
          <w:sz w:val="32"/>
          <w:szCs w:val="32"/>
        </w:rPr>
      </w:pPr>
    </w:p>
    <w:p w14:paraId="05FE5A03">
      <w:pPr>
        <w:keepLines w:val="0"/>
        <w:widowControl w:val="0"/>
        <w:snapToGrid/>
        <w:spacing w:before="0" w:beforeAutospacing="0" w:after="0" w:afterAutospacing="0" w:line="600" w:lineRule="exact"/>
        <w:ind w:left="0" w:leftChars="0" w:right="0" w:firstLine="560"/>
        <w:jc w:val="both"/>
        <w:textAlignment w:val="baseline"/>
        <w:rPr>
          <w:rFonts w:ascii="Times New Roman" w:hAnsi="Times New Roman" w:eastAsia="黑体" w:cs="Times New Roman"/>
          <w:b w:val="0"/>
          <w:i w:val="0"/>
          <w:caps w:val="0"/>
          <w:spacing w:val="0"/>
          <w:w w:val="100"/>
          <w:sz w:val="32"/>
          <w:szCs w:val="32"/>
        </w:rPr>
      </w:pPr>
    </w:p>
    <w:p w14:paraId="3FB4D05F">
      <w:pPr>
        <w:widowControl/>
        <w:snapToGrid/>
        <w:spacing w:before="0" w:beforeAutospacing="0" w:after="160" w:afterAutospacing="0" w:line="580" w:lineRule="exact"/>
        <w:ind w:firstLine="640" w:firstLineChars="200"/>
        <w:jc w:val="both"/>
        <w:textAlignment w:val="baseline"/>
        <w:rPr>
          <w:rFonts w:ascii="Times New Roman" w:hAnsi="Times New Roman" w:eastAsia="黑体" w:cs="Times New Roman"/>
          <w:b w:val="0"/>
          <w:i w:val="0"/>
          <w:caps w:val="0"/>
          <w:spacing w:val="0"/>
          <w:w w:val="100"/>
          <w:sz w:val="32"/>
          <w:szCs w:val="32"/>
        </w:rPr>
      </w:pPr>
    </w:p>
    <w:p w14:paraId="0A221907">
      <w:pPr>
        <w:widowControl/>
        <w:snapToGrid/>
        <w:spacing w:before="0" w:beforeAutospacing="0" w:after="160" w:afterAutospacing="0" w:line="580" w:lineRule="exact"/>
        <w:ind w:firstLine="640" w:firstLineChars="200"/>
        <w:jc w:val="both"/>
        <w:textAlignment w:val="baseline"/>
        <w:rPr>
          <w:rFonts w:ascii="Times New Roman" w:hAnsi="Times New Roman" w:eastAsia="黑体" w:cs="Times New Roman"/>
          <w:b w:val="0"/>
          <w:i w:val="0"/>
          <w:caps w:val="0"/>
          <w:spacing w:val="0"/>
          <w:w w:val="100"/>
          <w:sz w:val="32"/>
          <w:szCs w:val="32"/>
        </w:rPr>
      </w:pPr>
    </w:p>
    <w:p w14:paraId="770D48EF">
      <w:pPr>
        <w:widowControl/>
        <w:snapToGrid/>
        <w:spacing w:before="0" w:beforeAutospacing="0" w:after="160" w:afterAutospacing="0" w:line="580" w:lineRule="exact"/>
        <w:ind w:firstLine="640" w:firstLineChars="200"/>
        <w:jc w:val="both"/>
        <w:textAlignment w:val="baseline"/>
        <w:rPr>
          <w:rFonts w:ascii="Times New Roman" w:hAnsi="Times New Roman" w:eastAsia="黑体" w:cs="Times New Roman"/>
          <w:b w:val="0"/>
          <w:i w:val="0"/>
          <w:caps w:val="0"/>
          <w:spacing w:val="0"/>
          <w:w w:val="100"/>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71E417D0">
      <w:pPr>
        <w:widowControl/>
        <w:snapToGrid/>
        <w:spacing w:before="0" w:beforeAutospacing="0" w:after="160" w:afterAutospacing="0" w:line="580" w:lineRule="exact"/>
        <w:ind w:firstLine="1440" w:firstLineChars="200"/>
        <w:jc w:val="both"/>
        <w:textAlignment w:val="baseline"/>
        <w:rPr>
          <w:rFonts w:ascii="Times New Roman" w:hAnsi="Times New Roman" w:eastAsia="黑体" w:cs="Times New Roman"/>
          <w:b w:val="0"/>
          <w:i w:val="0"/>
          <w:caps w:val="0"/>
          <w:spacing w:val="0"/>
          <w:w w:val="100"/>
          <w:sz w:val="32"/>
          <w:szCs w:val="32"/>
        </w:rPr>
        <w:sectPr>
          <w:headerReference r:id="rId16" w:type="default"/>
          <w:pgSz w:w="11906" w:h="16838"/>
          <w:pgMar w:top="2041" w:right="1531" w:bottom="2041" w:left="1531" w:header="851" w:footer="992" w:gutter="0"/>
          <w:pgNumType w:fmt="numberInDash"/>
          <w:cols w:space="0" w:num="1"/>
          <w:titlePg/>
          <w:docGrid w:type="lines" w:linePitch="312" w:charSpace="0"/>
        </w:sectPr>
      </w:pPr>
      <w:r>
        <w:rPr>
          <w:b w:val="0"/>
          <w:i w:val="0"/>
          <w:caps w:val="0"/>
          <w:spacing w:val="0"/>
          <w:w w:val="100"/>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016D14">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79C55C48">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08016D14">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79C55C48">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470C2600">
      <w:pPr>
        <w:widowControl/>
        <w:snapToGrid/>
        <w:spacing w:before="0" w:beforeAutospacing="0" w:after="0" w:afterAutospacing="0" w:line="580" w:lineRule="exact"/>
        <w:ind w:firstLine="640" w:firstLineChars="200"/>
        <w:jc w:val="both"/>
        <w:textAlignment w:val="baseline"/>
        <w:rPr>
          <w:rFonts w:eastAsia="黑体"/>
          <w:b w:val="0"/>
          <w:i w:val="0"/>
          <w:caps w:val="0"/>
          <w:spacing w:val="0"/>
          <w:w w:val="100"/>
          <w:sz w:val="32"/>
          <w:szCs w:val="32"/>
        </w:rPr>
      </w:pPr>
    </w:p>
    <w:p w14:paraId="4C2A6373">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21661FB9">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4F3EAECC">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r>
        <w:rPr>
          <w:b w:val="0"/>
          <w:i w:val="0"/>
          <w:caps w:val="0"/>
          <w:spacing w:val="0"/>
          <w:w w:val="100"/>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475BD36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059A48C2">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4DB0C178">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14:paraId="475BD36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059A48C2">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4DB0C178">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4295CDCF">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7439DEEB">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0F9A9C82">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646F3C91">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4F77DDA2">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3FA552E1">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1DABA6E5">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7E6E4795">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6EE76580">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5432E805">
      <w:pPr>
        <w:keepLines/>
        <w:widowControl w:val="0"/>
        <w:snapToGrid w:val="0"/>
        <w:spacing w:before="0" w:beforeAutospacing="0" w:after="0" w:afterAutospacing="0" w:line="600" w:lineRule="exact"/>
        <w:ind w:firstLine="640" w:firstLineChars="200"/>
        <w:jc w:val="both"/>
        <w:textAlignment w:val="baseline"/>
        <w:rPr>
          <w:rFonts w:ascii="黑体" w:hAnsi="Calibri" w:eastAsia="黑体" w:cs="Times New Roman"/>
          <w:b w:val="0"/>
          <w:i w:val="0"/>
          <w:caps w:val="0"/>
          <w:spacing w:val="0"/>
          <w:w w:val="100"/>
          <w:sz w:val="32"/>
          <w:szCs w:val="32"/>
        </w:rPr>
      </w:pPr>
      <w:r>
        <w:rPr>
          <w:rFonts w:hint="eastAsia" w:ascii="黑体" w:hAnsi="Calibri" w:eastAsia="黑体" w:cs="Times New Roman"/>
          <w:b w:val="0"/>
          <w:i w:val="0"/>
          <w:caps w:val="0"/>
          <w:spacing w:val="0"/>
          <w:w w:val="100"/>
          <w:sz w:val="32"/>
          <w:szCs w:val="32"/>
        </w:rPr>
        <w:t>一、收入</w:t>
      </w:r>
      <w:r>
        <w:rPr>
          <w:rFonts w:hint="eastAsia" w:ascii="黑体" w:hAnsi="Cambria" w:eastAsia="黑体" w:cs="黑体"/>
          <w:b w:val="0"/>
          <w:i w:val="0"/>
          <w:caps w:val="0"/>
          <w:spacing w:val="0"/>
          <w:w w:val="100"/>
          <w:kern w:val="0"/>
          <w:sz w:val="32"/>
          <w:szCs w:val="32"/>
        </w:rPr>
        <w:t>支出</w:t>
      </w:r>
      <w:r>
        <w:rPr>
          <w:rFonts w:hint="eastAsia" w:ascii="黑体" w:hAnsi="Calibri" w:eastAsia="黑体" w:cs="Times New Roman"/>
          <w:b w:val="0"/>
          <w:i w:val="0"/>
          <w:caps w:val="0"/>
          <w:spacing w:val="0"/>
          <w:w w:val="100"/>
          <w:sz w:val="32"/>
          <w:szCs w:val="32"/>
        </w:rPr>
        <w:t>决算总体情况说明</w:t>
      </w:r>
    </w:p>
    <w:p w14:paraId="2298BA60">
      <w:pPr>
        <w:widowControl w:val="0"/>
        <w:snapToGrid w:val="0"/>
        <w:spacing w:before="0" w:beforeAutospacing="0" w:after="0" w:afterAutospacing="0" w:line="600" w:lineRule="exact"/>
        <w:ind w:firstLine="640" w:firstLineChars="20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本部门2019年度收支总计（含结转和结余）</w:t>
      </w:r>
      <w:r>
        <w:rPr>
          <w:rFonts w:hint="eastAsia" w:ascii="仿宋_GB2312" w:hAnsi="仿宋" w:eastAsia="仿宋_GB2312"/>
          <w:b w:val="0"/>
          <w:i w:val="0"/>
          <w:caps w:val="0"/>
          <w:spacing w:val="0"/>
          <w:w w:val="100"/>
          <w:sz w:val="32"/>
          <w:szCs w:val="32"/>
          <w:lang w:val="en-US" w:eastAsia="zh-CN"/>
        </w:rPr>
        <w:t>362.13</w:t>
      </w:r>
      <w:r>
        <w:rPr>
          <w:rFonts w:hint="eastAsia" w:ascii="仿宋_GB2312" w:hAnsi="仿宋" w:eastAsia="仿宋_GB2312"/>
          <w:b w:val="0"/>
          <w:i w:val="0"/>
          <w:caps w:val="0"/>
          <w:spacing w:val="0"/>
          <w:w w:val="100"/>
          <w:sz w:val="32"/>
          <w:szCs w:val="32"/>
        </w:rPr>
        <w:t>万元。与2018年度决算相比，收</w:t>
      </w:r>
      <w:r>
        <w:rPr>
          <w:rFonts w:hint="eastAsia" w:ascii="仿宋_GB2312" w:hAnsi="仿宋" w:eastAsia="仿宋_GB2312"/>
          <w:b w:val="0"/>
          <w:i w:val="0"/>
          <w:caps w:val="0"/>
          <w:spacing w:val="0"/>
          <w:w w:val="100"/>
          <w:sz w:val="32"/>
          <w:szCs w:val="32"/>
          <w:lang w:eastAsia="zh-CN"/>
        </w:rPr>
        <w:t>支各</w:t>
      </w:r>
      <w:r>
        <w:rPr>
          <w:rFonts w:hint="eastAsia" w:ascii="仿宋_GB2312" w:hAnsi="仿宋" w:eastAsia="仿宋_GB2312"/>
          <w:b w:val="0"/>
          <w:i w:val="0"/>
          <w:caps w:val="0"/>
          <w:spacing w:val="0"/>
          <w:w w:val="100"/>
          <w:sz w:val="32"/>
          <w:szCs w:val="32"/>
        </w:rPr>
        <w:t>增加</w:t>
      </w:r>
      <w:r>
        <w:rPr>
          <w:rFonts w:hint="eastAsia" w:ascii="仿宋_GB2312" w:hAnsi="仿宋" w:eastAsia="仿宋_GB2312"/>
          <w:b w:val="0"/>
          <w:i w:val="0"/>
          <w:caps w:val="0"/>
          <w:spacing w:val="0"/>
          <w:w w:val="100"/>
          <w:sz w:val="32"/>
          <w:szCs w:val="32"/>
          <w:lang w:val="en-US" w:eastAsia="zh-CN"/>
        </w:rPr>
        <w:t>112.61</w:t>
      </w:r>
      <w:r>
        <w:rPr>
          <w:rFonts w:hint="eastAsia" w:ascii="仿宋_GB2312" w:hAnsi="仿宋" w:eastAsia="仿宋_GB2312"/>
          <w:b w:val="0"/>
          <w:i w:val="0"/>
          <w:caps w:val="0"/>
          <w:spacing w:val="0"/>
          <w:w w:val="100"/>
          <w:sz w:val="32"/>
          <w:szCs w:val="32"/>
        </w:rPr>
        <w:t>万元，增长</w:t>
      </w:r>
      <w:r>
        <w:rPr>
          <w:rFonts w:hint="eastAsia" w:ascii="仿宋_GB2312" w:hAnsi="仿宋" w:eastAsia="仿宋_GB2312"/>
          <w:b w:val="0"/>
          <w:i w:val="0"/>
          <w:caps w:val="0"/>
          <w:spacing w:val="0"/>
          <w:w w:val="100"/>
          <w:sz w:val="32"/>
          <w:szCs w:val="32"/>
          <w:lang w:val="en-US" w:eastAsia="zh-CN"/>
        </w:rPr>
        <w:t>45.13%</w:t>
      </w:r>
      <w:r>
        <w:rPr>
          <w:rFonts w:hint="eastAsia" w:ascii="仿宋_GB2312" w:hAnsi="仿宋" w:eastAsia="仿宋_GB2312"/>
          <w:b w:val="0"/>
          <w:i w:val="0"/>
          <w:caps w:val="0"/>
          <w:spacing w:val="0"/>
          <w:w w:val="100"/>
          <w:sz w:val="32"/>
          <w:szCs w:val="32"/>
        </w:rPr>
        <w:t>，主要原因是</w:t>
      </w:r>
      <w:r>
        <w:rPr>
          <w:rFonts w:hint="eastAsia" w:ascii="仿宋_GB2312" w:hAnsi="仿宋" w:eastAsia="仿宋_GB2312"/>
          <w:b w:val="0"/>
          <w:i w:val="0"/>
          <w:caps w:val="0"/>
          <w:spacing w:val="0"/>
          <w:w w:val="100"/>
          <w:sz w:val="32"/>
          <w:szCs w:val="32"/>
          <w:lang w:eastAsia="zh-CN"/>
        </w:rPr>
        <w:t>单位职能增加，人员增加</w:t>
      </w:r>
      <w:r>
        <w:rPr>
          <w:rFonts w:hint="eastAsia" w:ascii="仿宋_GB2312" w:hAnsi="仿宋" w:eastAsia="仿宋_GB2312"/>
          <w:b w:val="0"/>
          <w:i w:val="0"/>
          <w:caps w:val="0"/>
          <w:spacing w:val="0"/>
          <w:w w:val="100"/>
          <w:sz w:val="32"/>
          <w:szCs w:val="32"/>
        </w:rPr>
        <w:t>。</w:t>
      </w:r>
    </w:p>
    <w:p w14:paraId="06957428">
      <w:pPr>
        <w:keepLines/>
        <w:widowControl w:val="0"/>
        <w:snapToGrid w:val="0"/>
        <w:spacing w:before="0" w:beforeAutospacing="0" w:after="0" w:afterAutospacing="0" w:line="600" w:lineRule="exact"/>
        <w:ind w:firstLine="640" w:firstLineChars="200"/>
        <w:jc w:val="both"/>
        <w:textAlignment w:val="baseline"/>
        <w:rPr>
          <w:rFonts w:ascii="黑体" w:hAnsi="Calibri" w:eastAsia="黑体" w:cs="Times New Roman"/>
          <w:b w:val="0"/>
          <w:i w:val="0"/>
          <w:caps w:val="0"/>
          <w:spacing w:val="0"/>
          <w:w w:val="100"/>
          <w:sz w:val="32"/>
          <w:szCs w:val="32"/>
        </w:rPr>
      </w:pPr>
      <w:r>
        <w:rPr>
          <w:rFonts w:hint="eastAsia" w:ascii="黑体" w:hAnsi="Calibri" w:eastAsia="黑体" w:cs="Times New Roman"/>
          <w:b w:val="0"/>
          <w:i w:val="0"/>
          <w:caps w:val="0"/>
          <w:spacing w:val="0"/>
          <w:w w:val="100"/>
          <w:sz w:val="32"/>
          <w:szCs w:val="32"/>
        </w:rPr>
        <w:t>二、收入决算情况说明</w:t>
      </w:r>
    </w:p>
    <w:p w14:paraId="03A2C872">
      <w:pPr>
        <w:widowControl w:val="0"/>
        <w:snapToGrid w:val="0"/>
        <w:spacing w:before="0" w:beforeAutospacing="0" w:after="0" w:afterAutospacing="0" w:line="600" w:lineRule="exact"/>
        <w:ind w:firstLine="640" w:firstLineChars="200"/>
        <w:jc w:val="both"/>
        <w:textAlignment w:val="baseline"/>
        <w:rPr>
          <w:rFonts w:hint="default" w:ascii="仿宋_GB2312" w:hAnsi="仿宋" w:eastAsia="仿宋_GB2312"/>
          <w:b w:val="0"/>
          <w:i w:val="0"/>
          <w:caps w:val="0"/>
          <w:spacing w:val="0"/>
          <w:w w:val="100"/>
          <w:sz w:val="32"/>
          <w:szCs w:val="32"/>
          <w:lang w:val="en-US" w:eastAsia="zh-CN"/>
        </w:rPr>
      </w:pPr>
      <w:r>
        <w:rPr>
          <w:rFonts w:hint="eastAsia" w:ascii="仿宋_GB2312" w:hAnsi="仿宋" w:eastAsia="仿宋_GB2312"/>
          <w:b w:val="0"/>
          <w:i w:val="0"/>
          <w:caps w:val="0"/>
          <w:spacing w:val="0"/>
          <w:w w:val="100"/>
          <w:sz w:val="32"/>
          <w:szCs w:val="32"/>
        </w:rPr>
        <w:t>本部门2019年度本年收入合计</w:t>
      </w:r>
      <w:r>
        <w:rPr>
          <w:rFonts w:hint="eastAsia" w:ascii="仿宋_GB2312" w:hAnsi="仿宋" w:eastAsia="仿宋_GB2312"/>
          <w:b w:val="0"/>
          <w:i w:val="0"/>
          <w:caps w:val="0"/>
          <w:spacing w:val="0"/>
          <w:w w:val="100"/>
          <w:sz w:val="32"/>
          <w:szCs w:val="32"/>
          <w:lang w:val="en-US" w:eastAsia="zh-CN"/>
        </w:rPr>
        <w:t>357.95</w:t>
      </w:r>
      <w:r>
        <w:rPr>
          <w:rFonts w:hint="eastAsia" w:ascii="仿宋_GB2312" w:hAnsi="仿宋" w:eastAsia="仿宋_GB2312"/>
          <w:b w:val="0"/>
          <w:i w:val="0"/>
          <w:caps w:val="0"/>
          <w:spacing w:val="0"/>
          <w:w w:val="100"/>
          <w:sz w:val="32"/>
          <w:szCs w:val="32"/>
        </w:rPr>
        <w:t>万元，其中：财政拨款收入</w:t>
      </w:r>
      <w:r>
        <w:rPr>
          <w:rFonts w:hint="eastAsia" w:ascii="仿宋_GB2312" w:hAnsi="仿宋" w:eastAsia="仿宋_GB2312"/>
          <w:b w:val="0"/>
          <w:i w:val="0"/>
          <w:caps w:val="0"/>
          <w:spacing w:val="0"/>
          <w:w w:val="100"/>
          <w:sz w:val="32"/>
          <w:szCs w:val="32"/>
          <w:lang w:val="en-US" w:eastAsia="zh-CN"/>
        </w:rPr>
        <w:t>357.95</w:t>
      </w:r>
      <w:r>
        <w:rPr>
          <w:rFonts w:hint="eastAsia" w:ascii="仿宋_GB2312" w:hAnsi="仿宋" w:eastAsia="仿宋_GB2312"/>
          <w:b w:val="0"/>
          <w:i w:val="0"/>
          <w:caps w:val="0"/>
          <w:spacing w:val="0"/>
          <w:w w:val="100"/>
          <w:sz w:val="32"/>
          <w:szCs w:val="32"/>
        </w:rPr>
        <w:t>万元，占</w:t>
      </w:r>
      <w:r>
        <w:rPr>
          <w:rFonts w:hint="eastAsia" w:ascii="仿宋_GB2312" w:hAnsi="仿宋" w:eastAsia="仿宋_GB2312"/>
          <w:b w:val="0"/>
          <w:i w:val="0"/>
          <w:caps w:val="0"/>
          <w:spacing w:val="0"/>
          <w:w w:val="100"/>
          <w:sz w:val="32"/>
          <w:szCs w:val="32"/>
          <w:lang w:val="en-US" w:eastAsia="zh-CN"/>
        </w:rPr>
        <w:t>100</w:t>
      </w:r>
      <w:r>
        <w:rPr>
          <w:rFonts w:hint="eastAsia" w:ascii="仿宋_GB2312" w:hAnsi="仿宋" w:eastAsia="仿宋_GB2312"/>
          <w:b w:val="0"/>
          <w:i w:val="0"/>
          <w:caps w:val="0"/>
          <w:spacing w:val="0"/>
          <w:w w:val="100"/>
          <w:sz w:val="32"/>
          <w:szCs w:val="32"/>
        </w:rPr>
        <w:t>%；事业收入0万元，占0%，经营收入0万元，占0%，其他收入0万元，占0%，如图所示</w:t>
      </w:r>
      <w:r>
        <w:rPr>
          <w:rFonts w:hint="eastAsia" w:ascii="仿宋_GB2312" w:hAnsi="仿宋" w:eastAsia="仿宋_GB2312"/>
          <w:b w:val="0"/>
          <w:i w:val="0"/>
          <w:caps w:val="0"/>
          <w:spacing w:val="0"/>
          <w:w w:val="100"/>
          <w:sz w:val="32"/>
          <w:szCs w:val="32"/>
          <w:lang w:eastAsia="zh-CN"/>
        </w:rPr>
        <w:t>：</w:t>
      </w:r>
    </w:p>
    <w:p w14:paraId="75EC183C">
      <w:pPr>
        <w:snapToGrid w:val="0"/>
        <w:spacing w:before="0" w:beforeAutospacing="0" w:after="0" w:afterAutospacing="0" w:line="580" w:lineRule="exact"/>
        <w:ind w:firstLine="1260" w:firstLineChars="600"/>
        <w:jc w:val="both"/>
        <w:textAlignment w:val="baseline"/>
        <w:rPr>
          <w:rFonts w:ascii="仿宋_GB2312" w:hAnsi="Times New Roman" w:eastAsia="仿宋_GB2312" w:cs="DengXian-Regular"/>
          <w:b w:val="0"/>
          <w:i w:val="0"/>
          <w:caps w:val="0"/>
          <w:spacing w:val="0"/>
          <w:w w:val="100"/>
          <w:sz w:val="32"/>
          <w:szCs w:val="32"/>
        </w:rPr>
      </w:pPr>
      <w:r>
        <w:drawing>
          <wp:anchor distT="0" distB="0" distL="114300" distR="114300" simplePos="0" relativeHeight="251696128" behindDoc="1" locked="0" layoutInCell="1" allowOverlap="1">
            <wp:simplePos x="0" y="0"/>
            <wp:positionH relativeFrom="column">
              <wp:posOffset>1010285</wp:posOffset>
            </wp:positionH>
            <wp:positionV relativeFrom="paragraph">
              <wp:posOffset>294005</wp:posOffset>
            </wp:positionV>
            <wp:extent cx="3475355" cy="2141855"/>
            <wp:effectExtent l="4445" t="4445" r="10160" b="17780"/>
            <wp:wrapNone/>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57EC0965">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670D7C6E">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42866EC5">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100814B3">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404C760B">
      <w:pPr>
        <w:widowControl w:val="0"/>
        <w:snapToGrid w:val="0"/>
        <w:spacing w:before="0" w:beforeAutospacing="0" w:after="0" w:afterAutospacing="0" w:line="600" w:lineRule="exact"/>
        <w:jc w:val="center"/>
        <w:textAlignment w:val="baseline"/>
        <w:rPr>
          <w:rFonts w:hint="eastAsia" w:ascii="仿宋_GB2312" w:hAnsi="仿宋" w:eastAsia="仿宋_GB2312"/>
          <w:b w:val="0"/>
          <w:i w:val="0"/>
          <w:caps w:val="0"/>
          <w:spacing w:val="0"/>
          <w:w w:val="100"/>
          <w:sz w:val="32"/>
          <w:szCs w:val="32"/>
          <w:lang w:val="en-US" w:eastAsia="zh-CN"/>
        </w:rPr>
      </w:pPr>
    </w:p>
    <w:p w14:paraId="153FFD53">
      <w:pPr>
        <w:widowControl w:val="0"/>
        <w:snapToGrid w:val="0"/>
        <w:spacing w:before="0" w:beforeAutospacing="0" w:after="0" w:afterAutospacing="0" w:line="600" w:lineRule="exact"/>
        <w:jc w:val="both"/>
        <w:textAlignment w:val="baseline"/>
        <w:rPr>
          <w:rFonts w:hint="eastAsia" w:ascii="仿宋_GB2312" w:hAnsi="仿宋" w:eastAsia="仿宋_GB2312"/>
          <w:b w:val="0"/>
          <w:i w:val="0"/>
          <w:caps w:val="0"/>
          <w:spacing w:val="0"/>
          <w:w w:val="100"/>
          <w:sz w:val="32"/>
          <w:szCs w:val="32"/>
          <w:lang w:val="en-US" w:eastAsia="zh-CN"/>
        </w:rPr>
      </w:pPr>
    </w:p>
    <w:p w14:paraId="08127A67">
      <w:pPr>
        <w:widowControl w:val="0"/>
        <w:snapToGrid w:val="0"/>
        <w:spacing w:before="0" w:beforeAutospacing="0" w:after="0" w:afterAutospacing="0" w:line="600" w:lineRule="exact"/>
        <w:jc w:val="center"/>
        <w:textAlignment w:val="baseline"/>
        <w:rPr>
          <w:rFonts w:ascii="黑体" w:hAnsi="Calibri" w:eastAsia="黑体" w:cs="Times New Roman"/>
          <w:b/>
          <w:bCs/>
          <w:i w:val="0"/>
          <w:caps w:val="0"/>
          <w:spacing w:val="0"/>
          <w:w w:val="100"/>
          <w:sz w:val="32"/>
          <w:szCs w:val="32"/>
        </w:rPr>
      </w:pPr>
      <w:r>
        <w:rPr>
          <w:rFonts w:hint="eastAsia" w:ascii="仿宋_GB2312" w:hAnsi="仿宋" w:eastAsia="仿宋_GB2312"/>
          <w:b w:val="0"/>
          <w:i w:val="0"/>
          <w:caps w:val="0"/>
          <w:spacing w:val="0"/>
          <w:w w:val="100"/>
          <w:sz w:val="32"/>
          <w:szCs w:val="32"/>
          <w:lang w:val="en-US" w:eastAsia="zh-CN"/>
        </w:rPr>
        <w:t>图1：收入构成情况</w:t>
      </w:r>
    </w:p>
    <w:p w14:paraId="4C9F9F53">
      <w:pPr>
        <w:keepLines/>
        <w:widowControl w:val="0"/>
        <w:snapToGrid w:val="0"/>
        <w:spacing w:before="0" w:beforeAutospacing="0" w:after="0" w:afterAutospacing="0" w:line="600" w:lineRule="exact"/>
        <w:ind w:firstLine="640" w:firstLineChars="200"/>
        <w:jc w:val="both"/>
        <w:textAlignment w:val="baseline"/>
        <w:rPr>
          <w:rFonts w:ascii="黑体" w:hAnsi="Calibri" w:eastAsia="黑体" w:cs="Times New Roman"/>
          <w:b w:val="0"/>
          <w:i w:val="0"/>
          <w:caps w:val="0"/>
          <w:spacing w:val="0"/>
          <w:w w:val="100"/>
          <w:sz w:val="32"/>
          <w:szCs w:val="32"/>
        </w:rPr>
      </w:pPr>
      <w:r>
        <w:rPr>
          <w:rFonts w:hint="eastAsia" w:ascii="黑体" w:hAnsi="Calibri" w:eastAsia="黑体" w:cs="Times New Roman"/>
          <w:b w:val="0"/>
          <w:i w:val="0"/>
          <w:caps w:val="0"/>
          <w:spacing w:val="0"/>
          <w:w w:val="100"/>
          <w:sz w:val="32"/>
          <w:szCs w:val="32"/>
        </w:rPr>
        <w:t>三、支出决算情况说明</w:t>
      </w:r>
    </w:p>
    <w:p w14:paraId="7F2221CC">
      <w:pPr>
        <w:widowControl w:val="0"/>
        <w:snapToGrid w:val="0"/>
        <w:spacing w:before="0" w:beforeAutospacing="0" w:after="0" w:afterAutospacing="0" w:line="600" w:lineRule="exact"/>
        <w:ind w:firstLine="640" w:firstLineChars="200"/>
        <w:jc w:val="both"/>
        <w:textAlignment w:val="baseline"/>
        <w:rPr>
          <w:rFonts w:hint="eastAsia" w:ascii="仿宋_GB2312" w:hAnsi="仿宋" w:eastAsia="仿宋_GB2312"/>
          <w:b w:val="0"/>
          <w:i w:val="0"/>
          <w:caps w:val="0"/>
          <w:spacing w:val="0"/>
          <w:w w:val="100"/>
          <w:sz w:val="32"/>
          <w:szCs w:val="32"/>
          <w:lang w:val="en-US" w:eastAsia="zh-CN"/>
        </w:rPr>
      </w:pPr>
      <w:r>
        <w:rPr>
          <w:rFonts w:hint="eastAsia" w:ascii="仿宋_GB2312" w:hAnsi="仿宋" w:eastAsia="仿宋_GB2312"/>
          <w:b w:val="0"/>
          <w:i w:val="0"/>
          <w:caps w:val="0"/>
          <w:spacing w:val="0"/>
          <w:w w:val="100"/>
          <w:sz w:val="32"/>
          <w:szCs w:val="32"/>
          <w:lang w:val="en-US" w:eastAsia="zh-CN"/>
        </w:rPr>
        <w:t>本部门2019年度本年支出合计361.85万元，其中：基本支出220.90万元，占61.05%；项目支出140.95万元，占38.95%，经营支出0万元，占0%，如图所示：</w:t>
      </w:r>
    </w:p>
    <w:p w14:paraId="0421FB49">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2B61CE37">
      <w:pPr>
        <w:snapToGrid w:val="0"/>
        <w:spacing w:before="0" w:beforeAutospacing="0" w:after="0" w:afterAutospacing="0" w:line="580" w:lineRule="exact"/>
        <w:ind w:firstLine="1260" w:firstLineChars="600"/>
        <w:jc w:val="both"/>
        <w:textAlignment w:val="baseline"/>
        <w:rPr>
          <w:rFonts w:ascii="仿宋_GB2312" w:hAnsi="Times New Roman" w:eastAsia="仿宋_GB2312" w:cs="DengXian-Regular"/>
          <w:b w:val="0"/>
          <w:i w:val="0"/>
          <w:caps w:val="0"/>
          <w:spacing w:val="0"/>
          <w:w w:val="100"/>
          <w:sz w:val="32"/>
          <w:szCs w:val="32"/>
        </w:rPr>
      </w:pPr>
      <w:r>
        <w:drawing>
          <wp:anchor distT="0" distB="0" distL="114300" distR="114300" simplePos="0" relativeHeight="251696128" behindDoc="1" locked="0" layoutInCell="1" allowOverlap="1">
            <wp:simplePos x="0" y="0"/>
            <wp:positionH relativeFrom="column">
              <wp:posOffset>1833245</wp:posOffset>
            </wp:positionH>
            <wp:positionV relativeFrom="paragraph">
              <wp:posOffset>132080</wp:posOffset>
            </wp:positionV>
            <wp:extent cx="2180590" cy="2308225"/>
            <wp:effectExtent l="4445" t="4445" r="9525" b="19050"/>
            <wp:wrapNone/>
            <wp:docPr id="36"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69235E59">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06F5DF49">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53CFB1B5">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2C569750">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274B47FD">
      <w:pPr>
        <w:snapToGrid w:val="0"/>
        <w:spacing w:before="0" w:beforeAutospacing="0" w:after="0" w:afterAutospacing="0" w:line="580" w:lineRule="exact"/>
        <w:ind w:firstLine="1920" w:firstLineChars="600"/>
        <w:jc w:val="both"/>
        <w:textAlignment w:val="baseline"/>
        <w:rPr>
          <w:rFonts w:ascii="仿宋_GB2312" w:hAnsi="Times New Roman" w:eastAsia="仿宋_GB2312" w:cs="DengXian-Regular"/>
          <w:b w:val="0"/>
          <w:i w:val="0"/>
          <w:caps w:val="0"/>
          <w:spacing w:val="0"/>
          <w:w w:val="100"/>
          <w:sz w:val="32"/>
          <w:szCs w:val="32"/>
        </w:rPr>
      </w:pPr>
    </w:p>
    <w:p w14:paraId="45F5CD76">
      <w:pPr>
        <w:keepLines/>
        <w:snapToGrid w:val="0"/>
        <w:spacing w:before="0" w:beforeAutospacing="0" w:after="0" w:afterAutospacing="0" w:line="580" w:lineRule="exact"/>
        <w:jc w:val="both"/>
        <w:textAlignment w:val="baseline"/>
        <w:rPr>
          <w:rFonts w:ascii="黑体" w:hAnsi="Calibri" w:eastAsia="黑体" w:cs="Times New Roman"/>
          <w:b/>
          <w:bCs/>
          <w:i w:val="0"/>
          <w:caps w:val="0"/>
          <w:spacing w:val="0"/>
          <w:w w:val="100"/>
          <w:sz w:val="32"/>
          <w:szCs w:val="32"/>
        </w:rPr>
      </w:pPr>
    </w:p>
    <w:p w14:paraId="6E18D311">
      <w:pPr>
        <w:keepLines/>
        <w:snapToGrid w:val="0"/>
        <w:spacing w:before="0" w:beforeAutospacing="0" w:after="0" w:afterAutospacing="0" w:line="580" w:lineRule="exact"/>
        <w:ind w:firstLine="640" w:firstLineChars="200"/>
        <w:jc w:val="center"/>
        <w:textAlignment w:val="baseline"/>
        <w:rPr>
          <w:rFonts w:hint="default" w:ascii="仿宋_GB2312" w:hAnsi="仿宋" w:eastAsia="仿宋_GB2312"/>
          <w:b w:val="0"/>
          <w:i w:val="0"/>
          <w:caps w:val="0"/>
          <w:spacing w:val="0"/>
          <w:w w:val="100"/>
          <w:sz w:val="32"/>
          <w:szCs w:val="32"/>
          <w:lang w:val="en-US" w:eastAsia="zh-CN"/>
        </w:rPr>
      </w:pPr>
      <w:r>
        <w:rPr>
          <w:rFonts w:hint="eastAsia" w:ascii="仿宋_GB2312" w:hAnsi="仿宋" w:eastAsia="仿宋_GB2312"/>
          <w:b w:val="0"/>
          <w:i w:val="0"/>
          <w:caps w:val="0"/>
          <w:spacing w:val="0"/>
          <w:w w:val="100"/>
          <w:sz w:val="32"/>
          <w:szCs w:val="32"/>
          <w:lang w:val="en-US" w:eastAsia="zh-CN"/>
        </w:rPr>
        <w:t>图2：支出构成情况</w:t>
      </w:r>
    </w:p>
    <w:p w14:paraId="56B26A16">
      <w:pPr>
        <w:keepLines/>
        <w:widowControl w:val="0"/>
        <w:snapToGrid w:val="0"/>
        <w:spacing w:before="0" w:beforeAutospacing="0" w:after="0" w:afterAutospacing="0" w:line="600" w:lineRule="exact"/>
        <w:ind w:left="0" w:leftChars="0" w:firstLine="640" w:firstLineChars="200"/>
        <w:jc w:val="both"/>
        <w:textAlignment w:val="baseline"/>
        <w:rPr>
          <w:rFonts w:ascii="黑体" w:hAnsi="Calibri" w:eastAsia="黑体" w:cs="Times New Roman"/>
          <w:b w:val="0"/>
          <w:i w:val="0"/>
          <w:caps w:val="0"/>
          <w:spacing w:val="0"/>
          <w:w w:val="100"/>
          <w:sz w:val="32"/>
          <w:szCs w:val="32"/>
        </w:rPr>
      </w:pPr>
      <w:r>
        <w:rPr>
          <w:rFonts w:hint="eastAsia" w:ascii="黑体" w:hAnsi="Calibri" w:eastAsia="黑体" w:cs="Times New Roman"/>
          <w:b w:val="0"/>
          <w:i w:val="0"/>
          <w:caps w:val="0"/>
          <w:spacing w:val="0"/>
          <w:w w:val="100"/>
          <w:sz w:val="32"/>
          <w:szCs w:val="32"/>
        </w:rPr>
        <w:t>四、</w:t>
      </w:r>
      <w:r>
        <w:rPr>
          <w:rFonts w:hint="eastAsia" w:ascii="黑体" w:hAnsi="Cambria" w:eastAsia="黑体" w:cs="黑体"/>
          <w:b w:val="0"/>
          <w:i w:val="0"/>
          <w:caps w:val="0"/>
          <w:spacing w:val="0"/>
          <w:w w:val="100"/>
          <w:kern w:val="0"/>
          <w:sz w:val="32"/>
          <w:szCs w:val="32"/>
        </w:rPr>
        <w:t>财政</w:t>
      </w:r>
      <w:r>
        <w:rPr>
          <w:rFonts w:hint="eastAsia" w:ascii="黑体" w:hAnsi="Calibri" w:eastAsia="黑体" w:cs="Times New Roman"/>
          <w:b w:val="0"/>
          <w:i w:val="0"/>
          <w:caps w:val="0"/>
          <w:spacing w:val="0"/>
          <w:w w:val="100"/>
          <w:sz w:val="32"/>
          <w:szCs w:val="32"/>
        </w:rPr>
        <w:t>拨款收入支出决算总体情况说明</w:t>
      </w:r>
    </w:p>
    <w:p w14:paraId="2BAB6448">
      <w:pPr>
        <w:widowControl w:val="0"/>
        <w:snapToGrid w:val="0"/>
        <w:spacing w:before="0" w:beforeAutospacing="0" w:after="0" w:afterAutospacing="0" w:line="600" w:lineRule="exact"/>
        <w:ind w:left="0" w:leftChars="0" w:firstLine="643" w:firstLineChars="200"/>
        <w:jc w:val="both"/>
        <w:textAlignment w:val="baseline"/>
        <w:rPr>
          <w:rFonts w:ascii="仿宋_GB2312" w:hAnsi="Times New Roman" w:eastAsia="仿宋_GB2312" w:cs="DengXian-Regular"/>
          <w:b w:val="0"/>
          <w:i w:val="0"/>
          <w:caps w:val="0"/>
          <w:spacing w:val="0"/>
          <w:w w:val="100"/>
          <w:sz w:val="32"/>
          <w:szCs w:val="32"/>
          <w:highlight w:val="yellow"/>
        </w:rPr>
      </w:pPr>
      <w:r>
        <w:rPr>
          <w:rFonts w:hint="eastAsia" w:ascii="楷体_GB2312" w:hAnsi="Times New Roman" w:eastAsia="楷体_GB2312" w:cs="DengXian-Bold"/>
          <w:b/>
          <w:bCs/>
          <w:i w:val="0"/>
          <w:caps w:val="0"/>
          <w:spacing w:val="0"/>
          <w:w w:val="100"/>
          <w:sz w:val="32"/>
          <w:szCs w:val="32"/>
        </w:rPr>
        <w:t>（一）财政拨款收支与2018 年度决算对比情况</w:t>
      </w:r>
    </w:p>
    <w:p w14:paraId="5E796E48">
      <w:pPr>
        <w:widowControl w:val="0"/>
        <w:snapToGrid w:val="0"/>
        <w:spacing w:before="0" w:beforeAutospacing="0" w:after="0" w:afterAutospacing="0" w:line="600" w:lineRule="exact"/>
        <w:ind w:left="0" w:leftChars="0" w:firstLine="640" w:firstLineChars="200"/>
        <w:jc w:val="both"/>
        <w:textAlignment w:val="baseline"/>
        <w:rPr>
          <w:rFonts w:ascii="仿宋_GB2312" w:hAnsi="Times New Roman" w:eastAsia="仿宋_GB2312" w:cs="DengXian-Regular"/>
          <w:b w:val="0"/>
          <w:i w:val="0"/>
          <w:caps w:val="0"/>
          <w:spacing w:val="0"/>
          <w:w w:val="100"/>
          <w:sz w:val="32"/>
          <w:szCs w:val="32"/>
          <w:highlight w:val="yellow"/>
        </w:rPr>
      </w:pPr>
      <w:r>
        <w:rPr>
          <w:rFonts w:hint="eastAsia" w:ascii="仿宋_GB2312" w:hAnsi="仿宋" w:eastAsia="仿宋_GB2312"/>
          <w:b w:val="0"/>
          <w:i w:val="0"/>
          <w:caps w:val="0"/>
          <w:spacing w:val="0"/>
          <w:w w:val="100"/>
          <w:sz w:val="32"/>
          <w:szCs w:val="32"/>
          <w:lang w:val="en-US" w:eastAsia="zh-CN"/>
        </w:rPr>
        <w:t>本部门2019年度形成的财政拨款收支均为一般公共预算财政拨款，其中本年收入357.95万元,比2018年度增加114.01万元，增长46.74%，主要是单位职能增加，人员增加；本年支出361.85万元，增加117.01万元，增长47.79%，主要是单位职能增加，人员增加。</w:t>
      </w:r>
    </w:p>
    <w:p w14:paraId="153A087E">
      <w:pPr>
        <w:widowControl w:val="0"/>
        <w:snapToGrid w:val="0"/>
        <w:spacing w:before="0" w:beforeAutospacing="0" w:after="0" w:afterAutospacing="0" w:line="600" w:lineRule="exact"/>
        <w:ind w:left="0" w:leftChars="0" w:firstLine="420" w:firstLineChars="200"/>
        <w:jc w:val="both"/>
        <w:textAlignment w:val="baseline"/>
        <w:rPr>
          <w:rFonts w:hint="eastAsia" w:ascii="楷体_GB2312" w:hAnsi="Times New Roman" w:eastAsia="楷体_GB2312" w:cs="DengXian-Bold"/>
          <w:b/>
          <w:bCs/>
          <w:i w:val="0"/>
          <w:caps w:val="0"/>
          <w:spacing w:val="0"/>
          <w:w w:val="100"/>
          <w:sz w:val="32"/>
          <w:szCs w:val="32"/>
        </w:rPr>
      </w:pPr>
      <w:r>
        <w:rPr>
          <w:b w:val="0"/>
          <w:i w:val="0"/>
          <w:caps w:val="0"/>
          <w:spacing w:val="0"/>
          <w:w w:val="100"/>
          <w:sz w:val="21"/>
        </w:rPr>
        <w:drawing>
          <wp:anchor distT="0" distB="0" distL="114300" distR="114300" simplePos="0" relativeHeight="251695104" behindDoc="0" locked="0" layoutInCell="1" allowOverlap="1">
            <wp:simplePos x="0" y="0"/>
            <wp:positionH relativeFrom="column">
              <wp:posOffset>911225</wp:posOffset>
            </wp:positionH>
            <wp:positionV relativeFrom="paragraph">
              <wp:posOffset>105410</wp:posOffset>
            </wp:positionV>
            <wp:extent cx="3802380" cy="2036445"/>
            <wp:effectExtent l="4445" t="4445" r="22225" b="16510"/>
            <wp:wrapNone/>
            <wp:docPr id="3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3177AA40">
      <w:pPr>
        <w:widowControl w:val="0"/>
        <w:snapToGrid w:val="0"/>
        <w:spacing w:before="0" w:beforeAutospacing="0" w:after="0" w:afterAutospacing="0" w:line="600" w:lineRule="exact"/>
        <w:ind w:left="0" w:leftChars="0" w:firstLine="643" w:firstLineChars="200"/>
        <w:jc w:val="both"/>
        <w:textAlignment w:val="baseline"/>
        <w:rPr>
          <w:rFonts w:hint="eastAsia" w:ascii="楷体_GB2312" w:hAnsi="Times New Roman" w:eastAsia="楷体_GB2312" w:cs="DengXian-Bold"/>
          <w:b/>
          <w:bCs/>
          <w:i w:val="0"/>
          <w:caps w:val="0"/>
          <w:spacing w:val="0"/>
          <w:w w:val="100"/>
          <w:sz w:val="32"/>
          <w:szCs w:val="32"/>
        </w:rPr>
      </w:pPr>
    </w:p>
    <w:p w14:paraId="7DD12B34">
      <w:pPr>
        <w:widowControl w:val="0"/>
        <w:snapToGrid w:val="0"/>
        <w:spacing w:before="0" w:beforeAutospacing="0" w:after="0" w:afterAutospacing="0" w:line="600" w:lineRule="exact"/>
        <w:ind w:left="0" w:leftChars="0" w:firstLine="643" w:firstLineChars="200"/>
        <w:jc w:val="both"/>
        <w:textAlignment w:val="baseline"/>
        <w:rPr>
          <w:rFonts w:hint="eastAsia" w:ascii="楷体_GB2312" w:hAnsi="Times New Roman" w:eastAsia="楷体_GB2312" w:cs="DengXian-Bold"/>
          <w:b/>
          <w:bCs/>
          <w:i w:val="0"/>
          <w:caps w:val="0"/>
          <w:spacing w:val="0"/>
          <w:w w:val="100"/>
          <w:sz w:val="32"/>
          <w:szCs w:val="32"/>
        </w:rPr>
      </w:pPr>
    </w:p>
    <w:p w14:paraId="753822F7">
      <w:pPr>
        <w:widowControl w:val="0"/>
        <w:snapToGrid w:val="0"/>
        <w:spacing w:before="0" w:beforeAutospacing="0" w:after="0" w:afterAutospacing="0" w:line="600" w:lineRule="exact"/>
        <w:ind w:left="0" w:leftChars="0" w:firstLine="643" w:firstLineChars="200"/>
        <w:jc w:val="both"/>
        <w:textAlignment w:val="baseline"/>
        <w:rPr>
          <w:rFonts w:hint="eastAsia" w:ascii="楷体_GB2312" w:hAnsi="Times New Roman" w:eastAsia="楷体_GB2312" w:cs="DengXian-Bold"/>
          <w:b/>
          <w:bCs/>
          <w:i w:val="0"/>
          <w:caps w:val="0"/>
          <w:spacing w:val="0"/>
          <w:w w:val="100"/>
          <w:sz w:val="32"/>
          <w:szCs w:val="32"/>
        </w:rPr>
      </w:pPr>
    </w:p>
    <w:p w14:paraId="1C1C40D6">
      <w:pPr>
        <w:widowControl w:val="0"/>
        <w:snapToGrid w:val="0"/>
        <w:spacing w:before="0" w:beforeAutospacing="0" w:after="0" w:afterAutospacing="0" w:line="600" w:lineRule="exact"/>
        <w:ind w:left="0" w:leftChars="0" w:firstLine="643" w:firstLineChars="200"/>
        <w:jc w:val="both"/>
        <w:textAlignment w:val="baseline"/>
        <w:rPr>
          <w:rFonts w:hint="eastAsia" w:ascii="楷体_GB2312" w:hAnsi="Times New Roman" w:eastAsia="楷体_GB2312" w:cs="DengXian-Bold"/>
          <w:b/>
          <w:bCs/>
          <w:i w:val="0"/>
          <w:caps w:val="0"/>
          <w:spacing w:val="0"/>
          <w:w w:val="100"/>
          <w:sz w:val="32"/>
          <w:szCs w:val="32"/>
        </w:rPr>
      </w:pPr>
    </w:p>
    <w:p w14:paraId="5421E535">
      <w:pPr>
        <w:widowControl w:val="0"/>
        <w:snapToGrid w:val="0"/>
        <w:spacing w:before="0" w:beforeAutospacing="0" w:after="0" w:afterAutospacing="0" w:line="600" w:lineRule="exact"/>
        <w:ind w:left="0" w:leftChars="0" w:firstLine="643" w:firstLineChars="200"/>
        <w:jc w:val="both"/>
        <w:textAlignment w:val="baseline"/>
        <w:rPr>
          <w:rFonts w:hint="eastAsia" w:ascii="楷体_GB2312" w:hAnsi="Times New Roman" w:eastAsia="楷体_GB2312" w:cs="DengXian-Bold"/>
          <w:b/>
          <w:bCs/>
          <w:i w:val="0"/>
          <w:caps w:val="0"/>
          <w:spacing w:val="0"/>
          <w:w w:val="100"/>
          <w:sz w:val="32"/>
          <w:szCs w:val="32"/>
        </w:rPr>
      </w:pPr>
    </w:p>
    <w:p w14:paraId="7F276F1D">
      <w:pPr>
        <w:widowControl w:val="0"/>
        <w:snapToGrid w:val="0"/>
        <w:spacing w:before="0" w:beforeAutospacing="0" w:after="0" w:afterAutospacing="0" w:line="600" w:lineRule="exact"/>
        <w:ind w:left="0" w:leftChars="0" w:firstLine="643" w:firstLineChars="200"/>
        <w:jc w:val="both"/>
        <w:textAlignment w:val="baseline"/>
        <w:rPr>
          <w:rFonts w:hint="default" w:ascii="楷体_GB2312" w:hAnsi="Times New Roman" w:eastAsia="楷体_GB2312" w:cs="DengXian-Bold"/>
          <w:b/>
          <w:bCs/>
          <w:i w:val="0"/>
          <w:caps w:val="0"/>
          <w:spacing w:val="0"/>
          <w:w w:val="100"/>
          <w:sz w:val="32"/>
          <w:szCs w:val="32"/>
          <w:lang w:val="en-US" w:eastAsia="zh-CN"/>
        </w:rPr>
      </w:pPr>
      <w:r>
        <w:rPr>
          <w:rFonts w:hint="eastAsia" w:ascii="楷体_GB2312" w:hAnsi="Times New Roman" w:eastAsia="楷体_GB2312" w:cs="DengXian-Bold"/>
          <w:b/>
          <w:bCs/>
          <w:i w:val="0"/>
          <w:caps w:val="0"/>
          <w:spacing w:val="0"/>
          <w:w w:val="100"/>
          <w:sz w:val="32"/>
          <w:szCs w:val="32"/>
          <w:lang w:val="en-US" w:eastAsia="zh-CN"/>
        </w:rPr>
        <w:t xml:space="preserve">           </w:t>
      </w:r>
      <w:r>
        <w:rPr>
          <w:rFonts w:hint="eastAsia" w:ascii="仿宋_GB2312" w:hAnsi="仿宋" w:eastAsia="仿宋_GB2312"/>
          <w:b w:val="0"/>
          <w:i w:val="0"/>
          <w:caps w:val="0"/>
          <w:spacing w:val="0"/>
          <w:w w:val="100"/>
          <w:sz w:val="32"/>
          <w:szCs w:val="32"/>
          <w:lang w:val="en-US" w:eastAsia="zh-CN"/>
        </w:rPr>
        <w:t>图3:2018-2019财政拨款收支情况</w:t>
      </w:r>
    </w:p>
    <w:p w14:paraId="72246FB8">
      <w:pPr>
        <w:widowControl w:val="0"/>
        <w:snapToGrid w:val="0"/>
        <w:spacing w:before="0" w:beforeAutospacing="0" w:after="0" w:afterAutospacing="0" w:line="600" w:lineRule="exact"/>
        <w:ind w:left="0" w:leftChars="0" w:firstLine="643" w:firstLineChars="200"/>
        <w:jc w:val="both"/>
        <w:textAlignment w:val="baseline"/>
        <w:rPr>
          <w:rFonts w:ascii="仿宋_GB2312" w:hAnsi="Times New Roman" w:eastAsia="仿宋_GB2312" w:cs="DengXian-Regular"/>
          <w:b w:val="0"/>
          <w:i w:val="0"/>
          <w:caps w:val="0"/>
          <w:spacing w:val="0"/>
          <w:w w:val="100"/>
          <w:sz w:val="32"/>
          <w:szCs w:val="32"/>
          <w:highlight w:val="yellow"/>
        </w:rPr>
      </w:pPr>
      <w:r>
        <w:rPr>
          <w:rFonts w:hint="eastAsia" w:ascii="楷体_GB2312" w:hAnsi="Times New Roman" w:eastAsia="楷体_GB2312" w:cs="DengXian-Bold"/>
          <w:b/>
          <w:bCs/>
          <w:i w:val="0"/>
          <w:caps w:val="0"/>
          <w:spacing w:val="0"/>
          <w:w w:val="100"/>
          <w:sz w:val="32"/>
          <w:szCs w:val="32"/>
        </w:rPr>
        <w:t>（二）财政拨款收支与年初预算数对比情况</w:t>
      </w:r>
    </w:p>
    <w:p w14:paraId="58BFEEFA">
      <w:pPr>
        <w:widowControl w:val="0"/>
        <w:snapToGrid w:val="0"/>
        <w:spacing w:before="0" w:beforeAutospacing="0" w:after="0" w:afterAutospacing="0" w:line="600" w:lineRule="exact"/>
        <w:ind w:left="0" w:leftChars="0" w:firstLine="640" w:firstLineChars="200"/>
        <w:jc w:val="both"/>
        <w:textAlignment w:val="baseline"/>
        <w:rPr>
          <w:rFonts w:hint="eastAsia" w:ascii="仿宋_GB2312" w:hAnsi="仿宋" w:eastAsia="仿宋_GB2312"/>
          <w:b w:val="0"/>
          <w:i w:val="0"/>
          <w:caps w:val="0"/>
          <w:spacing w:val="0"/>
          <w:w w:val="100"/>
          <w:sz w:val="32"/>
          <w:szCs w:val="32"/>
          <w:lang w:val="en-US" w:eastAsia="zh-CN"/>
        </w:rPr>
      </w:pPr>
      <w:r>
        <w:rPr>
          <w:rFonts w:hint="eastAsia" w:ascii="仿宋_GB2312" w:hAnsi="仿宋" w:eastAsia="仿宋_GB2312"/>
          <w:b w:val="0"/>
          <w:i w:val="0"/>
          <w:caps w:val="0"/>
          <w:spacing w:val="0"/>
          <w:w w:val="100"/>
          <w:sz w:val="32"/>
          <w:szCs w:val="32"/>
          <w:lang w:val="en-US" w:eastAsia="zh-CN"/>
        </w:rPr>
        <w:t>本部门2019年度一般公共预算财政拨款收入357.95万元，完成年初预算的123.43%（如图4）,比年初预算增加67.94万元，决算数大于预算数主要原因是单位职能增加，人员增加；本年支出361.85万元，完成年初预算的124.77%,比年初预算增加71.84万元，决算数大于预算数主要原因是主要是单位职能增加，人员增加。</w:t>
      </w:r>
    </w:p>
    <w:p w14:paraId="6F0645C4">
      <w:pPr>
        <w:widowControl w:val="0"/>
        <w:snapToGrid w:val="0"/>
        <w:spacing w:before="0" w:beforeAutospacing="0" w:after="0" w:afterAutospacing="0" w:line="600" w:lineRule="exact"/>
        <w:ind w:left="0" w:leftChars="0" w:firstLine="420" w:firstLineChars="200"/>
        <w:jc w:val="both"/>
        <w:textAlignment w:val="baseline"/>
        <w:rPr>
          <w:rFonts w:hint="eastAsia" w:ascii="仿宋_GB2312" w:hAnsi="仿宋" w:eastAsia="仿宋_GB2312"/>
          <w:b w:val="0"/>
          <w:i w:val="0"/>
          <w:caps w:val="0"/>
          <w:spacing w:val="0"/>
          <w:w w:val="100"/>
          <w:sz w:val="32"/>
          <w:szCs w:val="32"/>
          <w:lang w:val="en-US" w:eastAsia="zh-CN"/>
        </w:rPr>
      </w:pPr>
      <w:r>
        <w:rPr>
          <w:b w:val="0"/>
          <w:i w:val="0"/>
          <w:caps w:val="0"/>
          <w:spacing w:val="0"/>
          <w:w w:val="100"/>
          <w:sz w:val="21"/>
        </w:rPr>
        <w:drawing>
          <wp:anchor distT="0" distB="0" distL="114300" distR="114300" simplePos="0" relativeHeight="251694080" behindDoc="0" locked="0" layoutInCell="1" allowOverlap="1">
            <wp:simplePos x="0" y="0"/>
            <wp:positionH relativeFrom="column">
              <wp:posOffset>623570</wp:posOffset>
            </wp:positionH>
            <wp:positionV relativeFrom="paragraph">
              <wp:posOffset>80645</wp:posOffset>
            </wp:positionV>
            <wp:extent cx="4572000" cy="2705100"/>
            <wp:effectExtent l="4445" t="4445" r="14605" b="14605"/>
            <wp:wrapNone/>
            <wp:docPr id="3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24B6F4C0">
      <w:pPr>
        <w:widowControl w:val="0"/>
        <w:snapToGrid w:val="0"/>
        <w:spacing w:before="0" w:beforeAutospacing="0" w:after="0" w:afterAutospacing="0" w:line="600" w:lineRule="exact"/>
        <w:ind w:left="0" w:leftChars="0" w:firstLine="640" w:firstLineChars="200"/>
        <w:jc w:val="both"/>
        <w:textAlignment w:val="baseline"/>
        <w:rPr>
          <w:rFonts w:hint="eastAsia" w:ascii="仿宋_GB2312" w:hAnsi="仿宋" w:eastAsia="仿宋_GB2312"/>
          <w:b w:val="0"/>
          <w:i w:val="0"/>
          <w:caps w:val="0"/>
          <w:spacing w:val="0"/>
          <w:w w:val="100"/>
          <w:sz w:val="32"/>
          <w:szCs w:val="32"/>
          <w:lang w:val="en-US" w:eastAsia="zh-CN"/>
        </w:rPr>
      </w:pPr>
    </w:p>
    <w:p w14:paraId="64BA35B8">
      <w:pPr>
        <w:widowControl w:val="0"/>
        <w:snapToGrid w:val="0"/>
        <w:spacing w:before="0" w:beforeAutospacing="0" w:after="0" w:afterAutospacing="0" w:line="600" w:lineRule="exact"/>
        <w:ind w:left="0" w:leftChars="0" w:firstLine="640" w:firstLineChars="200"/>
        <w:jc w:val="both"/>
        <w:textAlignment w:val="baseline"/>
        <w:rPr>
          <w:rFonts w:hint="eastAsia" w:ascii="仿宋_GB2312" w:hAnsi="仿宋" w:eastAsia="仿宋_GB2312"/>
          <w:b w:val="0"/>
          <w:i w:val="0"/>
          <w:caps w:val="0"/>
          <w:spacing w:val="0"/>
          <w:w w:val="100"/>
          <w:sz w:val="32"/>
          <w:szCs w:val="32"/>
          <w:lang w:val="en-US" w:eastAsia="zh-CN"/>
        </w:rPr>
      </w:pPr>
    </w:p>
    <w:p w14:paraId="14F490EF">
      <w:pPr>
        <w:widowControl w:val="0"/>
        <w:snapToGrid w:val="0"/>
        <w:spacing w:before="0" w:beforeAutospacing="0" w:after="0" w:afterAutospacing="0" w:line="600" w:lineRule="exact"/>
        <w:ind w:left="0" w:leftChars="0" w:firstLine="640" w:firstLineChars="200"/>
        <w:jc w:val="both"/>
        <w:textAlignment w:val="baseline"/>
        <w:rPr>
          <w:rFonts w:hint="eastAsia" w:ascii="仿宋_GB2312" w:hAnsi="仿宋" w:eastAsia="仿宋_GB2312"/>
          <w:b w:val="0"/>
          <w:i w:val="0"/>
          <w:caps w:val="0"/>
          <w:spacing w:val="0"/>
          <w:w w:val="100"/>
          <w:sz w:val="32"/>
          <w:szCs w:val="32"/>
          <w:lang w:val="en-US" w:eastAsia="zh-CN"/>
        </w:rPr>
      </w:pPr>
    </w:p>
    <w:p w14:paraId="783C9786">
      <w:pPr>
        <w:widowControl w:val="0"/>
        <w:snapToGrid w:val="0"/>
        <w:spacing w:before="0" w:beforeAutospacing="0" w:after="0" w:afterAutospacing="0" w:line="600" w:lineRule="exact"/>
        <w:ind w:left="0" w:leftChars="0" w:firstLine="640" w:firstLineChars="200"/>
        <w:jc w:val="both"/>
        <w:textAlignment w:val="baseline"/>
        <w:rPr>
          <w:rFonts w:hint="eastAsia" w:ascii="仿宋_GB2312" w:hAnsi="仿宋" w:eastAsia="仿宋_GB2312"/>
          <w:b w:val="0"/>
          <w:i w:val="0"/>
          <w:caps w:val="0"/>
          <w:spacing w:val="0"/>
          <w:w w:val="100"/>
          <w:sz w:val="32"/>
          <w:szCs w:val="32"/>
          <w:lang w:val="en-US" w:eastAsia="zh-CN"/>
        </w:rPr>
      </w:pPr>
    </w:p>
    <w:p w14:paraId="091E5613">
      <w:pPr>
        <w:widowControl w:val="0"/>
        <w:snapToGrid w:val="0"/>
        <w:spacing w:before="0" w:beforeAutospacing="0" w:after="0" w:afterAutospacing="0" w:line="600" w:lineRule="exact"/>
        <w:ind w:left="0" w:leftChars="0" w:firstLine="640" w:firstLineChars="200"/>
        <w:jc w:val="both"/>
        <w:textAlignment w:val="baseline"/>
        <w:rPr>
          <w:rFonts w:hint="eastAsia" w:ascii="仿宋_GB2312" w:hAnsi="仿宋" w:eastAsia="仿宋_GB2312"/>
          <w:b w:val="0"/>
          <w:i w:val="0"/>
          <w:caps w:val="0"/>
          <w:spacing w:val="0"/>
          <w:w w:val="100"/>
          <w:sz w:val="32"/>
          <w:szCs w:val="32"/>
          <w:lang w:val="en-US" w:eastAsia="zh-CN"/>
        </w:rPr>
      </w:pPr>
    </w:p>
    <w:p w14:paraId="2EC2232F">
      <w:pPr>
        <w:widowControl w:val="0"/>
        <w:snapToGrid w:val="0"/>
        <w:spacing w:before="0" w:beforeAutospacing="0" w:after="0" w:afterAutospacing="0" w:line="600" w:lineRule="exact"/>
        <w:ind w:left="0" w:leftChars="0" w:firstLine="640" w:firstLineChars="200"/>
        <w:jc w:val="both"/>
        <w:textAlignment w:val="baseline"/>
        <w:rPr>
          <w:rFonts w:hint="eastAsia" w:ascii="仿宋_GB2312" w:hAnsi="仿宋" w:eastAsia="仿宋_GB2312"/>
          <w:b w:val="0"/>
          <w:i w:val="0"/>
          <w:caps w:val="0"/>
          <w:spacing w:val="0"/>
          <w:w w:val="100"/>
          <w:sz w:val="32"/>
          <w:szCs w:val="32"/>
          <w:lang w:val="en-US" w:eastAsia="zh-CN"/>
        </w:rPr>
      </w:pPr>
    </w:p>
    <w:p w14:paraId="3F7DC297">
      <w:pPr>
        <w:widowControl w:val="0"/>
        <w:snapToGrid w:val="0"/>
        <w:spacing w:before="0" w:beforeAutospacing="0" w:after="0" w:afterAutospacing="0" w:line="600" w:lineRule="exact"/>
        <w:ind w:firstLine="643" w:firstLineChars="200"/>
        <w:jc w:val="both"/>
        <w:textAlignment w:val="baseline"/>
        <w:rPr>
          <w:rFonts w:hint="default" w:ascii="仿宋_GB2312" w:hAnsi="Times New Roman" w:eastAsia="仿宋_GB2312" w:cs="DengXian-Regular"/>
          <w:b w:val="0"/>
          <w:i w:val="0"/>
          <w:caps w:val="0"/>
          <w:spacing w:val="0"/>
          <w:w w:val="100"/>
          <w:sz w:val="32"/>
          <w:szCs w:val="32"/>
          <w:lang w:val="en-US" w:eastAsia="zh-CN"/>
        </w:rPr>
      </w:pPr>
      <w:r>
        <w:rPr>
          <w:rFonts w:hint="eastAsia" w:ascii="楷体_GB2312" w:hAnsi="Times New Roman" w:eastAsia="楷体_GB2312" w:cs="DengXian-Bold"/>
          <w:b/>
          <w:bCs/>
          <w:i w:val="0"/>
          <w:caps w:val="0"/>
          <w:spacing w:val="0"/>
          <w:w w:val="100"/>
          <w:sz w:val="32"/>
          <w:szCs w:val="32"/>
          <w:lang w:val="en-US" w:eastAsia="zh-CN"/>
        </w:rPr>
        <w:t xml:space="preserve">       </w:t>
      </w:r>
      <w:r>
        <w:rPr>
          <w:rFonts w:hint="eastAsia" w:ascii="仿宋_GB2312" w:hAnsi="Times New Roman" w:eastAsia="仿宋_GB2312" w:cs="DengXian-Regular"/>
          <w:b w:val="0"/>
          <w:i w:val="0"/>
          <w:caps w:val="0"/>
          <w:spacing w:val="0"/>
          <w:w w:val="100"/>
          <w:sz w:val="32"/>
          <w:szCs w:val="32"/>
          <w:lang w:val="en-US" w:eastAsia="zh-CN"/>
        </w:rPr>
        <w:t>图4：财政拨款收支预决算对比情况</w:t>
      </w:r>
    </w:p>
    <w:p w14:paraId="09F9D899">
      <w:pPr>
        <w:widowControl w:val="0"/>
        <w:snapToGrid w:val="0"/>
        <w:spacing w:before="0" w:beforeAutospacing="0" w:after="0" w:afterAutospacing="0" w:line="600" w:lineRule="exact"/>
        <w:ind w:firstLine="643" w:firstLineChars="200"/>
        <w:jc w:val="both"/>
        <w:textAlignment w:val="baseline"/>
        <w:rPr>
          <w:rFonts w:hint="eastAsia" w:ascii="楷体_GB2312" w:hAnsi="Times New Roman" w:eastAsia="楷体_GB2312" w:cs="DengXian-Bold"/>
          <w:b/>
          <w:bCs/>
          <w:i w:val="0"/>
          <w:caps w:val="0"/>
          <w:spacing w:val="0"/>
          <w:w w:val="100"/>
          <w:sz w:val="32"/>
          <w:szCs w:val="32"/>
          <w:lang w:eastAsia="zh-CN"/>
        </w:rPr>
      </w:pPr>
    </w:p>
    <w:p w14:paraId="3B8E2290">
      <w:pPr>
        <w:widowControl w:val="0"/>
        <w:snapToGrid w:val="0"/>
        <w:spacing w:before="0" w:beforeAutospacing="0" w:after="0" w:afterAutospacing="0" w:line="600" w:lineRule="exact"/>
        <w:ind w:firstLine="643" w:firstLineChars="200"/>
        <w:jc w:val="both"/>
        <w:textAlignment w:val="baseline"/>
        <w:rPr>
          <w:rFonts w:ascii="楷体_GB2312" w:hAnsi="Times New Roman" w:eastAsia="楷体_GB2312" w:cs="DengXian-Bold"/>
          <w:b/>
          <w:bCs/>
          <w:i w:val="0"/>
          <w:caps w:val="0"/>
          <w:spacing w:val="0"/>
          <w:w w:val="100"/>
          <w:sz w:val="32"/>
          <w:szCs w:val="32"/>
        </w:rPr>
      </w:pPr>
      <w:r>
        <w:rPr>
          <w:rFonts w:hint="eastAsia" w:ascii="楷体_GB2312" w:hAnsi="Times New Roman" w:eastAsia="楷体_GB2312" w:cs="DengXian-Bold"/>
          <w:b/>
          <w:bCs/>
          <w:i w:val="0"/>
          <w:caps w:val="0"/>
          <w:spacing w:val="0"/>
          <w:w w:val="100"/>
          <w:sz w:val="32"/>
          <w:szCs w:val="32"/>
          <w:lang w:eastAsia="zh-CN"/>
        </w:rPr>
        <w:t>（三）</w:t>
      </w:r>
      <w:r>
        <w:rPr>
          <w:rFonts w:hint="eastAsia" w:ascii="楷体_GB2312" w:hAnsi="Times New Roman" w:eastAsia="楷体_GB2312" w:cs="DengXian-Bold"/>
          <w:b/>
          <w:bCs/>
          <w:i w:val="0"/>
          <w:caps w:val="0"/>
          <w:spacing w:val="0"/>
          <w:w w:val="100"/>
          <w:sz w:val="32"/>
          <w:szCs w:val="32"/>
        </w:rPr>
        <w:t>财政拨款支出决算结构情况。</w:t>
      </w:r>
    </w:p>
    <w:p w14:paraId="7470108B">
      <w:pPr>
        <w:widowControl w:val="0"/>
        <w:snapToGrid w:val="0"/>
        <w:spacing w:before="0" w:beforeAutospacing="0" w:after="0" w:afterAutospacing="0" w:line="600" w:lineRule="exact"/>
        <w:ind w:left="0" w:leftChars="0" w:firstLine="640" w:firstLineChars="200"/>
        <w:jc w:val="both"/>
        <w:textAlignment w:val="baseline"/>
        <w:rPr>
          <w:rFonts w:ascii="仿宋_GB2312" w:hAnsi="Times New Roman" w:eastAsia="仿宋_GB2312" w:cs="DengXian-Regular"/>
          <w:b w:val="0"/>
          <w:i w:val="0"/>
          <w:caps w:val="0"/>
          <w:spacing w:val="0"/>
          <w:w w:val="100"/>
          <w:sz w:val="32"/>
          <w:szCs w:val="32"/>
        </w:rPr>
      </w:pPr>
      <w:r>
        <w:rPr>
          <w:rFonts w:hint="eastAsia" w:ascii="仿宋_GB2312" w:hAnsi="Times New Roman" w:eastAsia="仿宋_GB2312" w:cs="DengXian-Regular"/>
          <w:b w:val="0"/>
          <w:i w:val="0"/>
          <w:caps w:val="0"/>
          <w:spacing w:val="0"/>
          <w:w w:val="100"/>
          <w:sz w:val="32"/>
          <w:szCs w:val="32"/>
        </w:rPr>
        <w:t>2019 年度财政拨款支出</w:t>
      </w:r>
      <w:r>
        <w:rPr>
          <w:rFonts w:hint="eastAsia" w:ascii="仿宋_GB2312" w:hAnsi="Times New Roman" w:eastAsia="仿宋_GB2312" w:cs="DengXian-Regular"/>
          <w:b w:val="0"/>
          <w:i w:val="0"/>
          <w:caps w:val="0"/>
          <w:spacing w:val="0"/>
          <w:w w:val="100"/>
          <w:sz w:val="32"/>
          <w:szCs w:val="32"/>
          <w:lang w:val="en-US" w:eastAsia="zh-CN"/>
        </w:rPr>
        <w:t>361.85</w:t>
      </w:r>
      <w:r>
        <w:rPr>
          <w:rFonts w:hint="eastAsia" w:ascii="仿宋_GB2312" w:hAnsi="Times New Roman" w:eastAsia="仿宋_GB2312" w:cs="DengXian-Regular"/>
          <w:b w:val="0"/>
          <w:i w:val="0"/>
          <w:caps w:val="0"/>
          <w:spacing w:val="0"/>
          <w:w w:val="100"/>
          <w:sz w:val="32"/>
          <w:szCs w:val="32"/>
        </w:rPr>
        <w:t>万元，主要用于以下方面</w:t>
      </w:r>
      <w:r>
        <w:rPr>
          <w:rFonts w:hint="eastAsia" w:ascii="仿宋_GB2312" w:hAnsi="Times New Roman" w:eastAsia="仿宋_GB2312" w:cs="DengXian-Regular"/>
          <w:b w:val="0"/>
          <w:i w:val="0"/>
          <w:caps w:val="0"/>
          <w:spacing w:val="0"/>
          <w:w w:val="100"/>
          <w:sz w:val="32"/>
          <w:szCs w:val="32"/>
          <w:lang w:eastAsia="zh-CN"/>
        </w:rPr>
        <w:t>：</w:t>
      </w:r>
      <w:r>
        <w:rPr>
          <w:rFonts w:hint="eastAsia" w:ascii="仿宋_GB2312" w:hAnsi="Times New Roman" w:eastAsia="仿宋_GB2312" w:cs="DengXian-Regular"/>
          <w:b w:val="0"/>
          <w:i w:val="0"/>
          <w:caps w:val="0"/>
          <w:spacing w:val="0"/>
          <w:w w:val="100"/>
          <w:sz w:val="32"/>
          <w:szCs w:val="32"/>
        </w:rPr>
        <w:t>一般公共服务（类）支出</w:t>
      </w:r>
      <w:r>
        <w:rPr>
          <w:rFonts w:hint="eastAsia" w:ascii="仿宋_GB2312" w:hAnsi="Times New Roman" w:eastAsia="仿宋_GB2312" w:cs="DengXian-Regular"/>
          <w:b w:val="0"/>
          <w:i w:val="0"/>
          <w:caps w:val="0"/>
          <w:spacing w:val="0"/>
          <w:w w:val="100"/>
          <w:sz w:val="32"/>
          <w:szCs w:val="32"/>
          <w:lang w:val="en-US" w:eastAsia="zh-CN"/>
        </w:rPr>
        <w:t>278.97</w:t>
      </w:r>
      <w:r>
        <w:rPr>
          <w:rFonts w:hint="eastAsia" w:ascii="仿宋_GB2312" w:hAnsi="Times New Roman" w:eastAsia="仿宋_GB2312" w:cs="DengXian-Regular"/>
          <w:b w:val="0"/>
          <w:i w:val="0"/>
          <w:caps w:val="0"/>
          <w:spacing w:val="0"/>
          <w:w w:val="100"/>
          <w:sz w:val="32"/>
          <w:szCs w:val="32"/>
        </w:rPr>
        <w:t>万元，占</w:t>
      </w:r>
      <w:r>
        <w:rPr>
          <w:rFonts w:hint="eastAsia" w:ascii="仿宋_GB2312" w:hAnsi="Times New Roman" w:eastAsia="仿宋_GB2312" w:cs="DengXian-Regular"/>
          <w:b w:val="0"/>
          <w:i w:val="0"/>
          <w:caps w:val="0"/>
          <w:spacing w:val="0"/>
          <w:w w:val="100"/>
          <w:sz w:val="32"/>
          <w:szCs w:val="32"/>
          <w:lang w:val="en-US" w:eastAsia="zh-CN"/>
        </w:rPr>
        <w:t>77.09</w:t>
      </w:r>
      <w:r>
        <w:rPr>
          <w:rFonts w:hint="eastAsia" w:ascii="仿宋_GB2312" w:hAnsi="Times New Roman" w:eastAsia="仿宋_GB2312" w:cs="DengXian-Regular"/>
          <w:b w:val="0"/>
          <w:i w:val="0"/>
          <w:caps w:val="0"/>
          <w:spacing w:val="0"/>
          <w:w w:val="100"/>
          <w:sz w:val="32"/>
          <w:szCs w:val="32"/>
        </w:rPr>
        <w:t>%</w:t>
      </w:r>
      <w:r>
        <w:rPr>
          <w:rFonts w:hint="eastAsia" w:ascii="仿宋_GB2312" w:hAnsi="Times New Roman" w:eastAsia="仿宋_GB2312" w:cs="DengXian-Regular"/>
          <w:b w:val="0"/>
          <w:i w:val="0"/>
          <w:caps w:val="0"/>
          <w:spacing w:val="0"/>
          <w:w w:val="100"/>
          <w:sz w:val="32"/>
          <w:szCs w:val="32"/>
          <w:lang w:eastAsia="zh-CN"/>
        </w:rPr>
        <w:t>；</w:t>
      </w:r>
      <w:r>
        <w:rPr>
          <w:rFonts w:hint="eastAsia" w:ascii="仿宋_GB2312" w:hAnsi="Times New Roman" w:eastAsia="仿宋_GB2312" w:cs="DengXian-Regular"/>
          <w:b w:val="0"/>
          <w:i w:val="0"/>
          <w:caps w:val="0"/>
          <w:spacing w:val="0"/>
          <w:w w:val="100"/>
          <w:sz w:val="32"/>
          <w:szCs w:val="32"/>
        </w:rPr>
        <w:t>社会保障和就业（类）支出</w:t>
      </w:r>
      <w:r>
        <w:rPr>
          <w:rFonts w:hint="eastAsia" w:ascii="仿宋_GB2312" w:hAnsi="Times New Roman" w:eastAsia="仿宋_GB2312" w:cs="DengXian-Regular"/>
          <w:b w:val="0"/>
          <w:i w:val="0"/>
          <w:caps w:val="0"/>
          <w:spacing w:val="0"/>
          <w:w w:val="100"/>
          <w:sz w:val="32"/>
          <w:szCs w:val="32"/>
          <w:lang w:val="en-US" w:eastAsia="zh-CN"/>
        </w:rPr>
        <w:t>42.65</w:t>
      </w:r>
      <w:r>
        <w:rPr>
          <w:rFonts w:hint="eastAsia" w:ascii="仿宋_GB2312" w:hAnsi="Times New Roman" w:eastAsia="仿宋_GB2312" w:cs="DengXian-Regular"/>
          <w:b w:val="0"/>
          <w:i w:val="0"/>
          <w:caps w:val="0"/>
          <w:spacing w:val="0"/>
          <w:w w:val="100"/>
          <w:sz w:val="32"/>
          <w:szCs w:val="32"/>
        </w:rPr>
        <w:t>万元，占</w:t>
      </w:r>
      <w:r>
        <w:rPr>
          <w:rFonts w:hint="eastAsia" w:ascii="仿宋_GB2312" w:hAnsi="Times New Roman" w:eastAsia="仿宋_GB2312" w:cs="DengXian-Regular"/>
          <w:b w:val="0"/>
          <w:i w:val="0"/>
          <w:caps w:val="0"/>
          <w:spacing w:val="0"/>
          <w:w w:val="100"/>
          <w:sz w:val="32"/>
          <w:szCs w:val="32"/>
          <w:lang w:val="en-US" w:eastAsia="zh-CN"/>
        </w:rPr>
        <w:t>11.79</w:t>
      </w:r>
      <w:r>
        <w:rPr>
          <w:rFonts w:hint="eastAsia" w:ascii="仿宋_GB2312" w:hAnsi="Times New Roman" w:eastAsia="仿宋_GB2312" w:cs="DengXian-Regular"/>
          <w:b w:val="0"/>
          <w:i w:val="0"/>
          <w:caps w:val="0"/>
          <w:spacing w:val="0"/>
          <w:w w:val="100"/>
          <w:sz w:val="32"/>
          <w:szCs w:val="32"/>
        </w:rPr>
        <w:t>%；</w:t>
      </w:r>
      <w:r>
        <w:rPr>
          <w:rFonts w:hint="eastAsia" w:ascii="仿宋_GB2312" w:hAnsi="Times New Roman" w:eastAsia="仿宋_GB2312" w:cs="DengXian-Regular"/>
          <w:b w:val="0"/>
          <w:i w:val="0"/>
          <w:caps w:val="0"/>
          <w:spacing w:val="0"/>
          <w:w w:val="100"/>
          <w:sz w:val="32"/>
          <w:szCs w:val="32"/>
          <w:lang w:eastAsia="zh-CN"/>
        </w:rPr>
        <w:t>卫生健康支出</w:t>
      </w:r>
      <w:r>
        <w:rPr>
          <w:rFonts w:hint="eastAsia" w:ascii="仿宋_GB2312" w:hAnsi="Times New Roman" w:eastAsia="仿宋_GB2312" w:cs="DengXian-Regular"/>
          <w:b w:val="0"/>
          <w:i w:val="0"/>
          <w:caps w:val="0"/>
          <w:spacing w:val="0"/>
          <w:w w:val="100"/>
          <w:sz w:val="32"/>
          <w:szCs w:val="32"/>
          <w:lang w:val="en-US" w:eastAsia="zh-CN"/>
        </w:rPr>
        <w:t>12.87万元，占3.56%，</w:t>
      </w:r>
      <w:r>
        <w:rPr>
          <w:rFonts w:hint="eastAsia" w:ascii="仿宋_GB2312" w:hAnsi="Times New Roman" w:eastAsia="仿宋_GB2312" w:cs="DengXian-Regular"/>
          <w:b w:val="0"/>
          <w:i w:val="0"/>
          <w:caps w:val="0"/>
          <w:spacing w:val="0"/>
          <w:w w:val="100"/>
          <w:sz w:val="32"/>
          <w:szCs w:val="32"/>
        </w:rPr>
        <w:t>住房保障（类）支出</w:t>
      </w:r>
      <w:r>
        <w:rPr>
          <w:rFonts w:hint="eastAsia" w:ascii="仿宋_GB2312" w:hAnsi="Times New Roman" w:eastAsia="仿宋_GB2312" w:cs="DengXian-Regular"/>
          <w:b w:val="0"/>
          <w:i w:val="0"/>
          <w:caps w:val="0"/>
          <w:spacing w:val="0"/>
          <w:w w:val="100"/>
          <w:sz w:val="32"/>
          <w:szCs w:val="32"/>
          <w:lang w:val="en-US" w:eastAsia="zh-CN"/>
        </w:rPr>
        <w:t>27.36</w:t>
      </w:r>
      <w:r>
        <w:rPr>
          <w:rFonts w:hint="eastAsia" w:ascii="仿宋_GB2312" w:hAnsi="Times New Roman" w:eastAsia="仿宋_GB2312" w:cs="DengXian-Regular"/>
          <w:b w:val="0"/>
          <w:i w:val="0"/>
          <w:caps w:val="0"/>
          <w:spacing w:val="0"/>
          <w:w w:val="100"/>
          <w:sz w:val="32"/>
          <w:szCs w:val="32"/>
        </w:rPr>
        <w:t xml:space="preserve">万元，占 </w:t>
      </w:r>
      <w:r>
        <w:rPr>
          <w:rFonts w:hint="eastAsia" w:ascii="仿宋_GB2312" w:hAnsi="Times New Roman" w:eastAsia="仿宋_GB2312" w:cs="DengXian-Regular"/>
          <w:b w:val="0"/>
          <w:i w:val="0"/>
          <w:caps w:val="0"/>
          <w:spacing w:val="0"/>
          <w:w w:val="100"/>
          <w:sz w:val="32"/>
          <w:szCs w:val="32"/>
          <w:lang w:val="en-US" w:eastAsia="zh-CN"/>
        </w:rPr>
        <w:t>7.56%</w:t>
      </w:r>
      <w:r>
        <w:rPr>
          <w:rFonts w:hint="eastAsia" w:ascii="仿宋_GB2312" w:hAnsi="Times New Roman" w:eastAsia="仿宋_GB2312" w:cs="DengXian-Regular"/>
          <w:b w:val="0"/>
          <w:i w:val="0"/>
          <w:caps w:val="0"/>
          <w:spacing w:val="0"/>
          <w:w w:val="100"/>
          <w:sz w:val="32"/>
          <w:szCs w:val="32"/>
        </w:rPr>
        <w:t>。</w:t>
      </w:r>
    </w:p>
    <w:p w14:paraId="48894B94">
      <w:pPr>
        <w:snapToGrid w:val="0"/>
        <w:spacing w:before="0" w:beforeAutospacing="0" w:after="0" w:afterAutospacing="0" w:line="580" w:lineRule="exact"/>
        <w:jc w:val="both"/>
        <w:textAlignment w:val="baseline"/>
        <w:rPr>
          <w:rFonts w:ascii="楷体_GB2312" w:hAnsi="Times New Roman" w:eastAsia="楷体_GB2312" w:cs="DengXian-Bold"/>
          <w:b/>
          <w:bCs/>
          <w:i w:val="0"/>
          <w:caps w:val="0"/>
          <w:spacing w:val="0"/>
          <w:w w:val="100"/>
          <w:sz w:val="32"/>
          <w:szCs w:val="32"/>
        </w:rPr>
      </w:pPr>
      <w:r>
        <w:rPr>
          <w:b w:val="0"/>
          <w:i w:val="0"/>
          <w:caps w:val="0"/>
          <w:spacing w:val="0"/>
          <w:w w:val="100"/>
          <w:sz w:val="21"/>
        </w:rPr>
        <w:drawing>
          <wp:anchor distT="0" distB="0" distL="114300" distR="114300" simplePos="0" relativeHeight="251693056" behindDoc="0" locked="0" layoutInCell="1" allowOverlap="1">
            <wp:simplePos x="0" y="0"/>
            <wp:positionH relativeFrom="column">
              <wp:posOffset>700405</wp:posOffset>
            </wp:positionH>
            <wp:positionV relativeFrom="paragraph">
              <wp:posOffset>114935</wp:posOffset>
            </wp:positionV>
            <wp:extent cx="4038600" cy="2667000"/>
            <wp:effectExtent l="4445" t="4445" r="14605" b="14605"/>
            <wp:wrapNone/>
            <wp:docPr id="3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14:paraId="2207D1A0">
      <w:pPr>
        <w:snapToGrid w:val="0"/>
        <w:spacing w:before="0" w:beforeAutospacing="0" w:after="0" w:afterAutospacing="0" w:line="600" w:lineRule="exact"/>
        <w:jc w:val="both"/>
        <w:textAlignment w:val="baseline"/>
        <w:rPr>
          <w:rFonts w:hint="eastAsia" w:ascii="楷体_GB2312" w:hAnsi="Times New Roman" w:eastAsia="楷体_GB2312" w:cs="DengXian-Bold"/>
          <w:b/>
          <w:bCs/>
          <w:i w:val="0"/>
          <w:caps w:val="0"/>
          <w:spacing w:val="0"/>
          <w:w w:val="100"/>
          <w:sz w:val="32"/>
          <w:szCs w:val="32"/>
        </w:rPr>
      </w:pPr>
    </w:p>
    <w:p w14:paraId="217FFF3C">
      <w:pPr>
        <w:snapToGrid w:val="0"/>
        <w:spacing w:before="0" w:beforeAutospacing="0" w:after="0" w:afterAutospacing="0" w:line="600" w:lineRule="exact"/>
        <w:ind w:firstLine="321" w:firstLineChars="100"/>
        <w:jc w:val="both"/>
        <w:textAlignment w:val="baseline"/>
        <w:rPr>
          <w:rFonts w:hint="eastAsia" w:ascii="楷体_GB2312" w:hAnsi="Times New Roman" w:eastAsia="楷体_GB2312" w:cs="DengXian-Bold"/>
          <w:b/>
          <w:bCs/>
          <w:i w:val="0"/>
          <w:caps w:val="0"/>
          <w:spacing w:val="0"/>
          <w:w w:val="100"/>
          <w:sz w:val="32"/>
          <w:szCs w:val="32"/>
        </w:rPr>
      </w:pPr>
    </w:p>
    <w:p w14:paraId="3309C85B">
      <w:pPr>
        <w:snapToGrid w:val="0"/>
        <w:spacing w:before="0" w:beforeAutospacing="0" w:after="0" w:afterAutospacing="0" w:line="600" w:lineRule="exact"/>
        <w:ind w:firstLine="321" w:firstLineChars="100"/>
        <w:jc w:val="both"/>
        <w:textAlignment w:val="baseline"/>
        <w:rPr>
          <w:rFonts w:hint="eastAsia" w:ascii="楷体_GB2312" w:hAnsi="Times New Roman" w:eastAsia="楷体_GB2312" w:cs="DengXian-Bold"/>
          <w:b/>
          <w:bCs/>
          <w:i w:val="0"/>
          <w:caps w:val="0"/>
          <w:spacing w:val="0"/>
          <w:w w:val="100"/>
          <w:sz w:val="32"/>
          <w:szCs w:val="32"/>
        </w:rPr>
      </w:pPr>
    </w:p>
    <w:p w14:paraId="51E03B19">
      <w:pPr>
        <w:snapToGrid w:val="0"/>
        <w:spacing w:before="0" w:beforeAutospacing="0" w:after="0" w:afterAutospacing="0" w:line="600" w:lineRule="exact"/>
        <w:ind w:firstLine="321" w:firstLineChars="100"/>
        <w:jc w:val="both"/>
        <w:textAlignment w:val="baseline"/>
        <w:rPr>
          <w:rFonts w:hint="eastAsia" w:ascii="楷体_GB2312" w:hAnsi="Times New Roman" w:eastAsia="楷体_GB2312" w:cs="DengXian-Bold"/>
          <w:b/>
          <w:bCs/>
          <w:i w:val="0"/>
          <w:caps w:val="0"/>
          <w:spacing w:val="0"/>
          <w:w w:val="100"/>
          <w:sz w:val="32"/>
          <w:szCs w:val="32"/>
        </w:rPr>
      </w:pPr>
    </w:p>
    <w:p w14:paraId="358E63FB">
      <w:pPr>
        <w:snapToGrid w:val="0"/>
        <w:spacing w:before="0" w:beforeAutospacing="0" w:after="0" w:afterAutospacing="0" w:line="600" w:lineRule="exact"/>
        <w:ind w:firstLine="321" w:firstLineChars="100"/>
        <w:jc w:val="both"/>
        <w:textAlignment w:val="baseline"/>
        <w:rPr>
          <w:rFonts w:hint="eastAsia" w:ascii="楷体_GB2312" w:hAnsi="Times New Roman" w:eastAsia="楷体_GB2312" w:cs="DengXian-Bold"/>
          <w:b/>
          <w:bCs/>
          <w:i w:val="0"/>
          <w:caps w:val="0"/>
          <w:spacing w:val="0"/>
          <w:w w:val="100"/>
          <w:sz w:val="32"/>
          <w:szCs w:val="32"/>
        </w:rPr>
      </w:pPr>
    </w:p>
    <w:p w14:paraId="53E82C06">
      <w:pPr>
        <w:snapToGrid w:val="0"/>
        <w:spacing w:before="0" w:beforeAutospacing="0" w:after="0" w:afterAutospacing="0" w:line="600" w:lineRule="exact"/>
        <w:ind w:firstLine="321" w:firstLineChars="100"/>
        <w:jc w:val="both"/>
        <w:textAlignment w:val="baseline"/>
        <w:rPr>
          <w:rFonts w:hint="eastAsia" w:ascii="楷体_GB2312" w:hAnsi="Times New Roman" w:eastAsia="楷体_GB2312" w:cs="DengXian-Bold"/>
          <w:b/>
          <w:bCs/>
          <w:i w:val="0"/>
          <w:caps w:val="0"/>
          <w:spacing w:val="0"/>
          <w:w w:val="100"/>
          <w:sz w:val="32"/>
          <w:szCs w:val="32"/>
        </w:rPr>
      </w:pPr>
    </w:p>
    <w:p w14:paraId="4843F75B">
      <w:pPr>
        <w:snapToGrid w:val="0"/>
        <w:spacing w:before="0" w:beforeAutospacing="0" w:after="0" w:afterAutospacing="0" w:line="600" w:lineRule="exact"/>
        <w:ind w:firstLine="321" w:firstLineChars="100"/>
        <w:jc w:val="both"/>
        <w:textAlignment w:val="baseline"/>
        <w:rPr>
          <w:rFonts w:hint="default" w:ascii="仿宋_GB2312" w:hAnsi="Times New Roman" w:eastAsia="仿宋_GB2312" w:cs="DengXian-Regular"/>
          <w:b w:val="0"/>
          <w:i w:val="0"/>
          <w:caps w:val="0"/>
          <w:spacing w:val="0"/>
          <w:w w:val="100"/>
          <w:sz w:val="32"/>
          <w:szCs w:val="32"/>
          <w:lang w:val="en-US" w:eastAsia="zh-CN"/>
        </w:rPr>
      </w:pPr>
      <w:r>
        <w:rPr>
          <w:rFonts w:hint="eastAsia" w:ascii="楷体_GB2312" w:hAnsi="Times New Roman" w:eastAsia="楷体_GB2312" w:cs="DengXian-Bold"/>
          <w:b/>
          <w:bCs/>
          <w:i w:val="0"/>
          <w:caps w:val="0"/>
          <w:spacing w:val="0"/>
          <w:w w:val="100"/>
          <w:sz w:val="32"/>
          <w:szCs w:val="32"/>
          <w:lang w:val="en-US" w:eastAsia="zh-CN"/>
        </w:rPr>
        <w:t xml:space="preserve">       </w:t>
      </w:r>
      <w:r>
        <w:rPr>
          <w:rFonts w:hint="eastAsia" w:ascii="仿宋_GB2312" w:hAnsi="Times New Roman" w:eastAsia="仿宋_GB2312" w:cs="DengXian-Regular"/>
          <w:b w:val="0"/>
          <w:i w:val="0"/>
          <w:caps w:val="0"/>
          <w:spacing w:val="0"/>
          <w:w w:val="100"/>
          <w:sz w:val="32"/>
          <w:szCs w:val="32"/>
          <w:lang w:val="en-US" w:eastAsia="zh-CN"/>
        </w:rPr>
        <w:t>图5：财政拨款支出决算结构（按功能分类）</w:t>
      </w:r>
    </w:p>
    <w:p w14:paraId="4A898A66">
      <w:pPr>
        <w:snapToGrid w:val="0"/>
        <w:spacing w:before="0" w:beforeAutospacing="0" w:after="0" w:afterAutospacing="0" w:line="600" w:lineRule="exact"/>
        <w:ind w:firstLine="321" w:firstLineChars="100"/>
        <w:jc w:val="both"/>
        <w:textAlignment w:val="baseline"/>
        <w:rPr>
          <w:rFonts w:hint="eastAsia" w:ascii="楷体_GB2312" w:hAnsi="Times New Roman" w:eastAsia="楷体_GB2312" w:cs="DengXian-Bold"/>
          <w:b/>
          <w:bCs/>
          <w:i w:val="0"/>
          <w:caps w:val="0"/>
          <w:spacing w:val="0"/>
          <w:w w:val="100"/>
          <w:sz w:val="32"/>
          <w:szCs w:val="32"/>
        </w:rPr>
      </w:pPr>
    </w:p>
    <w:p w14:paraId="70BC1155">
      <w:pPr>
        <w:snapToGrid w:val="0"/>
        <w:spacing w:before="0" w:beforeAutospacing="0" w:after="0" w:afterAutospacing="0" w:line="600" w:lineRule="exact"/>
        <w:ind w:firstLine="321" w:firstLineChars="100"/>
        <w:jc w:val="both"/>
        <w:textAlignment w:val="baseline"/>
        <w:rPr>
          <w:rFonts w:ascii="仿宋_GB2312" w:hAnsi="Times New Roman" w:eastAsia="仿宋_GB2312" w:cs="DengXian-Regular"/>
          <w:b w:val="0"/>
          <w:i w:val="0"/>
          <w:caps w:val="0"/>
          <w:spacing w:val="0"/>
          <w:w w:val="100"/>
          <w:sz w:val="32"/>
          <w:szCs w:val="32"/>
          <w:highlight w:val="yellow"/>
        </w:rPr>
      </w:pPr>
      <w:r>
        <w:rPr>
          <w:rFonts w:hint="eastAsia" w:ascii="楷体_GB2312" w:hAnsi="Times New Roman" w:eastAsia="楷体_GB2312" w:cs="DengXian-Bold"/>
          <w:b/>
          <w:bCs/>
          <w:i w:val="0"/>
          <w:caps w:val="0"/>
          <w:spacing w:val="0"/>
          <w:w w:val="100"/>
          <w:sz w:val="32"/>
          <w:szCs w:val="32"/>
        </w:rPr>
        <w:t>（四）一般公共预算财政拨款基本支出决算情况说明</w:t>
      </w:r>
    </w:p>
    <w:p w14:paraId="64FCE7C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b w:val="0"/>
          <w:i w:val="0"/>
          <w:caps w:val="0"/>
          <w:spacing w:val="0"/>
          <w:w w:val="100"/>
          <w:sz w:val="32"/>
          <w:szCs w:val="32"/>
        </w:rPr>
        <w:t>2019 年度一般公共预算财政拨款基本支出</w:t>
      </w:r>
      <w:r>
        <w:rPr>
          <w:rFonts w:hint="eastAsia" w:ascii="仿宋_GB2312" w:hAnsi="Times New Roman" w:eastAsia="仿宋_GB2312" w:cs="DengXian-Regular"/>
          <w:b w:val="0"/>
          <w:i w:val="0"/>
          <w:caps w:val="0"/>
          <w:spacing w:val="0"/>
          <w:w w:val="100"/>
          <w:sz w:val="32"/>
          <w:szCs w:val="32"/>
          <w:lang w:val="en-US" w:eastAsia="zh-CN"/>
        </w:rPr>
        <w:t>220.9</w:t>
      </w:r>
      <w:r>
        <w:rPr>
          <w:rFonts w:hint="eastAsia" w:ascii="仿宋_GB2312" w:hAnsi="Times New Roman" w:eastAsia="仿宋_GB2312" w:cs="DengXian-Regular"/>
          <w:b w:val="0"/>
          <w:i w:val="0"/>
          <w:caps w:val="0"/>
          <w:spacing w:val="0"/>
          <w:w w:val="100"/>
          <w:sz w:val="32"/>
          <w:szCs w:val="32"/>
        </w:rPr>
        <w:t xml:space="preserve">万元，其中：人员经费 </w:t>
      </w:r>
      <w:r>
        <w:rPr>
          <w:rFonts w:hint="eastAsia" w:ascii="仿宋_GB2312" w:hAnsi="Times New Roman" w:eastAsia="仿宋_GB2312" w:cs="DengXian-Regular"/>
          <w:b w:val="0"/>
          <w:i w:val="0"/>
          <w:caps w:val="0"/>
          <w:spacing w:val="0"/>
          <w:w w:val="100"/>
          <w:sz w:val="32"/>
          <w:szCs w:val="32"/>
          <w:lang w:val="en-US" w:eastAsia="zh-CN"/>
        </w:rPr>
        <w:t>206.67</w:t>
      </w:r>
      <w:r>
        <w:rPr>
          <w:rFonts w:hint="eastAsia" w:ascii="仿宋_GB2312" w:hAnsi="Times New Roman" w:eastAsia="仿宋_GB2312" w:cs="DengXian-Regular"/>
          <w:b w:val="0"/>
          <w:i w:val="0"/>
          <w:caps w:val="0"/>
          <w:spacing w:val="0"/>
          <w:w w:val="100"/>
          <w:sz w:val="32"/>
          <w:szCs w:val="32"/>
        </w:rPr>
        <w:t>万元，</w:t>
      </w:r>
      <w:r>
        <w:rPr>
          <w:rFonts w:hint="eastAsia" w:ascii="仿宋_GB2312" w:eastAsia="仿宋_GB2312" w:cs="DengXian-Regular"/>
          <w:sz w:val="32"/>
          <w:szCs w:val="32"/>
        </w:rPr>
        <w:t xml:space="preserve">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14.23</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58D269A">
      <w:pPr>
        <w:snapToGrid w:val="0"/>
        <w:spacing w:before="0" w:beforeAutospacing="0" w:after="0" w:afterAutospacing="0" w:line="600" w:lineRule="exact"/>
        <w:ind w:firstLine="640" w:firstLineChars="200"/>
        <w:jc w:val="both"/>
        <w:textAlignment w:val="baseline"/>
        <w:rPr>
          <w:rFonts w:ascii="仿宋_GB2312" w:hAnsi="Times New Roman" w:eastAsia="仿宋_GB2312" w:cs="DengXian-Regular"/>
          <w:b w:val="0"/>
          <w:i w:val="0"/>
          <w:caps w:val="0"/>
          <w:spacing w:val="0"/>
          <w:w w:val="100"/>
          <w:sz w:val="32"/>
          <w:szCs w:val="32"/>
        </w:rPr>
      </w:pPr>
    </w:p>
    <w:p w14:paraId="21E4E283">
      <w:pPr>
        <w:keepLines/>
        <w:snapToGrid w:val="0"/>
        <w:spacing w:before="0" w:beforeAutospacing="0" w:after="0" w:afterAutospacing="0" w:line="600" w:lineRule="exact"/>
        <w:ind w:left="0" w:leftChars="0" w:firstLine="640" w:firstLineChars="200"/>
        <w:jc w:val="both"/>
        <w:textAlignment w:val="baseline"/>
        <w:rPr>
          <w:rFonts w:ascii="仿宋_GB2312" w:hAnsi="Times New Roman" w:eastAsia="仿宋_GB2312" w:cs="DengXian-Regular"/>
          <w:b w:val="0"/>
          <w:i w:val="0"/>
          <w:caps w:val="0"/>
          <w:spacing w:val="0"/>
          <w:w w:val="100"/>
          <w:sz w:val="32"/>
          <w:szCs w:val="32"/>
          <w:highlight w:val="yellow"/>
        </w:rPr>
      </w:pPr>
      <w:r>
        <w:rPr>
          <w:rFonts w:hint="eastAsia" w:ascii="黑体" w:hAnsi="Calibri" w:eastAsia="黑体" w:cs="Times New Roman"/>
          <w:b w:val="0"/>
          <w:i w:val="0"/>
          <w:caps w:val="0"/>
          <w:spacing w:val="0"/>
          <w:w w:val="100"/>
          <w:sz w:val="32"/>
          <w:szCs w:val="32"/>
        </w:rPr>
        <w:t>五、一般公共预算财政拨款“三公” 经费支出决算情况说明</w:t>
      </w:r>
    </w:p>
    <w:p w14:paraId="0B7A76A7">
      <w:pPr>
        <w:snapToGrid w:val="0"/>
        <w:spacing w:before="0" w:beforeAutospacing="0" w:after="0" w:afterAutospacing="0" w:line="600" w:lineRule="exact"/>
        <w:ind w:left="0" w:leftChars="0" w:firstLine="640" w:firstLineChars="200"/>
        <w:jc w:val="both"/>
        <w:textAlignment w:val="baseline"/>
        <w:rPr>
          <w:rFonts w:ascii="仿宋_GB2312" w:hAnsi="Times New Roman" w:eastAsia="仿宋_GB2312" w:cs="DengXian-Regular"/>
          <w:b w:val="0"/>
          <w:i w:val="0"/>
          <w:caps w:val="0"/>
          <w:spacing w:val="0"/>
          <w:w w:val="100"/>
          <w:sz w:val="32"/>
          <w:szCs w:val="32"/>
        </w:rPr>
      </w:pPr>
      <w:r>
        <w:rPr>
          <w:rFonts w:hint="eastAsia" w:ascii="仿宋_GB2312" w:hAnsi="Times New Roman" w:eastAsia="仿宋_GB2312" w:cs="DengXian-Regular"/>
          <w:b w:val="0"/>
          <w:i w:val="0"/>
          <w:caps w:val="0"/>
          <w:spacing w:val="0"/>
          <w:w w:val="100"/>
          <w:sz w:val="32"/>
          <w:szCs w:val="32"/>
        </w:rPr>
        <w:t>本部门2019年度“三公”经费支出共计</w:t>
      </w:r>
      <w:r>
        <w:rPr>
          <w:rFonts w:hint="eastAsia" w:ascii="仿宋_GB2312" w:hAnsi="Times New Roman" w:eastAsia="仿宋_GB2312" w:cs="DengXian-Regular"/>
          <w:b w:val="0"/>
          <w:i w:val="0"/>
          <w:caps w:val="0"/>
          <w:spacing w:val="0"/>
          <w:w w:val="100"/>
          <w:sz w:val="32"/>
          <w:szCs w:val="32"/>
          <w:lang w:val="en-US" w:eastAsia="zh-CN"/>
        </w:rPr>
        <w:t>12.06</w:t>
      </w:r>
      <w:r>
        <w:rPr>
          <w:rFonts w:hint="eastAsia" w:ascii="仿宋_GB2312" w:hAnsi="Times New Roman" w:eastAsia="仿宋_GB2312" w:cs="DengXian-Regular"/>
          <w:b w:val="0"/>
          <w:i w:val="0"/>
          <w:caps w:val="0"/>
          <w:spacing w:val="0"/>
          <w:w w:val="100"/>
          <w:sz w:val="32"/>
          <w:szCs w:val="32"/>
        </w:rPr>
        <w:t>万元，完成预算的</w:t>
      </w:r>
      <w:r>
        <w:rPr>
          <w:rFonts w:hint="eastAsia" w:ascii="仿宋_GB2312" w:hAnsi="Times New Roman" w:eastAsia="仿宋_GB2312" w:cs="DengXian-Regular"/>
          <w:b w:val="0"/>
          <w:i w:val="0"/>
          <w:caps w:val="0"/>
          <w:spacing w:val="0"/>
          <w:w w:val="100"/>
          <w:sz w:val="32"/>
          <w:szCs w:val="32"/>
          <w:lang w:val="en-US" w:eastAsia="zh-CN"/>
        </w:rPr>
        <w:t>99.34</w:t>
      </w:r>
      <w:r>
        <w:rPr>
          <w:rFonts w:hint="eastAsia" w:ascii="仿宋_GB2312" w:hAnsi="Times New Roman" w:eastAsia="仿宋_GB2312" w:cs="DengXian-Regular"/>
          <w:b w:val="0"/>
          <w:i w:val="0"/>
          <w:caps w:val="0"/>
          <w:spacing w:val="0"/>
          <w:w w:val="100"/>
          <w:sz w:val="32"/>
          <w:szCs w:val="32"/>
        </w:rPr>
        <w:t>%,较预算减少</w:t>
      </w:r>
      <w:r>
        <w:rPr>
          <w:rFonts w:hint="eastAsia" w:ascii="仿宋_GB2312" w:hAnsi="Times New Roman" w:eastAsia="仿宋_GB2312" w:cs="DengXian-Regular"/>
          <w:b w:val="0"/>
          <w:i w:val="0"/>
          <w:caps w:val="0"/>
          <w:spacing w:val="0"/>
          <w:w w:val="100"/>
          <w:sz w:val="32"/>
          <w:szCs w:val="32"/>
          <w:lang w:val="en-US" w:eastAsia="zh-CN"/>
        </w:rPr>
        <w:t>0.08</w:t>
      </w:r>
      <w:r>
        <w:rPr>
          <w:rFonts w:hint="eastAsia" w:ascii="仿宋_GB2312" w:hAnsi="Times New Roman" w:eastAsia="仿宋_GB2312" w:cs="DengXian-Regular"/>
          <w:b w:val="0"/>
          <w:i w:val="0"/>
          <w:caps w:val="0"/>
          <w:spacing w:val="0"/>
          <w:w w:val="100"/>
          <w:sz w:val="32"/>
          <w:szCs w:val="32"/>
        </w:rPr>
        <w:t>万元，降低</w:t>
      </w:r>
      <w:r>
        <w:rPr>
          <w:rFonts w:hint="eastAsia" w:ascii="仿宋_GB2312" w:hAnsi="Times New Roman" w:eastAsia="仿宋_GB2312" w:cs="DengXian-Regular"/>
          <w:b w:val="0"/>
          <w:i w:val="0"/>
          <w:caps w:val="0"/>
          <w:spacing w:val="0"/>
          <w:w w:val="100"/>
          <w:sz w:val="32"/>
          <w:szCs w:val="32"/>
          <w:lang w:val="en-US" w:eastAsia="zh-CN"/>
        </w:rPr>
        <w:t xml:space="preserve"> 0.66</w:t>
      </w:r>
      <w:r>
        <w:rPr>
          <w:rFonts w:hint="eastAsia" w:ascii="仿宋_GB2312" w:hAnsi="Times New Roman" w:eastAsia="仿宋_GB2312" w:cs="DengXian-Regular"/>
          <w:b w:val="0"/>
          <w:i w:val="0"/>
          <w:caps w:val="0"/>
          <w:spacing w:val="0"/>
          <w:w w:val="100"/>
          <w:sz w:val="32"/>
          <w:szCs w:val="32"/>
        </w:rPr>
        <w:t>%，主要是</w:t>
      </w:r>
      <w:r>
        <w:rPr>
          <w:rFonts w:hint="eastAsia" w:ascii="仿宋_GB2312" w:hAnsi="Times New Roman" w:eastAsia="仿宋_GB2312" w:cs="DengXian-Regular"/>
          <w:b w:val="0"/>
          <w:i w:val="0"/>
          <w:caps w:val="0"/>
          <w:spacing w:val="0"/>
          <w:w w:val="100"/>
          <w:sz w:val="32"/>
          <w:szCs w:val="32"/>
          <w:lang w:eastAsia="zh-CN"/>
        </w:rPr>
        <w:t>公务接待费无</w:t>
      </w:r>
      <w:r>
        <w:rPr>
          <w:rFonts w:hint="eastAsia" w:ascii="仿宋_GB2312" w:hAnsi="Times New Roman" w:eastAsia="仿宋_GB2312" w:cs="DengXian-Regular"/>
          <w:b w:val="0"/>
          <w:i w:val="0"/>
          <w:caps w:val="0"/>
          <w:spacing w:val="0"/>
          <w:w w:val="100"/>
          <w:sz w:val="32"/>
          <w:szCs w:val="32"/>
        </w:rPr>
        <w:t>；较2018年度增加</w:t>
      </w:r>
      <w:r>
        <w:rPr>
          <w:rFonts w:hint="eastAsia" w:ascii="仿宋_GB2312" w:hAnsi="Times New Roman" w:eastAsia="仿宋_GB2312" w:cs="DengXian-Regular"/>
          <w:b w:val="0"/>
          <w:i w:val="0"/>
          <w:caps w:val="0"/>
          <w:spacing w:val="0"/>
          <w:w w:val="100"/>
          <w:sz w:val="32"/>
          <w:szCs w:val="32"/>
          <w:lang w:val="en-US" w:eastAsia="zh-CN"/>
        </w:rPr>
        <w:t>12.06</w:t>
      </w:r>
      <w:r>
        <w:rPr>
          <w:rFonts w:hint="eastAsia" w:ascii="仿宋_GB2312" w:hAnsi="Times New Roman" w:eastAsia="仿宋_GB2312" w:cs="DengXian-Regular"/>
          <w:b w:val="0"/>
          <w:i w:val="0"/>
          <w:caps w:val="0"/>
          <w:spacing w:val="0"/>
          <w:w w:val="100"/>
          <w:sz w:val="32"/>
          <w:szCs w:val="32"/>
        </w:rPr>
        <w:t>万元，增长100%，主要是</w:t>
      </w:r>
      <w:r>
        <w:rPr>
          <w:rFonts w:hint="eastAsia" w:ascii="仿宋_GB2312" w:eastAsia="仿宋_GB2312" w:cs="DengXian-Regular"/>
          <w:b w:val="0"/>
          <w:i w:val="0"/>
          <w:caps w:val="0"/>
          <w:spacing w:val="0"/>
          <w:w w:val="100"/>
          <w:sz w:val="32"/>
          <w:szCs w:val="32"/>
          <w:lang w:val="en-US" w:eastAsia="zh-CN"/>
        </w:rPr>
        <w:t>2019年度购置公务用车1辆。具</w:t>
      </w:r>
      <w:r>
        <w:rPr>
          <w:rFonts w:hint="eastAsia" w:ascii="仿宋_GB2312" w:hAnsi="Times New Roman" w:eastAsia="仿宋_GB2312" w:cs="DengXian-Regular"/>
          <w:b w:val="0"/>
          <w:i w:val="0"/>
          <w:caps w:val="0"/>
          <w:spacing w:val="0"/>
          <w:w w:val="100"/>
          <w:sz w:val="32"/>
          <w:szCs w:val="32"/>
        </w:rPr>
        <w:t>体情况如下：</w:t>
      </w:r>
    </w:p>
    <w:p w14:paraId="341E437D">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napToGrid w:val="0"/>
        <w:spacing w:before="0" w:beforeAutospacing="0" w:after="0" w:afterAutospacing="0" w:line="600" w:lineRule="exact"/>
        <w:ind w:left="0" w:leftChars="0" w:firstLine="640"/>
        <w:jc w:val="left"/>
        <w:textAlignment w:val="baseline"/>
        <w:rPr>
          <w:rFonts w:ascii="仿宋_GB2312" w:eastAsia="仿宋_GB2312" w:cs="DengXian-Regular"/>
          <w:b w:val="0"/>
          <w:i w:val="0"/>
          <w:caps w:val="0"/>
          <w:spacing w:val="0"/>
          <w:w w:val="100"/>
          <w:sz w:val="32"/>
          <w:szCs w:val="32"/>
        </w:rPr>
      </w:pPr>
      <w:r>
        <w:rPr>
          <w:rFonts w:hint="eastAsia" w:ascii="楷体_GB2312" w:hAnsi="Times New Roman" w:eastAsia="楷体_GB2312" w:cs="DengXian-Bold"/>
          <w:b/>
          <w:bCs/>
          <w:i w:val="0"/>
          <w:caps w:val="0"/>
          <w:spacing w:val="0"/>
          <w:w w:val="100"/>
          <w:sz w:val="32"/>
          <w:szCs w:val="32"/>
        </w:rPr>
        <w:t>（一）因公出国（境）费支出</w:t>
      </w:r>
      <w:r>
        <w:rPr>
          <w:rFonts w:hint="eastAsia" w:ascii="楷体_GB2312" w:hAnsi="Times New Roman" w:eastAsia="楷体_GB2312" w:cs="DengXian-Bold"/>
          <w:b/>
          <w:bCs/>
          <w:i w:val="0"/>
          <w:caps w:val="0"/>
          <w:spacing w:val="0"/>
          <w:w w:val="100"/>
          <w:sz w:val="32"/>
          <w:szCs w:val="32"/>
          <w:lang w:val="en-US" w:eastAsia="zh-CN"/>
        </w:rPr>
        <w:t>0万</w:t>
      </w:r>
      <w:r>
        <w:rPr>
          <w:rFonts w:hint="eastAsia" w:ascii="楷体_GB2312" w:hAnsi="Times New Roman" w:eastAsia="楷体_GB2312" w:cs="DengXian-Bold"/>
          <w:b/>
          <w:bCs/>
          <w:i w:val="0"/>
          <w:caps w:val="0"/>
          <w:spacing w:val="0"/>
          <w:w w:val="100"/>
          <w:sz w:val="32"/>
          <w:szCs w:val="32"/>
        </w:rPr>
        <w:t>元。</w:t>
      </w:r>
      <w:r>
        <w:rPr>
          <w:rFonts w:hint="eastAsia" w:ascii="仿宋_GB2312" w:hAnsi="Times New Roman" w:eastAsia="仿宋_GB2312" w:cs="DengXian-Regular"/>
          <w:b w:val="0"/>
          <w:i w:val="0"/>
          <w:caps w:val="0"/>
          <w:spacing w:val="0"/>
          <w:w w:val="100"/>
          <w:sz w:val="32"/>
          <w:szCs w:val="32"/>
        </w:rPr>
        <w:t>本部门2019年度因公出国（境）团组</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个、共</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人/参加其他单位组织的因公出国（境）团组</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个、共</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人/无本单位组织的出国（境）团组。因公出国（境）费支出</w:t>
      </w:r>
      <w:r>
        <w:rPr>
          <w:rFonts w:hint="eastAsia" w:ascii="仿宋_GB2312" w:hAnsi="Times New Roman" w:eastAsia="仿宋_GB2312" w:cs="DengXian-Regular"/>
          <w:b w:val="0"/>
          <w:i w:val="0"/>
          <w:caps w:val="0"/>
          <w:spacing w:val="0"/>
          <w:w w:val="100"/>
          <w:sz w:val="32"/>
          <w:szCs w:val="32"/>
          <w:lang w:eastAsia="zh-CN"/>
        </w:rPr>
        <w:t>为</w:t>
      </w:r>
      <w:r>
        <w:rPr>
          <w:rFonts w:hint="eastAsia" w:ascii="仿宋_GB2312" w:hAnsi="Times New Roman" w:eastAsia="仿宋_GB2312" w:cs="DengXian-Regular"/>
          <w:b w:val="0"/>
          <w:i w:val="0"/>
          <w:caps w:val="0"/>
          <w:spacing w:val="0"/>
          <w:w w:val="100"/>
          <w:sz w:val="32"/>
          <w:szCs w:val="32"/>
          <w:lang w:val="en-US" w:eastAsia="zh-CN"/>
        </w:rPr>
        <w:t>0万元，</w:t>
      </w:r>
      <w:r>
        <w:rPr>
          <w:rFonts w:hint="eastAsia" w:ascii="仿宋_GB2312" w:hAnsi="Times New Roman" w:eastAsia="仿宋_GB2312" w:cs="DengXian-Regular"/>
          <w:b w:val="0"/>
          <w:i w:val="0"/>
          <w:caps w:val="0"/>
          <w:spacing w:val="0"/>
          <w:w w:val="100"/>
          <w:sz w:val="32"/>
          <w:szCs w:val="32"/>
        </w:rPr>
        <w:t>较</w:t>
      </w:r>
      <w:r>
        <w:rPr>
          <w:rFonts w:hint="eastAsia" w:ascii="仿宋_GB2312" w:hAnsi="Times New Roman" w:eastAsia="仿宋_GB2312" w:cs="DengXian-Regular"/>
          <w:b w:val="0"/>
          <w:i w:val="0"/>
          <w:caps w:val="0"/>
          <w:spacing w:val="0"/>
          <w:w w:val="100"/>
          <w:sz w:val="32"/>
          <w:szCs w:val="32"/>
          <w:lang w:eastAsia="zh-CN"/>
        </w:rPr>
        <w:t>年初</w:t>
      </w:r>
      <w:r>
        <w:rPr>
          <w:rFonts w:hint="eastAsia" w:ascii="仿宋_GB2312" w:hAnsi="Times New Roman" w:eastAsia="仿宋_GB2312" w:cs="DengXian-Regular"/>
          <w:b w:val="0"/>
          <w:i w:val="0"/>
          <w:caps w:val="0"/>
          <w:spacing w:val="0"/>
          <w:w w:val="100"/>
          <w:sz w:val="32"/>
          <w:szCs w:val="32"/>
        </w:rPr>
        <w:t>预算增加0万元，增长0%</w:t>
      </w:r>
      <w:r>
        <w:rPr>
          <w:rFonts w:hint="eastAsia" w:ascii="仿宋_GB2312" w:hAnsi="Times New Roman" w:eastAsia="仿宋_GB2312" w:cs="DengXian-Regular"/>
          <w:b w:val="0"/>
          <w:i w:val="0"/>
          <w:caps w:val="0"/>
          <w:spacing w:val="0"/>
          <w:w w:val="100"/>
          <w:sz w:val="32"/>
          <w:szCs w:val="32"/>
          <w:lang w:eastAsia="zh-CN"/>
        </w:rPr>
        <w:t>，较上年度增加0万元，增长0%，</w:t>
      </w:r>
      <w:r>
        <w:rPr>
          <w:rFonts w:hint="eastAsia" w:ascii="仿宋_GB2312" w:hAnsi="Times New Roman" w:eastAsia="仿宋_GB2312" w:cs="DengXian-Regular"/>
          <w:b w:val="0"/>
          <w:i w:val="0"/>
          <w:caps w:val="0"/>
          <w:spacing w:val="0"/>
          <w:w w:val="100"/>
          <w:sz w:val="32"/>
          <w:szCs w:val="32"/>
        </w:rPr>
        <w:t>主要是</w:t>
      </w:r>
      <w:r>
        <w:rPr>
          <w:rFonts w:hint="eastAsia" w:ascii="仿宋_GB2312" w:hAnsi="Times New Roman" w:eastAsia="仿宋_GB2312" w:cs="DengXian-Regular"/>
          <w:b w:val="0"/>
          <w:i w:val="0"/>
          <w:caps w:val="0"/>
          <w:spacing w:val="0"/>
          <w:w w:val="100"/>
          <w:sz w:val="32"/>
          <w:szCs w:val="32"/>
          <w:lang w:eastAsia="zh-CN"/>
        </w:rPr>
        <w:t>本部门无因公出国（境）情况</w:t>
      </w:r>
      <w:r>
        <w:rPr>
          <w:rFonts w:hint="eastAsia" w:ascii="仿宋_GB2312" w:hAnsi="Times New Roman" w:eastAsia="仿宋_GB2312" w:cs="DengXian-Regular"/>
          <w:b w:val="0"/>
          <w:i w:val="0"/>
          <w:caps w:val="0"/>
          <w:spacing w:val="0"/>
          <w:w w:val="100"/>
          <w:sz w:val="32"/>
          <w:szCs w:val="32"/>
        </w:rPr>
        <w:t>；</w:t>
      </w:r>
      <w:r>
        <w:rPr>
          <w:rFonts w:hint="eastAsia" w:ascii="仿宋_GB2312" w:hAnsi="Times New Roman" w:eastAsia="仿宋_GB2312" w:cs="DengXian-Regular"/>
          <w:b w:val="0"/>
          <w:i w:val="0"/>
          <w:caps w:val="0"/>
          <w:spacing w:val="0"/>
          <w:w w:val="100"/>
          <w:sz w:val="32"/>
          <w:szCs w:val="32"/>
          <w:lang w:eastAsia="zh-CN"/>
        </w:rPr>
        <w:t>同时</w:t>
      </w:r>
      <w:r>
        <w:rPr>
          <w:rFonts w:hint="eastAsia" w:ascii="仿宋_GB2312" w:hAnsi="仿宋" w:eastAsia="仿宋_GB2312" w:cs="仿宋_GB2312"/>
          <w:b w:val="0"/>
          <w:i w:val="0"/>
          <w:caps w:val="0"/>
          <w:color w:val="000000"/>
          <w:spacing w:val="0"/>
          <w:w w:val="100"/>
          <w:sz w:val="32"/>
          <w:szCs w:val="32"/>
        </w:rPr>
        <w:t>严格执行中央、省、市、县压缩三公经费相关文件规定，</w:t>
      </w:r>
      <w:r>
        <w:rPr>
          <w:rFonts w:hint="eastAsia" w:ascii="仿宋_GB2312" w:eastAsia="仿宋_GB2312"/>
          <w:b w:val="0"/>
          <w:i w:val="0"/>
          <w:caps w:val="0"/>
          <w:color w:val="000000"/>
          <w:spacing w:val="0"/>
          <w:w w:val="100"/>
          <w:sz w:val="32"/>
          <w:szCs w:val="32"/>
        </w:rPr>
        <w:t>厉行节俭、严格控制支出。</w:t>
      </w:r>
    </w:p>
    <w:p w14:paraId="4DF873A3">
      <w:pPr>
        <w:snapToGrid w:val="0"/>
        <w:spacing w:before="0" w:beforeAutospacing="0" w:after="0" w:afterAutospacing="0" w:line="600" w:lineRule="exact"/>
        <w:ind w:left="0" w:leftChars="0" w:firstLine="643" w:firstLineChars="200"/>
        <w:jc w:val="both"/>
        <w:textAlignment w:val="baseline"/>
        <w:rPr>
          <w:rFonts w:ascii="仿宋_GB2312" w:hAnsi="Times New Roman" w:eastAsia="仿宋_GB2312" w:cs="DengXian-Bold"/>
          <w:b/>
          <w:bCs/>
          <w:i w:val="0"/>
          <w:caps w:val="0"/>
          <w:spacing w:val="0"/>
          <w:w w:val="100"/>
          <w:sz w:val="32"/>
          <w:szCs w:val="32"/>
        </w:rPr>
      </w:pPr>
      <w:r>
        <w:rPr>
          <w:rFonts w:hint="eastAsia" w:ascii="楷体_GB2312" w:hAnsi="Times New Roman" w:eastAsia="楷体_GB2312" w:cs="DengXian-Bold"/>
          <w:b/>
          <w:bCs/>
          <w:i w:val="0"/>
          <w:caps w:val="0"/>
          <w:spacing w:val="0"/>
          <w:w w:val="100"/>
          <w:sz w:val="32"/>
          <w:szCs w:val="32"/>
        </w:rPr>
        <w:t>（二）公务用车购置及运行维护费支出</w:t>
      </w:r>
      <w:r>
        <w:rPr>
          <w:rFonts w:hint="eastAsia" w:ascii="楷体_GB2312" w:hAnsi="Times New Roman" w:eastAsia="楷体_GB2312" w:cs="DengXian-Bold"/>
          <w:b/>
          <w:bCs/>
          <w:i w:val="0"/>
          <w:caps w:val="0"/>
          <w:spacing w:val="0"/>
          <w:w w:val="100"/>
          <w:sz w:val="32"/>
          <w:szCs w:val="32"/>
          <w:lang w:val="en-US" w:eastAsia="zh-CN"/>
        </w:rPr>
        <w:t>12.06</w:t>
      </w:r>
      <w:r>
        <w:rPr>
          <w:rFonts w:hint="eastAsia" w:ascii="楷体_GB2312" w:hAnsi="Times New Roman" w:eastAsia="楷体_GB2312" w:cs="DengXian-Bold"/>
          <w:b/>
          <w:bCs/>
          <w:i w:val="0"/>
          <w:caps w:val="0"/>
          <w:spacing w:val="0"/>
          <w:w w:val="100"/>
          <w:sz w:val="32"/>
          <w:szCs w:val="32"/>
        </w:rPr>
        <w:t>万元。</w:t>
      </w:r>
      <w:r>
        <w:rPr>
          <w:rFonts w:hint="eastAsia" w:ascii="仿宋_GB2312" w:hAnsi="Times New Roman" w:eastAsia="仿宋_GB2312" w:cs="DengXian-Regular"/>
          <w:b w:val="0"/>
          <w:i w:val="0"/>
          <w:caps w:val="0"/>
          <w:spacing w:val="0"/>
          <w:w w:val="100"/>
          <w:sz w:val="32"/>
          <w:szCs w:val="32"/>
        </w:rPr>
        <w:t>本部门2019年度公务用车购置及运行维护费较</w:t>
      </w:r>
      <w:r>
        <w:rPr>
          <w:rFonts w:hint="eastAsia" w:ascii="仿宋_GB2312" w:hAnsi="Times New Roman" w:eastAsia="仿宋_GB2312" w:cs="DengXian-Regular"/>
          <w:b w:val="0"/>
          <w:i w:val="0"/>
          <w:caps w:val="0"/>
          <w:spacing w:val="0"/>
          <w:w w:val="100"/>
          <w:sz w:val="32"/>
          <w:szCs w:val="32"/>
          <w:lang w:eastAsia="zh-CN"/>
        </w:rPr>
        <w:t>年初</w:t>
      </w:r>
      <w:r>
        <w:rPr>
          <w:rFonts w:hint="eastAsia" w:ascii="仿宋_GB2312" w:hAnsi="Times New Roman" w:eastAsia="仿宋_GB2312" w:cs="DengXian-Regular"/>
          <w:b w:val="0"/>
          <w:i w:val="0"/>
          <w:caps w:val="0"/>
          <w:spacing w:val="0"/>
          <w:w w:val="100"/>
          <w:sz w:val="32"/>
          <w:szCs w:val="32"/>
        </w:rPr>
        <w:t>预算减少0万元，降低0%，主要是</w:t>
      </w:r>
      <w:r>
        <w:rPr>
          <w:rFonts w:hint="eastAsia" w:ascii="仿宋_GB2312" w:hAnsi="仿宋" w:eastAsia="仿宋_GB2312" w:cs="仿宋_GB2312"/>
          <w:b w:val="0"/>
          <w:i w:val="0"/>
          <w:caps w:val="0"/>
          <w:color w:val="000000"/>
          <w:spacing w:val="0"/>
          <w:w w:val="100"/>
          <w:sz w:val="32"/>
          <w:szCs w:val="32"/>
        </w:rPr>
        <w:t>严格执行中央、省、市、县压缩三公经费相关文件规定，</w:t>
      </w:r>
      <w:r>
        <w:rPr>
          <w:rFonts w:hint="eastAsia" w:ascii="仿宋_GB2312" w:eastAsia="仿宋_GB2312"/>
          <w:b w:val="0"/>
          <w:i w:val="0"/>
          <w:caps w:val="0"/>
          <w:color w:val="000000"/>
          <w:spacing w:val="0"/>
          <w:w w:val="100"/>
          <w:sz w:val="32"/>
          <w:szCs w:val="32"/>
        </w:rPr>
        <w:t>严格控制支出</w:t>
      </w:r>
      <w:r>
        <w:rPr>
          <w:rFonts w:hint="eastAsia" w:ascii="仿宋_GB2312" w:hAnsi="Times New Roman" w:eastAsia="仿宋_GB2312" w:cs="DengXian-Regular"/>
          <w:b w:val="0"/>
          <w:i w:val="0"/>
          <w:caps w:val="0"/>
          <w:spacing w:val="0"/>
          <w:w w:val="100"/>
          <w:sz w:val="32"/>
          <w:szCs w:val="32"/>
        </w:rPr>
        <w:t>；较上年</w:t>
      </w:r>
      <w:r>
        <w:rPr>
          <w:rFonts w:hint="eastAsia" w:ascii="仿宋_GB2312" w:hAnsi="Times New Roman" w:eastAsia="仿宋_GB2312" w:cs="DengXian-Regular"/>
          <w:b w:val="0"/>
          <w:i w:val="0"/>
          <w:caps w:val="0"/>
          <w:spacing w:val="0"/>
          <w:w w:val="100"/>
          <w:sz w:val="32"/>
          <w:szCs w:val="32"/>
          <w:lang w:eastAsia="zh-CN"/>
        </w:rPr>
        <w:t>增加</w:t>
      </w:r>
      <w:r>
        <w:rPr>
          <w:rFonts w:hint="eastAsia" w:ascii="仿宋_GB2312" w:hAnsi="Times New Roman" w:eastAsia="仿宋_GB2312" w:cs="DengXian-Regular"/>
          <w:b w:val="0"/>
          <w:i w:val="0"/>
          <w:caps w:val="0"/>
          <w:spacing w:val="0"/>
          <w:w w:val="100"/>
          <w:sz w:val="32"/>
          <w:szCs w:val="32"/>
          <w:lang w:val="en-US" w:eastAsia="zh-CN"/>
        </w:rPr>
        <w:t>12.06</w:t>
      </w:r>
      <w:r>
        <w:rPr>
          <w:rFonts w:hint="eastAsia" w:ascii="仿宋_GB2312" w:hAnsi="Times New Roman" w:eastAsia="仿宋_GB2312" w:cs="DengXian-Regular"/>
          <w:b w:val="0"/>
          <w:i w:val="0"/>
          <w:caps w:val="0"/>
          <w:spacing w:val="0"/>
          <w:w w:val="100"/>
          <w:sz w:val="32"/>
          <w:szCs w:val="32"/>
        </w:rPr>
        <w:t>万元，增长100%，主要是</w:t>
      </w:r>
      <w:r>
        <w:rPr>
          <w:rFonts w:hint="eastAsia" w:ascii="仿宋_GB2312" w:hAnsi="Times New Roman" w:eastAsia="仿宋_GB2312" w:cs="DengXian-Regular"/>
          <w:b w:val="0"/>
          <w:i w:val="0"/>
          <w:caps w:val="0"/>
          <w:spacing w:val="0"/>
          <w:w w:val="100"/>
          <w:sz w:val="32"/>
          <w:szCs w:val="32"/>
          <w:lang w:eastAsia="zh-CN"/>
        </w:rPr>
        <w:t>单位购置公务用车</w:t>
      </w:r>
      <w:r>
        <w:rPr>
          <w:rFonts w:hint="eastAsia" w:ascii="仿宋_GB2312" w:hAnsi="Times New Roman" w:eastAsia="仿宋_GB2312" w:cs="DengXian-Regular"/>
          <w:b w:val="0"/>
          <w:i w:val="0"/>
          <w:caps w:val="0"/>
          <w:spacing w:val="0"/>
          <w:w w:val="100"/>
          <w:sz w:val="32"/>
          <w:szCs w:val="32"/>
          <w:lang w:val="en-US" w:eastAsia="zh-CN"/>
        </w:rPr>
        <w:t>1辆</w:t>
      </w:r>
      <w:r>
        <w:rPr>
          <w:rFonts w:hint="eastAsia" w:ascii="仿宋_GB2312" w:hAnsi="Times New Roman" w:eastAsia="仿宋_GB2312" w:cs="DengXian-Regular"/>
          <w:b w:val="0"/>
          <w:i w:val="0"/>
          <w:caps w:val="0"/>
          <w:spacing w:val="0"/>
          <w:w w:val="100"/>
          <w:sz w:val="32"/>
          <w:szCs w:val="32"/>
        </w:rPr>
        <w:t>。</w:t>
      </w:r>
      <w:r>
        <w:rPr>
          <w:rFonts w:hint="eastAsia" w:ascii="仿宋_GB2312" w:hAnsi="Times New Roman" w:eastAsia="仿宋_GB2312" w:cs="DengXian-Bold"/>
          <w:b/>
          <w:bCs/>
          <w:i w:val="0"/>
          <w:caps w:val="0"/>
          <w:spacing w:val="0"/>
          <w:w w:val="100"/>
          <w:sz w:val="32"/>
          <w:szCs w:val="32"/>
        </w:rPr>
        <w:t>其中：</w:t>
      </w:r>
    </w:p>
    <w:p w14:paraId="55011CDD">
      <w:pPr>
        <w:snapToGrid w:val="0"/>
        <w:spacing w:before="0" w:beforeAutospacing="0" w:after="0" w:afterAutospacing="0" w:line="600" w:lineRule="exact"/>
        <w:ind w:left="0" w:leftChars="0" w:firstLine="643" w:firstLineChars="200"/>
        <w:jc w:val="both"/>
        <w:textAlignment w:val="baseline"/>
        <w:rPr>
          <w:rFonts w:ascii="仿宋_GB2312" w:hAnsi="Times New Roman" w:eastAsia="仿宋_GB2312" w:cs="DengXian-Regular"/>
          <w:b w:val="0"/>
          <w:i w:val="0"/>
          <w:caps w:val="0"/>
          <w:color w:val="000000"/>
          <w:spacing w:val="0"/>
          <w:w w:val="100"/>
          <w:sz w:val="32"/>
          <w:szCs w:val="32"/>
        </w:rPr>
      </w:pPr>
      <w:r>
        <w:rPr>
          <w:rFonts w:hint="eastAsia" w:ascii="仿宋_GB2312" w:hAnsi="Times New Roman" w:eastAsia="仿宋_GB2312" w:cs="DengXian-Regular"/>
          <w:b/>
          <w:i w:val="0"/>
          <w:caps w:val="0"/>
          <w:spacing w:val="0"/>
          <w:w w:val="100"/>
          <w:sz w:val="32"/>
          <w:szCs w:val="32"/>
        </w:rPr>
        <w:t>公务用车购置费：</w:t>
      </w:r>
      <w:r>
        <w:rPr>
          <w:rFonts w:hint="eastAsia" w:ascii="仿宋_GB2312" w:hAnsi="Times New Roman" w:eastAsia="仿宋_GB2312" w:cs="DengXian-Regular"/>
          <w:b w:val="0"/>
          <w:i w:val="0"/>
          <w:caps w:val="0"/>
          <w:spacing w:val="0"/>
          <w:w w:val="100"/>
          <w:sz w:val="32"/>
          <w:szCs w:val="32"/>
        </w:rPr>
        <w:t>本部门2019年度公务用车购置量</w:t>
      </w:r>
      <w:r>
        <w:rPr>
          <w:rFonts w:hint="eastAsia" w:ascii="仿宋_GB2312" w:hAnsi="Times New Roman" w:eastAsia="仿宋_GB2312" w:cs="DengXian-Regular"/>
          <w:b w:val="0"/>
          <w:i w:val="0"/>
          <w:caps w:val="0"/>
          <w:spacing w:val="0"/>
          <w:w w:val="100"/>
          <w:sz w:val="32"/>
          <w:szCs w:val="32"/>
          <w:lang w:val="en-US" w:eastAsia="zh-CN"/>
        </w:rPr>
        <w:t>1</w:t>
      </w:r>
      <w:r>
        <w:rPr>
          <w:rFonts w:hint="eastAsia" w:ascii="仿宋_GB2312" w:hAnsi="Times New Roman" w:eastAsia="仿宋_GB2312" w:cs="DengXian-Regular"/>
          <w:b w:val="0"/>
          <w:i w:val="0"/>
          <w:caps w:val="0"/>
          <w:spacing w:val="0"/>
          <w:w w:val="100"/>
          <w:sz w:val="32"/>
          <w:szCs w:val="32"/>
        </w:rPr>
        <w:t>辆，发生“公务用车购置”经费支出</w:t>
      </w:r>
      <w:r>
        <w:rPr>
          <w:rFonts w:hint="eastAsia" w:ascii="仿宋_GB2312" w:hAnsi="Times New Roman" w:eastAsia="仿宋_GB2312" w:cs="DengXian-Regular"/>
          <w:b w:val="0"/>
          <w:i w:val="0"/>
          <w:caps w:val="0"/>
          <w:spacing w:val="0"/>
          <w:w w:val="100"/>
          <w:sz w:val="32"/>
          <w:szCs w:val="32"/>
          <w:lang w:val="en-US" w:eastAsia="zh-CN"/>
        </w:rPr>
        <w:t>9.95</w:t>
      </w:r>
      <w:r>
        <w:rPr>
          <w:rFonts w:hint="eastAsia" w:ascii="仿宋_GB2312" w:hAnsi="Times New Roman" w:eastAsia="仿宋_GB2312" w:cs="DengXian-Regular"/>
          <w:b w:val="0"/>
          <w:i w:val="0"/>
          <w:caps w:val="0"/>
          <w:spacing w:val="0"/>
          <w:w w:val="100"/>
          <w:sz w:val="32"/>
          <w:szCs w:val="32"/>
        </w:rPr>
        <w:t>万元。公务用车购置费支出较</w:t>
      </w:r>
      <w:r>
        <w:rPr>
          <w:rFonts w:hint="eastAsia" w:ascii="仿宋_GB2312" w:hAnsi="Times New Roman" w:eastAsia="仿宋_GB2312" w:cs="DengXian-Regular"/>
          <w:b w:val="0"/>
          <w:i w:val="0"/>
          <w:caps w:val="0"/>
          <w:spacing w:val="0"/>
          <w:w w:val="100"/>
          <w:sz w:val="32"/>
          <w:szCs w:val="32"/>
          <w:lang w:eastAsia="zh-CN"/>
        </w:rPr>
        <w:t>年初</w:t>
      </w:r>
      <w:r>
        <w:rPr>
          <w:rFonts w:hint="eastAsia" w:ascii="仿宋_GB2312" w:hAnsi="Times New Roman" w:eastAsia="仿宋_GB2312" w:cs="DengXian-Regular"/>
          <w:b w:val="0"/>
          <w:i w:val="0"/>
          <w:caps w:val="0"/>
          <w:spacing w:val="0"/>
          <w:w w:val="100"/>
          <w:sz w:val="32"/>
          <w:szCs w:val="32"/>
        </w:rPr>
        <w:t>预算增加0万元，增长0%</w:t>
      </w:r>
      <w:r>
        <w:rPr>
          <w:rFonts w:hint="eastAsia" w:ascii="仿宋_GB2312" w:hAnsi="Times New Roman" w:eastAsia="仿宋_GB2312" w:cs="DengXian-Regular"/>
          <w:b w:val="0"/>
          <w:i w:val="0"/>
          <w:caps w:val="0"/>
          <w:spacing w:val="0"/>
          <w:w w:val="100"/>
          <w:sz w:val="32"/>
          <w:szCs w:val="32"/>
          <w:lang w:eastAsia="zh-CN"/>
        </w:rPr>
        <w:t>；</w:t>
      </w:r>
      <w:r>
        <w:rPr>
          <w:rFonts w:hint="eastAsia" w:ascii="仿宋_GB2312" w:hAnsi="Times New Roman" w:eastAsia="仿宋_GB2312" w:cs="DengXian-Regular"/>
          <w:b w:val="0"/>
          <w:i w:val="0"/>
          <w:caps w:val="0"/>
          <w:spacing w:val="0"/>
          <w:w w:val="100"/>
          <w:sz w:val="32"/>
          <w:szCs w:val="32"/>
        </w:rPr>
        <w:t>主要是</w:t>
      </w:r>
      <w:r>
        <w:rPr>
          <w:rFonts w:hint="eastAsia" w:ascii="仿宋_GB2312" w:hAnsi="仿宋" w:eastAsia="仿宋_GB2312" w:cs="仿宋_GB2312"/>
          <w:b w:val="0"/>
          <w:i w:val="0"/>
          <w:caps w:val="0"/>
          <w:color w:val="000000"/>
          <w:spacing w:val="0"/>
          <w:w w:val="100"/>
          <w:sz w:val="32"/>
          <w:szCs w:val="32"/>
        </w:rPr>
        <w:t>严格执行中央、省、市、县压缩三公经费相关文件规定，</w:t>
      </w:r>
      <w:r>
        <w:rPr>
          <w:rFonts w:hint="eastAsia" w:ascii="仿宋_GB2312" w:eastAsia="仿宋_GB2312"/>
          <w:b w:val="0"/>
          <w:i w:val="0"/>
          <w:caps w:val="0"/>
          <w:color w:val="000000"/>
          <w:spacing w:val="0"/>
          <w:w w:val="100"/>
          <w:sz w:val="32"/>
          <w:szCs w:val="32"/>
        </w:rPr>
        <w:t>严格控制支出</w:t>
      </w:r>
      <w:r>
        <w:rPr>
          <w:rFonts w:hint="eastAsia" w:ascii="仿宋_GB2312" w:hAnsi="Times New Roman" w:eastAsia="仿宋_GB2312" w:cs="DengXian-Regular"/>
          <w:b w:val="0"/>
          <w:i w:val="0"/>
          <w:caps w:val="0"/>
          <w:spacing w:val="0"/>
          <w:w w:val="100"/>
          <w:sz w:val="32"/>
          <w:szCs w:val="32"/>
        </w:rPr>
        <w:t>；较上年增加</w:t>
      </w:r>
      <w:r>
        <w:rPr>
          <w:rFonts w:hint="eastAsia" w:ascii="仿宋_GB2312" w:hAnsi="Times New Roman" w:eastAsia="仿宋_GB2312" w:cs="DengXian-Regular"/>
          <w:b w:val="0"/>
          <w:i w:val="0"/>
          <w:caps w:val="0"/>
          <w:spacing w:val="0"/>
          <w:w w:val="100"/>
          <w:sz w:val="32"/>
          <w:szCs w:val="32"/>
          <w:lang w:val="en-US" w:eastAsia="zh-CN"/>
        </w:rPr>
        <w:t>9.95</w:t>
      </w:r>
      <w:r>
        <w:rPr>
          <w:rFonts w:hint="eastAsia" w:ascii="仿宋_GB2312" w:hAnsi="Times New Roman" w:eastAsia="仿宋_GB2312" w:cs="DengXian-Regular"/>
          <w:b w:val="0"/>
          <w:i w:val="0"/>
          <w:caps w:val="0"/>
          <w:spacing w:val="0"/>
          <w:w w:val="100"/>
          <w:sz w:val="32"/>
          <w:szCs w:val="32"/>
        </w:rPr>
        <w:t>万元，增长100%，主要是</w:t>
      </w:r>
      <w:r>
        <w:rPr>
          <w:rFonts w:hint="eastAsia" w:ascii="仿宋_GB2312" w:hAnsi="Times New Roman" w:eastAsia="仿宋_GB2312" w:cs="DengXian-Regular"/>
          <w:b w:val="0"/>
          <w:i w:val="0"/>
          <w:caps w:val="0"/>
          <w:spacing w:val="0"/>
          <w:w w:val="100"/>
          <w:sz w:val="32"/>
          <w:szCs w:val="32"/>
          <w:lang w:eastAsia="zh-CN"/>
        </w:rPr>
        <w:t>购置公务用车</w:t>
      </w:r>
      <w:r>
        <w:rPr>
          <w:rFonts w:hint="eastAsia" w:ascii="仿宋_GB2312" w:hAnsi="Times New Roman" w:eastAsia="仿宋_GB2312" w:cs="DengXian-Regular"/>
          <w:b w:val="0"/>
          <w:i w:val="0"/>
          <w:caps w:val="0"/>
          <w:spacing w:val="0"/>
          <w:w w:val="100"/>
          <w:sz w:val="32"/>
          <w:szCs w:val="32"/>
          <w:lang w:val="en-US" w:eastAsia="zh-CN"/>
        </w:rPr>
        <w:t>1</w:t>
      </w:r>
      <w:r>
        <w:rPr>
          <w:rFonts w:hint="eastAsia" w:ascii="仿宋_GB2312" w:hAnsi="Times New Roman" w:eastAsia="仿宋_GB2312" w:cs="DengXian-Regular"/>
          <w:b w:val="0"/>
          <w:i w:val="0"/>
          <w:caps w:val="0"/>
          <w:spacing w:val="0"/>
          <w:w w:val="100"/>
          <w:sz w:val="32"/>
          <w:szCs w:val="32"/>
          <w:lang w:eastAsia="zh-CN"/>
        </w:rPr>
        <w:t>辆</w:t>
      </w:r>
      <w:r>
        <w:rPr>
          <w:rFonts w:hint="eastAsia" w:ascii="仿宋_GB2312" w:hAnsi="Times New Roman" w:eastAsia="仿宋_GB2312" w:cs="DengXian-Regular"/>
          <w:b w:val="0"/>
          <w:i w:val="0"/>
          <w:caps w:val="0"/>
          <w:spacing w:val="0"/>
          <w:w w:val="100"/>
          <w:sz w:val="32"/>
          <w:szCs w:val="32"/>
        </w:rPr>
        <w:t>。</w:t>
      </w:r>
    </w:p>
    <w:p w14:paraId="1A2E08A9">
      <w:pPr>
        <w:snapToGrid w:val="0"/>
        <w:spacing w:before="0" w:beforeAutospacing="0" w:after="0" w:afterAutospacing="0" w:line="600" w:lineRule="exact"/>
        <w:ind w:left="0" w:leftChars="0" w:firstLine="643" w:firstLineChars="200"/>
        <w:jc w:val="both"/>
        <w:textAlignment w:val="baseline"/>
        <w:rPr>
          <w:rFonts w:ascii="仿宋_GB2312" w:hAnsi="Times New Roman" w:eastAsia="仿宋_GB2312" w:cs="DengXian-Regular"/>
          <w:b w:val="0"/>
          <w:i w:val="0"/>
          <w:caps w:val="0"/>
          <w:spacing w:val="0"/>
          <w:w w:val="100"/>
          <w:sz w:val="32"/>
          <w:szCs w:val="32"/>
        </w:rPr>
      </w:pPr>
      <w:r>
        <w:rPr>
          <w:rFonts w:hint="eastAsia" w:ascii="仿宋_GB2312" w:hAnsi="Times New Roman" w:eastAsia="仿宋_GB2312" w:cs="DengXian-Regular"/>
          <w:b/>
          <w:i w:val="0"/>
          <w:caps w:val="0"/>
          <w:spacing w:val="0"/>
          <w:w w:val="100"/>
          <w:sz w:val="32"/>
          <w:szCs w:val="32"/>
        </w:rPr>
        <w:t>公务用车运行维护费：</w:t>
      </w:r>
      <w:r>
        <w:rPr>
          <w:rFonts w:hint="eastAsia" w:ascii="仿宋_GB2312" w:hAnsi="Times New Roman" w:eastAsia="仿宋_GB2312" w:cs="DengXian-Regular"/>
          <w:b w:val="0"/>
          <w:i w:val="0"/>
          <w:caps w:val="0"/>
          <w:spacing w:val="0"/>
          <w:w w:val="100"/>
          <w:sz w:val="32"/>
          <w:szCs w:val="32"/>
        </w:rPr>
        <w:t>本部门2019年度单位公务用车保有量</w:t>
      </w:r>
      <w:r>
        <w:rPr>
          <w:rFonts w:hint="eastAsia" w:ascii="仿宋_GB2312" w:hAnsi="Times New Roman" w:eastAsia="仿宋_GB2312" w:cs="DengXian-Regular"/>
          <w:b w:val="0"/>
          <w:i w:val="0"/>
          <w:caps w:val="0"/>
          <w:spacing w:val="0"/>
          <w:w w:val="100"/>
          <w:sz w:val="32"/>
          <w:szCs w:val="32"/>
          <w:lang w:val="en-US" w:eastAsia="zh-CN"/>
        </w:rPr>
        <w:t>1</w:t>
      </w:r>
      <w:r>
        <w:rPr>
          <w:rFonts w:hint="eastAsia" w:ascii="仿宋_GB2312" w:hAnsi="Times New Roman" w:eastAsia="仿宋_GB2312" w:cs="DengXian-Regular"/>
          <w:b w:val="0"/>
          <w:i w:val="0"/>
          <w:caps w:val="0"/>
          <w:spacing w:val="0"/>
          <w:w w:val="100"/>
          <w:sz w:val="32"/>
          <w:szCs w:val="32"/>
        </w:rPr>
        <w:t>辆。</w:t>
      </w:r>
      <w:r>
        <w:rPr>
          <w:rFonts w:hint="eastAsia" w:ascii="仿宋_GB2312" w:hAnsi="Times New Roman" w:eastAsia="仿宋_GB2312" w:cs="DengXian-Regular"/>
          <w:b w:val="0"/>
          <w:i w:val="0"/>
          <w:caps w:val="0"/>
          <w:spacing w:val="0"/>
          <w:w w:val="100"/>
          <w:sz w:val="32"/>
          <w:szCs w:val="32"/>
          <w:lang w:eastAsia="zh-CN"/>
        </w:rPr>
        <w:t>公务用车运行维护费支出</w:t>
      </w:r>
      <w:r>
        <w:rPr>
          <w:rFonts w:hint="eastAsia" w:ascii="仿宋_GB2312" w:hAnsi="Times New Roman" w:eastAsia="仿宋_GB2312" w:cs="DengXian-Regular"/>
          <w:b w:val="0"/>
          <w:i w:val="0"/>
          <w:caps w:val="0"/>
          <w:spacing w:val="0"/>
          <w:w w:val="100"/>
          <w:sz w:val="32"/>
          <w:szCs w:val="32"/>
          <w:lang w:val="en-US" w:eastAsia="zh-CN"/>
        </w:rPr>
        <w:t>2.11万元，</w:t>
      </w:r>
      <w:r>
        <w:rPr>
          <w:rFonts w:hint="eastAsia" w:ascii="仿宋_GB2312" w:hAnsi="Times New Roman" w:eastAsia="仿宋_GB2312" w:cs="DengXian-Regular"/>
          <w:b w:val="0"/>
          <w:i w:val="0"/>
          <w:caps w:val="0"/>
          <w:spacing w:val="0"/>
          <w:w w:val="100"/>
          <w:sz w:val="32"/>
          <w:szCs w:val="32"/>
        </w:rPr>
        <w:t>公车</w:t>
      </w:r>
      <w:r>
        <w:rPr>
          <w:rFonts w:hint="eastAsia" w:ascii="仿宋_GB2312" w:hAnsi="Times New Roman" w:eastAsia="仿宋_GB2312" w:cs="DengXian-Regular"/>
          <w:b w:val="0"/>
          <w:i w:val="0"/>
          <w:caps w:val="0"/>
          <w:spacing w:val="0"/>
          <w:w w:val="100"/>
          <w:sz w:val="32"/>
          <w:szCs w:val="32"/>
          <w:lang w:eastAsia="zh-CN"/>
        </w:rPr>
        <w:t>用车</w:t>
      </w:r>
      <w:r>
        <w:rPr>
          <w:rFonts w:hint="eastAsia" w:ascii="仿宋_GB2312" w:hAnsi="Times New Roman" w:eastAsia="仿宋_GB2312" w:cs="DengXian-Regular"/>
          <w:b w:val="0"/>
          <w:i w:val="0"/>
          <w:caps w:val="0"/>
          <w:spacing w:val="0"/>
          <w:w w:val="100"/>
          <w:sz w:val="32"/>
          <w:szCs w:val="32"/>
        </w:rPr>
        <w:t>运行维护费支出较</w:t>
      </w:r>
      <w:r>
        <w:rPr>
          <w:rFonts w:hint="eastAsia" w:ascii="仿宋_GB2312" w:hAnsi="Times New Roman" w:eastAsia="仿宋_GB2312" w:cs="DengXian-Regular"/>
          <w:b w:val="0"/>
          <w:i w:val="0"/>
          <w:caps w:val="0"/>
          <w:spacing w:val="0"/>
          <w:w w:val="100"/>
          <w:sz w:val="32"/>
          <w:szCs w:val="32"/>
          <w:lang w:eastAsia="zh-CN"/>
        </w:rPr>
        <w:t>年初</w:t>
      </w:r>
      <w:r>
        <w:rPr>
          <w:rFonts w:hint="eastAsia" w:ascii="仿宋_GB2312" w:hAnsi="Times New Roman" w:eastAsia="仿宋_GB2312" w:cs="DengXian-Regular"/>
          <w:b w:val="0"/>
          <w:i w:val="0"/>
          <w:caps w:val="0"/>
          <w:spacing w:val="0"/>
          <w:w w:val="100"/>
          <w:sz w:val="32"/>
          <w:szCs w:val="32"/>
        </w:rPr>
        <w:t>预算增加0万元，增长0%</w:t>
      </w:r>
      <w:r>
        <w:rPr>
          <w:rFonts w:hint="eastAsia" w:ascii="仿宋_GB2312" w:hAnsi="Times New Roman" w:eastAsia="仿宋_GB2312" w:cs="DengXian-Regular"/>
          <w:b w:val="0"/>
          <w:i w:val="0"/>
          <w:caps w:val="0"/>
          <w:spacing w:val="0"/>
          <w:w w:val="100"/>
          <w:sz w:val="32"/>
          <w:szCs w:val="32"/>
          <w:lang w:eastAsia="zh-CN"/>
        </w:rPr>
        <w:t>；</w:t>
      </w:r>
      <w:r>
        <w:rPr>
          <w:rFonts w:hint="eastAsia" w:ascii="仿宋_GB2312" w:hAnsi="Times New Roman" w:eastAsia="仿宋_GB2312" w:cs="DengXian-Regular"/>
          <w:b w:val="0"/>
          <w:i w:val="0"/>
          <w:caps w:val="0"/>
          <w:spacing w:val="0"/>
          <w:w w:val="100"/>
          <w:sz w:val="32"/>
          <w:szCs w:val="32"/>
        </w:rPr>
        <w:t>主要是</w:t>
      </w:r>
      <w:r>
        <w:rPr>
          <w:rFonts w:hint="eastAsia" w:ascii="仿宋_GB2312" w:hAnsi="仿宋" w:eastAsia="仿宋_GB2312" w:cs="仿宋_GB2312"/>
          <w:b w:val="0"/>
          <w:i w:val="0"/>
          <w:caps w:val="0"/>
          <w:color w:val="000000"/>
          <w:spacing w:val="0"/>
          <w:w w:val="100"/>
          <w:sz w:val="32"/>
          <w:szCs w:val="32"/>
        </w:rPr>
        <w:t>严格执行中央、省、市、县压缩三公经费相关文件规定，</w:t>
      </w:r>
      <w:r>
        <w:rPr>
          <w:rFonts w:hint="eastAsia" w:ascii="仿宋_GB2312" w:eastAsia="仿宋_GB2312"/>
          <w:b w:val="0"/>
          <w:i w:val="0"/>
          <w:caps w:val="0"/>
          <w:color w:val="000000"/>
          <w:spacing w:val="0"/>
          <w:w w:val="100"/>
          <w:sz w:val="32"/>
          <w:szCs w:val="32"/>
        </w:rPr>
        <w:t>严格控制支出</w:t>
      </w:r>
      <w:r>
        <w:rPr>
          <w:rFonts w:hint="eastAsia" w:ascii="仿宋_GB2312" w:hAnsi="Times New Roman" w:eastAsia="仿宋_GB2312" w:cs="DengXian-Regular"/>
          <w:b w:val="0"/>
          <w:i w:val="0"/>
          <w:caps w:val="0"/>
          <w:spacing w:val="0"/>
          <w:w w:val="100"/>
          <w:sz w:val="32"/>
          <w:szCs w:val="32"/>
        </w:rPr>
        <w:t>；较上年增加</w:t>
      </w:r>
      <w:r>
        <w:rPr>
          <w:rFonts w:hint="eastAsia" w:ascii="仿宋_GB2312" w:hAnsi="Times New Roman" w:eastAsia="仿宋_GB2312" w:cs="DengXian-Regular"/>
          <w:b w:val="0"/>
          <w:i w:val="0"/>
          <w:caps w:val="0"/>
          <w:spacing w:val="0"/>
          <w:w w:val="100"/>
          <w:sz w:val="32"/>
          <w:szCs w:val="32"/>
          <w:lang w:val="en-US" w:eastAsia="zh-CN"/>
        </w:rPr>
        <w:t>2.11</w:t>
      </w:r>
      <w:r>
        <w:rPr>
          <w:rFonts w:hint="eastAsia" w:ascii="仿宋_GB2312" w:hAnsi="Times New Roman" w:eastAsia="仿宋_GB2312" w:cs="DengXian-Regular"/>
          <w:b w:val="0"/>
          <w:i w:val="0"/>
          <w:caps w:val="0"/>
          <w:spacing w:val="0"/>
          <w:w w:val="100"/>
          <w:sz w:val="32"/>
          <w:szCs w:val="32"/>
        </w:rPr>
        <w:t>万元</w:t>
      </w:r>
      <w:r>
        <w:rPr>
          <w:rFonts w:hint="eastAsia" w:ascii="仿宋_GB2312" w:hAnsi="Times New Roman" w:eastAsia="仿宋_GB2312" w:cs="DengXian-Regular"/>
          <w:b w:val="0"/>
          <w:i w:val="0"/>
          <w:caps w:val="0"/>
          <w:spacing w:val="0"/>
          <w:w w:val="100"/>
          <w:sz w:val="32"/>
          <w:szCs w:val="32"/>
          <w:lang w:eastAsia="zh-CN"/>
        </w:rPr>
        <w:t>，增长100%，</w:t>
      </w:r>
      <w:r>
        <w:rPr>
          <w:rFonts w:hint="eastAsia" w:ascii="仿宋_GB2312" w:hAnsi="Times New Roman" w:eastAsia="仿宋_GB2312" w:cs="DengXian-Regular"/>
          <w:b w:val="0"/>
          <w:i w:val="0"/>
          <w:caps w:val="0"/>
          <w:spacing w:val="0"/>
          <w:w w:val="100"/>
          <w:sz w:val="32"/>
          <w:szCs w:val="32"/>
        </w:rPr>
        <w:t>主要是</w:t>
      </w:r>
      <w:r>
        <w:rPr>
          <w:rFonts w:hint="eastAsia" w:ascii="仿宋_GB2312" w:hAnsi="Times New Roman" w:eastAsia="仿宋_GB2312" w:cs="DengXian-Regular"/>
          <w:b w:val="0"/>
          <w:i w:val="0"/>
          <w:caps w:val="0"/>
          <w:spacing w:val="0"/>
          <w:w w:val="100"/>
          <w:sz w:val="32"/>
          <w:szCs w:val="32"/>
          <w:lang w:eastAsia="zh-CN"/>
        </w:rPr>
        <w:t>上年单位无公务用车</w:t>
      </w:r>
      <w:r>
        <w:rPr>
          <w:rFonts w:hint="eastAsia" w:ascii="仿宋_GB2312" w:hAnsi="Times New Roman" w:eastAsia="仿宋_GB2312" w:cs="DengXian-Regular"/>
          <w:b w:val="0"/>
          <w:i w:val="0"/>
          <w:caps w:val="0"/>
          <w:spacing w:val="0"/>
          <w:w w:val="100"/>
          <w:sz w:val="32"/>
          <w:szCs w:val="32"/>
        </w:rPr>
        <w:t>。</w:t>
      </w:r>
    </w:p>
    <w:p w14:paraId="2841E7BC">
      <w:pPr>
        <w:snapToGrid w:val="0"/>
        <w:spacing w:before="0" w:beforeAutospacing="0" w:after="0" w:afterAutospacing="0" w:line="600" w:lineRule="exact"/>
        <w:ind w:left="0" w:leftChars="0" w:firstLine="643" w:firstLineChars="200"/>
        <w:jc w:val="both"/>
        <w:textAlignment w:val="baseline"/>
        <w:rPr>
          <w:rFonts w:hint="eastAsia" w:ascii="仿宋_GB2312" w:hAnsi="Times New Roman" w:eastAsia="仿宋_GB2312" w:cs="DengXian-Regular"/>
          <w:b w:val="0"/>
          <w:i w:val="0"/>
          <w:caps w:val="0"/>
          <w:spacing w:val="0"/>
          <w:w w:val="100"/>
          <w:sz w:val="32"/>
          <w:szCs w:val="32"/>
          <w:highlight w:val="yellow"/>
          <w:lang w:eastAsia="zh-CN"/>
        </w:rPr>
      </w:pPr>
      <w:r>
        <w:rPr>
          <w:rFonts w:hint="eastAsia" w:ascii="楷体_GB2312" w:hAnsi="Times New Roman" w:eastAsia="楷体_GB2312" w:cs="DengXian-Bold"/>
          <w:b/>
          <w:bCs/>
          <w:i w:val="0"/>
          <w:caps w:val="0"/>
          <w:spacing w:val="0"/>
          <w:w w:val="100"/>
          <w:sz w:val="32"/>
          <w:szCs w:val="32"/>
        </w:rPr>
        <w:t>（三）公务接待费支出</w:t>
      </w:r>
      <w:r>
        <w:rPr>
          <w:rFonts w:hint="eastAsia" w:ascii="楷体_GB2312" w:hAnsi="Times New Roman" w:eastAsia="楷体_GB2312" w:cs="DengXian-Bold"/>
          <w:b/>
          <w:bCs/>
          <w:i w:val="0"/>
          <w:caps w:val="0"/>
          <w:spacing w:val="0"/>
          <w:w w:val="100"/>
          <w:sz w:val="32"/>
          <w:szCs w:val="32"/>
          <w:lang w:val="en-US" w:eastAsia="zh-CN"/>
        </w:rPr>
        <w:t>0</w:t>
      </w:r>
      <w:r>
        <w:rPr>
          <w:rFonts w:hint="eastAsia" w:ascii="楷体_GB2312" w:hAnsi="Times New Roman" w:eastAsia="楷体_GB2312" w:cs="DengXian-Bold"/>
          <w:b/>
          <w:bCs/>
          <w:i w:val="0"/>
          <w:caps w:val="0"/>
          <w:spacing w:val="0"/>
          <w:w w:val="100"/>
          <w:sz w:val="32"/>
          <w:szCs w:val="32"/>
        </w:rPr>
        <w:t>万元。</w:t>
      </w:r>
      <w:r>
        <w:rPr>
          <w:rFonts w:hint="eastAsia" w:ascii="仿宋_GB2312" w:hAnsi="Times New Roman" w:eastAsia="仿宋_GB2312" w:cs="DengXian-Regular"/>
          <w:b w:val="0"/>
          <w:i w:val="0"/>
          <w:caps w:val="0"/>
          <w:spacing w:val="0"/>
          <w:w w:val="100"/>
          <w:sz w:val="32"/>
          <w:szCs w:val="32"/>
        </w:rPr>
        <w:t>本部门2019年度公务接待共</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批次、</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人次。公务接待费支出较</w:t>
      </w:r>
      <w:r>
        <w:rPr>
          <w:rFonts w:hint="eastAsia" w:ascii="仿宋_GB2312" w:hAnsi="Times New Roman" w:eastAsia="仿宋_GB2312" w:cs="DengXian-Regular"/>
          <w:b w:val="0"/>
          <w:i w:val="0"/>
          <w:caps w:val="0"/>
          <w:spacing w:val="0"/>
          <w:w w:val="100"/>
          <w:sz w:val="32"/>
          <w:szCs w:val="32"/>
          <w:lang w:eastAsia="zh-CN"/>
        </w:rPr>
        <w:t>年初</w:t>
      </w:r>
      <w:r>
        <w:rPr>
          <w:rFonts w:hint="eastAsia" w:ascii="仿宋_GB2312" w:hAnsi="Times New Roman" w:eastAsia="仿宋_GB2312" w:cs="DengXian-Regular"/>
          <w:b w:val="0"/>
          <w:i w:val="0"/>
          <w:caps w:val="0"/>
          <w:spacing w:val="0"/>
          <w:w w:val="100"/>
          <w:sz w:val="32"/>
          <w:szCs w:val="32"/>
        </w:rPr>
        <w:t>预算减少</w:t>
      </w:r>
      <w:r>
        <w:rPr>
          <w:rFonts w:hint="eastAsia" w:ascii="仿宋_GB2312" w:hAnsi="Times New Roman" w:eastAsia="仿宋_GB2312" w:cs="DengXian-Regular"/>
          <w:b w:val="0"/>
          <w:i w:val="0"/>
          <w:caps w:val="0"/>
          <w:spacing w:val="0"/>
          <w:w w:val="100"/>
          <w:sz w:val="32"/>
          <w:szCs w:val="32"/>
          <w:lang w:val="en-US" w:eastAsia="zh-CN"/>
        </w:rPr>
        <w:t>0.08</w:t>
      </w:r>
      <w:r>
        <w:rPr>
          <w:rFonts w:hint="eastAsia" w:ascii="仿宋_GB2312" w:hAnsi="Times New Roman" w:eastAsia="仿宋_GB2312" w:cs="DengXian-Regular"/>
          <w:b w:val="0"/>
          <w:i w:val="0"/>
          <w:caps w:val="0"/>
          <w:spacing w:val="0"/>
          <w:w w:val="100"/>
          <w:sz w:val="32"/>
          <w:szCs w:val="32"/>
        </w:rPr>
        <w:t>万元，降低100%，主要是</w:t>
      </w:r>
      <w:r>
        <w:rPr>
          <w:rFonts w:hint="eastAsia" w:ascii="仿宋_GB2312" w:hAnsi="Times New Roman" w:eastAsia="仿宋_GB2312" w:cs="DengXian-Regular"/>
          <w:b w:val="0"/>
          <w:i w:val="0"/>
          <w:caps w:val="0"/>
          <w:spacing w:val="0"/>
          <w:w w:val="100"/>
          <w:sz w:val="32"/>
          <w:szCs w:val="32"/>
          <w:lang w:eastAsia="zh-CN"/>
        </w:rPr>
        <w:t>本单位无公务接待</w:t>
      </w:r>
      <w:r>
        <w:rPr>
          <w:rFonts w:hint="eastAsia" w:ascii="仿宋_GB2312" w:hAnsi="Times New Roman" w:eastAsia="仿宋_GB2312" w:cs="DengXian-Regular"/>
          <w:b w:val="0"/>
          <w:i w:val="0"/>
          <w:caps w:val="0"/>
          <w:spacing w:val="0"/>
          <w:w w:val="100"/>
          <w:sz w:val="32"/>
          <w:szCs w:val="32"/>
        </w:rPr>
        <w:t>；较上年度减少0万元</w:t>
      </w:r>
      <w:r>
        <w:rPr>
          <w:rFonts w:hint="eastAsia" w:ascii="仿宋_GB2312" w:hAnsi="Times New Roman" w:eastAsia="仿宋_GB2312" w:cs="DengXian-Regular"/>
          <w:b w:val="0"/>
          <w:i w:val="0"/>
          <w:caps w:val="0"/>
          <w:spacing w:val="0"/>
          <w:w w:val="100"/>
          <w:sz w:val="32"/>
          <w:szCs w:val="32"/>
          <w:lang w:eastAsia="zh-CN"/>
        </w:rPr>
        <w:t>，降低0%；</w:t>
      </w:r>
      <w:r>
        <w:rPr>
          <w:rFonts w:hint="eastAsia" w:ascii="仿宋_GB2312" w:hAnsi="Times New Roman" w:eastAsia="仿宋_GB2312" w:cs="DengXian-Regular"/>
          <w:b w:val="0"/>
          <w:i w:val="0"/>
          <w:caps w:val="0"/>
          <w:spacing w:val="0"/>
          <w:w w:val="100"/>
          <w:sz w:val="32"/>
          <w:szCs w:val="32"/>
        </w:rPr>
        <w:t>主要是</w:t>
      </w:r>
      <w:r>
        <w:rPr>
          <w:rFonts w:hint="eastAsia" w:ascii="仿宋_GB2312" w:eastAsia="仿宋_GB2312" w:cs="DengXian-Regular"/>
          <w:b w:val="0"/>
          <w:i w:val="0"/>
          <w:caps w:val="0"/>
          <w:spacing w:val="0"/>
          <w:w w:val="100"/>
          <w:sz w:val="32"/>
          <w:szCs w:val="32"/>
        </w:rPr>
        <w:t>我单位认真贯彻落实中央</w:t>
      </w:r>
      <w:r>
        <w:rPr>
          <w:rFonts w:hint="eastAsia" w:ascii="仿宋_GB2312" w:eastAsia="仿宋_GB2312" w:cs="DengXian-Regular"/>
          <w:b w:val="0"/>
          <w:i w:val="0"/>
          <w:caps w:val="0"/>
          <w:spacing w:val="0"/>
          <w:w w:val="100"/>
          <w:sz w:val="32"/>
          <w:szCs w:val="32"/>
          <w:lang w:eastAsia="zh-CN"/>
        </w:rPr>
        <w:t>八项规定</w:t>
      </w:r>
      <w:r>
        <w:rPr>
          <w:rFonts w:hint="eastAsia" w:ascii="仿宋_GB2312" w:eastAsia="仿宋_GB2312" w:cs="DengXian-Regular"/>
          <w:b w:val="0"/>
          <w:i w:val="0"/>
          <w:caps w:val="0"/>
          <w:spacing w:val="0"/>
          <w:w w:val="100"/>
          <w:sz w:val="32"/>
          <w:szCs w:val="32"/>
        </w:rPr>
        <w:t>精神和厉行节约要求，从严控制“三公”经费开支</w:t>
      </w:r>
      <w:r>
        <w:rPr>
          <w:rFonts w:hint="eastAsia" w:ascii="仿宋_GB2312" w:eastAsia="仿宋_GB2312" w:cs="DengXian-Regular"/>
          <w:b w:val="0"/>
          <w:i w:val="0"/>
          <w:caps w:val="0"/>
          <w:spacing w:val="0"/>
          <w:w w:val="100"/>
          <w:sz w:val="32"/>
          <w:szCs w:val="32"/>
          <w:lang w:eastAsia="zh-CN"/>
        </w:rPr>
        <w:t>。</w:t>
      </w:r>
    </w:p>
    <w:p w14:paraId="71FCF564">
      <w:pPr>
        <w:snapToGrid w:val="0"/>
        <w:spacing w:before="0" w:beforeAutospacing="0" w:after="0" w:afterAutospacing="0" w:line="600" w:lineRule="exact"/>
        <w:ind w:left="0" w:leftChars="0" w:firstLine="640" w:firstLineChars="200"/>
        <w:jc w:val="both"/>
        <w:textAlignment w:val="baseline"/>
        <w:rPr>
          <w:rFonts w:ascii="黑体" w:hAnsi="Times New Roman" w:eastAsia="黑体" w:cs="Times New Roman"/>
          <w:b w:val="0"/>
          <w:i w:val="0"/>
          <w:caps w:val="0"/>
          <w:spacing w:val="0"/>
          <w:w w:val="100"/>
          <w:sz w:val="32"/>
          <w:szCs w:val="40"/>
        </w:rPr>
      </w:pPr>
      <w:r>
        <w:rPr>
          <w:rFonts w:hint="eastAsia" w:ascii="黑体" w:hAnsi="Times New Roman" w:eastAsia="黑体" w:cs="Times New Roman"/>
          <w:b w:val="0"/>
          <w:i w:val="0"/>
          <w:caps w:val="0"/>
          <w:spacing w:val="0"/>
          <w:w w:val="100"/>
          <w:sz w:val="32"/>
          <w:szCs w:val="40"/>
        </w:rPr>
        <w:t>六、预算绩效情况说明</w:t>
      </w:r>
    </w:p>
    <w:p w14:paraId="66085BC3">
      <w:pPr>
        <w:snapToGrid w:val="0"/>
        <w:spacing w:before="0" w:beforeAutospacing="0" w:after="0" w:afterAutospacing="0" w:line="600" w:lineRule="exact"/>
        <w:ind w:left="0" w:leftChars="0" w:firstLine="643" w:firstLineChars="200"/>
        <w:jc w:val="both"/>
        <w:textAlignment w:val="baseline"/>
        <w:rPr>
          <w:rFonts w:ascii="仿宋_GB2312" w:hAnsi="仿宋_GB2312" w:eastAsia="仿宋_GB2312" w:cs="仿宋_GB2312"/>
          <w:b/>
          <w:bCs/>
          <w:i w:val="0"/>
          <w:caps w:val="0"/>
          <w:spacing w:val="0"/>
          <w:w w:val="100"/>
          <w:sz w:val="32"/>
          <w:szCs w:val="32"/>
        </w:rPr>
      </w:pPr>
      <w:r>
        <w:rPr>
          <w:rFonts w:hint="eastAsia" w:ascii="仿宋_GB2312" w:hAnsi="仿宋_GB2312" w:eastAsia="仿宋_GB2312" w:cs="仿宋_GB2312"/>
          <w:b/>
          <w:bCs/>
          <w:i w:val="0"/>
          <w:caps w:val="0"/>
          <w:spacing w:val="0"/>
          <w:w w:val="100"/>
          <w:sz w:val="32"/>
          <w:szCs w:val="32"/>
        </w:rPr>
        <w:t>1.预算绩效管理工作开展情况。</w:t>
      </w:r>
    </w:p>
    <w:p w14:paraId="5751746F">
      <w:pPr>
        <w:snapToGrid w:val="0"/>
        <w:spacing w:before="0" w:beforeAutospacing="0" w:after="0" w:afterAutospacing="0" w:line="600" w:lineRule="exact"/>
        <w:ind w:left="0" w:leftChars="0" w:firstLine="640" w:firstLineChars="200"/>
        <w:jc w:val="both"/>
        <w:textAlignment w:val="baseline"/>
        <w:rPr>
          <w:rFonts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根据预算绩效管理要求，本部门组织对2019年度一般公共预算项目支出全面开展绩效自评，其中，一级项目</w:t>
      </w:r>
      <w:r>
        <w:rPr>
          <w:rFonts w:hint="eastAsia" w:ascii="仿宋_GB2312" w:hAnsi="仿宋_GB2312" w:eastAsia="仿宋_GB2312" w:cs="仿宋_GB2312"/>
          <w:b w:val="0"/>
          <w:i w:val="0"/>
          <w:caps w:val="0"/>
          <w:spacing w:val="0"/>
          <w:w w:val="100"/>
          <w:sz w:val="32"/>
          <w:szCs w:val="32"/>
          <w:lang w:val="en-US" w:eastAsia="zh-CN"/>
        </w:rPr>
        <w:t>12</w:t>
      </w:r>
      <w:r>
        <w:rPr>
          <w:rFonts w:hint="eastAsia" w:ascii="仿宋_GB2312" w:hAnsi="仿宋_GB2312" w:eastAsia="仿宋_GB2312" w:cs="仿宋_GB2312"/>
          <w:b w:val="0"/>
          <w:i w:val="0"/>
          <w:caps w:val="0"/>
          <w:spacing w:val="0"/>
          <w:w w:val="100"/>
          <w:sz w:val="32"/>
          <w:szCs w:val="32"/>
        </w:rPr>
        <w:t>个，二级项目</w:t>
      </w:r>
      <w:r>
        <w:rPr>
          <w:rFonts w:hint="eastAsia" w:ascii="仿宋_GB2312" w:hAnsi="仿宋_GB2312" w:eastAsia="仿宋_GB2312" w:cs="仿宋_GB2312"/>
          <w:b w:val="0"/>
          <w:i w:val="0"/>
          <w:caps w:val="0"/>
          <w:spacing w:val="0"/>
          <w:w w:val="100"/>
          <w:sz w:val="32"/>
          <w:szCs w:val="32"/>
          <w:lang w:val="en-US" w:eastAsia="zh-CN"/>
        </w:rPr>
        <w:t>0</w:t>
      </w:r>
      <w:r>
        <w:rPr>
          <w:rFonts w:hint="eastAsia" w:ascii="仿宋_GB2312" w:hAnsi="仿宋_GB2312" w:eastAsia="仿宋_GB2312" w:cs="仿宋_GB2312"/>
          <w:b w:val="0"/>
          <w:i w:val="0"/>
          <w:caps w:val="0"/>
          <w:spacing w:val="0"/>
          <w:w w:val="100"/>
          <w:sz w:val="32"/>
          <w:szCs w:val="32"/>
        </w:rPr>
        <w:t>个，共涉及资金</w:t>
      </w:r>
      <w:r>
        <w:rPr>
          <w:rFonts w:hint="eastAsia" w:ascii="仿宋_GB2312" w:hAnsi="仿宋_GB2312" w:eastAsia="仿宋_GB2312" w:cs="仿宋_GB2312"/>
          <w:b w:val="0"/>
          <w:i w:val="0"/>
          <w:caps w:val="0"/>
          <w:spacing w:val="0"/>
          <w:w w:val="100"/>
          <w:sz w:val="32"/>
          <w:szCs w:val="32"/>
          <w:lang w:val="en-US" w:eastAsia="zh-CN"/>
        </w:rPr>
        <w:t>145.18</w:t>
      </w:r>
      <w:r>
        <w:rPr>
          <w:rFonts w:hint="eastAsia" w:ascii="仿宋_GB2312" w:hAnsi="仿宋_GB2312" w:eastAsia="仿宋_GB2312" w:cs="仿宋_GB2312"/>
          <w:b w:val="0"/>
          <w:i w:val="0"/>
          <w:caps w:val="0"/>
          <w:spacing w:val="0"/>
          <w:w w:val="100"/>
          <w:sz w:val="32"/>
          <w:szCs w:val="32"/>
        </w:rPr>
        <w:t>万元，占一般公共预算项目支出总额的</w:t>
      </w:r>
      <w:r>
        <w:rPr>
          <w:rFonts w:hint="eastAsia" w:ascii="仿宋_GB2312" w:hAnsi="仿宋_GB2312" w:eastAsia="仿宋_GB2312" w:cs="仿宋_GB2312"/>
          <w:b w:val="0"/>
          <w:i w:val="0"/>
          <w:caps w:val="0"/>
          <w:spacing w:val="0"/>
          <w:w w:val="100"/>
          <w:sz w:val="32"/>
          <w:szCs w:val="32"/>
          <w:lang w:val="en-US" w:eastAsia="zh-CN"/>
        </w:rPr>
        <w:t>100%。</w:t>
      </w:r>
      <w:r>
        <w:rPr>
          <w:rFonts w:hint="eastAsia" w:ascii="仿宋_GB2312" w:hAnsi="仿宋_GB2312" w:eastAsia="仿宋_GB2312" w:cs="仿宋_GB2312"/>
          <w:b w:val="0"/>
          <w:i w:val="0"/>
          <w:caps w:val="0"/>
          <w:spacing w:val="0"/>
          <w:w w:val="100"/>
          <w:sz w:val="32"/>
          <w:szCs w:val="32"/>
        </w:rPr>
        <w:t>组织对“</w:t>
      </w:r>
      <w:r>
        <w:rPr>
          <w:rFonts w:hint="eastAsia" w:ascii="仿宋_GB2312" w:hAnsi="仿宋_GB2312" w:eastAsia="仿宋_GB2312" w:cs="仿宋_GB2312"/>
          <w:b w:val="0"/>
          <w:i w:val="0"/>
          <w:caps w:val="0"/>
          <w:spacing w:val="0"/>
          <w:w w:val="100"/>
          <w:sz w:val="32"/>
          <w:szCs w:val="32"/>
          <w:lang w:eastAsia="zh-CN"/>
        </w:rPr>
        <w:t>文始征信身份验证系统使用费</w:t>
      </w:r>
      <w:r>
        <w:rPr>
          <w:rFonts w:hint="eastAsia" w:ascii="仿宋_GB2312" w:hAnsi="仿宋_GB2312" w:eastAsia="仿宋_GB2312" w:cs="仿宋_GB2312"/>
          <w:b w:val="0"/>
          <w:i w:val="0"/>
          <w:caps w:val="0"/>
          <w:spacing w:val="0"/>
          <w:w w:val="100"/>
          <w:sz w:val="32"/>
          <w:szCs w:val="32"/>
        </w:rPr>
        <w:t>”“</w:t>
      </w:r>
      <w:r>
        <w:rPr>
          <w:rFonts w:hint="eastAsia" w:ascii="仿宋_GB2312" w:hAnsi="仿宋_GB2312" w:eastAsia="仿宋_GB2312" w:cs="仿宋_GB2312"/>
          <w:b w:val="0"/>
          <w:i w:val="0"/>
          <w:caps w:val="0"/>
          <w:spacing w:val="0"/>
          <w:w w:val="100"/>
          <w:sz w:val="32"/>
          <w:szCs w:val="32"/>
          <w:lang w:eastAsia="zh-CN"/>
        </w:rPr>
        <w:t>社会风险评估、专家评审费</w:t>
      </w:r>
      <w:r>
        <w:rPr>
          <w:rFonts w:hint="eastAsia" w:ascii="仿宋_GB2312" w:hAnsi="仿宋_GB2312" w:eastAsia="仿宋_GB2312" w:cs="仿宋_GB2312"/>
          <w:b w:val="0"/>
          <w:i w:val="0"/>
          <w:caps w:val="0"/>
          <w:spacing w:val="0"/>
          <w:w w:val="100"/>
          <w:sz w:val="32"/>
          <w:szCs w:val="32"/>
        </w:rPr>
        <w:t>”</w:t>
      </w:r>
      <w:r>
        <w:rPr>
          <w:rFonts w:hint="eastAsia" w:ascii="仿宋_GB2312" w:hAnsi="仿宋_GB2312" w:eastAsia="仿宋_GB2312" w:cs="仿宋_GB2312"/>
          <w:b w:val="0"/>
          <w:i w:val="0"/>
          <w:caps w:val="0"/>
          <w:spacing w:val="0"/>
          <w:w w:val="100"/>
          <w:sz w:val="32"/>
          <w:szCs w:val="32"/>
          <w:lang w:eastAsia="zh-CN"/>
        </w:rPr>
        <w:t>“申请</w:t>
      </w:r>
      <w:r>
        <w:rPr>
          <w:rFonts w:hint="eastAsia" w:ascii="仿宋_GB2312" w:hAnsi="仿宋_GB2312" w:eastAsia="仿宋_GB2312" w:cs="仿宋_GB2312"/>
          <w:b w:val="0"/>
          <w:i w:val="0"/>
          <w:caps w:val="0"/>
          <w:spacing w:val="0"/>
          <w:w w:val="100"/>
          <w:sz w:val="32"/>
          <w:szCs w:val="32"/>
          <w:lang w:val="en-US" w:eastAsia="zh-CN"/>
        </w:rPr>
        <w:t>6.14诚信宣传活动经费</w:t>
      </w:r>
      <w:r>
        <w:rPr>
          <w:rFonts w:hint="eastAsia" w:ascii="仿宋_GB2312" w:hAnsi="仿宋_GB2312" w:eastAsia="仿宋_GB2312" w:cs="仿宋_GB2312"/>
          <w:b w:val="0"/>
          <w:i w:val="0"/>
          <w:caps w:val="0"/>
          <w:spacing w:val="0"/>
          <w:w w:val="100"/>
          <w:sz w:val="32"/>
          <w:szCs w:val="32"/>
          <w:lang w:eastAsia="zh-CN"/>
        </w:rPr>
        <w:t>”“开展评估工作相关费用”</w:t>
      </w:r>
      <w:r>
        <w:rPr>
          <w:rFonts w:hint="eastAsia" w:ascii="仿宋_GB2312" w:hAnsi="仿宋_GB2312" w:eastAsia="仿宋_GB2312" w:cs="仿宋_GB2312"/>
          <w:b w:val="0"/>
          <w:i w:val="0"/>
          <w:caps w:val="0"/>
          <w:spacing w:val="0"/>
          <w:w w:val="100"/>
          <w:sz w:val="32"/>
          <w:szCs w:val="32"/>
        </w:rPr>
        <w:t>等</w:t>
      </w:r>
      <w:r>
        <w:rPr>
          <w:rFonts w:hint="eastAsia" w:ascii="仿宋_GB2312" w:hAnsi="仿宋_GB2312" w:eastAsia="仿宋_GB2312" w:cs="仿宋_GB2312"/>
          <w:b w:val="0"/>
          <w:i w:val="0"/>
          <w:caps w:val="0"/>
          <w:spacing w:val="0"/>
          <w:w w:val="100"/>
          <w:sz w:val="32"/>
          <w:szCs w:val="32"/>
          <w:lang w:val="en-US" w:eastAsia="zh-CN"/>
        </w:rPr>
        <w:t>12</w:t>
      </w:r>
      <w:r>
        <w:rPr>
          <w:rFonts w:hint="eastAsia" w:ascii="仿宋_GB2312" w:hAnsi="仿宋_GB2312" w:eastAsia="仿宋_GB2312" w:cs="仿宋_GB2312"/>
          <w:b w:val="0"/>
          <w:i w:val="0"/>
          <w:caps w:val="0"/>
          <w:spacing w:val="0"/>
          <w:w w:val="100"/>
          <w:sz w:val="32"/>
          <w:szCs w:val="32"/>
        </w:rPr>
        <w:t>个项目开展了部门评价，涉及一般公共预算支出</w:t>
      </w:r>
      <w:r>
        <w:rPr>
          <w:rFonts w:hint="eastAsia" w:ascii="仿宋_GB2312" w:hAnsi="仿宋_GB2312" w:eastAsia="仿宋_GB2312" w:cs="仿宋_GB2312"/>
          <w:b w:val="0"/>
          <w:i w:val="0"/>
          <w:caps w:val="0"/>
          <w:spacing w:val="0"/>
          <w:w w:val="100"/>
          <w:sz w:val="32"/>
          <w:szCs w:val="32"/>
          <w:lang w:val="en-US" w:eastAsia="zh-CN"/>
        </w:rPr>
        <w:t>145.18</w:t>
      </w:r>
      <w:r>
        <w:rPr>
          <w:rFonts w:hint="eastAsia" w:ascii="仿宋_GB2312" w:hAnsi="仿宋_GB2312" w:eastAsia="仿宋_GB2312" w:cs="仿宋_GB2312"/>
          <w:b w:val="0"/>
          <w:i w:val="0"/>
          <w:caps w:val="0"/>
          <w:spacing w:val="0"/>
          <w:w w:val="100"/>
          <w:sz w:val="32"/>
          <w:szCs w:val="32"/>
        </w:rPr>
        <w:t>万元，从评价情况来看，</w:t>
      </w:r>
      <w:r>
        <w:rPr>
          <w:rFonts w:hint="eastAsia" w:ascii="仿宋_GB2312" w:hAnsi="仿宋_GB2312" w:eastAsia="仿宋_GB2312" w:cs="仿宋_GB2312"/>
          <w:b w:val="0"/>
          <w:i w:val="0"/>
          <w:caps w:val="0"/>
          <w:spacing w:val="0"/>
          <w:w w:val="100"/>
          <w:sz w:val="32"/>
          <w:szCs w:val="32"/>
          <w:lang w:val="en-US" w:eastAsia="zh-CN"/>
        </w:rPr>
        <w:t>2019年我单位贯彻落实</w:t>
      </w:r>
      <w:bookmarkStart w:id="0" w:name="_GoBack"/>
      <w:r>
        <w:rPr>
          <w:rFonts w:hint="eastAsia" w:ascii="仿宋_GB2312" w:hAnsi="仿宋_GB2312" w:eastAsia="仿宋_GB2312" w:cs="仿宋_GB2312"/>
          <w:b w:val="0"/>
          <w:i w:val="0"/>
          <w:caps w:val="0"/>
          <w:spacing w:val="0"/>
          <w:w w:val="100"/>
          <w:sz w:val="32"/>
          <w:szCs w:val="32"/>
          <w:lang w:val="en-US" w:eastAsia="zh-CN"/>
        </w:rPr>
        <w:t>习近平新时代中国特色社会主义思想</w:t>
      </w:r>
      <w:bookmarkEnd w:id="0"/>
      <w:r>
        <w:rPr>
          <w:rFonts w:hint="eastAsia" w:ascii="仿宋_GB2312" w:hAnsi="仿宋_GB2312" w:eastAsia="仿宋_GB2312" w:cs="仿宋_GB2312"/>
          <w:b w:val="0"/>
          <w:i w:val="0"/>
          <w:caps w:val="0"/>
          <w:spacing w:val="0"/>
          <w:w w:val="100"/>
          <w:sz w:val="32"/>
          <w:szCs w:val="32"/>
          <w:lang w:val="en-US" w:eastAsia="zh-CN"/>
        </w:rPr>
        <w:t>，全面深化“放管服”改革，打造便民高效的“互联网+政务服务”平台，实现行政审批提质提效提速，持续优化营商环境，擦亮“最优环境”名片：1.强化业务培训，提升服务质量；2.推动全程代办，项目快速落地，充分发挥职能作用，建立审批绿色通道，严格落实“两个代办，两个不见面”制度；3.强化“窗口意识”，塑造良好形象；4.提振工作作风，创优营商环境。2019年单位自评项目12个，预期绩效目标完成情况良好，自评8个项目为优，4个项目为良。</w:t>
      </w:r>
    </w:p>
    <w:p w14:paraId="3D6EABC0">
      <w:pPr>
        <w:snapToGrid w:val="0"/>
        <w:spacing w:before="0" w:beforeAutospacing="0" w:after="0" w:afterAutospacing="0" w:line="600" w:lineRule="exact"/>
        <w:ind w:firstLine="643" w:firstLineChars="200"/>
        <w:jc w:val="both"/>
        <w:textAlignment w:val="baseline"/>
        <w:rPr>
          <w:rFonts w:ascii="仿宋_GB2312" w:hAnsi="仿宋_GB2312" w:eastAsia="仿宋_GB2312" w:cs="仿宋_GB2312"/>
          <w:b/>
          <w:bCs/>
          <w:i w:val="0"/>
          <w:caps w:val="0"/>
          <w:spacing w:val="0"/>
          <w:w w:val="100"/>
          <w:sz w:val="32"/>
          <w:szCs w:val="32"/>
        </w:rPr>
      </w:pPr>
      <w:r>
        <w:rPr>
          <w:rFonts w:hint="eastAsia" w:ascii="仿宋_GB2312" w:hAnsi="仿宋_GB2312" w:eastAsia="仿宋_GB2312" w:cs="仿宋_GB2312"/>
          <w:b/>
          <w:bCs/>
          <w:i w:val="0"/>
          <w:caps w:val="0"/>
          <w:spacing w:val="0"/>
          <w:w w:val="100"/>
          <w:sz w:val="32"/>
          <w:szCs w:val="32"/>
        </w:rPr>
        <w:t>2.部门决算中项目绩效自评结果。</w:t>
      </w:r>
    </w:p>
    <w:p w14:paraId="71BF1E37">
      <w:pPr>
        <w:snapToGrid w:val="0"/>
        <w:spacing w:before="0" w:beforeAutospacing="0" w:after="0" w:afterAutospacing="0" w:line="600" w:lineRule="exact"/>
        <w:ind w:left="0" w:leftChars="0" w:firstLine="640" w:firstLineChars="200"/>
        <w:jc w:val="both"/>
        <w:textAlignment w:val="baseline"/>
        <w:rPr>
          <w:rFonts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本部门在今年部门决算公开中反映</w:t>
      </w:r>
      <w:r>
        <w:rPr>
          <w:rFonts w:hint="eastAsia" w:ascii="仿宋_GB2312" w:hAnsi="仿宋_GB2312" w:eastAsia="仿宋_GB2312" w:cs="仿宋_GB2312"/>
          <w:b w:val="0"/>
          <w:i w:val="0"/>
          <w:caps w:val="0"/>
          <w:spacing w:val="0"/>
          <w:w w:val="100"/>
          <w:sz w:val="32"/>
          <w:szCs w:val="32"/>
          <w:lang w:eastAsia="zh-CN"/>
        </w:rPr>
        <w:t>文始征信身份验证系统使用费</w:t>
      </w:r>
      <w:r>
        <w:rPr>
          <w:rFonts w:hint="eastAsia" w:ascii="仿宋_GB2312" w:hAnsi="仿宋_GB2312" w:eastAsia="仿宋_GB2312" w:cs="仿宋_GB2312"/>
          <w:b w:val="0"/>
          <w:i w:val="0"/>
          <w:caps w:val="0"/>
          <w:spacing w:val="0"/>
          <w:w w:val="100"/>
          <w:sz w:val="32"/>
          <w:szCs w:val="32"/>
        </w:rPr>
        <w:t>项目绩效自评结果。</w:t>
      </w:r>
    </w:p>
    <w:p w14:paraId="341BEE38">
      <w:pPr>
        <w:numPr>
          <w:ilvl w:val="0"/>
          <w:numId w:val="1"/>
        </w:numPr>
        <w:snapToGrid w:val="0"/>
        <w:spacing w:before="0" w:beforeAutospacing="0" w:after="0" w:afterAutospacing="0" w:line="600" w:lineRule="exact"/>
        <w:ind w:left="0" w:leftChars="0" w:firstLine="640" w:firstLineChars="2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eastAsia="zh-CN"/>
        </w:rPr>
        <w:t>文始征信身份验证</w:t>
      </w:r>
      <w:r>
        <w:rPr>
          <w:rFonts w:hint="eastAsia" w:ascii="仿宋_GB2312" w:hAnsi="仿宋_GB2312" w:eastAsia="仿宋_GB2312" w:cs="仿宋_GB2312"/>
          <w:b w:val="0"/>
          <w:i w:val="0"/>
          <w:caps w:val="0"/>
          <w:spacing w:val="0"/>
          <w:w w:val="100"/>
          <w:sz w:val="32"/>
          <w:szCs w:val="32"/>
          <w:lang w:val="en-US" w:eastAsia="zh-CN"/>
        </w:rPr>
        <w:t>系统使用费</w:t>
      </w:r>
      <w:r>
        <w:rPr>
          <w:rFonts w:hint="eastAsia" w:ascii="仿宋_GB2312" w:hAnsi="仿宋_GB2312" w:eastAsia="仿宋_GB2312" w:cs="仿宋_GB2312"/>
          <w:b w:val="0"/>
          <w:i w:val="0"/>
          <w:caps w:val="0"/>
          <w:spacing w:val="0"/>
          <w:w w:val="100"/>
          <w:sz w:val="32"/>
          <w:szCs w:val="32"/>
        </w:rPr>
        <w:t>项目自评综述：根据年初设定的绩效目标，</w:t>
      </w:r>
      <w:r>
        <w:rPr>
          <w:rFonts w:hint="eastAsia" w:ascii="仿宋_GB2312" w:hAnsi="仿宋_GB2312" w:eastAsia="仿宋_GB2312" w:cs="仿宋_GB2312"/>
          <w:b w:val="0"/>
          <w:i w:val="0"/>
          <w:caps w:val="0"/>
          <w:spacing w:val="0"/>
          <w:w w:val="100"/>
          <w:sz w:val="32"/>
          <w:szCs w:val="32"/>
          <w:lang w:eastAsia="zh-CN"/>
        </w:rPr>
        <w:t>文始征信身份验证系统使用费</w:t>
      </w:r>
      <w:r>
        <w:rPr>
          <w:rFonts w:hint="eastAsia" w:ascii="仿宋_GB2312" w:hAnsi="仿宋_GB2312" w:eastAsia="仿宋_GB2312" w:cs="仿宋_GB2312"/>
          <w:b w:val="0"/>
          <w:i w:val="0"/>
          <w:caps w:val="0"/>
          <w:spacing w:val="0"/>
          <w:w w:val="100"/>
          <w:sz w:val="32"/>
          <w:szCs w:val="32"/>
        </w:rPr>
        <w:t>项目绩效自评得分为</w:t>
      </w:r>
      <w:r>
        <w:rPr>
          <w:rFonts w:hint="eastAsia" w:ascii="仿宋_GB2312" w:hAnsi="仿宋_GB2312" w:eastAsia="仿宋_GB2312" w:cs="仿宋_GB2312"/>
          <w:b w:val="0"/>
          <w:i w:val="0"/>
          <w:caps w:val="0"/>
          <w:spacing w:val="0"/>
          <w:w w:val="100"/>
          <w:sz w:val="32"/>
          <w:szCs w:val="32"/>
          <w:lang w:val="en-US" w:eastAsia="zh-CN"/>
        </w:rPr>
        <w:t>96</w:t>
      </w:r>
      <w:r>
        <w:rPr>
          <w:rFonts w:hint="eastAsia" w:ascii="仿宋_GB2312" w:hAnsi="仿宋_GB2312" w:eastAsia="仿宋_GB2312" w:cs="仿宋_GB2312"/>
          <w:b w:val="0"/>
          <w:i w:val="0"/>
          <w:caps w:val="0"/>
          <w:spacing w:val="0"/>
          <w:w w:val="100"/>
          <w:sz w:val="32"/>
          <w:szCs w:val="32"/>
        </w:rPr>
        <w:t>分</w:t>
      </w:r>
      <w:r>
        <w:rPr>
          <w:rFonts w:hint="eastAsia" w:ascii="仿宋_GB2312" w:hAnsi="仿宋_GB2312" w:eastAsia="仿宋_GB2312" w:cs="仿宋_GB2312"/>
          <w:b w:val="0"/>
          <w:i w:val="0"/>
          <w:caps w:val="0"/>
          <w:spacing w:val="0"/>
          <w:w w:val="100"/>
          <w:sz w:val="32"/>
          <w:szCs w:val="32"/>
          <w:lang w:val="en-US" w:eastAsia="zh-CN"/>
        </w:rPr>
        <w:t>（绩效自评表附后）</w:t>
      </w:r>
      <w:r>
        <w:rPr>
          <w:rFonts w:hint="eastAsia" w:ascii="仿宋_GB2312" w:hAnsi="仿宋_GB2312" w:eastAsia="仿宋_GB2312" w:cs="仿宋_GB2312"/>
          <w:b w:val="0"/>
          <w:i w:val="0"/>
          <w:caps w:val="0"/>
          <w:spacing w:val="0"/>
          <w:w w:val="100"/>
          <w:sz w:val="32"/>
          <w:szCs w:val="32"/>
        </w:rPr>
        <w:t>。全年预算数为</w:t>
      </w:r>
      <w:r>
        <w:rPr>
          <w:rFonts w:hint="eastAsia" w:ascii="仿宋_GB2312" w:hAnsi="仿宋_GB2312" w:eastAsia="仿宋_GB2312" w:cs="仿宋_GB2312"/>
          <w:b w:val="0"/>
          <w:i w:val="0"/>
          <w:caps w:val="0"/>
          <w:spacing w:val="0"/>
          <w:w w:val="100"/>
          <w:sz w:val="32"/>
          <w:szCs w:val="32"/>
          <w:lang w:val="en-US" w:eastAsia="zh-CN"/>
        </w:rPr>
        <w:t>10</w:t>
      </w:r>
      <w:r>
        <w:rPr>
          <w:rFonts w:hint="eastAsia" w:ascii="仿宋_GB2312" w:hAnsi="仿宋_GB2312" w:eastAsia="仿宋_GB2312" w:cs="仿宋_GB2312"/>
          <w:b w:val="0"/>
          <w:i w:val="0"/>
          <w:caps w:val="0"/>
          <w:spacing w:val="0"/>
          <w:w w:val="100"/>
          <w:sz w:val="32"/>
          <w:szCs w:val="32"/>
        </w:rPr>
        <w:t>万元，执行数为</w:t>
      </w:r>
      <w:r>
        <w:rPr>
          <w:rFonts w:hint="eastAsia" w:ascii="仿宋_GB2312" w:hAnsi="仿宋_GB2312" w:eastAsia="仿宋_GB2312" w:cs="仿宋_GB2312"/>
          <w:b w:val="0"/>
          <w:i w:val="0"/>
          <w:caps w:val="0"/>
          <w:spacing w:val="0"/>
          <w:w w:val="100"/>
          <w:sz w:val="32"/>
          <w:szCs w:val="32"/>
          <w:lang w:val="en-US" w:eastAsia="zh-CN"/>
        </w:rPr>
        <w:t>10</w:t>
      </w:r>
      <w:r>
        <w:rPr>
          <w:rFonts w:hint="eastAsia" w:ascii="仿宋_GB2312" w:hAnsi="仿宋_GB2312" w:eastAsia="仿宋_GB2312" w:cs="仿宋_GB2312"/>
          <w:b w:val="0"/>
          <w:i w:val="0"/>
          <w:caps w:val="0"/>
          <w:spacing w:val="0"/>
          <w:w w:val="100"/>
          <w:sz w:val="32"/>
          <w:szCs w:val="32"/>
        </w:rPr>
        <w:t>万元，完成预算的</w:t>
      </w:r>
      <w:r>
        <w:rPr>
          <w:rFonts w:hint="eastAsia" w:ascii="仿宋_GB2312" w:hAnsi="仿宋_GB2312" w:eastAsia="仿宋_GB2312" w:cs="仿宋_GB2312"/>
          <w:b w:val="0"/>
          <w:i w:val="0"/>
          <w:caps w:val="0"/>
          <w:spacing w:val="0"/>
          <w:w w:val="100"/>
          <w:sz w:val="32"/>
          <w:szCs w:val="32"/>
          <w:lang w:val="en-US" w:eastAsia="zh-CN"/>
        </w:rPr>
        <w:t>100%</w:t>
      </w:r>
      <w:r>
        <w:rPr>
          <w:rFonts w:hint="eastAsia" w:ascii="仿宋_GB2312" w:hAnsi="仿宋_GB2312" w:eastAsia="仿宋_GB2312" w:cs="仿宋_GB2312"/>
          <w:b w:val="0"/>
          <w:i w:val="0"/>
          <w:caps w:val="0"/>
          <w:spacing w:val="0"/>
          <w:w w:val="100"/>
          <w:sz w:val="32"/>
          <w:szCs w:val="32"/>
        </w:rPr>
        <w:t>。项目绩效目标完成情况：</w:t>
      </w:r>
      <w:r>
        <w:rPr>
          <w:rFonts w:hint="eastAsia" w:ascii="仿宋_GB2312" w:hAnsi="仿宋_GB2312" w:eastAsia="仿宋_GB2312" w:cs="仿宋_GB2312"/>
          <w:b w:val="0"/>
          <w:i w:val="0"/>
          <w:caps w:val="0"/>
          <w:spacing w:val="0"/>
          <w:w w:val="100"/>
          <w:sz w:val="32"/>
          <w:szCs w:val="32"/>
          <w:lang w:val="en-US" w:eastAsia="zh-CN"/>
        </w:rPr>
        <w:t>市场主体登记设立，审批事项按规定办结。管控登记风险，提高审批效率，减少行政诉讼和股东纠纷，减轻行政压力，降低交易风险，提高申请人的真实性，杜绝冒用他人身份从事虚假登记，扰乱经济秩序的违法行为。发现的主要问题及原因：在宣传方面，宣传力度不够。部分办事群众不熟悉“云窗办证照”系统和操作方法，导致一部分办事群众认为不方便，降低了“云窗”系统的使用率。下一步改进措施：1.加大宣传力度，印制发放明白纸，深入市场主体内部，张贴操作方法海报；2.开展帮办代办引导服务，引导办事群众利用“云窗”办证系统办理业务，增加使用率。</w:t>
      </w:r>
    </w:p>
    <w:p w14:paraId="5D85724B">
      <w:pPr>
        <w:keepLines/>
        <w:snapToGrid w:val="0"/>
        <w:spacing w:before="0" w:beforeAutospacing="0" w:after="0" w:afterAutospacing="0" w:line="580" w:lineRule="exact"/>
        <w:ind w:firstLine="643" w:firstLineChars="200"/>
        <w:jc w:val="both"/>
        <w:textAlignment w:val="baseline"/>
        <w:rPr>
          <w:rFonts w:hint="eastAsia" w:ascii="仿宋_GB2312" w:hAnsi="仿宋_GB2312" w:eastAsia="仿宋_GB2312" w:cs="仿宋_GB2312"/>
          <w:b/>
          <w:bCs/>
          <w:i w:val="0"/>
          <w:caps w:val="0"/>
          <w:color w:val="000000"/>
          <w:spacing w:val="0"/>
          <w:w w:val="100"/>
          <w:sz w:val="32"/>
          <w:szCs w:val="32"/>
          <w:lang w:val="en-US" w:eastAsia="zh-CN"/>
        </w:rPr>
      </w:pPr>
    </w:p>
    <w:p w14:paraId="64E764EE">
      <w:pPr>
        <w:keepLines/>
        <w:snapToGrid w:val="0"/>
        <w:spacing w:before="0" w:beforeAutospacing="0" w:after="0" w:afterAutospacing="0" w:line="580" w:lineRule="exact"/>
        <w:ind w:firstLine="643" w:firstLineChars="200"/>
        <w:jc w:val="both"/>
        <w:textAlignment w:val="baseline"/>
        <w:rPr>
          <w:rFonts w:hint="eastAsia" w:ascii="仿宋_GB2312" w:hAnsi="仿宋_GB2312" w:eastAsia="仿宋_GB2312" w:cs="仿宋_GB2312"/>
          <w:b/>
          <w:bCs/>
          <w:i w:val="0"/>
          <w:caps w:val="0"/>
          <w:color w:val="000000"/>
          <w:spacing w:val="0"/>
          <w:w w:val="100"/>
          <w:sz w:val="32"/>
          <w:szCs w:val="32"/>
          <w:lang w:val="en-US" w:eastAsia="zh-CN"/>
        </w:rPr>
      </w:pPr>
    </w:p>
    <w:p w14:paraId="0472ABF4">
      <w:pPr>
        <w:keepLines/>
        <w:snapToGrid w:val="0"/>
        <w:spacing w:before="0" w:beforeAutospacing="0" w:after="0" w:afterAutospacing="0" w:line="580" w:lineRule="exact"/>
        <w:ind w:firstLine="643" w:firstLineChars="200"/>
        <w:jc w:val="both"/>
        <w:textAlignment w:val="baseline"/>
        <w:rPr>
          <w:rFonts w:hint="eastAsia" w:ascii="仿宋_GB2312" w:hAnsi="仿宋_GB2312" w:eastAsia="仿宋_GB2312" w:cs="仿宋_GB2312"/>
          <w:b/>
          <w:bCs/>
          <w:i w:val="0"/>
          <w:caps w:val="0"/>
          <w:color w:val="000000"/>
          <w:spacing w:val="0"/>
          <w:w w:val="100"/>
          <w:sz w:val="32"/>
          <w:szCs w:val="32"/>
          <w:lang w:val="en-US" w:eastAsia="zh-CN"/>
        </w:rPr>
      </w:pPr>
    </w:p>
    <w:p w14:paraId="20D474EB">
      <w:pPr>
        <w:keepLines/>
        <w:snapToGrid w:val="0"/>
        <w:spacing w:before="0" w:beforeAutospacing="0" w:after="0" w:afterAutospacing="0" w:line="580" w:lineRule="exact"/>
        <w:ind w:firstLine="643" w:firstLineChars="200"/>
        <w:jc w:val="both"/>
        <w:textAlignment w:val="baseline"/>
        <w:rPr>
          <w:rFonts w:hint="eastAsia" w:ascii="仿宋_GB2312" w:hAnsi="仿宋_GB2312" w:eastAsia="仿宋_GB2312" w:cs="仿宋_GB2312"/>
          <w:b/>
          <w:bCs/>
          <w:i w:val="0"/>
          <w:caps w:val="0"/>
          <w:color w:val="000000"/>
          <w:spacing w:val="0"/>
          <w:w w:val="100"/>
          <w:sz w:val="32"/>
          <w:szCs w:val="32"/>
          <w:lang w:val="en-US" w:eastAsia="zh-CN"/>
        </w:rPr>
      </w:pPr>
    </w:p>
    <w:p w14:paraId="1BC50109">
      <w:pPr>
        <w:keepLines/>
        <w:snapToGrid w:val="0"/>
        <w:spacing w:before="0" w:beforeAutospacing="0" w:after="0" w:afterAutospacing="0" w:line="580" w:lineRule="exact"/>
        <w:ind w:firstLine="643" w:firstLineChars="200"/>
        <w:jc w:val="both"/>
        <w:textAlignment w:val="baseline"/>
        <w:rPr>
          <w:rFonts w:hint="eastAsia" w:ascii="仿宋_GB2312" w:hAnsi="仿宋_GB2312" w:eastAsia="仿宋_GB2312" w:cs="仿宋_GB2312"/>
          <w:b/>
          <w:bCs/>
          <w:i w:val="0"/>
          <w:caps w:val="0"/>
          <w:color w:val="000000"/>
          <w:spacing w:val="0"/>
          <w:w w:val="100"/>
          <w:sz w:val="32"/>
          <w:szCs w:val="32"/>
          <w:lang w:val="en-US" w:eastAsia="zh-CN"/>
        </w:rPr>
      </w:pPr>
    </w:p>
    <w:p w14:paraId="12267505">
      <w:pPr>
        <w:keepLines/>
        <w:snapToGrid w:val="0"/>
        <w:spacing w:before="0" w:beforeAutospacing="0" w:after="0" w:afterAutospacing="0" w:line="580" w:lineRule="exact"/>
        <w:jc w:val="both"/>
        <w:textAlignment w:val="baseline"/>
        <w:rPr>
          <w:rFonts w:hint="eastAsia" w:ascii="仿宋_GB2312" w:hAnsi="仿宋_GB2312" w:eastAsia="仿宋_GB2312" w:cs="仿宋_GB2312"/>
          <w:b/>
          <w:bCs/>
          <w:i w:val="0"/>
          <w:caps w:val="0"/>
          <w:color w:val="000000"/>
          <w:spacing w:val="0"/>
          <w:w w:val="100"/>
          <w:sz w:val="32"/>
          <w:szCs w:val="32"/>
          <w:lang w:val="en-US" w:eastAsia="zh-CN"/>
        </w:rPr>
      </w:pPr>
    </w:p>
    <w:p w14:paraId="35629522">
      <w:pPr>
        <w:keepLines/>
        <w:snapToGrid w:val="0"/>
        <w:spacing w:before="0" w:beforeAutospacing="0" w:after="0" w:afterAutospacing="0" w:line="580" w:lineRule="exact"/>
        <w:ind w:firstLine="643" w:firstLineChars="200"/>
        <w:jc w:val="both"/>
        <w:textAlignment w:val="baseline"/>
        <w:rPr>
          <w:rFonts w:hint="eastAsia" w:ascii="仿宋_GB2312" w:hAnsi="仿宋_GB2312" w:eastAsia="仿宋_GB2312" w:cs="仿宋_GB2312"/>
          <w:b/>
          <w:bCs/>
          <w:i w:val="0"/>
          <w:caps w:val="0"/>
          <w:color w:val="000000"/>
          <w:spacing w:val="0"/>
          <w:w w:val="100"/>
          <w:sz w:val="32"/>
          <w:szCs w:val="32"/>
          <w:lang w:val="en-US" w:eastAsia="zh-CN"/>
        </w:rPr>
      </w:pPr>
    </w:p>
    <w:tbl>
      <w:tblPr>
        <w:tblStyle w:val="6"/>
        <w:tblW w:w="11720" w:type="dxa"/>
        <w:tblInd w:w="93" w:type="dxa"/>
        <w:tblLayout w:type="fixed"/>
        <w:tblCellMar>
          <w:top w:w="0" w:type="dxa"/>
          <w:left w:w="108" w:type="dxa"/>
          <w:bottom w:w="0" w:type="dxa"/>
          <w:right w:w="108" w:type="dxa"/>
        </w:tblCellMar>
      </w:tblPr>
      <w:tblGrid>
        <w:gridCol w:w="936"/>
        <w:gridCol w:w="1140"/>
        <w:gridCol w:w="1524"/>
        <w:gridCol w:w="1281"/>
        <w:gridCol w:w="1665"/>
        <w:gridCol w:w="887"/>
        <w:gridCol w:w="1258"/>
        <w:gridCol w:w="825"/>
        <w:gridCol w:w="2204"/>
      </w:tblGrid>
      <w:tr w14:paraId="4DE0EC8A">
        <w:tblPrEx>
          <w:tblCellMar>
            <w:top w:w="0" w:type="dxa"/>
            <w:left w:w="108" w:type="dxa"/>
            <w:bottom w:w="0" w:type="dxa"/>
            <w:right w:w="108" w:type="dxa"/>
          </w:tblCellMar>
        </w:tblPrEx>
        <w:trPr>
          <w:gridAfter w:val="1"/>
          <w:wAfter w:w="2204" w:type="dxa"/>
          <w:trHeight w:val="516" w:hRule="atLeast"/>
        </w:trPr>
        <w:tc>
          <w:tcPr>
            <w:tcW w:w="9516" w:type="dxa"/>
            <w:gridSpan w:val="8"/>
            <w:tcBorders>
              <w:top w:val="nil"/>
              <w:left w:val="nil"/>
              <w:bottom w:val="nil"/>
              <w:right w:val="nil"/>
            </w:tcBorders>
            <w:shd w:val="clear" w:color="auto" w:fill="auto"/>
            <w:noWrap/>
            <w:vAlign w:val="center"/>
          </w:tcPr>
          <w:p w14:paraId="37780192">
            <w:pPr>
              <w:widowControl/>
              <w:ind w:firstLine="1600" w:firstLineChars="400"/>
              <w:jc w:val="both"/>
              <w:rPr>
                <w:rFonts w:hint="eastAsia" w:ascii="方正小标宋_GBK" w:hAnsi="宋体" w:eastAsia="方正小标宋_GBK" w:cs="宋体"/>
                <w:color w:val="000000"/>
                <w:kern w:val="0"/>
                <w:sz w:val="40"/>
                <w:szCs w:val="40"/>
              </w:rPr>
            </w:pPr>
          </w:p>
          <w:p w14:paraId="1A3681CD">
            <w:pPr>
              <w:widowControl/>
              <w:ind w:firstLine="1600" w:firstLineChars="400"/>
              <w:jc w:val="both"/>
              <w:rPr>
                <w:rFonts w:hint="eastAsia" w:ascii="方正小标宋_GBK" w:hAnsi="宋体" w:eastAsia="方正小标宋_GBK" w:cs="宋体"/>
                <w:color w:val="000000"/>
                <w:kern w:val="0"/>
                <w:sz w:val="40"/>
                <w:szCs w:val="40"/>
              </w:rPr>
            </w:pPr>
          </w:p>
          <w:p w14:paraId="256FC395">
            <w:pPr>
              <w:widowControl/>
              <w:ind w:firstLine="1600" w:firstLineChars="400"/>
              <w:jc w:val="both"/>
              <w:rPr>
                <w:rFonts w:hint="eastAsia" w:ascii="方正小标宋_GBK" w:hAnsi="宋体" w:eastAsia="方正小标宋_GBK" w:cs="宋体"/>
                <w:color w:val="000000"/>
                <w:kern w:val="0"/>
                <w:sz w:val="40"/>
                <w:szCs w:val="40"/>
              </w:rPr>
            </w:pPr>
          </w:p>
          <w:p w14:paraId="05E04264">
            <w:pPr>
              <w:widowControl/>
              <w:ind w:firstLine="1600" w:firstLineChars="400"/>
              <w:jc w:val="both"/>
              <w:rPr>
                <w:rFonts w:hint="eastAsia" w:ascii="方正小标宋_GBK" w:hAnsi="宋体" w:eastAsia="方正小标宋_GBK" w:cs="宋体"/>
                <w:color w:val="000000"/>
                <w:kern w:val="0"/>
                <w:sz w:val="40"/>
                <w:szCs w:val="40"/>
              </w:rPr>
            </w:pPr>
          </w:p>
          <w:p w14:paraId="60B59790">
            <w:pPr>
              <w:widowControl/>
              <w:ind w:firstLine="1600" w:firstLineChars="400"/>
              <w:jc w:val="both"/>
              <w:rPr>
                <w:rFonts w:hint="eastAsia" w:ascii="方正小标宋_GBK" w:hAnsi="宋体" w:eastAsia="方正小标宋_GBK" w:cs="宋体"/>
                <w:color w:val="000000"/>
                <w:kern w:val="0"/>
                <w:sz w:val="40"/>
                <w:szCs w:val="40"/>
              </w:rPr>
            </w:pPr>
          </w:p>
          <w:p w14:paraId="5CC98E86">
            <w:pPr>
              <w:widowControl/>
              <w:ind w:firstLine="1600" w:firstLineChars="400"/>
              <w:jc w:val="both"/>
              <w:rPr>
                <w:rFonts w:hint="eastAsia" w:ascii="方正小标宋_GBK" w:hAnsi="宋体" w:eastAsia="方正小标宋_GBK" w:cs="宋体"/>
                <w:color w:val="000000"/>
                <w:kern w:val="0"/>
                <w:sz w:val="40"/>
                <w:szCs w:val="40"/>
              </w:rPr>
            </w:pPr>
          </w:p>
          <w:p w14:paraId="2D7F97CB">
            <w:pPr>
              <w:widowControl/>
              <w:ind w:firstLine="2400" w:firstLineChars="600"/>
              <w:jc w:val="both"/>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县级部门预算项目绩效自评表</w:t>
            </w:r>
          </w:p>
        </w:tc>
      </w:tr>
      <w:tr w14:paraId="016C51BB">
        <w:tblPrEx>
          <w:tblCellMar>
            <w:top w:w="0" w:type="dxa"/>
            <w:left w:w="108" w:type="dxa"/>
            <w:bottom w:w="0" w:type="dxa"/>
            <w:right w:w="108" w:type="dxa"/>
          </w:tblCellMar>
        </w:tblPrEx>
        <w:trPr>
          <w:gridAfter w:val="1"/>
          <w:wAfter w:w="2204" w:type="dxa"/>
          <w:trHeight w:val="196" w:hRule="atLeast"/>
        </w:trPr>
        <w:tc>
          <w:tcPr>
            <w:tcW w:w="9516" w:type="dxa"/>
            <w:gridSpan w:val="8"/>
            <w:tcBorders>
              <w:top w:val="nil"/>
              <w:left w:val="nil"/>
              <w:bottom w:val="nil"/>
              <w:right w:val="nil"/>
            </w:tcBorders>
            <w:shd w:val="clear" w:color="auto" w:fill="auto"/>
            <w:noWrap/>
            <w:vAlign w:val="bottom"/>
          </w:tcPr>
          <w:p w14:paraId="6D4D1DAE">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 2019年度）</w:t>
            </w:r>
          </w:p>
        </w:tc>
      </w:tr>
      <w:tr w14:paraId="02706F0B">
        <w:tblPrEx>
          <w:tblCellMar>
            <w:top w:w="0" w:type="dxa"/>
            <w:left w:w="108" w:type="dxa"/>
            <w:bottom w:w="0" w:type="dxa"/>
            <w:right w:w="108" w:type="dxa"/>
          </w:tblCellMar>
        </w:tblPrEx>
        <w:trPr>
          <w:trHeight w:val="232" w:hRule="atLeast"/>
        </w:trPr>
        <w:tc>
          <w:tcPr>
            <w:tcW w:w="3600" w:type="dxa"/>
            <w:gridSpan w:val="3"/>
            <w:tcBorders>
              <w:top w:val="nil"/>
              <w:left w:val="nil"/>
              <w:bottom w:val="nil"/>
              <w:right w:val="nil"/>
            </w:tcBorders>
            <w:shd w:val="clear" w:color="auto" w:fill="auto"/>
            <w:noWrap/>
            <w:vAlign w:val="center"/>
          </w:tcPr>
          <w:p w14:paraId="788E98D0">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2"/>
              </w:rPr>
            </w:pPr>
            <w:r>
              <w:rPr>
                <w:rFonts w:hint="eastAsia" w:ascii="宋体" w:hAnsi="宋体" w:eastAsia="宋体" w:cs="宋体"/>
                <w:color w:val="000000"/>
                <w:kern w:val="0"/>
                <w:sz w:val="22"/>
              </w:rPr>
              <w:t>填报单位：高邑县行政审批局</w:t>
            </w:r>
          </w:p>
        </w:tc>
        <w:tc>
          <w:tcPr>
            <w:tcW w:w="1281" w:type="dxa"/>
            <w:tcBorders>
              <w:top w:val="nil"/>
              <w:left w:val="nil"/>
              <w:bottom w:val="nil"/>
              <w:right w:val="nil"/>
            </w:tcBorders>
            <w:shd w:val="clear" w:color="auto" w:fill="auto"/>
            <w:noWrap/>
            <w:vAlign w:val="center"/>
          </w:tcPr>
          <w:p w14:paraId="691E2587">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2"/>
              </w:rPr>
            </w:pPr>
          </w:p>
        </w:tc>
        <w:tc>
          <w:tcPr>
            <w:tcW w:w="1665" w:type="dxa"/>
            <w:tcBorders>
              <w:top w:val="nil"/>
              <w:left w:val="nil"/>
              <w:bottom w:val="nil"/>
              <w:right w:val="nil"/>
            </w:tcBorders>
            <w:shd w:val="clear" w:color="auto" w:fill="auto"/>
            <w:noWrap/>
            <w:vAlign w:val="center"/>
          </w:tcPr>
          <w:p w14:paraId="5E2C2A37">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2"/>
              </w:rPr>
            </w:pPr>
          </w:p>
        </w:tc>
        <w:tc>
          <w:tcPr>
            <w:tcW w:w="5174" w:type="dxa"/>
            <w:gridSpan w:val="4"/>
            <w:tcBorders>
              <w:top w:val="nil"/>
              <w:left w:val="nil"/>
              <w:bottom w:val="nil"/>
              <w:right w:val="nil"/>
            </w:tcBorders>
            <w:shd w:val="clear" w:color="auto" w:fill="auto"/>
            <w:noWrap/>
            <w:vAlign w:val="center"/>
          </w:tcPr>
          <w:p w14:paraId="768FAD53">
            <w:pPr>
              <w:keepNext w:val="0"/>
              <w:keepLines w:val="0"/>
              <w:pageBreakBefore w:val="0"/>
              <w:widowControl/>
              <w:kinsoku/>
              <w:wordWrap/>
              <w:overflowPunct/>
              <w:topLinePunct w:val="0"/>
              <w:autoSpaceDE/>
              <w:autoSpaceDN/>
              <w:bidi w:val="0"/>
              <w:adjustRightInd/>
              <w:snapToGrid/>
              <w:spacing w:line="280" w:lineRule="exact"/>
              <w:ind w:firstLine="440" w:firstLineChars="200"/>
              <w:jc w:val="both"/>
              <w:textAlignment w:val="auto"/>
              <w:rPr>
                <w:rFonts w:ascii="宋体" w:hAnsi="宋体" w:eastAsia="宋体" w:cs="宋体"/>
                <w:color w:val="000000"/>
                <w:kern w:val="0"/>
                <w:sz w:val="22"/>
              </w:rPr>
            </w:pPr>
            <w:r>
              <w:rPr>
                <w:rFonts w:hint="eastAsia" w:ascii="宋体" w:hAnsi="宋体" w:eastAsia="宋体" w:cs="宋体"/>
                <w:color w:val="000000"/>
                <w:kern w:val="0"/>
                <w:sz w:val="22"/>
              </w:rPr>
              <w:t>金额单位：万元</w:t>
            </w:r>
          </w:p>
        </w:tc>
      </w:tr>
      <w:tr w14:paraId="255698E2">
        <w:tblPrEx>
          <w:tblCellMar>
            <w:top w:w="0" w:type="dxa"/>
            <w:left w:w="108" w:type="dxa"/>
            <w:bottom w:w="0" w:type="dxa"/>
            <w:right w:w="108" w:type="dxa"/>
          </w:tblCellMar>
        </w:tblPrEx>
        <w:trPr>
          <w:gridAfter w:val="1"/>
          <w:wAfter w:w="2204" w:type="dxa"/>
          <w:trHeight w:val="605" w:hRule="atLeast"/>
        </w:trPr>
        <w:tc>
          <w:tcPr>
            <w:tcW w:w="936" w:type="dxa"/>
            <w:tcBorders>
              <w:top w:val="single" w:color="000000" w:sz="4" w:space="0"/>
              <w:left w:val="single" w:color="000000" w:sz="4" w:space="0"/>
              <w:bottom w:val="nil"/>
              <w:right w:val="single" w:color="000000" w:sz="4" w:space="0"/>
            </w:tcBorders>
            <w:shd w:val="clear" w:color="auto" w:fill="auto"/>
            <w:vAlign w:val="center"/>
          </w:tcPr>
          <w:p w14:paraId="0B65CF7F">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一、</w:t>
            </w:r>
            <w:r>
              <w:rPr>
                <w:rFonts w:ascii="Calibri" w:hAnsi="Calibri" w:eastAsia="宋体" w:cs="宋体"/>
                <w:color w:val="000000"/>
                <w:kern w:val="0"/>
                <w:sz w:val="20"/>
                <w:szCs w:val="20"/>
              </w:rPr>
              <w:t> </w:t>
            </w:r>
            <w:r>
              <w:rPr>
                <w:rFonts w:hint="eastAsia" w:ascii="宋体" w:hAnsi="宋体" w:eastAsia="宋体" w:cs="宋体"/>
                <w:color w:val="000000"/>
                <w:kern w:val="0"/>
                <w:sz w:val="20"/>
                <w:szCs w:val="20"/>
              </w:rPr>
              <w:t>基本情况</w:t>
            </w: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2E74D6CD">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项目名称</w:t>
            </w:r>
          </w:p>
        </w:tc>
        <w:tc>
          <w:tcPr>
            <w:tcW w:w="2805" w:type="dxa"/>
            <w:gridSpan w:val="2"/>
            <w:tcBorders>
              <w:top w:val="single" w:color="000000" w:sz="4" w:space="0"/>
              <w:left w:val="nil"/>
              <w:bottom w:val="single" w:color="000000" w:sz="4" w:space="0"/>
              <w:right w:val="single" w:color="000000" w:sz="4" w:space="0"/>
            </w:tcBorders>
            <w:shd w:val="clear" w:color="auto" w:fill="auto"/>
            <w:vAlign w:val="center"/>
          </w:tcPr>
          <w:p w14:paraId="03795065">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文始征信身份验证系统使用费</w:t>
            </w:r>
          </w:p>
        </w:tc>
        <w:tc>
          <w:tcPr>
            <w:tcW w:w="1665" w:type="dxa"/>
            <w:tcBorders>
              <w:top w:val="single" w:color="000000" w:sz="4" w:space="0"/>
              <w:left w:val="nil"/>
              <w:bottom w:val="single" w:color="000000" w:sz="4" w:space="0"/>
              <w:right w:val="single" w:color="000000" w:sz="4" w:space="0"/>
            </w:tcBorders>
            <w:shd w:val="clear" w:color="auto" w:fill="auto"/>
            <w:vAlign w:val="center"/>
          </w:tcPr>
          <w:p w14:paraId="3FCC5821">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实施(主管）单位</w:t>
            </w:r>
          </w:p>
        </w:tc>
        <w:tc>
          <w:tcPr>
            <w:tcW w:w="2970" w:type="dxa"/>
            <w:gridSpan w:val="3"/>
            <w:tcBorders>
              <w:top w:val="single" w:color="000000" w:sz="4" w:space="0"/>
              <w:left w:val="nil"/>
              <w:bottom w:val="single" w:color="000000" w:sz="4" w:space="0"/>
              <w:right w:val="single" w:color="000000" w:sz="4" w:space="0"/>
            </w:tcBorders>
            <w:shd w:val="clear" w:color="auto" w:fill="auto"/>
            <w:vAlign w:val="center"/>
          </w:tcPr>
          <w:p w14:paraId="7FB0E8E2">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高邑县行政审批局</w:t>
            </w:r>
          </w:p>
        </w:tc>
      </w:tr>
      <w:tr w14:paraId="7252B3D6">
        <w:tblPrEx>
          <w:tblCellMar>
            <w:top w:w="0" w:type="dxa"/>
            <w:left w:w="108" w:type="dxa"/>
            <w:bottom w:w="0" w:type="dxa"/>
            <w:right w:w="108" w:type="dxa"/>
          </w:tblCellMar>
        </w:tblPrEx>
        <w:trPr>
          <w:gridAfter w:val="1"/>
          <w:wAfter w:w="2204" w:type="dxa"/>
          <w:trHeight w:val="457" w:hRule="atLeast"/>
        </w:trPr>
        <w:tc>
          <w:tcPr>
            <w:tcW w:w="9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EF2938">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二、预算执行情况</w:t>
            </w:r>
          </w:p>
        </w:tc>
        <w:tc>
          <w:tcPr>
            <w:tcW w:w="2664" w:type="dxa"/>
            <w:gridSpan w:val="2"/>
            <w:tcBorders>
              <w:top w:val="single" w:color="000000" w:sz="4" w:space="0"/>
              <w:left w:val="nil"/>
              <w:bottom w:val="single" w:color="000000" w:sz="4" w:space="0"/>
              <w:right w:val="single" w:color="000000" w:sz="4" w:space="0"/>
            </w:tcBorders>
            <w:shd w:val="clear" w:color="auto" w:fill="auto"/>
            <w:vAlign w:val="center"/>
          </w:tcPr>
          <w:p w14:paraId="5C762AA4">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预算安排情况（调整后）</w:t>
            </w:r>
          </w:p>
        </w:tc>
        <w:tc>
          <w:tcPr>
            <w:tcW w:w="2946" w:type="dxa"/>
            <w:gridSpan w:val="2"/>
            <w:tcBorders>
              <w:top w:val="single" w:color="000000" w:sz="4" w:space="0"/>
              <w:left w:val="nil"/>
              <w:bottom w:val="single" w:color="000000" w:sz="4" w:space="0"/>
              <w:right w:val="single" w:color="000000" w:sz="4" w:space="0"/>
            </w:tcBorders>
            <w:shd w:val="clear" w:color="auto" w:fill="auto"/>
            <w:vAlign w:val="center"/>
          </w:tcPr>
          <w:p w14:paraId="48EED900">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资金到位情况</w:t>
            </w:r>
          </w:p>
        </w:tc>
        <w:tc>
          <w:tcPr>
            <w:tcW w:w="2145" w:type="dxa"/>
            <w:gridSpan w:val="2"/>
            <w:tcBorders>
              <w:top w:val="single" w:color="000000" w:sz="4" w:space="0"/>
              <w:left w:val="nil"/>
              <w:bottom w:val="single" w:color="000000" w:sz="4" w:space="0"/>
              <w:right w:val="single" w:color="000000" w:sz="4" w:space="0"/>
            </w:tcBorders>
            <w:shd w:val="clear" w:color="auto" w:fill="auto"/>
            <w:vAlign w:val="center"/>
          </w:tcPr>
          <w:p w14:paraId="6015AFE6">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资金执行情况</w:t>
            </w:r>
          </w:p>
        </w:tc>
        <w:tc>
          <w:tcPr>
            <w:tcW w:w="825" w:type="dxa"/>
            <w:tcBorders>
              <w:top w:val="nil"/>
              <w:left w:val="nil"/>
              <w:bottom w:val="single" w:color="000000" w:sz="4" w:space="0"/>
              <w:right w:val="single" w:color="000000" w:sz="4" w:space="0"/>
            </w:tcBorders>
            <w:shd w:val="clear" w:color="auto" w:fill="auto"/>
            <w:vAlign w:val="center"/>
          </w:tcPr>
          <w:p w14:paraId="432BBEBB">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预算执行进度</w:t>
            </w:r>
          </w:p>
        </w:tc>
      </w:tr>
      <w:tr w14:paraId="44BD6CDA">
        <w:tblPrEx>
          <w:tblCellMar>
            <w:top w:w="0" w:type="dxa"/>
            <w:left w:w="108" w:type="dxa"/>
            <w:bottom w:w="0" w:type="dxa"/>
            <w:right w:w="108" w:type="dxa"/>
          </w:tblCellMar>
        </w:tblPrEx>
        <w:trPr>
          <w:gridAfter w:val="1"/>
          <w:wAfter w:w="2204" w:type="dxa"/>
          <w:trHeight w:val="359" w:hRule="atLeast"/>
        </w:trPr>
        <w:tc>
          <w:tcPr>
            <w:tcW w:w="936" w:type="dxa"/>
            <w:vMerge w:val="continue"/>
            <w:tcBorders>
              <w:top w:val="single" w:color="000000" w:sz="4" w:space="0"/>
              <w:left w:val="single" w:color="000000" w:sz="4" w:space="0"/>
              <w:bottom w:val="single" w:color="000000" w:sz="4" w:space="0"/>
              <w:right w:val="single" w:color="000000" w:sz="4" w:space="0"/>
            </w:tcBorders>
            <w:vAlign w:val="center"/>
          </w:tcPr>
          <w:p w14:paraId="1C80E2A5">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140" w:type="dxa"/>
            <w:tcBorders>
              <w:top w:val="nil"/>
              <w:left w:val="nil"/>
              <w:bottom w:val="single" w:color="000000" w:sz="4" w:space="0"/>
              <w:right w:val="single" w:color="000000" w:sz="4" w:space="0"/>
            </w:tcBorders>
            <w:shd w:val="clear" w:color="auto" w:fill="auto"/>
            <w:vAlign w:val="center"/>
          </w:tcPr>
          <w:p w14:paraId="7B660907">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预算数：</w:t>
            </w:r>
          </w:p>
        </w:tc>
        <w:tc>
          <w:tcPr>
            <w:tcW w:w="1524" w:type="dxa"/>
            <w:tcBorders>
              <w:top w:val="nil"/>
              <w:left w:val="nil"/>
              <w:bottom w:val="single" w:color="000000" w:sz="4" w:space="0"/>
              <w:right w:val="single" w:color="000000" w:sz="4" w:space="0"/>
            </w:tcBorders>
            <w:shd w:val="clear" w:color="auto" w:fill="auto"/>
            <w:vAlign w:val="center"/>
          </w:tcPr>
          <w:p w14:paraId="7FF6F0E0">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1281" w:type="dxa"/>
            <w:tcBorders>
              <w:top w:val="nil"/>
              <w:left w:val="nil"/>
              <w:bottom w:val="single" w:color="000000" w:sz="4" w:space="0"/>
              <w:right w:val="single" w:color="000000" w:sz="4" w:space="0"/>
            </w:tcBorders>
            <w:shd w:val="clear" w:color="auto" w:fill="auto"/>
            <w:vAlign w:val="center"/>
          </w:tcPr>
          <w:p w14:paraId="2C563625">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到位数：</w:t>
            </w:r>
          </w:p>
        </w:tc>
        <w:tc>
          <w:tcPr>
            <w:tcW w:w="1665" w:type="dxa"/>
            <w:tcBorders>
              <w:top w:val="nil"/>
              <w:left w:val="nil"/>
              <w:bottom w:val="single" w:color="000000" w:sz="4" w:space="0"/>
              <w:right w:val="single" w:color="000000" w:sz="4" w:space="0"/>
            </w:tcBorders>
            <w:shd w:val="clear" w:color="auto" w:fill="auto"/>
            <w:vAlign w:val="center"/>
          </w:tcPr>
          <w:p w14:paraId="66BA5863">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887" w:type="dxa"/>
            <w:tcBorders>
              <w:top w:val="nil"/>
              <w:left w:val="nil"/>
              <w:bottom w:val="single" w:color="000000" w:sz="4" w:space="0"/>
              <w:right w:val="single" w:color="000000" w:sz="4" w:space="0"/>
            </w:tcBorders>
            <w:shd w:val="clear" w:color="auto" w:fill="auto"/>
            <w:vAlign w:val="center"/>
          </w:tcPr>
          <w:p w14:paraId="324BDD0A">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执行数：</w:t>
            </w:r>
          </w:p>
        </w:tc>
        <w:tc>
          <w:tcPr>
            <w:tcW w:w="1258" w:type="dxa"/>
            <w:tcBorders>
              <w:top w:val="nil"/>
              <w:left w:val="nil"/>
              <w:bottom w:val="single" w:color="000000" w:sz="4" w:space="0"/>
              <w:right w:val="single" w:color="000000" w:sz="4" w:space="0"/>
            </w:tcBorders>
            <w:shd w:val="clear" w:color="auto" w:fill="auto"/>
            <w:vAlign w:val="center"/>
          </w:tcPr>
          <w:p w14:paraId="0715FBC1">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825" w:type="dxa"/>
            <w:vMerge w:val="restart"/>
            <w:tcBorders>
              <w:top w:val="nil"/>
              <w:left w:val="single" w:color="000000" w:sz="4" w:space="0"/>
              <w:bottom w:val="single" w:color="000000" w:sz="4" w:space="0"/>
              <w:right w:val="single" w:color="000000" w:sz="4" w:space="0"/>
            </w:tcBorders>
            <w:shd w:val="clear" w:color="auto" w:fill="auto"/>
            <w:vAlign w:val="center"/>
          </w:tcPr>
          <w:p w14:paraId="2CAA1C60">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r>
      <w:tr w14:paraId="33EBF049">
        <w:tblPrEx>
          <w:tblCellMar>
            <w:top w:w="0" w:type="dxa"/>
            <w:left w:w="108" w:type="dxa"/>
            <w:bottom w:w="0" w:type="dxa"/>
            <w:right w:w="108" w:type="dxa"/>
          </w:tblCellMar>
        </w:tblPrEx>
        <w:trPr>
          <w:gridAfter w:val="1"/>
          <w:wAfter w:w="2204" w:type="dxa"/>
          <w:trHeight w:val="684" w:hRule="atLeast"/>
        </w:trPr>
        <w:tc>
          <w:tcPr>
            <w:tcW w:w="936" w:type="dxa"/>
            <w:vMerge w:val="continue"/>
            <w:tcBorders>
              <w:top w:val="single" w:color="000000" w:sz="4" w:space="0"/>
              <w:left w:val="single" w:color="000000" w:sz="4" w:space="0"/>
              <w:bottom w:val="single" w:color="000000" w:sz="4" w:space="0"/>
              <w:right w:val="single" w:color="000000" w:sz="4" w:space="0"/>
            </w:tcBorders>
            <w:vAlign w:val="center"/>
          </w:tcPr>
          <w:p w14:paraId="5D793AFE">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140" w:type="dxa"/>
            <w:tcBorders>
              <w:top w:val="nil"/>
              <w:left w:val="nil"/>
              <w:bottom w:val="single" w:color="000000" w:sz="4" w:space="0"/>
              <w:right w:val="single" w:color="000000" w:sz="4" w:space="0"/>
            </w:tcBorders>
            <w:shd w:val="clear" w:color="auto" w:fill="auto"/>
            <w:vAlign w:val="center"/>
          </w:tcPr>
          <w:p w14:paraId="5F15CF82">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其中：财政资金</w:t>
            </w:r>
          </w:p>
        </w:tc>
        <w:tc>
          <w:tcPr>
            <w:tcW w:w="1524" w:type="dxa"/>
            <w:tcBorders>
              <w:top w:val="nil"/>
              <w:left w:val="nil"/>
              <w:bottom w:val="single" w:color="000000" w:sz="4" w:space="0"/>
              <w:right w:val="single" w:color="000000" w:sz="4" w:space="0"/>
            </w:tcBorders>
            <w:shd w:val="clear" w:color="auto" w:fill="auto"/>
            <w:vAlign w:val="center"/>
          </w:tcPr>
          <w:p w14:paraId="2B96764F">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1281" w:type="dxa"/>
            <w:tcBorders>
              <w:top w:val="nil"/>
              <w:left w:val="nil"/>
              <w:bottom w:val="single" w:color="000000" w:sz="4" w:space="0"/>
              <w:right w:val="single" w:color="000000" w:sz="4" w:space="0"/>
            </w:tcBorders>
            <w:shd w:val="clear" w:color="auto" w:fill="auto"/>
            <w:vAlign w:val="center"/>
          </w:tcPr>
          <w:p w14:paraId="64F16137">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其中：财政资金</w:t>
            </w:r>
          </w:p>
        </w:tc>
        <w:tc>
          <w:tcPr>
            <w:tcW w:w="1665" w:type="dxa"/>
            <w:tcBorders>
              <w:top w:val="nil"/>
              <w:left w:val="nil"/>
              <w:bottom w:val="single" w:color="000000" w:sz="4" w:space="0"/>
              <w:right w:val="single" w:color="000000" w:sz="4" w:space="0"/>
            </w:tcBorders>
            <w:shd w:val="clear" w:color="auto" w:fill="auto"/>
            <w:vAlign w:val="center"/>
          </w:tcPr>
          <w:p w14:paraId="287926F2">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887" w:type="dxa"/>
            <w:tcBorders>
              <w:top w:val="nil"/>
              <w:left w:val="nil"/>
              <w:bottom w:val="single" w:color="000000" w:sz="4" w:space="0"/>
              <w:right w:val="single" w:color="000000" w:sz="4" w:space="0"/>
            </w:tcBorders>
            <w:shd w:val="clear" w:color="auto" w:fill="auto"/>
            <w:vAlign w:val="center"/>
          </w:tcPr>
          <w:p w14:paraId="32C22A6D">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其中：财政资金</w:t>
            </w:r>
          </w:p>
        </w:tc>
        <w:tc>
          <w:tcPr>
            <w:tcW w:w="1258" w:type="dxa"/>
            <w:tcBorders>
              <w:top w:val="nil"/>
              <w:left w:val="nil"/>
              <w:bottom w:val="single" w:color="000000" w:sz="4" w:space="0"/>
              <w:right w:val="single" w:color="000000" w:sz="4" w:space="0"/>
            </w:tcBorders>
            <w:shd w:val="clear" w:color="auto" w:fill="auto"/>
            <w:vAlign w:val="center"/>
          </w:tcPr>
          <w:p w14:paraId="3A94A6F0">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825" w:type="dxa"/>
            <w:vMerge w:val="continue"/>
            <w:tcBorders>
              <w:top w:val="nil"/>
              <w:left w:val="single" w:color="000000" w:sz="4" w:space="0"/>
              <w:bottom w:val="single" w:color="000000" w:sz="4" w:space="0"/>
              <w:right w:val="single" w:color="000000" w:sz="4" w:space="0"/>
            </w:tcBorders>
            <w:vAlign w:val="center"/>
          </w:tcPr>
          <w:p w14:paraId="6FDE1BBD">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r>
      <w:tr w14:paraId="65C18A42">
        <w:tblPrEx>
          <w:tblCellMar>
            <w:top w:w="0" w:type="dxa"/>
            <w:left w:w="108" w:type="dxa"/>
            <w:bottom w:w="0" w:type="dxa"/>
            <w:right w:w="108" w:type="dxa"/>
          </w:tblCellMar>
        </w:tblPrEx>
        <w:trPr>
          <w:gridAfter w:val="1"/>
          <w:wAfter w:w="2204" w:type="dxa"/>
          <w:trHeight w:val="309" w:hRule="atLeast"/>
        </w:trPr>
        <w:tc>
          <w:tcPr>
            <w:tcW w:w="936" w:type="dxa"/>
            <w:vMerge w:val="continue"/>
            <w:tcBorders>
              <w:top w:val="single" w:color="000000" w:sz="4" w:space="0"/>
              <w:left w:val="single" w:color="000000" w:sz="4" w:space="0"/>
              <w:bottom w:val="single" w:color="000000" w:sz="4" w:space="0"/>
              <w:right w:val="single" w:color="000000" w:sz="4" w:space="0"/>
            </w:tcBorders>
            <w:vAlign w:val="center"/>
          </w:tcPr>
          <w:p w14:paraId="60B31805">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140" w:type="dxa"/>
            <w:tcBorders>
              <w:top w:val="nil"/>
              <w:left w:val="nil"/>
              <w:bottom w:val="single" w:color="000000" w:sz="4" w:space="0"/>
              <w:right w:val="single" w:color="000000" w:sz="4" w:space="0"/>
            </w:tcBorders>
            <w:shd w:val="clear" w:color="auto" w:fill="auto"/>
            <w:vAlign w:val="center"/>
          </w:tcPr>
          <w:p w14:paraId="62F1668E">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其他</w:t>
            </w:r>
          </w:p>
        </w:tc>
        <w:tc>
          <w:tcPr>
            <w:tcW w:w="1524" w:type="dxa"/>
            <w:tcBorders>
              <w:top w:val="nil"/>
              <w:left w:val="nil"/>
              <w:bottom w:val="single" w:color="000000" w:sz="4" w:space="0"/>
              <w:right w:val="single" w:color="000000" w:sz="4" w:space="0"/>
            </w:tcBorders>
            <w:shd w:val="clear" w:color="auto" w:fill="auto"/>
            <w:vAlign w:val="center"/>
          </w:tcPr>
          <w:p w14:paraId="6227DB25">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　</w:t>
            </w:r>
          </w:p>
        </w:tc>
        <w:tc>
          <w:tcPr>
            <w:tcW w:w="1281" w:type="dxa"/>
            <w:tcBorders>
              <w:top w:val="nil"/>
              <w:left w:val="nil"/>
              <w:bottom w:val="single" w:color="000000" w:sz="4" w:space="0"/>
              <w:right w:val="single" w:color="000000" w:sz="4" w:space="0"/>
            </w:tcBorders>
            <w:shd w:val="clear" w:color="auto" w:fill="auto"/>
            <w:vAlign w:val="center"/>
          </w:tcPr>
          <w:p w14:paraId="4AEE457B">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其他</w:t>
            </w:r>
          </w:p>
        </w:tc>
        <w:tc>
          <w:tcPr>
            <w:tcW w:w="1665" w:type="dxa"/>
            <w:tcBorders>
              <w:top w:val="nil"/>
              <w:left w:val="nil"/>
              <w:bottom w:val="single" w:color="000000" w:sz="4" w:space="0"/>
              <w:right w:val="single" w:color="000000" w:sz="4" w:space="0"/>
            </w:tcBorders>
            <w:shd w:val="clear" w:color="auto" w:fill="auto"/>
            <w:vAlign w:val="center"/>
          </w:tcPr>
          <w:p w14:paraId="6E18137E">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887" w:type="dxa"/>
            <w:tcBorders>
              <w:top w:val="nil"/>
              <w:left w:val="nil"/>
              <w:bottom w:val="single" w:color="000000" w:sz="4" w:space="0"/>
              <w:right w:val="single" w:color="000000" w:sz="4" w:space="0"/>
            </w:tcBorders>
            <w:shd w:val="clear" w:color="auto" w:fill="auto"/>
            <w:vAlign w:val="center"/>
          </w:tcPr>
          <w:p w14:paraId="7A2C7048">
            <w:pPr>
              <w:keepNext w:val="0"/>
              <w:keepLines w:val="0"/>
              <w:pageBreakBefore w:val="0"/>
              <w:widowControl/>
              <w:kinsoku/>
              <w:wordWrap/>
              <w:overflowPunct/>
              <w:topLinePunct w:val="0"/>
              <w:autoSpaceDE/>
              <w:autoSpaceDN/>
              <w:bidi w:val="0"/>
              <w:adjustRightInd/>
              <w:snapToGrid/>
              <w:spacing w:line="280" w:lineRule="exact"/>
              <w:jc w:val="righ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其他</w:t>
            </w:r>
          </w:p>
        </w:tc>
        <w:tc>
          <w:tcPr>
            <w:tcW w:w="1258" w:type="dxa"/>
            <w:tcBorders>
              <w:top w:val="nil"/>
              <w:left w:val="nil"/>
              <w:bottom w:val="single" w:color="000000" w:sz="4" w:space="0"/>
              <w:right w:val="single" w:color="000000" w:sz="4" w:space="0"/>
            </w:tcBorders>
            <w:shd w:val="clear" w:color="auto" w:fill="auto"/>
            <w:vAlign w:val="center"/>
          </w:tcPr>
          <w:p w14:paraId="796915B7">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825" w:type="dxa"/>
            <w:vMerge w:val="continue"/>
            <w:tcBorders>
              <w:top w:val="nil"/>
              <w:left w:val="single" w:color="000000" w:sz="4" w:space="0"/>
              <w:bottom w:val="single" w:color="000000" w:sz="4" w:space="0"/>
              <w:right w:val="single" w:color="000000" w:sz="4" w:space="0"/>
            </w:tcBorders>
            <w:vAlign w:val="center"/>
          </w:tcPr>
          <w:p w14:paraId="703E9784">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r>
      <w:tr w14:paraId="60EA9E7F">
        <w:tblPrEx>
          <w:tblCellMar>
            <w:top w:w="0" w:type="dxa"/>
            <w:left w:w="108" w:type="dxa"/>
            <w:bottom w:w="0" w:type="dxa"/>
            <w:right w:w="108" w:type="dxa"/>
          </w:tblCellMar>
        </w:tblPrEx>
        <w:trPr>
          <w:gridAfter w:val="1"/>
          <w:wAfter w:w="2204" w:type="dxa"/>
          <w:trHeight w:val="430" w:hRule="atLeast"/>
        </w:trPr>
        <w:tc>
          <w:tcPr>
            <w:tcW w:w="936" w:type="dxa"/>
            <w:vMerge w:val="restart"/>
            <w:tcBorders>
              <w:top w:val="nil"/>
              <w:left w:val="single" w:color="000000" w:sz="4" w:space="0"/>
              <w:bottom w:val="single" w:color="000000" w:sz="4" w:space="0"/>
              <w:right w:val="single" w:color="000000" w:sz="4" w:space="0"/>
            </w:tcBorders>
            <w:shd w:val="clear" w:color="auto" w:fill="auto"/>
            <w:vAlign w:val="center"/>
          </w:tcPr>
          <w:p w14:paraId="2D0FE83F">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三、目标完成情况</w:t>
            </w:r>
          </w:p>
        </w:tc>
        <w:tc>
          <w:tcPr>
            <w:tcW w:w="3945" w:type="dxa"/>
            <w:gridSpan w:val="3"/>
            <w:tcBorders>
              <w:top w:val="single" w:color="000000" w:sz="4" w:space="0"/>
              <w:left w:val="nil"/>
              <w:bottom w:val="single" w:color="000000" w:sz="4" w:space="0"/>
              <w:right w:val="single" w:color="000000" w:sz="4" w:space="0"/>
            </w:tcBorders>
            <w:shd w:val="clear" w:color="auto" w:fill="auto"/>
            <w:vAlign w:val="center"/>
          </w:tcPr>
          <w:p w14:paraId="7090F88B">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年度预期目标</w:t>
            </w:r>
          </w:p>
        </w:tc>
        <w:tc>
          <w:tcPr>
            <w:tcW w:w="3810" w:type="dxa"/>
            <w:gridSpan w:val="3"/>
            <w:tcBorders>
              <w:top w:val="single" w:color="000000" w:sz="4" w:space="0"/>
              <w:left w:val="nil"/>
              <w:bottom w:val="single" w:color="000000" w:sz="4" w:space="0"/>
              <w:right w:val="single" w:color="000000" w:sz="4" w:space="0"/>
            </w:tcBorders>
            <w:shd w:val="clear" w:color="auto" w:fill="auto"/>
            <w:vAlign w:val="center"/>
          </w:tcPr>
          <w:p w14:paraId="4191FE49">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具体完成情况</w:t>
            </w:r>
          </w:p>
        </w:tc>
        <w:tc>
          <w:tcPr>
            <w:tcW w:w="825" w:type="dxa"/>
            <w:tcBorders>
              <w:top w:val="nil"/>
              <w:left w:val="nil"/>
              <w:bottom w:val="single" w:color="000000" w:sz="4" w:space="0"/>
              <w:right w:val="single" w:color="000000" w:sz="4" w:space="0"/>
            </w:tcBorders>
            <w:shd w:val="clear" w:color="auto" w:fill="auto"/>
            <w:vAlign w:val="center"/>
          </w:tcPr>
          <w:p w14:paraId="29F9D8CC">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总体完成率</w:t>
            </w:r>
          </w:p>
        </w:tc>
      </w:tr>
      <w:tr w14:paraId="287029A4">
        <w:tblPrEx>
          <w:tblCellMar>
            <w:top w:w="0" w:type="dxa"/>
            <w:left w:w="108" w:type="dxa"/>
            <w:bottom w:w="0" w:type="dxa"/>
            <w:right w:w="108" w:type="dxa"/>
          </w:tblCellMar>
        </w:tblPrEx>
        <w:trPr>
          <w:gridAfter w:val="1"/>
          <w:wAfter w:w="2204" w:type="dxa"/>
          <w:trHeight w:val="270" w:hRule="atLeast"/>
        </w:trPr>
        <w:tc>
          <w:tcPr>
            <w:tcW w:w="936" w:type="dxa"/>
            <w:vMerge w:val="continue"/>
            <w:tcBorders>
              <w:top w:val="nil"/>
              <w:left w:val="single" w:color="000000" w:sz="4" w:space="0"/>
              <w:bottom w:val="single" w:color="000000" w:sz="4" w:space="0"/>
              <w:right w:val="single" w:color="000000" w:sz="4" w:space="0"/>
            </w:tcBorders>
            <w:vAlign w:val="center"/>
          </w:tcPr>
          <w:p w14:paraId="76FBDCAF">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39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4EB3E8">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市场主体登记设立，审批事项按规定办结。管控登记风险，提高审批效率，减少行政诉讼和股东纠纷，减轻行政压力，降低交易风险，提高申请人的真实性，杜绝冒用他人身份从事虚假登记，扰乱经济秩序的违法行为</w:t>
            </w:r>
          </w:p>
        </w:tc>
        <w:tc>
          <w:tcPr>
            <w:tcW w:w="38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1315ED">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完成良好</w:t>
            </w:r>
          </w:p>
        </w:tc>
        <w:tc>
          <w:tcPr>
            <w:tcW w:w="825" w:type="dxa"/>
            <w:vMerge w:val="restart"/>
            <w:tcBorders>
              <w:top w:val="nil"/>
              <w:left w:val="single" w:color="000000" w:sz="4" w:space="0"/>
              <w:bottom w:val="single" w:color="000000" w:sz="4" w:space="0"/>
              <w:right w:val="single" w:color="000000" w:sz="4" w:space="0"/>
            </w:tcBorders>
            <w:shd w:val="clear" w:color="auto" w:fill="auto"/>
            <w:vAlign w:val="center"/>
          </w:tcPr>
          <w:p w14:paraId="627141AD">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r>
      <w:tr w14:paraId="7E1AEA3F">
        <w:tblPrEx>
          <w:tblCellMar>
            <w:top w:w="0" w:type="dxa"/>
            <w:left w:w="108" w:type="dxa"/>
            <w:bottom w:w="0" w:type="dxa"/>
            <w:right w:w="108" w:type="dxa"/>
          </w:tblCellMar>
        </w:tblPrEx>
        <w:trPr>
          <w:gridAfter w:val="1"/>
          <w:wAfter w:w="2204" w:type="dxa"/>
          <w:trHeight w:val="270" w:hRule="atLeast"/>
        </w:trPr>
        <w:tc>
          <w:tcPr>
            <w:tcW w:w="936" w:type="dxa"/>
            <w:vMerge w:val="continue"/>
            <w:tcBorders>
              <w:top w:val="nil"/>
              <w:left w:val="single" w:color="000000" w:sz="4" w:space="0"/>
              <w:bottom w:val="single" w:color="000000" w:sz="4" w:space="0"/>
              <w:right w:val="single" w:color="000000" w:sz="4" w:space="0"/>
            </w:tcBorders>
            <w:vAlign w:val="center"/>
          </w:tcPr>
          <w:p w14:paraId="5A541C18">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394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29A97A2">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381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20963B59">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825" w:type="dxa"/>
            <w:vMerge w:val="continue"/>
            <w:tcBorders>
              <w:top w:val="nil"/>
              <w:left w:val="single" w:color="000000" w:sz="4" w:space="0"/>
              <w:bottom w:val="single" w:color="000000" w:sz="4" w:space="0"/>
              <w:right w:val="single" w:color="000000" w:sz="4" w:space="0"/>
            </w:tcBorders>
            <w:vAlign w:val="center"/>
          </w:tcPr>
          <w:p w14:paraId="6A2FD920">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r>
      <w:tr w14:paraId="04F221AA">
        <w:tblPrEx>
          <w:tblCellMar>
            <w:top w:w="0" w:type="dxa"/>
            <w:left w:w="108" w:type="dxa"/>
            <w:bottom w:w="0" w:type="dxa"/>
            <w:right w:w="108" w:type="dxa"/>
          </w:tblCellMar>
        </w:tblPrEx>
        <w:trPr>
          <w:gridAfter w:val="1"/>
          <w:wAfter w:w="2204" w:type="dxa"/>
          <w:trHeight w:val="545" w:hRule="atLeast"/>
        </w:trPr>
        <w:tc>
          <w:tcPr>
            <w:tcW w:w="936" w:type="dxa"/>
            <w:vMerge w:val="continue"/>
            <w:tcBorders>
              <w:top w:val="nil"/>
              <w:left w:val="single" w:color="000000" w:sz="4" w:space="0"/>
              <w:bottom w:val="single" w:color="000000" w:sz="4" w:space="0"/>
              <w:right w:val="single" w:color="000000" w:sz="4" w:space="0"/>
            </w:tcBorders>
            <w:vAlign w:val="center"/>
          </w:tcPr>
          <w:p w14:paraId="5B40A109">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394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3E4662D8">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381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9A0648B">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825" w:type="dxa"/>
            <w:vMerge w:val="continue"/>
            <w:tcBorders>
              <w:top w:val="nil"/>
              <w:left w:val="single" w:color="000000" w:sz="4" w:space="0"/>
              <w:bottom w:val="single" w:color="000000" w:sz="4" w:space="0"/>
              <w:right w:val="single" w:color="000000" w:sz="4" w:space="0"/>
            </w:tcBorders>
            <w:vAlign w:val="center"/>
          </w:tcPr>
          <w:p w14:paraId="569DFF8E">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r>
      <w:tr w14:paraId="669CB871">
        <w:tblPrEx>
          <w:tblCellMar>
            <w:top w:w="0" w:type="dxa"/>
            <w:left w:w="108" w:type="dxa"/>
            <w:bottom w:w="0" w:type="dxa"/>
            <w:right w:w="108" w:type="dxa"/>
          </w:tblCellMar>
        </w:tblPrEx>
        <w:trPr>
          <w:gridAfter w:val="1"/>
          <w:wAfter w:w="2204" w:type="dxa"/>
          <w:trHeight w:val="439" w:hRule="atLeast"/>
        </w:trPr>
        <w:tc>
          <w:tcPr>
            <w:tcW w:w="936" w:type="dxa"/>
            <w:vMerge w:val="restart"/>
            <w:tcBorders>
              <w:top w:val="nil"/>
              <w:left w:val="single" w:color="auto" w:sz="4" w:space="0"/>
              <w:bottom w:val="single" w:color="000000" w:sz="4" w:space="0"/>
              <w:right w:val="nil"/>
            </w:tcBorders>
            <w:shd w:val="clear" w:color="auto" w:fill="auto"/>
            <w:vAlign w:val="center"/>
          </w:tcPr>
          <w:p w14:paraId="4C83F740">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四、</w:t>
            </w:r>
            <w:r>
              <w:rPr>
                <w:rFonts w:ascii="Calibri" w:hAnsi="Calibri" w:eastAsia="宋体" w:cs="宋体"/>
                <w:color w:val="000000"/>
                <w:kern w:val="0"/>
                <w:sz w:val="20"/>
                <w:szCs w:val="20"/>
              </w:rPr>
              <w:t> </w:t>
            </w:r>
            <w:r>
              <w:rPr>
                <w:rFonts w:hint="eastAsia" w:ascii="宋体" w:hAnsi="宋体" w:eastAsia="宋体" w:cs="宋体"/>
                <w:color w:val="000000"/>
                <w:kern w:val="0"/>
                <w:sz w:val="20"/>
                <w:szCs w:val="20"/>
              </w:rPr>
              <w:t>年度绩效指标完成情况</w:t>
            </w:r>
          </w:p>
        </w:tc>
        <w:tc>
          <w:tcPr>
            <w:tcW w:w="1140" w:type="dxa"/>
            <w:tcBorders>
              <w:top w:val="nil"/>
              <w:left w:val="single" w:color="000000" w:sz="4" w:space="0"/>
              <w:bottom w:val="nil"/>
              <w:right w:val="single" w:color="000000" w:sz="4" w:space="0"/>
            </w:tcBorders>
            <w:shd w:val="clear" w:color="auto" w:fill="auto"/>
            <w:vAlign w:val="center"/>
          </w:tcPr>
          <w:p w14:paraId="7761AD65">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一级指标</w:t>
            </w:r>
          </w:p>
        </w:tc>
        <w:tc>
          <w:tcPr>
            <w:tcW w:w="1524" w:type="dxa"/>
            <w:tcBorders>
              <w:top w:val="nil"/>
              <w:left w:val="nil"/>
              <w:bottom w:val="nil"/>
              <w:right w:val="single" w:color="000000" w:sz="4" w:space="0"/>
            </w:tcBorders>
            <w:shd w:val="clear" w:color="auto" w:fill="auto"/>
            <w:vAlign w:val="center"/>
          </w:tcPr>
          <w:p w14:paraId="1AE2712A">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二级指标</w:t>
            </w:r>
          </w:p>
        </w:tc>
        <w:tc>
          <w:tcPr>
            <w:tcW w:w="2946" w:type="dxa"/>
            <w:gridSpan w:val="2"/>
            <w:tcBorders>
              <w:top w:val="single" w:color="000000" w:sz="4" w:space="0"/>
              <w:left w:val="nil"/>
              <w:bottom w:val="nil"/>
              <w:right w:val="single" w:color="000000" w:sz="4" w:space="0"/>
            </w:tcBorders>
            <w:shd w:val="clear" w:color="auto" w:fill="auto"/>
            <w:vAlign w:val="center"/>
          </w:tcPr>
          <w:p w14:paraId="7C05AA22">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三级指标</w:t>
            </w:r>
          </w:p>
        </w:tc>
        <w:tc>
          <w:tcPr>
            <w:tcW w:w="887" w:type="dxa"/>
            <w:tcBorders>
              <w:top w:val="nil"/>
              <w:left w:val="nil"/>
              <w:bottom w:val="nil"/>
              <w:right w:val="single" w:color="000000" w:sz="4" w:space="0"/>
            </w:tcBorders>
            <w:shd w:val="clear" w:color="auto" w:fill="auto"/>
            <w:vAlign w:val="center"/>
          </w:tcPr>
          <w:p w14:paraId="1E6CA07C">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预期指标值</w:t>
            </w:r>
          </w:p>
        </w:tc>
        <w:tc>
          <w:tcPr>
            <w:tcW w:w="1258" w:type="dxa"/>
            <w:tcBorders>
              <w:top w:val="nil"/>
              <w:left w:val="nil"/>
              <w:bottom w:val="nil"/>
              <w:right w:val="single" w:color="000000" w:sz="4" w:space="0"/>
            </w:tcBorders>
            <w:shd w:val="clear" w:color="auto" w:fill="auto"/>
            <w:vAlign w:val="center"/>
          </w:tcPr>
          <w:p w14:paraId="5DB91812">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实际完成值</w:t>
            </w:r>
          </w:p>
        </w:tc>
        <w:tc>
          <w:tcPr>
            <w:tcW w:w="825" w:type="dxa"/>
            <w:tcBorders>
              <w:top w:val="nil"/>
              <w:left w:val="nil"/>
              <w:bottom w:val="nil"/>
              <w:right w:val="single" w:color="000000" w:sz="4" w:space="0"/>
            </w:tcBorders>
            <w:shd w:val="clear" w:color="auto" w:fill="auto"/>
            <w:vAlign w:val="center"/>
          </w:tcPr>
          <w:p w14:paraId="598A6416">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自评得分</w:t>
            </w:r>
          </w:p>
        </w:tc>
      </w:tr>
      <w:tr w14:paraId="29FAB1B9">
        <w:tblPrEx>
          <w:tblCellMar>
            <w:top w:w="0" w:type="dxa"/>
            <w:left w:w="108" w:type="dxa"/>
            <w:bottom w:w="0" w:type="dxa"/>
            <w:right w:w="108" w:type="dxa"/>
          </w:tblCellMar>
        </w:tblPrEx>
        <w:trPr>
          <w:gridAfter w:val="1"/>
          <w:wAfter w:w="2204" w:type="dxa"/>
          <w:trHeight w:val="420" w:hRule="atLeast"/>
        </w:trPr>
        <w:tc>
          <w:tcPr>
            <w:tcW w:w="936" w:type="dxa"/>
            <w:vMerge w:val="continue"/>
            <w:tcBorders>
              <w:top w:val="nil"/>
              <w:left w:val="single" w:color="auto" w:sz="4" w:space="0"/>
              <w:bottom w:val="single" w:color="000000" w:sz="4" w:space="0"/>
              <w:right w:val="nil"/>
            </w:tcBorders>
            <w:vAlign w:val="center"/>
          </w:tcPr>
          <w:p w14:paraId="1DC61A27">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140"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33A3493A">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产出指标（40分）</w:t>
            </w:r>
          </w:p>
        </w:tc>
        <w:tc>
          <w:tcPr>
            <w:tcW w:w="1524" w:type="dxa"/>
            <w:tcBorders>
              <w:top w:val="single" w:color="auto" w:sz="4" w:space="0"/>
              <w:left w:val="nil"/>
              <w:bottom w:val="single" w:color="auto" w:sz="4" w:space="0"/>
              <w:right w:val="single" w:color="auto" w:sz="4" w:space="0"/>
            </w:tcBorders>
            <w:shd w:val="clear" w:color="auto" w:fill="auto"/>
            <w:noWrap/>
            <w:vAlign w:val="center"/>
          </w:tcPr>
          <w:p w14:paraId="3145DCF5">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质量指标</w:t>
            </w:r>
          </w:p>
        </w:tc>
        <w:tc>
          <w:tcPr>
            <w:tcW w:w="2946" w:type="dxa"/>
            <w:gridSpan w:val="2"/>
            <w:tcBorders>
              <w:top w:val="single" w:color="auto" w:sz="4" w:space="0"/>
              <w:left w:val="nil"/>
              <w:bottom w:val="single" w:color="auto" w:sz="4" w:space="0"/>
              <w:right w:val="single" w:color="auto" w:sz="4" w:space="0"/>
            </w:tcBorders>
            <w:shd w:val="clear" w:color="auto" w:fill="auto"/>
            <w:vAlign w:val="center"/>
          </w:tcPr>
          <w:p w14:paraId="716DA306">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业务处理及时性（%）</w:t>
            </w:r>
          </w:p>
        </w:tc>
        <w:tc>
          <w:tcPr>
            <w:tcW w:w="887" w:type="dxa"/>
            <w:tcBorders>
              <w:top w:val="single" w:color="auto" w:sz="4" w:space="0"/>
              <w:left w:val="nil"/>
              <w:bottom w:val="single" w:color="auto" w:sz="4" w:space="0"/>
              <w:right w:val="single" w:color="auto" w:sz="4" w:space="0"/>
            </w:tcBorders>
            <w:shd w:val="clear" w:color="auto" w:fill="auto"/>
            <w:vAlign w:val="center"/>
          </w:tcPr>
          <w:p w14:paraId="645A7196">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≥90%</w:t>
            </w:r>
          </w:p>
        </w:tc>
        <w:tc>
          <w:tcPr>
            <w:tcW w:w="1258" w:type="dxa"/>
            <w:tcBorders>
              <w:top w:val="single" w:color="auto" w:sz="4" w:space="0"/>
              <w:left w:val="nil"/>
              <w:bottom w:val="single" w:color="auto" w:sz="4" w:space="0"/>
              <w:right w:val="single" w:color="auto" w:sz="4" w:space="0"/>
            </w:tcBorders>
            <w:shd w:val="clear" w:color="auto" w:fill="auto"/>
            <w:vAlign w:val="center"/>
          </w:tcPr>
          <w:p w14:paraId="2BA67EEE">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100%</w:t>
            </w:r>
          </w:p>
        </w:tc>
        <w:tc>
          <w:tcPr>
            <w:tcW w:w="825" w:type="dxa"/>
            <w:tcBorders>
              <w:top w:val="single" w:color="auto" w:sz="4" w:space="0"/>
              <w:left w:val="nil"/>
              <w:bottom w:val="single" w:color="auto" w:sz="4" w:space="0"/>
              <w:right w:val="single" w:color="auto" w:sz="4" w:space="0"/>
            </w:tcBorders>
            <w:shd w:val="clear" w:color="auto" w:fill="auto"/>
            <w:vAlign w:val="center"/>
          </w:tcPr>
          <w:p w14:paraId="5002F35B">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20</w:t>
            </w:r>
          </w:p>
        </w:tc>
      </w:tr>
      <w:tr w14:paraId="6B4B5FDE">
        <w:tblPrEx>
          <w:tblCellMar>
            <w:top w:w="0" w:type="dxa"/>
            <w:left w:w="108" w:type="dxa"/>
            <w:bottom w:w="0" w:type="dxa"/>
            <w:right w:w="108" w:type="dxa"/>
          </w:tblCellMar>
        </w:tblPrEx>
        <w:trPr>
          <w:gridAfter w:val="1"/>
          <w:wAfter w:w="2204" w:type="dxa"/>
          <w:trHeight w:val="539" w:hRule="atLeast"/>
        </w:trPr>
        <w:tc>
          <w:tcPr>
            <w:tcW w:w="936" w:type="dxa"/>
            <w:vMerge w:val="continue"/>
            <w:tcBorders>
              <w:top w:val="nil"/>
              <w:left w:val="single" w:color="auto" w:sz="4" w:space="0"/>
              <w:bottom w:val="single" w:color="000000" w:sz="4" w:space="0"/>
              <w:right w:val="nil"/>
            </w:tcBorders>
            <w:vAlign w:val="center"/>
          </w:tcPr>
          <w:p w14:paraId="60A37F94">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140" w:type="dxa"/>
            <w:vMerge w:val="continue"/>
            <w:tcBorders>
              <w:top w:val="single" w:color="auto" w:sz="4" w:space="0"/>
              <w:left w:val="single" w:color="auto" w:sz="4" w:space="0"/>
              <w:bottom w:val="single" w:color="000000" w:sz="4" w:space="0"/>
              <w:right w:val="single" w:color="auto" w:sz="4" w:space="0"/>
            </w:tcBorders>
            <w:vAlign w:val="center"/>
          </w:tcPr>
          <w:p w14:paraId="3D0E1B41">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524" w:type="dxa"/>
            <w:tcBorders>
              <w:top w:val="nil"/>
              <w:left w:val="nil"/>
              <w:bottom w:val="nil"/>
              <w:right w:val="single" w:color="auto" w:sz="4" w:space="0"/>
            </w:tcBorders>
            <w:shd w:val="clear" w:color="auto" w:fill="auto"/>
            <w:vAlign w:val="center"/>
          </w:tcPr>
          <w:p w14:paraId="3300631A">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数量指标</w:t>
            </w:r>
          </w:p>
        </w:tc>
        <w:tc>
          <w:tcPr>
            <w:tcW w:w="2946" w:type="dxa"/>
            <w:gridSpan w:val="2"/>
            <w:tcBorders>
              <w:top w:val="single" w:color="auto" w:sz="4" w:space="0"/>
              <w:left w:val="nil"/>
              <w:bottom w:val="single" w:color="auto" w:sz="4" w:space="0"/>
              <w:right w:val="single" w:color="000000" w:sz="4" w:space="0"/>
            </w:tcBorders>
            <w:shd w:val="clear" w:color="auto" w:fill="auto"/>
            <w:vAlign w:val="center"/>
          </w:tcPr>
          <w:p w14:paraId="215F0F2B">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办公自动化系统覆盖的业务种类</w:t>
            </w:r>
          </w:p>
        </w:tc>
        <w:tc>
          <w:tcPr>
            <w:tcW w:w="887" w:type="dxa"/>
            <w:tcBorders>
              <w:top w:val="nil"/>
              <w:left w:val="nil"/>
              <w:bottom w:val="single" w:color="auto" w:sz="4" w:space="0"/>
              <w:right w:val="single" w:color="auto" w:sz="4" w:space="0"/>
            </w:tcBorders>
            <w:shd w:val="clear" w:color="auto" w:fill="auto"/>
            <w:vAlign w:val="center"/>
          </w:tcPr>
          <w:p w14:paraId="415E04ED">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≥90%</w:t>
            </w:r>
          </w:p>
        </w:tc>
        <w:tc>
          <w:tcPr>
            <w:tcW w:w="1258" w:type="dxa"/>
            <w:tcBorders>
              <w:top w:val="nil"/>
              <w:left w:val="nil"/>
              <w:bottom w:val="single" w:color="auto" w:sz="4" w:space="0"/>
              <w:right w:val="single" w:color="auto" w:sz="4" w:space="0"/>
            </w:tcBorders>
            <w:shd w:val="clear" w:color="auto" w:fill="auto"/>
            <w:vAlign w:val="center"/>
          </w:tcPr>
          <w:p w14:paraId="4BF635E8">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100%</w:t>
            </w:r>
          </w:p>
        </w:tc>
        <w:tc>
          <w:tcPr>
            <w:tcW w:w="825" w:type="dxa"/>
            <w:tcBorders>
              <w:top w:val="nil"/>
              <w:left w:val="nil"/>
              <w:bottom w:val="single" w:color="auto" w:sz="4" w:space="0"/>
              <w:right w:val="single" w:color="auto" w:sz="4" w:space="0"/>
            </w:tcBorders>
            <w:shd w:val="clear" w:color="auto" w:fill="auto"/>
            <w:vAlign w:val="center"/>
          </w:tcPr>
          <w:p w14:paraId="505398C5">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20</w:t>
            </w:r>
          </w:p>
        </w:tc>
      </w:tr>
      <w:tr w14:paraId="4FFDD255">
        <w:tblPrEx>
          <w:tblCellMar>
            <w:top w:w="0" w:type="dxa"/>
            <w:left w:w="108" w:type="dxa"/>
            <w:bottom w:w="0" w:type="dxa"/>
            <w:right w:w="108" w:type="dxa"/>
          </w:tblCellMar>
        </w:tblPrEx>
        <w:trPr>
          <w:gridAfter w:val="1"/>
          <w:wAfter w:w="2204" w:type="dxa"/>
          <w:trHeight w:val="746" w:hRule="atLeast"/>
        </w:trPr>
        <w:tc>
          <w:tcPr>
            <w:tcW w:w="936" w:type="dxa"/>
            <w:vMerge w:val="continue"/>
            <w:tcBorders>
              <w:top w:val="nil"/>
              <w:left w:val="single" w:color="auto" w:sz="4" w:space="0"/>
              <w:bottom w:val="single" w:color="000000" w:sz="4" w:space="0"/>
              <w:right w:val="nil"/>
            </w:tcBorders>
            <w:vAlign w:val="center"/>
          </w:tcPr>
          <w:p w14:paraId="6D5CE077">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140" w:type="dxa"/>
            <w:tcBorders>
              <w:top w:val="nil"/>
              <w:left w:val="single" w:color="auto" w:sz="4" w:space="0"/>
              <w:bottom w:val="single" w:color="auto" w:sz="4" w:space="0"/>
              <w:right w:val="single" w:color="auto" w:sz="4" w:space="0"/>
            </w:tcBorders>
            <w:shd w:val="clear" w:color="auto" w:fill="auto"/>
            <w:vAlign w:val="center"/>
          </w:tcPr>
          <w:p w14:paraId="0EB11B25">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预算执行率指标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（10分）</w:t>
            </w:r>
          </w:p>
        </w:tc>
        <w:tc>
          <w:tcPr>
            <w:tcW w:w="1524" w:type="dxa"/>
            <w:tcBorders>
              <w:top w:val="single" w:color="auto" w:sz="4" w:space="0"/>
              <w:left w:val="nil"/>
              <w:bottom w:val="single" w:color="auto" w:sz="4" w:space="0"/>
              <w:right w:val="single" w:color="auto" w:sz="4" w:space="0"/>
            </w:tcBorders>
            <w:shd w:val="clear" w:color="auto" w:fill="auto"/>
            <w:vAlign w:val="center"/>
          </w:tcPr>
          <w:p w14:paraId="08720266">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预算执行率</w:t>
            </w:r>
          </w:p>
        </w:tc>
        <w:tc>
          <w:tcPr>
            <w:tcW w:w="2946" w:type="dxa"/>
            <w:gridSpan w:val="2"/>
            <w:tcBorders>
              <w:top w:val="single" w:color="auto" w:sz="4" w:space="0"/>
              <w:left w:val="nil"/>
              <w:bottom w:val="single" w:color="auto" w:sz="4" w:space="0"/>
              <w:right w:val="single" w:color="auto" w:sz="4" w:space="0"/>
            </w:tcBorders>
            <w:shd w:val="clear" w:color="auto" w:fill="auto"/>
            <w:vAlign w:val="center"/>
          </w:tcPr>
          <w:p w14:paraId="0344F4EA">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预算执行率</w:t>
            </w:r>
          </w:p>
        </w:tc>
        <w:tc>
          <w:tcPr>
            <w:tcW w:w="887" w:type="dxa"/>
            <w:tcBorders>
              <w:top w:val="nil"/>
              <w:left w:val="nil"/>
              <w:bottom w:val="single" w:color="auto" w:sz="4" w:space="0"/>
              <w:right w:val="single" w:color="auto" w:sz="4" w:space="0"/>
            </w:tcBorders>
            <w:shd w:val="clear" w:color="auto" w:fill="auto"/>
            <w:vAlign w:val="center"/>
          </w:tcPr>
          <w:p w14:paraId="685AADBE">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100%</w:t>
            </w:r>
          </w:p>
        </w:tc>
        <w:tc>
          <w:tcPr>
            <w:tcW w:w="1258" w:type="dxa"/>
            <w:tcBorders>
              <w:top w:val="nil"/>
              <w:left w:val="nil"/>
              <w:bottom w:val="single" w:color="auto" w:sz="4" w:space="0"/>
              <w:right w:val="single" w:color="auto" w:sz="4" w:space="0"/>
            </w:tcBorders>
            <w:shd w:val="clear" w:color="auto" w:fill="auto"/>
            <w:vAlign w:val="center"/>
          </w:tcPr>
          <w:p w14:paraId="1C568780">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100%</w:t>
            </w:r>
          </w:p>
        </w:tc>
        <w:tc>
          <w:tcPr>
            <w:tcW w:w="825" w:type="dxa"/>
            <w:tcBorders>
              <w:top w:val="nil"/>
              <w:left w:val="nil"/>
              <w:bottom w:val="nil"/>
              <w:right w:val="single" w:color="000000" w:sz="4" w:space="0"/>
            </w:tcBorders>
            <w:shd w:val="clear" w:color="auto" w:fill="auto"/>
            <w:vAlign w:val="center"/>
          </w:tcPr>
          <w:p w14:paraId="3F6BC7BE">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10</w:t>
            </w:r>
          </w:p>
        </w:tc>
      </w:tr>
      <w:tr w14:paraId="60644DCE">
        <w:tblPrEx>
          <w:tblCellMar>
            <w:top w:w="0" w:type="dxa"/>
            <w:left w:w="108" w:type="dxa"/>
            <w:bottom w:w="0" w:type="dxa"/>
            <w:right w:w="108" w:type="dxa"/>
          </w:tblCellMar>
        </w:tblPrEx>
        <w:trPr>
          <w:gridAfter w:val="1"/>
          <w:wAfter w:w="2204" w:type="dxa"/>
          <w:trHeight w:val="384" w:hRule="atLeast"/>
        </w:trPr>
        <w:tc>
          <w:tcPr>
            <w:tcW w:w="936" w:type="dxa"/>
            <w:vMerge w:val="continue"/>
            <w:tcBorders>
              <w:top w:val="nil"/>
              <w:left w:val="single" w:color="auto" w:sz="4" w:space="0"/>
              <w:bottom w:val="single" w:color="000000" w:sz="4" w:space="0"/>
              <w:right w:val="nil"/>
            </w:tcBorders>
            <w:vAlign w:val="center"/>
          </w:tcPr>
          <w:p w14:paraId="5401EE59">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140" w:type="dxa"/>
            <w:vMerge w:val="restart"/>
            <w:tcBorders>
              <w:top w:val="nil"/>
              <w:left w:val="single" w:color="auto" w:sz="4" w:space="0"/>
              <w:bottom w:val="single" w:color="000000" w:sz="4" w:space="0"/>
              <w:right w:val="single" w:color="auto" w:sz="4" w:space="0"/>
            </w:tcBorders>
            <w:shd w:val="clear" w:color="auto" w:fill="auto"/>
            <w:vAlign w:val="center"/>
          </w:tcPr>
          <w:p w14:paraId="676F431F">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效益指标（40分）</w:t>
            </w:r>
          </w:p>
        </w:tc>
        <w:tc>
          <w:tcPr>
            <w:tcW w:w="1524" w:type="dxa"/>
            <w:vMerge w:val="restart"/>
            <w:tcBorders>
              <w:top w:val="nil"/>
              <w:left w:val="single" w:color="auto" w:sz="4" w:space="0"/>
              <w:bottom w:val="single" w:color="000000" w:sz="4" w:space="0"/>
              <w:right w:val="single" w:color="auto" w:sz="4" w:space="0"/>
            </w:tcBorders>
            <w:shd w:val="clear" w:color="auto" w:fill="auto"/>
            <w:vAlign w:val="center"/>
          </w:tcPr>
          <w:p w14:paraId="02C5037D">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社会效益指标</w:t>
            </w:r>
          </w:p>
        </w:tc>
        <w:tc>
          <w:tcPr>
            <w:tcW w:w="2946" w:type="dxa"/>
            <w:gridSpan w:val="2"/>
            <w:tcBorders>
              <w:top w:val="single" w:color="auto" w:sz="4" w:space="0"/>
              <w:left w:val="nil"/>
              <w:bottom w:val="single" w:color="auto" w:sz="4" w:space="0"/>
              <w:right w:val="single" w:color="auto" w:sz="4" w:space="0"/>
            </w:tcBorders>
            <w:shd w:val="clear" w:color="auto" w:fill="auto"/>
            <w:vAlign w:val="center"/>
          </w:tcPr>
          <w:p w14:paraId="58C23534">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对业务保障能力的提升情况</w:t>
            </w:r>
          </w:p>
        </w:tc>
        <w:tc>
          <w:tcPr>
            <w:tcW w:w="887" w:type="dxa"/>
            <w:tcBorders>
              <w:top w:val="nil"/>
              <w:left w:val="nil"/>
              <w:bottom w:val="single" w:color="auto" w:sz="4" w:space="0"/>
              <w:right w:val="single" w:color="auto" w:sz="4" w:space="0"/>
            </w:tcBorders>
            <w:shd w:val="clear" w:color="auto" w:fill="auto"/>
            <w:vAlign w:val="center"/>
          </w:tcPr>
          <w:p w14:paraId="40847620">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完成</w:t>
            </w:r>
          </w:p>
        </w:tc>
        <w:tc>
          <w:tcPr>
            <w:tcW w:w="1258" w:type="dxa"/>
            <w:tcBorders>
              <w:top w:val="nil"/>
              <w:left w:val="nil"/>
              <w:bottom w:val="single" w:color="auto" w:sz="4" w:space="0"/>
              <w:right w:val="single" w:color="auto" w:sz="4" w:space="0"/>
            </w:tcBorders>
            <w:shd w:val="clear" w:color="auto" w:fill="auto"/>
            <w:vAlign w:val="center"/>
          </w:tcPr>
          <w:p w14:paraId="2E83E846">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已完成</w:t>
            </w:r>
          </w:p>
        </w:tc>
        <w:tc>
          <w:tcPr>
            <w:tcW w:w="825" w:type="dxa"/>
            <w:tcBorders>
              <w:top w:val="single" w:color="auto" w:sz="4" w:space="0"/>
              <w:left w:val="nil"/>
              <w:bottom w:val="single" w:color="auto" w:sz="4" w:space="0"/>
              <w:right w:val="single" w:color="auto" w:sz="4" w:space="0"/>
            </w:tcBorders>
            <w:shd w:val="clear" w:color="auto" w:fill="auto"/>
            <w:vAlign w:val="center"/>
          </w:tcPr>
          <w:p w14:paraId="7C6FA2F3">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19</w:t>
            </w:r>
          </w:p>
        </w:tc>
      </w:tr>
      <w:tr w14:paraId="494A736D">
        <w:tblPrEx>
          <w:tblCellMar>
            <w:top w:w="0" w:type="dxa"/>
            <w:left w:w="108" w:type="dxa"/>
            <w:bottom w:w="0" w:type="dxa"/>
            <w:right w:w="108" w:type="dxa"/>
          </w:tblCellMar>
        </w:tblPrEx>
        <w:trPr>
          <w:gridAfter w:val="1"/>
          <w:wAfter w:w="2204" w:type="dxa"/>
          <w:trHeight w:val="249" w:hRule="atLeast"/>
        </w:trPr>
        <w:tc>
          <w:tcPr>
            <w:tcW w:w="936" w:type="dxa"/>
            <w:vMerge w:val="continue"/>
            <w:tcBorders>
              <w:top w:val="nil"/>
              <w:left w:val="single" w:color="auto" w:sz="4" w:space="0"/>
              <w:bottom w:val="single" w:color="000000" w:sz="4" w:space="0"/>
              <w:right w:val="nil"/>
            </w:tcBorders>
            <w:vAlign w:val="center"/>
          </w:tcPr>
          <w:p w14:paraId="35A95396">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140" w:type="dxa"/>
            <w:vMerge w:val="continue"/>
            <w:tcBorders>
              <w:top w:val="nil"/>
              <w:left w:val="single" w:color="auto" w:sz="4" w:space="0"/>
              <w:bottom w:val="single" w:color="000000" w:sz="4" w:space="0"/>
              <w:right w:val="single" w:color="auto" w:sz="4" w:space="0"/>
            </w:tcBorders>
            <w:vAlign w:val="center"/>
          </w:tcPr>
          <w:p w14:paraId="58801FD5">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524" w:type="dxa"/>
            <w:vMerge w:val="continue"/>
            <w:tcBorders>
              <w:top w:val="nil"/>
              <w:left w:val="single" w:color="auto" w:sz="4" w:space="0"/>
              <w:bottom w:val="single" w:color="000000" w:sz="4" w:space="0"/>
              <w:right w:val="single" w:color="auto" w:sz="4" w:space="0"/>
            </w:tcBorders>
            <w:vAlign w:val="center"/>
          </w:tcPr>
          <w:p w14:paraId="3DA81CBA">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2946" w:type="dxa"/>
            <w:gridSpan w:val="2"/>
            <w:tcBorders>
              <w:top w:val="single" w:color="auto" w:sz="4" w:space="0"/>
              <w:left w:val="nil"/>
              <w:bottom w:val="single" w:color="auto" w:sz="4" w:space="0"/>
              <w:right w:val="single" w:color="000000" w:sz="4" w:space="0"/>
            </w:tcBorders>
            <w:shd w:val="clear" w:color="auto" w:fill="auto"/>
            <w:vAlign w:val="center"/>
          </w:tcPr>
          <w:p w14:paraId="46A47BF7">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对公共服务水平的提升情况</w:t>
            </w:r>
          </w:p>
        </w:tc>
        <w:tc>
          <w:tcPr>
            <w:tcW w:w="887" w:type="dxa"/>
            <w:tcBorders>
              <w:top w:val="nil"/>
              <w:left w:val="nil"/>
              <w:bottom w:val="single" w:color="auto" w:sz="4" w:space="0"/>
              <w:right w:val="single" w:color="auto" w:sz="4" w:space="0"/>
            </w:tcBorders>
            <w:shd w:val="clear" w:color="auto" w:fill="auto"/>
            <w:vAlign w:val="center"/>
          </w:tcPr>
          <w:p w14:paraId="482FAFD4">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完成</w:t>
            </w:r>
          </w:p>
        </w:tc>
        <w:tc>
          <w:tcPr>
            <w:tcW w:w="1258" w:type="dxa"/>
            <w:tcBorders>
              <w:top w:val="nil"/>
              <w:left w:val="nil"/>
              <w:bottom w:val="single" w:color="auto" w:sz="4" w:space="0"/>
              <w:right w:val="single" w:color="auto" w:sz="4" w:space="0"/>
            </w:tcBorders>
            <w:shd w:val="clear" w:color="auto" w:fill="auto"/>
            <w:vAlign w:val="center"/>
          </w:tcPr>
          <w:p w14:paraId="17E475D4">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已完成</w:t>
            </w:r>
          </w:p>
        </w:tc>
        <w:tc>
          <w:tcPr>
            <w:tcW w:w="825" w:type="dxa"/>
            <w:tcBorders>
              <w:top w:val="nil"/>
              <w:left w:val="nil"/>
              <w:bottom w:val="single" w:color="auto" w:sz="4" w:space="0"/>
              <w:right w:val="single" w:color="auto" w:sz="4" w:space="0"/>
            </w:tcBorders>
            <w:shd w:val="clear" w:color="auto" w:fill="auto"/>
            <w:vAlign w:val="center"/>
          </w:tcPr>
          <w:p w14:paraId="69FCC301">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19</w:t>
            </w:r>
          </w:p>
        </w:tc>
      </w:tr>
      <w:tr w14:paraId="799E2F5F">
        <w:tblPrEx>
          <w:tblCellMar>
            <w:top w:w="0" w:type="dxa"/>
            <w:left w:w="108" w:type="dxa"/>
            <w:bottom w:w="0" w:type="dxa"/>
            <w:right w:w="108" w:type="dxa"/>
          </w:tblCellMar>
        </w:tblPrEx>
        <w:trPr>
          <w:gridAfter w:val="1"/>
          <w:wAfter w:w="2204" w:type="dxa"/>
          <w:trHeight w:val="455" w:hRule="atLeast"/>
        </w:trPr>
        <w:tc>
          <w:tcPr>
            <w:tcW w:w="936" w:type="dxa"/>
            <w:vMerge w:val="continue"/>
            <w:tcBorders>
              <w:top w:val="nil"/>
              <w:left w:val="single" w:color="auto" w:sz="4" w:space="0"/>
              <w:bottom w:val="single" w:color="000000" w:sz="4" w:space="0"/>
              <w:right w:val="nil"/>
            </w:tcBorders>
            <w:vAlign w:val="center"/>
          </w:tcPr>
          <w:p w14:paraId="07677DCC">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1140" w:type="dxa"/>
            <w:tcBorders>
              <w:top w:val="nil"/>
              <w:left w:val="single" w:color="auto" w:sz="4" w:space="0"/>
              <w:bottom w:val="single" w:color="auto" w:sz="4" w:space="0"/>
              <w:right w:val="single" w:color="auto" w:sz="4" w:space="0"/>
            </w:tcBorders>
            <w:shd w:val="clear" w:color="auto" w:fill="auto"/>
            <w:vAlign w:val="center"/>
          </w:tcPr>
          <w:p w14:paraId="7CDB464F">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满意度指标</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（10分）</w:t>
            </w:r>
          </w:p>
        </w:tc>
        <w:tc>
          <w:tcPr>
            <w:tcW w:w="1524" w:type="dxa"/>
            <w:tcBorders>
              <w:top w:val="nil"/>
              <w:left w:val="nil"/>
              <w:bottom w:val="single" w:color="auto" w:sz="4" w:space="0"/>
              <w:right w:val="single" w:color="auto" w:sz="4" w:space="0"/>
            </w:tcBorders>
            <w:shd w:val="clear" w:color="auto" w:fill="auto"/>
            <w:vAlign w:val="center"/>
          </w:tcPr>
          <w:p w14:paraId="45039826">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满意度指标</w:t>
            </w:r>
          </w:p>
        </w:tc>
        <w:tc>
          <w:tcPr>
            <w:tcW w:w="2946" w:type="dxa"/>
            <w:gridSpan w:val="2"/>
            <w:tcBorders>
              <w:top w:val="single" w:color="auto" w:sz="4" w:space="0"/>
              <w:left w:val="nil"/>
              <w:bottom w:val="single" w:color="auto" w:sz="4" w:space="0"/>
              <w:right w:val="single" w:color="auto" w:sz="4" w:space="0"/>
            </w:tcBorders>
            <w:shd w:val="clear" w:color="auto" w:fill="auto"/>
            <w:vAlign w:val="center"/>
          </w:tcPr>
          <w:p w14:paraId="2C150AD6">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受益群体满意度（%）</w:t>
            </w:r>
          </w:p>
        </w:tc>
        <w:tc>
          <w:tcPr>
            <w:tcW w:w="887" w:type="dxa"/>
            <w:tcBorders>
              <w:top w:val="nil"/>
              <w:left w:val="nil"/>
              <w:bottom w:val="single" w:color="auto" w:sz="4" w:space="0"/>
              <w:right w:val="single" w:color="auto" w:sz="4" w:space="0"/>
            </w:tcBorders>
            <w:shd w:val="clear" w:color="auto" w:fill="auto"/>
            <w:vAlign w:val="center"/>
          </w:tcPr>
          <w:p w14:paraId="10D76FD9">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r>
              <w:rPr>
                <w:rFonts w:ascii="Calibri" w:hAnsi="Calibri" w:eastAsia="宋体" w:cs="宋体"/>
                <w:color w:val="000000"/>
                <w:kern w:val="0"/>
                <w:sz w:val="20"/>
                <w:szCs w:val="20"/>
              </w:rPr>
              <w:t>95%</w:t>
            </w:r>
          </w:p>
        </w:tc>
        <w:tc>
          <w:tcPr>
            <w:tcW w:w="1258" w:type="dxa"/>
            <w:tcBorders>
              <w:top w:val="nil"/>
              <w:left w:val="nil"/>
              <w:bottom w:val="single" w:color="auto" w:sz="4" w:space="0"/>
              <w:right w:val="single" w:color="auto" w:sz="4" w:space="0"/>
            </w:tcBorders>
            <w:shd w:val="clear" w:color="auto" w:fill="auto"/>
            <w:vAlign w:val="center"/>
          </w:tcPr>
          <w:p w14:paraId="397456D1">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90%</w:t>
            </w:r>
          </w:p>
        </w:tc>
        <w:tc>
          <w:tcPr>
            <w:tcW w:w="825" w:type="dxa"/>
            <w:tcBorders>
              <w:top w:val="nil"/>
              <w:left w:val="nil"/>
              <w:bottom w:val="single" w:color="000000" w:sz="4" w:space="0"/>
              <w:right w:val="single" w:color="000000" w:sz="4" w:space="0"/>
            </w:tcBorders>
            <w:shd w:val="clear" w:color="auto" w:fill="auto"/>
            <w:vAlign w:val="center"/>
          </w:tcPr>
          <w:p w14:paraId="3E83C288">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8</w:t>
            </w:r>
          </w:p>
        </w:tc>
      </w:tr>
      <w:tr w14:paraId="6FED4711">
        <w:tblPrEx>
          <w:tblCellMar>
            <w:top w:w="0" w:type="dxa"/>
            <w:left w:w="108" w:type="dxa"/>
            <w:bottom w:w="0" w:type="dxa"/>
            <w:right w:w="108" w:type="dxa"/>
          </w:tblCellMar>
        </w:tblPrEx>
        <w:trPr>
          <w:gridAfter w:val="1"/>
          <w:wAfter w:w="2204" w:type="dxa"/>
          <w:trHeight w:val="320" w:hRule="atLeast"/>
        </w:trPr>
        <w:tc>
          <w:tcPr>
            <w:tcW w:w="936" w:type="dxa"/>
            <w:vMerge w:val="continue"/>
            <w:tcBorders>
              <w:top w:val="nil"/>
              <w:left w:val="single" w:color="auto" w:sz="4" w:space="0"/>
              <w:bottom w:val="single" w:color="000000" w:sz="4" w:space="0"/>
              <w:right w:val="nil"/>
            </w:tcBorders>
            <w:vAlign w:val="center"/>
          </w:tcPr>
          <w:p w14:paraId="7CA92E13">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p>
        </w:tc>
        <w:tc>
          <w:tcPr>
            <w:tcW w:w="7755"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6D18A2B1">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总分</w:t>
            </w:r>
          </w:p>
        </w:tc>
        <w:tc>
          <w:tcPr>
            <w:tcW w:w="825" w:type="dxa"/>
            <w:tcBorders>
              <w:top w:val="nil"/>
              <w:left w:val="nil"/>
              <w:bottom w:val="single" w:color="auto" w:sz="4" w:space="0"/>
              <w:right w:val="single" w:color="auto" w:sz="4" w:space="0"/>
            </w:tcBorders>
            <w:shd w:val="clear" w:color="auto" w:fill="auto"/>
            <w:vAlign w:val="center"/>
          </w:tcPr>
          <w:p w14:paraId="10C852BF">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Calibri" w:hAnsi="Calibri" w:eastAsia="宋体" w:cs="宋体"/>
                <w:color w:val="000000"/>
                <w:kern w:val="0"/>
                <w:sz w:val="20"/>
                <w:szCs w:val="20"/>
              </w:rPr>
            </w:pPr>
            <w:r>
              <w:rPr>
                <w:rFonts w:ascii="Calibri" w:hAnsi="Calibri" w:eastAsia="宋体" w:cs="宋体"/>
                <w:color w:val="000000"/>
                <w:kern w:val="0"/>
                <w:sz w:val="20"/>
                <w:szCs w:val="20"/>
              </w:rPr>
              <w:t>96</w:t>
            </w:r>
          </w:p>
        </w:tc>
      </w:tr>
      <w:tr w14:paraId="0A0F0D3A">
        <w:tblPrEx>
          <w:tblCellMar>
            <w:top w:w="0" w:type="dxa"/>
            <w:left w:w="108" w:type="dxa"/>
            <w:bottom w:w="0" w:type="dxa"/>
            <w:right w:w="108" w:type="dxa"/>
          </w:tblCellMar>
        </w:tblPrEx>
        <w:trPr>
          <w:gridAfter w:val="1"/>
          <w:wAfter w:w="2204" w:type="dxa"/>
          <w:trHeight w:val="1620" w:hRule="atLeast"/>
        </w:trPr>
        <w:tc>
          <w:tcPr>
            <w:tcW w:w="936" w:type="dxa"/>
            <w:tcBorders>
              <w:top w:val="nil"/>
              <w:left w:val="single" w:color="000000" w:sz="4" w:space="0"/>
              <w:bottom w:val="single" w:color="000000" w:sz="4" w:space="0"/>
              <w:right w:val="single" w:color="000000" w:sz="4" w:space="0"/>
            </w:tcBorders>
            <w:shd w:val="clear" w:color="auto" w:fill="auto"/>
            <w:vAlign w:val="center"/>
          </w:tcPr>
          <w:p w14:paraId="37E2EFBF">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五、</w:t>
            </w:r>
            <w:r>
              <w:rPr>
                <w:rFonts w:ascii="Calibri" w:hAnsi="Calibri" w:eastAsia="宋体" w:cs="宋体"/>
                <w:color w:val="000000"/>
                <w:kern w:val="0"/>
                <w:sz w:val="20"/>
                <w:szCs w:val="20"/>
              </w:rPr>
              <w:t> </w:t>
            </w:r>
            <w:r>
              <w:rPr>
                <w:rFonts w:hint="eastAsia" w:ascii="宋体" w:hAnsi="宋体" w:eastAsia="宋体" w:cs="宋体"/>
                <w:color w:val="000000"/>
                <w:kern w:val="0"/>
                <w:sz w:val="20"/>
                <w:szCs w:val="20"/>
              </w:rPr>
              <w:t>存在问题、原因及下一步整改措施</w:t>
            </w:r>
          </w:p>
        </w:tc>
        <w:tc>
          <w:tcPr>
            <w:tcW w:w="8580" w:type="dxa"/>
            <w:gridSpan w:val="7"/>
            <w:tcBorders>
              <w:top w:val="single" w:color="auto" w:sz="4" w:space="0"/>
              <w:left w:val="nil"/>
              <w:bottom w:val="single" w:color="000000" w:sz="4" w:space="0"/>
              <w:right w:val="single" w:color="000000" w:sz="4" w:space="0"/>
            </w:tcBorders>
            <w:shd w:val="clear" w:color="auto" w:fill="auto"/>
            <w:vAlign w:val="center"/>
          </w:tcPr>
          <w:p w14:paraId="222E619A">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20"/>
                <w:szCs w:val="20"/>
              </w:rPr>
            </w:pPr>
            <w:r>
              <w:rPr>
                <w:rFonts w:hint="eastAsia" w:ascii="宋体" w:hAnsi="宋体" w:eastAsia="宋体" w:cs="宋体"/>
                <w:color w:val="000000"/>
                <w:kern w:val="0"/>
                <w:sz w:val="20"/>
                <w:szCs w:val="20"/>
              </w:rPr>
              <w:t>在宣传方面，宣传力度不够。部分办事群众不熟悉“云窗办证照”系统和操作方法，导致一部分办事群众认为不方便，降低了“云窗”系统的使用率。改进措施：</w:t>
            </w:r>
            <w:r>
              <w:rPr>
                <w:rFonts w:hint="eastAsia" w:ascii="宋体" w:hAnsi="宋体" w:eastAsia="宋体" w:cs="宋体"/>
                <w:color w:val="000000"/>
                <w:kern w:val="0"/>
                <w:sz w:val="20"/>
                <w:szCs w:val="20"/>
                <w:lang w:val="en-US" w:eastAsia="zh-CN"/>
              </w:rPr>
              <w:t>1.</w:t>
            </w:r>
            <w:r>
              <w:rPr>
                <w:rFonts w:hint="eastAsia" w:ascii="宋体" w:hAnsi="宋体" w:eastAsia="宋体" w:cs="宋体"/>
                <w:color w:val="000000"/>
                <w:kern w:val="0"/>
                <w:sz w:val="20"/>
                <w:szCs w:val="20"/>
              </w:rPr>
              <w:t>加大宣传力度，印制发放明白纸，深入市场主体内部，张贴操作方法海报；</w:t>
            </w:r>
            <w:r>
              <w:rPr>
                <w:rFonts w:hint="eastAsia" w:ascii="宋体" w:hAnsi="宋体" w:eastAsia="宋体" w:cs="宋体"/>
                <w:color w:val="000000"/>
                <w:kern w:val="0"/>
                <w:sz w:val="20"/>
                <w:szCs w:val="20"/>
                <w:lang w:val="en-US" w:eastAsia="zh-CN"/>
              </w:rPr>
              <w:t>2.</w:t>
            </w:r>
            <w:r>
              <w:rPr>
                <w:rFonts w:hint="eastAsia" w:ascii="宋体" w:hAnsi="宋体" w:eastAsia="宋体" w:cs="宋体"/>
                <w:color w:val="000000"/>
                <w:kern w:val="0"/>
                <w:sz w:val="20"/>
                <w:szCs w:val="20"/>
              </w:rPr>
              <w:t>开展帮办代办引导服务，引导办事群众利用“云窗”办证系统办理业务，增加使用率。</w:t>
            </w:r>
          </w:p>
        </w:tc>
      </w:tr>
      <w:tr w14:paraId="3E1988B6">
        <w:tblPrEx>
          <w:tblCellMar>
            <w:top w:w="0" w:type="dxa"/>
            <w:left w:w="108" w:type="dxa"/>
            <w:bottom w:w="0" w:type="dxa"/>
            <w:right w:w="108" w:type="dxa"/>
          </w:tblCellMar>
        </w:tblPrEx>
        <w:trPr>
          <w:gridAfter w:val="1"/>
          <w:wAfter w:w="2204" w:type="dxa"/>
          <w:trHeight w:val="215" w:hRule="atLeast"/>
        </w:trPr>
        <w:tc>
          <w:tcPr>
            <w:tcW w:w="936" w:type="dxa"/>
            <w:tcBorders>
              <w:top w:val="nil"/>
              <w:left w:val="nil"/>
              <w:bottom w:val="nil"/>
              <w:right w:val="nil"/>
            </w:tcBorders>
            <w:shd w:val="clear" w:color="auto" w:fill="auto"/>
            <w:noWrap/>
            <w:vAlign w:val="center"/>
          </w:tcPr>
          <w:p w14:paraId="72A6AFE9">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18"/>
                <w:szCs w:val="18"/>
              </w:rPr>
            </w:pPr>
            <w:r>
              <w:rPr>
                <w:rFonts w:hint="eastAsia" w:ascii="宋体" w:hAnsi="宋体" w:eastAsia="宋体" w:cs="宋体"/>
                <w:color w:val="000000"/>
                <w:kern w:val="0"/>
                <w:sz w:val="18"/>
                <w:szCs w:val="18"/>
              </w:rPr>
              <w:t>填</w:t>
            </w:r>
            <w:r>
              <w:rPr>
                <w:rFonts w:hint="eastAsia" w:ascii="宋体" w:hAnsi="宋体" w:eastAsia="宋体" w:cs="宋体"/>
                <w:color w:val="000000"/>
                <w:kern w:val="0"/>
                <w:sz w:val="18"/>
                <w:szCs w:val="18"/>
                <w:lang w:eastAsia="zh-CN"/>
              </w:rPr>
              <w:t>报人</w:t>
            </w:r>
            <w:r>
              <w:rPr>
                <w:rFonts w:hint="eastAsia" w:ascii="宋体" w:hAnsi="宋体" w:eastAsia="宋体" w:cs="宋体"/>
                <w:color w:val="000000"/>
                <w:kern w:val="0"/>
                <w:sz w:val="18"/>
                <w:szCs w:val="18"/>
                <w:lang w:val="en-US" w:eastAsia="zh-CN"/>
              </w:rPr>
              <w:t xml:space="preserve"> </w:t>
            </w:r>
            <w:r>
              <w:rPr>
                <w:rFonts w:hint="eastAsia" w:ascii="宋体" w:hAnsi="宋体" w:eastAsia="宋体" w:cs="宋体"/>
                <w:color w:val="000000"/>
                <w:kern w:val="0"/>
                <w:sz w:val="18"/>
                <w:szCs w:val="18"/>
              </w:rPr>
              <w:t>：</w:t>
            </w:r>
          </w:p>
        </w:tc>
        <w:tc>
          <w:tcPr>
            <w:tcW w:w="1140" w:type="dxa"/>
            <w:tcBorders>
              <w:top w:val="nil"/>
              <w:left w:val="nil"/>
              <w:bottom w:val="nil"/>
              <w:right w:val="nil"/>
            </w:tcBorders>
            <w:shd w:val="clear" w:color="auto" w:fill="auto"/>
            <w:noWrap/>
            <w:vAlign w:val="center"/>
          </w:tcPr>
          <w:p w14:paraId="6CE3872B">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18"/>
                <w:szCs w:val="18"/>
              </w:rPr>
            </w:pPr>
            <w:r>
              <w:rPr>
                <w:rFonts w:hint="eastAsia" w:ascii="宋体" w:hAnsi="宋体" w:eastAsia="宋体" w:cs="宋体"/>
                <w:color w:val="000000"/>
                <w:kern w:val="0"/>
                <w:sz w:val="18"/>
                <w:szCs w:val="18"/>
                <w:lang w:val="en-US" w:eastAsia="zh-CN"/>
              </w:rPr>
              <w:t xml:space="preserve">    </w:t>
            </w:r>
            <w:r>
              <w:rPr>
                <w:rFonts w:hint="eastAsia" w:ascii="宋体" w:hAnsi="宋体" w:eastAsia="宋体" w:cs="宋体"/>
                <w:color w:val="000000"/>
                <w:kern w:val="0"/>
                <w:sz w:val="18"/>
                <w:szCs w:val="18"/>
              </w:rPr>
              <w:t>任丽霞</w:t>
            </w:r>
          </w:p>
        </w:tc>
        <w:tc>
          <w:tcPr>
            <w:tcW w:w="1524" w:type="dxa"/>
            <w:tcBorders>
              <w:top w:val="nil"/>
              <w:left w:val="nil"/>
              <w:bottom w:val="nil"/>
              <w:right w:val="nil"/>
            </w:tcBorders>
            <w:shd w:val="clear" w:color="auto" w:fill="auto"/>
            <w:noWrap/>
            <w:vAlign w:val="center"/>
          </w:tcPr>
          <w:p w14:paraId="72242729">
            <w:pPr>
              <w:keepNext w:val="0"/>
              <w:keepLines w:val="0"/>
              <w:pageBreakBefore w:val="0"/>
              <w:widowControl/>
              <w:kinsoku/>
              <w:wordWrap/>
              <w:overflowPunct/>
              <w:topLinePunct w:val="0"/>
              <w:autoSpaceDE/>
              <w:autoSpaceDN/>
              <w:bidi w:val="0"/>
              <w:adjustRightInd/>
              <w:snapToGrid/>
              <w:spacing w:line="280" w:lineRule="exact"/>
              <w:jc w:val="both"/>
              <w:textAlignment w:val="auto"/>
              <w:rPr>
                <w:rFonts w:ascii="宋体" w:hAnsi="宋体" w:eastAsia="宋体" w:cs="宋体"/>
                <w:color w:val="000000"/>
                <w:kern w:val="0"/>
                <w:sz w:val="18"/>
                <w:szCs w:val="18"/>
              </w:rPr>
            </w:pPr>
          </w:p>
        </w:tc>
        <w:tc>
          <w:tcPr>
            <w:tcW w:w="1281" w:type="dxa"/>
            <w:tcBorders>
              <w:top w:val="nil"/>
              <w:left w:val="nil"/>
              <w:bottom w:val="nil"/>
              <w:right w:val="nil"/>
            </w:tcBorders>
            <w:shd w:val="clear" w:color="auto" w:fill="auto"/>
            <w:noWrap/>
            <w:vAlign w:val="center"/>
          </w:tcPr>
          <w:p w14:paraId="252E696E">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18"/>
                <w:szCs w:val="18"/>
              </w:rPr>
            </w:pPr>
          </w:p>
        </w:tc>
        <w:tc>
          <w:tcPr>
            <w:tcW w:w="1665" w:type="dxa"/>
            <w:tcBorders>
              <w:top w:val="nil"/>
              <w:left w:val="nil"/>
              <w:bottom w:val="nil"/>
              <w:right w:val="nil"/>
            </w:tcBorders>
            <w:shd w:val="clear" w:color="auto" w:fill="auto"/>
            <w:noWrap/>
            <w:vAlign w:val="center"/>
          </w:tcPr>
          <w:p w14:paraId="48623F47">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18"/>
                <w:szCs w:val="18"/>
              </w:rPr>
            </w:pPr>
          </w:p>
        </w:tc>
        <w:tc>
          <w:tcPr>
            <w:tcW w:w="887" w:type="dxa"/>
            <w:tcBorders>
              <w:top w:val="nil"/>
              <w:left w:val="nil"/>
              <w:bottom w:val="nil"/>
              <w:right w:val="nil"/>
            </w:tcBorders>
            <w:shd w:val="clear" w:color="auto" w:fill="auto"/>
            <w:noWrap/>
            <w:vAlign w:val="center"/>
          </w:tcPr>
          <w:p w14:paraId="0A86C0E9">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18"/>
                <w:szCs w:val="18"/>
              </w:rPr>
            </w:pPr>
          </w:p>
        </w:tc>
        <w:tc>
          <w:tcPr>
            <w:tcW w:w="1258" w:type="dxa"/>
            <w:tcBorders>
              <w:top w:val="nil"/>
              <w:left w:val="nil"/>
              <w:bottom w:val="nil"/>
              <w:right w:val="nil"/>
            </w:tcBorders>
            <w:shd w:val="clear" w:color="auto" w:fill="auto"/>
            <w:noWrap/>
            <w:vAlign w:val="center"/>
          </w:tcPr>
          <w:p w14:paraId="1F3D09D8">
            <w:pPr>
              <w:keepNext w:val="0"/>
              <w:keepLines w:val="0"/>
              <w:pageBreakBefore w:val="0"/>
              <w:widowControl/>
              <w:kinsoku/>
              <w:wordWrap/>
              <w:overflowPunct/>
              <w:topLinePunct w:val="0"/>
              <w:autoSpaceDE/>
              <w:autoSpaceDN/>
              <w:bidi w:val="0"/>
              <w:adjustRightInd/>
              <w:snapToGrid/>
              <w:spacing w:line="280" w:lineRule="exact"/>
              <w:jc w:val="left"/>
              <w:textAlignment w:val="auto"/>
              <w:rPr>
                <w:rFonts w:ascii="宋体" w:hAnsi="宋体" w:eastAsia="宋体" w:cs="宋体"/>
                <w:color w:val="000000"/>
                <w:kern w:val="0"/>
                <w:sz w:val="18"/>
                <w:szCs w:val="18"/>
              </w:rPr>
            </w:pPr>
            <w:r>
              <w:rPr>
                <w:rFonts w:hint="eastAsia" w:ascii="宋体" w:hAnsi="宋体" w:eastAsia="宋体" w:cs="宋体"/>
                <w:color w:val="000000"/>
                <w:kern w:val="0"/>
                <w:sz w:val="18"/>
                <w:szCs w:val="18"/>
              </w:rPr>
              <w:t>联系电话：</w:t>
            </w:r>
          </w:p>
        </w:tc>
        <w:tc>
          <w:tcPr>
            <w:tcW w:w="825" w:type="dxa"/>
            <w:tcBorders>
              <w:top w:val="nil"/>
              <w:left w:val="nil"/>
              <w:bottom w:val="nil"/>
              <w:right w:val="nil"/>
            </w:tcBorders>
            <w:shd w:val="clear" w:color="auto" w:fill="auto"/>
            <w:noWrap/>
            <w:vAlign w:val="center"/>
          </w:tcPr>
          <w:p w14:paraId="1B99A6EE">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ascii="宋体" w:hAnsi="宋体" w:eastAsia="宋体" w:cs="宋体"/>
                <w:color w:val="000000"/>
                <w:kern w:val="0"/>
                <w:sz w:val="18"/>
                <w:szCs w:val="18"/>
              </w:rPr>
            </w:pPr>
            <w:r>
              <w:rPr>
                <w:rFonts w:hint="eastAsia" w:ascii="宋体" w:hAnsi="宋体" w:eastAsia="宋体" w:cs="宋体"/>
                <w:color w:val="000000"/>
                <w:kern w:val="0"/>
                <w:sz w:val="18"/>
                <w:szCs w:val="18"/>
              </w:rPr>
              <w:t>84038167</w:t>
            </w:r>
          </w:p>
        </w:tc>
      </w:tr>
    </w:tbl>
    <w:p w14:paraId="10043201">
      <w:pPr>
        <w:keepLines/>
        <w:snapToGrid w:val="0"/>
        <w:spacing w:before="0" w:beforeAutospacing="0" w:after="0" w:afterAutospacing="0" w:line="580" w:lineRule="exact"/>
        <w:ind w:firstLine="643" w:firstLineChars="200"/>
        <w:jc w:val="both"/>
        <w:textAlignment w:val="baseline"/>
        <w:rPr>
          <w:rFonts w:hint="eastAsia" w:ascii="仿宋_GB2312" w:hAnsi="仿宋_GB2312" w:eastAsia="仿宋_GB2312" w:cs="仿宋_GB2312"/>
          <w:b/>
          <w:bCs/>
          <w:i w:val="0"/>
          <w:caps w:val="0"/>
          <w:color w:val="000000"/>
          <w:spacing w:val="0"/>
          <w:w w:val="100"/>
          <w:sz w:val="32"/>
          <w:szCs w:val="32"/>
          <w:lang w:eastAsia="zh-CN"/>
        </w:rPr>
      </w:pPr>
      <w:r>
        <w:rPr>
          <w:rFonts w:hint="eastAsia" w:ascii="仿宋_GB2312" w:hAnsi="仿宋_GB2312" w:eastAsia="仿宋_GB2312" w:cs="仿宋_GB2312"/>
          <w:b/>
          <w:bCs/>
          <w:i w:val="0"/>
          <w:caps w:val="0"/>
          <w:color w:val="000000"/>
          <w:spacing w:val="0"/>
          <w:w w:val="100"/>
          <w:sz w:val="32"/>
          <w:szCs w:val="32"/>
          <w:lang w:val="en-US" w:eastAsia="zh-CN"/>
        </w:rPr>
        <w:t>3</w:t>
      </w:r>
      <w:r>
        <w:rPr>
          <w:rFonts w:hint="eastAsia" w:ascii="仿宋_GB2312" w:hAnsi="仿宋_GB2312" w:eastAsia="仿宋_GB2312" w:cs="仿宋_GB2312"/>
          <w:b/>
          <w:bCs/>
          <w:i w:val="0"/>
          <w:caps w:val="0"/>
          <w:color w:val="000000"/>
          <w:spacing w:val="0"/>
          <w:w w:val="100"/>
          <w:sz w:val="32"/>
          <w:szCs w:val="32"/>
        </w:rPr>
        <w:t>. 财政评价项目绩效评价结果</w:t>
      </w:r>
      <w:r>
        <w:rPr>
          <w:rFonts w:hint="eastAsia" w:ascii="仿宋_GB2312" w:hAnsi="仿宋_GB2312" w:eastAsia="仿宋_GB2312" w:cs="仿宋_GB2312"/>
          <w:b/>
          <w:bCs/>
          <w:i w:val="0"/>
          <w:caps w:val="0"/>
          <w:color w:val="000000"/>
          <w:spacing w:val="0"/>
          <w:w w:val="100"/>
          <w:sz w:val="32"/>
          <w:szCs w:val="32"/>
          <w:lang w:eastAsia="zh-CN"/>
        </w:rPr>
        <w:t>。</w:t>
      </w:r>
    </w:p>
    <w:p w14:paraId="3B4E99DF">
      <w:pPr>
        <w:snapToGrid w:val="0"/>
        <w:spacing w:before="0" w:beforeAutospacing="0" w:after="0" w:afterAutospacing="0" w:line="600" w:lineRule="exact"/>
        <w:ind w:firstLine="960" w:firstLineChars="3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本部门本年无财政评价项目。</w:t>
      </w:r>
    </w:p>
    <w:p w14:paraId="0120A766">
      <w:pPr>
        <w:snapToGrid w:val="0"/>
        <w:spacing w:before="0" w:beforeAutospacing="0" w:after="0" w:afterAutospacing="0" w:line="600" w:lineRule="exact"/>
        <w:ind w:firstLine="960" w:firstLineChars="300"/>
        <w:jc w:val="both"/>
        <w:textAlignment w:val="baseline"/>
        <w:rPr>
          <w:rFonts w:ascii="仿宋_GB2312" w:hAnsi="仿宋_GB2312" w:eastAsia="仿宋_GB2312" w:cs="仿宋_GB2312"/>
          <w:b/>
          <w:bCs/>
          <w:i w:val="0"/>
          <w:caps w:val="0"/>
          <w:spacing w:val="0"/>
          <w:w w:val="100"/>
          <w:sz w:val="32"/>
          <w:szCs w:val="32"/>
        </w:rPr>
      </w:pPr>
      <w:r>
        <w:rPr>
          <w:rFonts w:hint="eastAsia" w:ascii="仿宋_GB2312" w:hAnsi="仿宋_GB2312" w:eastAsia="仿宋_GB2312" w:cs="仿宋_GB2312"/>
          <w:sz w:val="32"/>
          <w:szCs w:val="32"/>
        </w:rPr>
        <w:t>没有财政评价项目绩效评价结果。</w:t>
      </w:r>
      <w:r>
        <w:rPr>
          <w:rFonts w:hint="eastAsia" w:ascii="仿宋_GB2312" w:hAnsi="仿宋_GB2312" w:eastAsia="仿宋_GB2312" w:cs="仿宋_GB2312"/>
          <w:b w:val="0"/>
          <w:i w:val="0"/>
          <w:caps w:val="0"/>
          <w:spacing w:val="0"/>
          <w:w w:val="100"/>
          <w:sz w:val="32"/>
          <w:szCs w:val="32"/>
          <w:lang w:val="en-US" w:eastAsia="zh-CN"/>
        </w:rPr>
        <w:t xml:space="preserve">                                                                 </w:t>
      </w:r>
    </w:p>
    <w:p w14:paraId="2603D641">
      <w:pPr>
        <w:keepLines/>
        <w:snapToGrid w:val="0"/>
        <w:spacing w:before="0" w:beforeAutospacing="0" w:after="0" w:afterAutospacing="0" w:line="600" w:lineRule="exact"/>
        <w:ind w:left="0" w:leftChars="0" w:firstLine="640" w:firstLineChars="200"/>
        <w:jc w:val="both"/>
        <w:textAlignment w:val="baseline"/>
        <w:rPr>
          <w:rFonts w:ascii="黑体" w:hAnsi="Calibri" w:eastAsia="黑体" w:cs="Times New Roman"/>
          <w:b w:val="0"/>
          <w:i w:val="0"/>
          <w:caps w:val="0"/>
          <w:spacing w:val="0"/>
          <w:w w:val="100"/>
          <w:sz w:val="32"/>
          <w:szCs w:val="32"/>
        </w:rPr>
      </w:pPr>
      <w:r>
        <w:rPr>
          <w:rFonts w:hint="eastAsia" w:ascii="黑体" w:hAnsi="Calibri" w:eastAsia="黑体" w:cs="Times New Roman"/>
          <w:b w:val="0"/>
          <w:i w:val="0"/>
          <w:caps w:val="0"/>
          <w:spacing w:val="0"/>
          <w:w w:val="100"/>
          <w:sz w:val="32"/>
          <w:szCs w:val="32"/>
        </w:rPr>
        <w:t>七、其他重要事项的说明</w:t>
      </w:r>
    </w:p>
    <w:p w14:paraId="4D36AEEE">
      <w:pPr>
        <w:keepLines/>
        <w:snapToGrid w:val="0"/>
        <w:spacing w:before="0" w:beforeAutospacing="0" w:after="0" w:afterAutospacing="0" w:line="600" w:lineRule="exact"/>
        <w:ind w:left="0" w:leftChars="0" w:firstLine="643" w:firstLineChars="200"/>
        <w:jc w:val="both"/>
        <w:textAlignment w:val="baseline"/>
        <w:rPr>
          <w:rFonts w:ascii="楷体_GB2312" w:hAnsi="Times New Roman" w:eastAsia="楷体_GB2312" w:cs="DengXian-Bold"/>
          <w:b/>
          <w:bCs/>
          <w:i w:val="0"/>
          <w:caps w:val="0"/>
          <w:spacing w:val="0"/>
          <w:w w:val="100"/>
          <w:sz w:val="32"/>
          <w:szCs w:val="32"/>
        </w:rPr>
      </w:pPr>
      <w:r>
        <w:rPr>
          <w:rFonts w:hint="eastAsia" w:ascii="楷体_GB2312" w:hAnsi="Times New Roman" w:eastAsia="楷体_GB2312" w:cs="DengXian-Bold"/>
          <w:b/>
          <w:bCs/>
          <w:i w:val="0"/>
          <w:caps w:val="0"/>
          <w:spacing w:val="0"/>
          <w:w w:val="100"/>
          <w:sz w:val="32"/>
          <w:szCs w:val="32"/>
        </w:rPr>
        <w:t>（一）机关运行经费情况</w:t>
      </w:r>
    </w:p>
    <w:p w14:paraId="0B5246D9">
      <w:pPr>
        <w:snapToGrid w:val="0"/>
        <w:spacing w:before="0" w:beforeAutospacing="0" w:after="0" w:afterAutospacing="0" w:line="600" w:lineRule="exact"/>
        <w:ind w:left="0" w:leftChars="0" w:firstLine="640" w:firstLineChars="200"/>
        <w:jc w:val="both"/>
        <w:textAlignment w:val="baseline"/>
        <w:rPr>
          <w:rFonts w:ascii="仿宋_GB2312" w:hAnsi="Times New Roman" w:eastAsia="仿宋_GB2312" w:cs="DengXian-Regular"/>
          <w:b w:val="0"/>
          <w:i w:val="0"/>
          <w:caps w:val="0"/>
          <w:spacing w:val="0"/>
          <w:w w:val="100"/>
          <w:sz w:val="32"/>
          <w:szCs w:val="32"/>
        </w:rPr>
      </w:pPr>
      <w:r>
        <w:rPr>
          <w:rFonts w:hint="eastAsia" w:ascii="仿宋_GB2312" w:hAnsi="Times New Roman" w:eastAsia="仿宋_GB2312" w:cs="DengXian-Regular"/>
          <w:b w:val="0"/>
          <w:i w:val="0"/>
          <w:caps w:val="0"/>
          <w:spacing w:val="0"/>
          <w:w w:val="100"/>
          <w:sz w:val="32"/>
          <w:szCs w:val="32"/>
        </w:rPr>
        <w:t>本部门2019年度机关运行经费支出</w:t>
      </w:r>
      <w:r>
        <w:rPr>
          <w:rFonts w:hint="eastAsia" w:ascii="仿宋_GB2312" w:hAnsi="Times New Roman" w:eastAsia="仿宋_GB2312" w:cs="DengXian-Regular"/>
          <w:b w:val="0"/>
          <w:i w:val="0"/>
          <w:caps w:val="0"/>
          <w:spacing w:val="0"/>
          <w:w w:val="100"/>
          <w:sz w:val="32"/>
          <w:szCs w:val="32"/>
          <w:lang w:val="en-US" w:eastAsia="zh-CN"/>
        </w:rPr>
        <w:t>14.23</w:t>
      </w:r>
      <w:r>
        <w:rPr>
          <w:rFonts w:hint="eastAsia" w:ascii="仿宋_GB2312" w:hAnsi="Times New Roman" w:eastAsia="仿宋_GB2312" w:cs="DengXian-Regular"/>
          <w:b w:val="0"/>
          <w:i w:val="0"/>
          <w:caps w:val="0"/>
          <w:spacing w:val="0"/>
          <w:w w:val="100"/>
          <w:sz w:val="32"/>
          <w:szCs w:val="32"/>
        </w:rPr>
        <w:t>万元，比2018年度增加</w:t>
      </w:r>
      <w:r>
        <w:rPr>
          <w:rFonts w:hint="eastAsia" w:ascii="仿宋_GB2312" w:hAnsi="Times New Roman" w:eastAsia="仿宋_GB2312" w:cs="DengXian-Regular"/>
          <w:b w:val="0"/>
          <w:i w:val="0"/>
          <w:caps w:val="0"/>
          <w:spacing w:val="0"/>
          <w:w w:val="100"/>
          <w:sz w:val="32"/>
          <w:szCs w:val="32"/>
          <w:lang w:val="en-US" w:eastAsia="zh-CN"/>
        </w:rPr>
        <w:t>7.13</w:t>
      </w:r>
      <w:r>
        <w:rPr>
          <w:rFonts w:hint="eastAsia" w:ascii="仿宋_GB2312" w:hAnsi="Times New Roman" w:eastAsia="仿宋_GB2312" w:cs="DengXian-Regular"/>
          <w:b w:val="0"/>
          <w:i w:val="0"/>
          <w:caps w:val="0"/>
          <w:spacing w:val="0"/>
          <w:w w:val="100"/>
          <w:sz w:val="32"/>
          <w:szCs w:val="32"/>
        </w:rPr>
        <w:t>万元，增长</w:t>
      </w:r>
      <w:r>
        <w:rPr>
          <w:rFonts w:hint="eastAsia" w:ascii="仿宋_GB2312" w:hAnsi="Times New Roman" w:eastAsia="仿宋_GB2312" w:cs="DengXian-Regular"/>
          <w:b w:val="0"/>
          <w:i w:val="0"/>
          <w:caps w:val="0"/>
          <w:spacing w:val="0"/>
          <w:w w:val="100"/>
          <w:sz w:val="32"/>
          <w:szCs w:val="32"/>
          <w:lang w:val="en-US" w:eastAsia="zh-CN"/>
        </w:rPr>
        <w:t>100.42</w:t>
      </w:r>
      <w:r>
        <w:rPr>
          <w:rFonts w:hint="eastAsia" w:ascii="仿宋_GB2312" w:hAnsi="Times New Roman" w:eastAsia="仿宋_GB2312" w:cs="DengXian-Regular"/>
          <w:b w:val="0"/>
          <w:i w:val="0"/>
          <w:caps w:val="0"/>
          <w:spacing w:val="0"/>
          <w:w w:val="100"/>
          <w:sz w:val="32"/>
          <w:szCs w:val="32"/>
        </w:rPr>
        <w:t>%。主要原因是</w:t>
      </w:r>
      <w:r>
        <w:rPr>
          <w:rFonts w:hint="eastAsia" w:ascii="仿宋_GB2312" w:hAnsi="Times New Roman" w:eastAsia="仿宋_GB2312" w:cs="DengXian-Regular"/>
          <w:b w:val="0"/>
          <w:i w:val="0"/>
          <w:caps w:val="0"/>
          <w:spacing w:val="0"/>
          <w:w w:val="100"/>
          <w:sz w:val="32"/>
          <w:szCs w:val="32"/>
          <w:lang w:eastAsia="zh-CN"/>
        </w:rPr>
        <w:t>单位</w:t>
      </w:r>
      <w:r>
        <w:rPr>
          <w:rFonts w:hint="eastAsia" w:ascii="仿宋_GB2312" w:hAnsi="Times New Roman" w:eastAsia="仿宋_GB2312" w:cs="DengXian-Regular"/>
          <w:b w:val="0"/>
          <w:i w:val="0"/>
          <w:caps w:val="0"/>
          <w:spacing w:val="0"/>
          <w:w w:val="100"/>
          <w:sz w:val="32"/>
          <w:szCs w:val="32"/>
          <w:lang w:val="en-US" w:eastAsia="zh-CN"/>
        </w:rPr>
        <w:t>2019年职能增加，人员增加，2019年购置公务用车1辆</w:t>
      </w:r>
      <w:r>
        <w:rPr>
          <w:rFonts w:hint="eastAsia" w:ascii="仿宋_GB2312" w:hAnsi="Times New Roman" w:eastAsia="仿宋_GB2312" w:cs="DengXian-Regular"/>
          <w:b w:val="0"/>
          <w:i w:val="0"/>
          <w:caps w:val="0"/>
          <w:spacing w:val="0"/>
          <w:w w:val="100"/>
          <w:sz w:val="32"/>
          <w:szCs w:val="32"/>
        </w:rPr>
        <w:t>。</w:t>
      </w:r>
    </w:p>
    <w:p w14:paraId="0F4358A4">
      <w:pPr>
        <w:keepLines/>
        <w:snapToGrid w:val="0"/>
        <w:spacing w:before="0" w:beforeAutospacing="0" w:after="0" w:afterAutospacing="0" w:line="600" w:lineRule="exact"/>
        <w:ind w:left="0" w:leftChars="0" w:firstLine="643" w:firstLineChars="200"/>
        <w:jc w:val="both"/>
        <w:textAlignment w:val="baseline"/>
        <w:rPr>
          <w:rFonts w:ascii="楷体_GB2312" w:hAnsi="Times New Roman" w:eastAsia="楷体_GB2312" w:cs="DengXian-Bold"/>
          <w:b/>
          <w:bCs/>
          <w:i w:val="0"/>
          <w:caps w:val="0"/>
          <w:spacing w:val="0"/>
          <w:w w:val="100"/>
          <w:sz w:val="32"/>
          <w:szCs w:val="32"/>
        </w:rPr>
      </w:pPr>
      <w:r>
        <w:rPr>
          <w:rFonts w:hint="eastAsia" w:ascii="楷体_GB2312" w:hAnsi="Times New Roman" w:eastAsia="楷体_GB2312" w:cs="DengXian-Bold"/>
          <w:b/>
          <w:bCs/>
          <w:i w:val="0"/>
          <w:caps w:val="0"/>
          <w:spacing w:val="0"/>
          <w:w w:val="100"/>
          <w:sz w:val="32"/>
          <w:szCs w:val="32"/>
        </w:rPr>
        <w:t>（二）政府采购情况</w:t>
      </w:r>
    </w:p>
    <w:p w14:paraId="6955801C">
      <w:pPr>
        <w:snapToGrid w:val="0"/>
        <w:spacing w:before="0" w:beforeAutospacing="0" w:after="0" w:afterAutospacing="0" w:line="600" w:lineRule="exact"/>
        <w:ind w:left="0" w:leftChars="0" w:firstLine="640" w:firstLineChars="200"/>
        <w:jc w:val="left"/>
        <w:textAlignment w:val="baseline"/>
        <w:rPr>
          <w:rFonts w:hint="eastAsia" w:ascii="仿宋_GB2312" w:hAnsi="Times New Roman" w:eastAsia="仿宋_GB2312" w:cs="DengXian-Regular"/>
          <w:b w:val="0"/>
          <w:i w:val="0"/>
          <w:caps w:val="0"/>
          <w:spacing w:val="0"/>
          <w:w w:val="100"/>
          <w:sz w:val="32"/>
          <w:szCs w:val="32"/>
          <w:lang w:eastAsia="zh-CN"/>
        </w:rPr>
      </w:pPr>
      <w:r>
        <w:rPr>
          <w:rFonts w:hint="eastAsia" w:ascii="仿宋_GB2312" w:hAnsi="Times New Roman" w:eastAsia="仿宋_GB2312" w:cs="DengXian-Regular"/>
          <w:b w:val="0"/>
          <w:i w:val="0"/>
          <w:caps w:val="0"/>
          <w:spacing w:val="0"/>
          <w:w w:val="100"/>
          <w:sz w:val="32"/>
          <w:szCs w:val="32"/>
        </w:rPr>
        <w:t>本部门2019年度政府采购支出总额</w:t>
      </w:r>
      <w:r>
        <w:rPr>
          <w:rFonts w:hint="eastAsia" w:ascii="仿宋_GB2312" w:hAnsi="Times New Roman" w:eastAsia="仿宋_GB2312" w:cs="DengXian-Regular"/>
          <w:b w:val="0"/>
          <w:i w:val="0"/>
          <w:caps w:val="0"/>
          <w:spacing w:val="0"/>
          <w:w w:val="100"/>
          <w:sz w:val="32"/>
          <w:szCs w:val="32"/>
          <w:lang w:val="en-US" w:eastAsia="zh-CN"/>
        </w:rPr>
        <w:t>30万</w:t>
      </w:r>
      <w:r>
        <w:rPr>
          <w:rFonts w:hint="eastAsia" w:ascii="仿宋_GB2312" w:hAnsi="Times New Roman" w:eastAsia="仿宋_GB2312" w:cs="DengXian-Regular"/>
          <w:b w:val="0"/>
          <w:i w:val="0"/>
          <w:caps w:val="0"/>
          <w:spacing w:val="0"/>
          <w:w w:val="100"/>
          <w:sz w:val="32"/>
          <w:szCs w:val="32"/>
        </w:rPr>
        <w:t>元，从采购类型来看，</w:t>
      </w:r>
      <w:r>
        <w:rPr>
          <w:rFonts w:ascii="仿宋_GB2312" w:hAnsi="仿宋_GB2312" w:eastAsia="仿宋_GB2312" w:cs="仿宋_GB2312"/>
          <w:b w:val="0"/>
          <w:i w:val="0"/>
          <w:caps w:val="0"/>
          <w:color w:val="000000"/>
          <w:spacing w:val="0"/>
          <w:w w:val="100"/>
          <w:kern w:val="0"/>
          <w:sz w:val="32"/>
          <w:szCs w:val="32"/>
          <w:lang w:bidi="ar"/>
        </w:rPr>
        <w:t>政府采购货物支出</w:t>
      </w:r>
      <w:r>
        <w:rPr>
          <w:rFonts w:hint="eastAsia" w:ascii="仿宋_GB2312" w:hAnsi="仿宋_GB2312" w:eastAsia="仿宋_GB2312" w:cs="仿宋_GB2312"/>
          <w:b w:val="0"/>
          <w:i w:val="0"/>
          <w:caps w:val="0"/>
          <w:color w:val="000000"/>
          <w:spacing w:val="0"/>
          <w:w w:val="100"/>
          <w:kern w:val="0"/>
          <w:sz w:val="32"/>
          <w:szCs w:val="32"/>
          <w:lang w:val="en-US" w:eastAsia="zh-CN" w:bidi="ar"/>
        </w:rPr>
        <w:t>0</w:t>
      </w:r>
      <w:r>
        <w:rPr>
          <w:rFonts w:ascii="仿宋_GB2312" w:hAnsi="仿宋_GB2312" w:eastAsia="仿宋_GB2312" w:cs="仿宋_GB2312"/>
          <w:b w:val="0"/>
          <w:i w:val="0"/>
          <w:caps w:val="0"/>
          <w:color w:val="000000"/>
          <w:spacing w:val="0"/>
          <w:w w:val="100"/>
          <w:kern w:val="0"/>
          <w:sz w:val="32"/>
          <w:szCs w:val="32"/>
          <w:lang w:bidi="ar"/>
        </w:rPr>
        <w:t>万元、政府采购工程支出</w:t>
      </w:r>
      <w:r>
        <w:rPr>
          <w:rFonts w:hint="eastAsia" w:ascii="仿宋_GB2312" w:hAnsi="仿宋_GB2312" w:eastAsia="仿宋_GB2312" w:cs="仿宋_GB2312"/>
          <w:b w:val="0"/>
          <w:i w:val="0"/>
          <w:caps w:val="0"/>
          <w:color w:val="000000"/>
          <w:spacing w:val="0"/>
          <w:w w:val="100"/>
          <w:kern w:val="0"/>
          <w:sz w:val="32"/>
          <w:szCs w:val="32"/>
          <w:lang w:val="en-US" w:eastAsia="zh-CN" w:bidi="ar"/>
        </w:rPr>
        <w:t>0</w:t>
      </w:r>
      <w:r>
        <w:rPr>
          <w:rFonts w:ascii="仿宋_GB2312" w:hAnsi="仿宋_GB2312" w:eastAsia="仿宋_GB2312" w:cs="仿宋_GB2312"/>
          <w:b w:val="0"/>
          <w:i w:val="0"/>
          <w:caps w:val="0"/>
          <w:color w:val="000000"/>
          <w:spacing w:val="0"/>
          <w:w w:val="100"/>
          <w:kern w:val="0"/>
          <w:sz w:val="32"/>
          <w:szCs w:val="32"/>
          <w:lang w:bidi="ar"/>
        </w:rPr>
        <w:t xml:space="preserve">万元、政府采购服务支出 </w:t>
      </w:r>
      <w:r>
        <w:rPr>
          <w:rFonts w:hint="eastAsia" w:ascii="仿宋_GB2312" w:hAnsi="仿宋_GB2312" w:eastAsia="仿宋_GB2312" w:cs="仿宋_GB2312"/>
          <w:b w:val="0"/>
          <w:i w:val="0"/>
          <w:caps w:val="0"/>
          <w:color w:val="000000"/>
          <w:spacing w:val="0"/>
          <w:w w:val="100"/>
          <w:kern w:val="0"/>
          <w:sz w:val="32"/>
          <w:szCs w:val="32"/>
          <w:lang w:val="en-US" w:eastAsia="zh-CN" w:bidi="ar"/>
        </w:rPr>
        <w:t>30</w:t>
      </w:r>
      <w:r>
        <w:rPr>
          <w:rFonts w:ascii="仿宋_GB2312" w:hAnsi="仿宋_GB2312" w:eastAsia="仿宋_GB2312" w:cs="仿宋_GB2312"/>
          <w:b w:val="0"/>
          <w:i w:val="0"/>
          <w:caps w:val="0"/>
          <w:color w:val="000000"/>
          <w:spacing w:val="0"/>
          <w:w w:val="100"/>
          <w:kern w:val="0"/>
          <w:sz w:val="32"/>
          <w:szCs w:val="32"/>
          <w:lang w:bidi="ar"/>
        </w:rPr>
        <w:t>万元。授予中小企业合同金</w:t>
      </w:r>
      <w:r>
        <w:rPr>
          <w:rFonts w:hint="eastAsia" w:ascii="仿宋_GB2312" w:hAnsi="仿宋_GB2312" w:eastAsia="仿宋_GB2312" w:cs="仿宋_GB2312"/>
          <w:b w:val="0"/>
          <w:i w:val="0"/>
          <w:caps w:val="0"/>
          <w:color w:val="000000"/>
          <w:spacing w:val="0"/>
          <w:w w:val="100"/>
          <w:kern w:val="0"/>
          <w:sz w:val="32"/>
          <w:szCs w:val="32"/>
          <w:lang w:eastAsia="zh-CN" w:bidi="ar"/>
        </w:rPr>
        <w:t>额</w:t>
      </w:r>
      <w:r>
        <w:rPr>
          <w:rFonts w:hint="eastAsia" w:ascii="仿宋_GB2312" w:hAnsi="仿宋_GB2312" w:eastAsia="仿宋_GB2312" w:cs="仿宋_GB2312"/>
          <w:b w:val="0"/>
          <w:i w:val="0"/>
          <w:caps w:val="0"/>
          <w:color w:val="000000"/>
          <w:spacing w:val="0"/>
          <w:w w:val="100"/>
          <w:kern w:val="0"/>
          <w:sz w:val="32"/>
          <w:szCs w:val="32"/>
          <w:lang w:val="en-US" w:eastAsia="zh-CN" w:bidi="ar"/>
        </w:rPr>
        <w:t>0</w:t>
      </w:r>
      <w:r>
        <w:rPr>
          <w:rFonts w:ascii="仿宋_GB2312" w:hAnsi="仿宋_GB2312" w:eastAsia="仿宋_GB2312" w:cs="仿宋_GB2312"/>
          <w:b w:val="0"/>
          <w:i w:val="0"/>
          <w:caps w:val="0"/>
          <w:color w:val="000000"/>
          <w:spacing w:val="0"/>
          <w:w w:val="100"/>
          <w:kern w:val="0"/>
          <w:sz w:val="32"/>
          <w:szCs w:val="32"/>
          <w:lang w:bidi="ar"/>
        </w:rPr>
        <w:t>万元，占政府采购支出总额的</w:t>
      </w:r>
      <w:r>
        <w:rPr>
          <w:rFonts w:hint="eastAsia" w:ascii="仿宋_GB2312" w:hAnsi="仿宋_GB2312" w:eastAsia="仿宋_GB2312" w:cs="仿宋_GB2312"/>
          <w:b w:val="0"/>
          <w:i w:val="0"/>
          <w:caps w:val="0"/>
          <w:color w:val="000000"/>
          <w:spacing w:val="0"/>
          <w:w w:val="100"/>
          <w:kern w:val="0"/>
          <w:sz w:val="32"/>
          <w:szCs w:val="32"/>
          <w:lang w:val="en-US" w:eastAsia="zh-CN" w:bidi="ar"/>
        </w:rPr>
        <w:t>0</w:t>
      </w:r>
      <w:r>
        <w:rPr>
          <w:rFonts w:hint="eastAsia" w:ascii="仿宋_GB2312" w:hAnsi="仿宋_GB2312" w:eastAsia="仿宋_GB2312" w:cs="仿宋_GB2312"/>
          <w:b w:val="0"/>
          <w:i w:val="0"/>
          <w:caps w:val="0"/>
          <w:color w:val="000000"/>
          <w:spacing w:val="0"/>
          <w:w w:val="100"/>
          <w:kern w:val="0"/>
          <w:sz w:val="32"/>
          <w:szCs w:val="32"/>
          <w:lang w:bidi="ar"/>
        </w:rPr>
        <w:t>%，</w:t>
      </w:r>
      <w:r>
        <w:rPr>
          <w:rFonts w:ascii="仿宋_GB2312" w:hAnsi="仿宋_GB2312" w:eastAsia="仿宋_GB2312" w:cs="仿宋_GB2312"/>
          <w:b w:val="0"/>
          <w:i w:val="0"/>
          <w:caps w:val="0"/>
          <w:color w:val="000000"/>
          <w:spacing w:val="0"/>
          <w:w w:val="100"/>
          <w:kern w:val="0"/>
          <w:sz w:val="32"/>
          <w:szCs w:val="32"/>
          <w:lang w:bidi="ar"/>
        </w:rPr>
        <w:t>其中授予小微企业合同金额</w:t>
      </w:r>
      <w:r>
        <w:rPr>
          <w:rFonts w:hint="eastAsia" w:ascii="仿宋_GB2312" w:hAnsi="仿宋_GB2312" w:eastAsia="仿宋_GB2312" w:cs="仿宋_GB2312"/>
          <w:b w:val="0"/>
          <w:i w:val="0"/>
          <w:caps w:val="0"/>
          <w:color w:val="000000"/>
          <w:spacing w:val="0"/>
          <w:w w:val="100"/>
          <w:kern w:val="0"/>
          <w:sz w:val="32"/>
          <w:szCs w:val="32"/>
          <w:lang w:val="en-US" w:eastAsia="zh-CN" w:bidi="ar"/>
        </w:rPr>
        <w:t>0</w:t>
      </w:r>
      <w:r>
        <w:rPr>
          <w:rFonts w:ascii="仿宋_GB2312" w:hAnsi="仿宋_GB2312" w:eastAsia="仿宋_GB2312" w:cs="仿宋_GB2312"/>
          <w:b w:val="0"/>
          <w:i w:val="0"/>
          <w:caps w:val="0"/>
          <w:color w:val="000000"/>
          <w:spacing w:val="0"/>
          <w:w w:val="100"/>
          <w:kern w:val="0"/>
          <w:sz w:val="32"/>
          <w:szCs w:val="32"/>
          <w:lang w:bidi="ar"/>
        </w:rPr>
        <w:t>万元，占政府采购支出总额的</w:t>
      </w:r>
      <w:r>
        <w:rPr>
          <w:rFonts w:hint="eastAsia" w:ascii="仿宋_GB2312" w:hAnsi="仿宋_GB2312" w:eastAsia="仿宋_GB2312" w:cs="仿宋_GB2312"/>
          <w:b w:val="0"/>
          <w:i w:val="0"/>
          <w:caps w:val="0"/>
          <w:color w:val="000000"/>
          <w:spacing w:val="0"/>
          <w:w w:val="100"/>
          <w:kern w:val="0"/>
          <w:sz w:val="32"/>
          <w:szCs w:val="32"/>
          <w:lang w:val="en-US" w:eastAsia="zh-CN" w:bidi="ar"/>
        </w:rPr>
        <w:t>0</w:t>
      </w:r>
      <w:r>
        <w:rPr>
          <w:rFonts w:ascii="仿宋_GB2312" w:hAnsi="仿宋_GB2312" w:eastAsia="仿宋_GB2312" w:cs="仿宋_GB2312"/>
          <w:b w:val="0"/>
          <w:i w:val="0"/>
          <w:caps w:val="0"/>
          <w:color w:val="000000"/>
          <w:spacing w:val="0"/>
          <w:w w:val="100"/>
          <w:kern w:val="0"/>
          <w:sz w:val="32"/>
          <w:szCs w:val="32"/>
          <w:lang w:bidi="ar"/>
        </w:rPr>
        <w:t>%</w:t>
      </w:r>
      <w:r>
        <w:rPr>
          <w:rFonts w:hint="eastAsia" w:ascii="仿宋_GB2312" w:hAnsi="仿宋_GB2312" w:eastAsia="仿宋_GB2312" w:cs="仿宋_GB2312"/>
          <w:b w:val="0"/>
          <w:i w:val="0"/>
          <w:caps w:val="0"/>
          <w:color w:val="000000"/>
          <w:spacing w:val="0"/>
          <w:w w:val="100"/>
          <w:kern w:val="0"/>
          <w:sz w:val="32"/>
          <w:szCs w:val="32"/>
          <w:lang w:eastAsia="zh-CN" w:bidi="ar"/>
        </w:rPr>
        <w:t>。</w:t>
      </w:r>
    </w:p>
    <w:p w14:paraId="0F98FDA4">
      <w:pPr>
        <w:keepLines/>
        <w:snapToGrid w:val="0"/>
        <w:spacing w:before="0" w:beforeAutospacing="0" w:after="0" w:afterAutospacing="0" w:line="600" w:lineRule="exact"/>
        <w:ind w:left="0" w:leftChars="0" w:firstLine="643" w:firstLineChars="200"/>
        <w:jc w:val="both"/>
        <w:textAlignment w:val="baseline"/>
        <w:rPr>
          <w:rFonts w:ascii="楷体_GB2312" w:hAnsi="Times New Roman" w:eastAsia="楷体_GB2312" w:cs="DengXian-Bold"/>
          <w:b/>
          <w:bCs/>
          <w:i w:val="0"/>
          <w:caps w:val="0"/>
          <w:spacing w:val="0"/>
          <w:w w:val="100"/>
          <w:sz w:val="32"/>
          <w:szCs w:val="32"/>
        </w:rPr>
      </w:pPr>
      <w:r>
        <w:rPr>
          <w:rFonts w:hint="eastAsia" w:ascii="楷体_GB2312" w:hAnsi="Times New Roman" w:eastAsia="楷体_GB2312" w:cs="DengXian-Bold"/>
          <w:b/>
          <w:bCs/>
          <w:i w:val="0"/>
          <w:caps w:val="0"/>
          <w:spacing w:val="0"/>
          <w:w w:val="100"/>
          <w:sz w:val="32"/>
          <w:szCs w:val="32"/>
        </w:rPr>
        <w:t>（三）国有资产占用情况</w:t>
      </w:r>
    </w:p>
    <w:p w14:paraId="638AB12B">
      <w:pPr>
        <w:snapToGrid w:val="0"/>
        <w:spacing w:before="0" w:beforeAutospacing="0" w:after="0" w:afterAutospacing="0" w:line="600" w:lineRule="exact"/>
        <w:ind w:left="0" w:leftChars="0" w:firstLine="640" w:firstLineChars="200"/>
        <w:jc w:val="both"/>
        <w:textAlignment w:val="baseline"/>
        <w:rPr>
          <w:rFonts w:ascii="仿宋_GB2312" w:eastAsia="仿宋_GB2312" w:cs="DengXian-Regular"/>
          <w:b w:val="0"/>
          <w:i w:val="0"/>
          <w:caps w:val="0"/>
          <w:spacing w:val="0"/>
          <w:w w:val="100"/>
          <w:sz w:val="32"/>
          <w:szCs w:val="32"/>
        </w:rPr>
      </w:pPr>
      <w:r>
        <w:rPr>
          <w:rFonts w:hint="eastAsia" w:ascii="仿宋_GB2312" w:hAnsi="Times New Roman" w:eastAsia="仿宋_GB2312" w:cs="DengXian-Regular"/>
          <w:b w:val="0"/>
          <w:i w:val="0"/>
          <w:caps w:val="0"/>
          <w:spacing w:val="0"/>
          <w:w w:val="100"/>
          <w:sz w:val="32"/>
          <w:szCs w:val="32"/>
        </w:rPr>
        <w:t>截至2019年12月31日，本部门共有车</w:t>
      </w:r>
      <w:r>
        <w:rPr>
          <w:rFonts w:hint="eastAsia" w:ascii="仿宋_GB2312" w:hAnsi="Times New Roman" w:eastAsia="仿宋_GB2312" w:cs="DengXian-Regular"/>
          <w:b w:val="0"/>
          <w:i w:val="0"/>
          <w:caps w:val="0"/>
          <w:spacing w:val="0"/>
          <w:w w:val="100"/>
          <w:sz w:val="32"/>
          <w:szCs w:val="32"/>
          <w:lang w:eastAsia="zh-CN"/>
        </w:rPr>
        <w:t>辆</w:t>
      </w:r>
      <w:r>
        <w:rPr>
          <w:rFonts w:hint="eastAsia" w:ascii="仿宋_GB2312" w:hAnsi="Times New Roman" w:eastAsia="仿宋_GB2312" w:cs="DengXian-Regular"/>
          <w:b w:val="0"/>
          <w:i w:val="0"/>
          <w:caps w:val="0"/>
          <w:spacing w:val="0"/>
          <w:w w:val="100"/>
          <w:sz w:val="32"/>
          <w:szCs w:val="32"/>
          <w:lang w:val="en-US" w:eastAsia="zh-CN"/>
        </w:rPr>
        <w:t>1</w:t>
      </w:r>
      <w:r>
        <w:rPr>
          <w:rFonts w:hint="eastAsia" w:ascii="仿宋_GB2312" w:hAnsi="Times New Roman" w:eastAsia="仿宋_GB2312" w:cs="DengXian-Regular"/>
          <w:b w:val="0"/>
          <w:i w:val="0"/>
          <w:caps w:val="0"/>
          <w:spacing w:val="0"/>
          <w:w w:val="100"/>
          <w:sz w:val="32"/>
          <w:szCs w:val="32"/>
        </w:rPr>
        <w:t>辆，比上年增加</w:t>
      </w:r>
      <w:r>
        <w:rPr>
          <w:rFonts w:hint="eastAsia" w:ascii="仿宋_GB2312" w:hAnsi="Times New Roman" w:eastAsia="仿宋_GB2312" w:cs="DengXian-Regular"/>
          <w:b w:val="0"/>
          <w:i w:val="0"/>
          <w:caps w:val="0"/>
          <w:spacing w:val="0"/>
          <w:w w:val="100"/>
          <w:sz w:val="32"/>
          <w:szCs w:val="32"/>
          <w:lang w:val="en-US" w:eastAsia="zh-CN"/>
        </w:rPr>
        <w:t>1</w:t>
      </w:r>
      <w:r>
        <w:rPr>
          <w:rFonts w:hint="eastAsia" w:ascii="仿宋_GB2312" w:hAnsi="Times New Roman" w:eastAsia="仿宋_GB2312" w:cs="DengXian-Regular"/>
          <w:b w:val="0"/>
          <w:i w:val="0"/>
          <w:caps w:val="0"/>
          <w:spacing w:val="0"/>
          <w:w w:val="100"/>
          <w:sz w:val="32"/>
          <w:szCs w:val="32"/>
        </w:rPr>
        <w:t>辆，主要是</w:t>
      </w:r>
      <w:r>
        <w:rPr>
          <w:rFonts w:hint="eastAsia" w:ascii="仿宋_GB2312" w:hAnsi="Times New Roman" w:eastAsia="仿宋_GB2312" w:cs="DengXian-Regular"/>
          <w:b w:val="0"/>
          <w:i w:val="0"/>
          <w:caps w:val="0"/>
          <w:spacing w:val="0"/>
          <w:w w:val="100"/>
          <w:sz w:val="32"/>
          <w:szCs w:val="32"/>
          <w:lang w:eastAsia="zh-CN"/>
        </w:rPr>
        <w:t>因工作需要购置公务用车</w:t>
      </w:r>
      <w:r>
        <w:rPr>
          <w:rFonts w:hint="eastAsia" w:ascii="仿宋_GB2312" w:hAnsi="Times New Roman" w:eastAsia="仿宋_GB2312" w:cs="DengXian-Regular"/>
          <w:b w:val="0"/>
          <w:i w:val="0"/>
          <w:caps w:val="0"/>
          <w:spacing w:val="0"/>
          <w:w w:val="100"/>
          <w:sz w:val="32"/>
          <w:szCs w:val="32"/>
          <w:lang w:val="en-US" w:eastAsia="zh-CN"/>
        </w:rPr>
        <w:t>1辆</w:t>
      </w:r>
      <w:r>
        <w:rPr>
          <w:rFonts w:hint="eastAsia" w:ascii="仿宋_GB2312" w:hAnsi="Times New Roman" w:eastAsia="仿宋_GB2312" w:cs="DengXian-Regular"/>
          <w:b w:val="0"/>
          <w:i w:val="0"/>
          <w:caps w:val="0"/>
          <w:spacing w:val="0"/>
          <w:w w:val="100"/>
          <w:sz w:val="32"/>
          <w:szCs w:val="32"/>
        </w:rPr>
        <w:t>。其中，副部（省）级及以上领导用车</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辆，主要领导干部用车</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辆，机要通信</w:t>
      </w:r>
      <w:r>
        <w:rPr>
          <w:rFonts w:hint="eastAsia" w:ascii="仿宋_GB2312" w:hAnsi="Times New Roman" w:eastAsia="仿宋_GB2312" w:cs="DengXian-Regular"/>
          <w:b w:val="0"/>
          <w:i w:val="0"/>
          <w:caps w:val="0"/>
          <w:spacing w:val="0"/>
          <w:w w:val="100"/>
          <w:sz w:val="32"/>
          <w:szCs w:val="32"/>
          <w:lang w:eastAsia="zh-CN"/>
        </w:rPr>
        <w:t>应急</w:t>
      </w:r>
      <w:r>
        <w:rPr>
          <w:rFonts w:hint="eastAsia" w:ascii="仿宋_GB2312" w:hAnsi="Times New Roman" w:eastAsia="仿宋_GB2312" w:cs="DengXian-Regular"/>
          <w:b w:val="0"/>
          <w:i w:val="0"/>
          <w:caps w:val="0"/>
          <w:spacing w:val="0"/>
          <w:w w:val="100"/>
          <w:sz w:val="32"/>
          <w:szCs w:val="32"/>
        </w:rPr>
        <w:t>用车</w:t>
      </w:r>
      <w:r>
        <w:rPr>
          <w:rFonts w:hint="eastAsia" w:ascii="仿宋_GB2312" w:hAnsi="Times New Roman" w:eastAsia="仿宋_GB2312" w:cs="DengXian-Regular"/>
          <w:b w:val="0"/>
          <w:i w:val="0"/>
          <w:caps w:val="0"/>
          <w:spacing w:val="0"/>
          <w:w w:val="100"/>
          <w:sz w:val="32"/>
          <w:szCs w:val="32"/>
          <w:lang w:val="en-US" w:eastAsia="zh-CN"/>
        </w:rPr>
        <w:t>1</w:t>
      </w:r>
      <w:r>
        <w:rPr>
          <w:rFonts w:hint="eastAsia" w:ascii="仿宋_GB2312" w:hAnsi="Times New Roman" w:eastAsia="仿宋_GB2312" w:cs="DengXian-Regular"/>
          <w:b w:val="0"/>
          <w:i w:val="0"/>
          <w:caps w:val="0"/>
          <w:spacing w:val="0"/>
          <w:w w:val="100"/>
          <w:sz w:val="32"/>
          <w:szCs w:val="32"/>
        </w:rPr>
        <w:t>辆，应急保障用车</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辆，执法执勤用车</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辆，特种专业技术用车</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辆，离退休干部用车</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辆，其他用车</w:t>
      </w:r>
      <w:r>
        <w:rPr>
          <w:rFonts w:hint="eastAsia" w:ascii="仿宋_GB2312" w:hAnsi="Times New Roman" w:eastAsia="仿宋_GB2312" w:cs="DengXian-Regular"/>
          <w:b w:val="0"/>
          <w:i w:val="0"/>
          <w:caps w:val="0"/>
          <w:spacing w:val="0"/>
          <w:w w:val="100"/>
          <w:sz w:val="32"/>
          <w:szCs w:val="32"/>
          <w:lang w:val="en-US" w:eastAsia="zh-CN"/>
        </w:rPr>
        <w:t>0</w:t>
      </w:r>
      <w:r>
        <w:rPr>
          <w:rFonts w:hint="eastAsia" w:ascii="仿宋_GB2312" w:hAnsi="Times New Roman" w:eastAsia="仿宋_GB2312" w:cs="DengXian-Regular"/>
          <w:b w:val="0"/>
          <w:i w:val="0"/>
          <w:caps w:val="0"/>
          <w:spacing w:val="0"/>
          <w:w w:val="100"/>
          <w:sz w:val="32"/>
          <w:szCs w:val="32"/>
        </w:rPr>
        <w:t>辆，</w:t>
      </w:r>
      <w:r>
        <w:rPr>
          <w:rFonts w:hint="eastAsia" w:ascii="仿宋_GB2312" w:eastAsia="仿宋_GB2312" w:cs="DengXian-Regular"/>
          <w:b w:val="0"/>
          <w:i w:val="0"/>
          <w:caps w:val="0"/>
          <w:spacing w:val="0"/>
          <w:w w:val="100"/>
          <w:sz w:val="32"/>
          <w:szCs w:val="32"/>
        </w:rPr>
        <w:t>单位价值</w:t>
      </w:r>
      <w:r>
        <w:rPr>
          <w:rFonts w:hint="eastAsia" w:ascii="仿宋_GB2312" w:hAnsi="TimesNewRomanPSMT" w:eastAsia="仿宋_GB2312" w:cs="TimesNewRomanPSMT"/>
          <w:b w:val="0"/>
          <w:i w:val="0"/>
          <w:caps w:val="0"/>
          <w:spacing w:val="0"/>
          <w:w w:val="100"/>
          <w:sz w:val="32"/>
          <w:szCs w:val="32"/>
        </w:rPr>
        <w:t>50</w:t>
      </w:r>
      <w:r>
        <w:rPr>
          <w:rFonts w:hint="eastAsia" w:ascii="仿宋_GB2312" w:eastAsia="仿宋_GB2312" w:cs="DengXian-Regular"/>
          <w:b w:val="0"/>
          <w:i w:val="0"/>
          <w:caps w:val="0"/>
          <w:spacing w:val="0"/>
          <w:w w:val="100"/>
          <w:sz w:val="32"/>
          <w:szCs w:val="32"/>
        </w:rPr>
        <w:t>万元以上通用设备0台（套），比上年增加0套，主要是本部门无此类资产，单位价值</w:t>
      </w:r>
      <w:r>
        <w:rPr>
          <w:rFonts w:hint="eastAsia" w:ascii="仿宋_GB2312" w:hAnsi="TimesNewRomanPSMT" w:eastAsia="仿宋_GB2312" w:cs="TimesNewRomanPSMT"/>
          <w:b w:val="0"/>
          <w:i w:val="0"/>
          <w:caps w:val="0"/>
          <w:spacing w:val="0"/>
          <w:w w:val="100"/>
          <w:sz w:val="32"/>
          <w:szCs w:val="32"/>
        </w:rPr>
        <w:t>100</w:t>
      </w:r>
      <w:r>
        <w:rPr>
          <w:rFonts w:hint="eastAsia" w:ascii="仿宋_GB2312" w:eastAsia="仿宋_GB2312" w:cs="DengXian-Regular"/>
          <w:b w:val="0"/>
          <w:i w:val="0"/>
          <w:caps w:val="0"/>
          <w:spacing w:val="0"/>
          <w:w w:val="100"/>
          <w:sz w:val="32"/>
          <w:szCs w:val="32"/>
        </w:rPr>
        <w:t>万元以上专用设备0台（套）比上年增加0套，主要是本部门无此类资产。</w:t>
      </w:r>
    </w:p>
    <w:p w14:paraId="27D79C17">
      <w:pPr>
        <w:keepLines/>
        <w:snapToGrid w:val="0"/>
        <w:spacing w:before="0" w:beforeAutospacing="0" w:after="0" w:afterAutospacing="0" w:line="600" w:lineRule="exact"/>
        <w:ind w:left="0" w:leftChars="0" w:firstLine="643" w:firstLineChars="200"/>
        <w:jc w:val="both"/>
        <w:textAlignment w:val="baseline"/>
        <w:rPr>
          <w:rFonts w:ascii="楷体_GB2312" w:hAnsi="Times New Roman" w:eastAsia="楷体_GB2312" w:cs="DengXian-Bold"/>
          <w:b/>
          <w:bCs/>
          <w:i w:val="0"/>
          <w:caps w:val="0"/>
          <w:spacing w:val="0"/>
          <w:w w:val="100"/>
          <w:sz w:val="32"/>
          <w:szCs w:val="32"/>
        </w:rPr>
      </w:pPr>
      <w:r>
        <w:rPr>
          <w:rFonts w:hint="eastAsia" w:ascii="楷体_GB2312" w:hAnsi="Times New Roman" w:eastAsia="楷体_GB2312" w:cs="DengXian-Bold"/>
          <w:b/>
          <w:bCs/>
          <w:i w:val="0"/>
          <w:caps w:val="0"/>
          <w:spacing w:val="0"/>
          <w:w w:val="100"/>
          <w:sz w:val="32"/>
          <w:szCs w:val="32"/>
        </w:rPr>
        <w:t>（四）其他需要说明的情况</w:t>
      </w:r>
    </w:p>
    <w:p w14:paraId="796E05ED">
      <w:pPr>
        <w:snapToGrid w:val="0"/>
        <w:spacing w:before="0" w:beforeAutospacing="0" w:after="0" w:afterAutospacing="0" w:line="600" w:lineRule="exact"/>
        <w:ind w:left="0" w:leftChars="0" w:firstLine="640" w:firstLineChars="200"/>
        <w:jc w:val="both"/>
        <w:textAlignment w:val="baseline"/>
        <w:rPr>
          <w:rFonts w:ascii="仿宋_GB2312" w:hAnsi="Times New Roman" w:eastAsia="仿宋_GB2312" w:cs="DengXian-Regular"/>
          <w:b w:val="0"/>
          <w:i w:val="0"/>
          <w:caps w:val="0"/>
          <w:spacing w:val="0"/>
          <w:w w:val="100"/>
          <w:sz w:val="32"/>
          <w:szCs w:val="32"/>
        </w:rPr>
      </w:pPr>
      <w:r>
        <w:rPr>
          <w:rFonts w:hint="eastAsia" w:ascii="仿宋_GB2312" w:hAnsi="Times New Roman" w:eastAsia="仿宋_GB2312" w:cs="DengXian-Regular"/>
          <w:b w:val="0"/>
          <w:i w:val="0"/>
          <w:caps w:val="0"/>
          <w:spacing w:val="0"/>
          <w:w w:val="100"/>
          <w:sz w:val="32"/>
          <w:szCs w:val="32"/>
        </w:rPr>
        <w:t>1.本部门2019年度</w:t>
      </w:r>
      <w:r>
        <w:rPr>
          <w:rFonts w:hint="eastAsia" w:ascii="仿宋_GB2312" w:eastAsia="仿宋_GB2312" w:cs="DengXian-Regular"/>
          <w:b w:val="0"/>
          <w:i w:val="0"/>
          <w:caps w:val="0"/>
          <w:spacing w:val="0"/>
          <w:w w:val="100"/>
          <w:sz w:val="32"/>
          <w:szCs w:val="32"/>
        </w:rPr>
        <w:t>政府性基金预算财政拨款、国有资本经营预算财政拨款无收支及结转结余情况，</w:t>
      </w:r>
      <w:r>
        <w:rPr>
          <w:rFonts w:hint="eastAsia" w:ascii="仿宋_GB2312" w:hAnsi="Times New Roman" w:eastAsia="仿宋_GB2312" w:cs="DengXian-Regular"/>
          <w:b w:val="0"/>
          <w:i w:val="0"/>
          <w:caps w:val="0"/>
          <w:spacing w:val="0"/>
          <w:w w:val="100"/>
          <w:sz w:val="32"/>
          <w:szCs w:val="32"/>
        </w:rPr>
        <w:t>故</w:t>
      </w:r>
      <w:r>
        <w:rPr>
          <w:rFonts w:hint="eastAsia" w:ascii="仿宋_GB2312" w:eastAsia="仿宋_GB2312" w:cs="DengXian-Regular"/>
          <w:b w:val="0"/>
          <w:i w:val="0"/>
          <w:caps w:val="0"/>
          <w:spacing w:val="0"/>
          <w:w w:val="100"/>
          <w:sz w:val="32"/>
          <w:szCs w:val="32"/>
        </w:rPr>
        <w:t>政府性基金预算财政拨款，国有资本经</w:t>
      </w:r>
      <w:r>
        <w:rPr>
          <w:rFonts w:hint="eastAsia" w:ascii="仿宋_GB2312" w:eastAsia="仿宋_GB2312" w:cs="DengXian-Regular"/>
          <w:b w:val="0"/>
          <w:i w:val="0"/>
          <w:caps w:val="0"/>
          <w:spacing w:val="0"/>
          <w:w w:val="100"/>
          <w:sz w:val="32"/>
          <w:szCs w:val="32"/>
          <w:lang w:eastAsia="zh-CN"/>
        </w:rPr>
        <w:t>营</w:t>
      </w:r>
      <w:r>
        <w:rPr>
          <w:rFonts w:hint="eastAsia" w:ascii="仿宋_GB2312" w:eastAsia="仿宋_GB2312" w:cs="DengXian-Regular"/>
          <w:b w:val="0"/>
          <w:i w:val="0"/>
          <w:caps w:val="0"/>
          <w:spacing w:val="0"/>
          <w:w w:val="100"/>
          <w:sz w:val="32"/>
          <w:szCs w:val="32"/>
        </w:rPr>
        <w:t>预算财政拨款表以空表列示。</w:t>
      </w:r>
    </w:p>
    <w:p w14:paraId="51C6C6B3">
      <w:pPr>
        <w:snapToGrid w:val="0"/>
        <w:spacing w:before="0" w:beforeAutospacing="0" w:after="0" w:afterAutospacing="0" w:line="600" w:lineRule="exact"/>
        <w:ind w:left="0" w:leftChars="0" w:firstLine="640" w:firstLineChars="200"/>
        <w:jc w:val="both"/>
        <w:textAlignment w:val="baseline"/>
        <w:rPr>
          <w:rFonts w:ascii="仿宋_GB2312" w:hAnsi="Times New Roman" w:eastAsia="仿宋_GB2312" w:cs="DengXian-Regular"/>
          <w:b w:val="0"/>
          <w:i w:val="0"/>
          <w:caps w:val="0"/>
          <w:spacing w:val="0"/>
          <w:w w:val="100"/>
          <w:sz w:val="32"/>
          <w:szCs w:val="32"/>
        </w:rPr>
      </w:pPr>
      <w:r>
        <w:rPr>
          <w:rFonts w:hint="eastAsia" w:ascii="仿宋_GB2312" w:hAnsi="Times New Roman" w:eastAsia="仿宋_GB2312" w:cs="DengXian-Regular"/>
          <w:b w:val="0"/>
          <w:i w:val="0"/>
          <w:caps w:val="0"/>
          <w:spacing w:val="0"/>
          <w:w w:val="100"/>
          <w:sz w:val="32"/>
          <w:szCs w:val="32"/>
        </w:rPr>
        <w:t>2.由于决算公开表格中金额数值应当保留两位小数，公开数据为四舍五入计算结果，个别数据合计项与分项之和存在小数点后差额，特此说明。</w:t>
      </w:r>
    </w:p>
    <w:p w14:paraId="30FE59CF">
      <w:pPr>
        <w:widowControl/>
        <w:snapToGrid/>
        <w:spacing w:before="0" w:beforeAutospacing="0" w:after="0" w:afterAutospacing="0" w:line="600" w:lineRule="exact"/>
        <w:ind w:left="0" w:leftChars="0" w:firstLine="883" w:firstLineChars="200"/>
        <w:jc w:val="left"/>
        <w:textAlignment w:val="baseline"/>
        <w:rPr>
          <w:rFonts w:ascii="宋体" w:hAnsi="宋体" w:eastAsia="宋体" w:cs="MS-UIGothic,Bold"/>
          <w:b/>
          <w:bCs/>
          <w:i w:val="0"/>
          <w:caps w:val="0"/>
          <w:spacing w:val="0"/>
          <w:w w:val="100"/>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410A8483">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4296AE06">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1D08B5F1">
      <w:pPr>
        <w:snapToGrid/>
        <w:spacing w:before="0" w:beforeAutospacing="0" w:after="0" w:afterAutospacing="0" w:line="240" w:lineRule="auto"/>
        <w:jc w:val="both"/>
        <w:textAlignment w:val="baseline"/>
        <w:rPr>
          <w:rFonts w:ascii="黑体" w:hAnsi="黑体" w:eastAsia="黑体" w:cs="黑体"/>
          <w:b w:val="0"/>
          <w:i w:val="0"/>
          <w:caps w:val="0"/>
          <w:spacing w:val="0"/>
          <w:w w:val="100"/>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b w:val="0"/>
          <w:i w:val="0"/>
          <w:caps w:val="0"/>
          <w:spacing w:val="0"/>
          <w:w w:val="100"/>
          <w:sz w:val="56"/>
          <w:szCs w:val="72"/>
        </w:rPr>
        <w:br w:type="page"/>
      </w:r>
    </w:p>
    <w:p w14:paraId="046CB892">
      <w:pPr>
        <w:snapToGrid/>
        <w:spacing w:before="0" w:beforeAutospacing="0" w:after="0" w:afterAutospacing="0" w:line="240" w:lineRule="auto"/>
        <w:jc w:val="both"/>
        <w:textAlignment w:val="baseline"/>
        <w:rPr>
          <w:rFonts w:ascii="黑体" w:hAnsi="黑体" w:eastAsia="黑体" w:cs="黑体"/>
          <w:b w:val="0"/>
          <w:i w:val="0"/>
          <w:caps w:val="0"/>
          <w:spacing w:val="0"/>
          <w:w w:val="100"/>
          <w:sz w:val="56"/>
          <w:szCs w:val="72"/>
        </w:rPr>
      </w:pPr>
    </w:p>
    <w:p w14:paraId="1C9C4795">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368F1904">
      <w:pPr>
        <w:snapToGrid/>
        <w:spacing w:before="0" w:beforeAutospacing="0" w:after="0" w:afterAutospacing="0" w:line="240" w:lineRule="auto"/>
        <w:jc w:val="center"/>
        <w:textAlignment w:val="baseline"/>
        <w:rPr>
          <w:rFonts w:ascii="黑体" w:hAnsi="黑体" w:eastAsia="黑体" w:cs="黑体"/>
          <w:b w:val="0"/>
          <w:i w:val="0"/>
          <w:caps w:val="0"/>
          <w:spacing w:val="0"/>
          <w:w w:val="100"/>
          <w:sz w:val="56"/>
          <w:szCs w:val="72"/>
        </w:rPr>
      </w:pPr>
    </w:p>
    <w:p w14:paraId="6995C704">
      <w:pPr>
        <w:snapToGrid/>
        <w:spacing w:before="0" w:beforeAutospacing="0" w:after="0" w:afterAutospacing="0" w:line="240" w:lineRule="auto"/>
        <w:jc w:val="center"/>
        <w:textAlignment w:val="baseline"/>
        <w:rPr>
          <w:b w:val="0"/>
          <w:i w:val="0"/>
          <w:caps w:val="0"/>
          <w:spacing w:val="0"/>
          <w:w w:val="100"/>
          <w:sz w:val="72"/>
        </w:rPr>
      </w:pPr>
      <w:r>
        <w:rPr>
          <w:b w:val="0"/>
          <w:i w:val="0"/>
          <w:caps w:val="0"/>
          <w:spacing w:val="0"/>
          <w:w w:val="100"/>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1E1D9E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14:paraId="71E1D9E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44F90F39">
      <w:pPr>
        <w:snapToGrid/>
        <w:spacing w:before="0" w:beforeAutospacing="0" w:after="0" w:afterAutospacing="0" w:line="240" w:lineRule="auto"/>
        <w:jc w:val="both"/>
        <w:textAlignment w:val="baseline"/>
        <w:rPr>
          <w:b w:val="0"/>
          <w:i w:val="0"/>
          <w:caps w:val="0"/>
          <w:spacing w:val="0"/>
          <w:w w:val="100"/>
          <w:sz w:val="20"/>
        </w:rPr>
      </w:pPr>
    </w:p>
    <w:p w14:paraId="6B9C1900">
      <w:pPr>
        <w:snapToGrid/>
        <w:spacing w:before="0" w:beforeAutospacing="0" w:after="0" w:afterAutospacing="0" w:line="240" w:lineRule="auto"/>
        <w:jc w:val="both"/>
        <w:textAlignment w:val="baseline"/>
        <w:rPr>
          <w:b w:val="0"/>
          <w:i w:val="0"/>
          <w:caps w:val="0"/>
          <w:spacing w:val="0"/>
          <w:w w:val="100"/>
          <w:sz w:val="20"/>
        </w:rPr>
      </w:pPr>
    </w:p>
    <w:p w14:paraId="790BA1C8">
      <w:pPr>
        <w:snapToGrid/>
        <w:spacing w:before="0" w:beforeAutospacing="0" w:after="0" w:afterAutospacing="0" w:line="240" w:lineRule="auto"/>
        <w:jc w:val="both"/>
        <w:textAlignment w:val="baseline"/>
        <w:rPr>
          <w:b w:val="0"/>
          <w:i w:val="0"/>
          <w:caps w:val="0"/>
          <w:spacing w:val="0"/>
          <w:w w:val="100"/>
          <w:sz w:val="20"/>
        </w:rPr>
      </w:pPr>
    </w:p>
    <w:p w14:paraId="62914E11">
      <w:pPr>
        <w:snapToGrid/>
        <w:spacing w:before="0" w:beforeAutospacing="0" w:after="0" w:afterAutospacing="0" w:line="240" w:lineRule="auto"/>
        <w:jc w:val="both"/>
        <w:textAlignment w:val="baseline"/>
        <w:rPr>
          <w:b w:val="0"/>
          <w:i w:val="0"/>
          <w:caps w:val="0"/>
          <w:spacing w:val="0"/>
          <w:w w:val="100"/>
          <w:sz w:val="20"/>
        </w:rPr>
      </w:pPr>
    </w:p>
    <w:p w14:paraId="5B772CE6">
      <w:pPr>
        <w:snapToGrid/>
        <w:spacing w:before="0" w:beforeAutospacing="0" w:after="0" w:afterAutospacing="0" w:line="240" w:lineRule="auto"/>
        <w:jc w:val="both"/>
        <w:textAlignment w:val="baseline"/>
        <w:rPr>
          <w:b w:val="0"/>
          <w:i w:val="0"/>
          <w:caps w:val="0"/>
          <w:spacing w:val="0"/>
          <w:w w:val="100"/>
          <w:sz w:val="20"/>
        </w:rPr>
      </w:pPr>
    </w:p>
    <w:p w14:paraId="43CA791A">
      <w:pPr>
        <w:snapToGrid/>
        <w:spacing w:before="0" w:beforeAutospacing="0" w:after="0" w:afterAutospacing="0" w:line="240" w:lineRule="auto"/>
        <w:jc w:val="both"/>
        <w:textAlignment w:val="baseline"/>
        <w:rPr>
          <w:b w:val="0"/>
          <w:i w:val="0"/>
          <w:caps w:val="0"/>
          <w:spacing w:val="0"/>
          <w:w w:val="100"/>
          <w:sz w:val="20"/>
        </w:rPr>
      </w:pPr>
    </w:p>
    <w:p w14:paraId="0CDA9175">
      <w:pPr>
        <w:snapToGrid/>
        <w:spacing w:before="0" w:beforeAutospacing="0" w:after="0" w:afterAutospacing="0" w:line="240" w:lineRule="auto"/>
        <w:jc w:val="both"/>
        <w:textAlignment w:val="baseline"/>
        <w:rPr>
          <w:b w:val="0"/>
          <w:i w:val="0"/>
          <w:caps w:val="0"/>
          <w:spacing w:val="0"/>
          <w:w w:val="100"/>
          <w:sz w:val="20"/>
        </w:rPr>
      </w:pPr>
    </w:p>
    <w:p w14:paraId="77C666F3">
      <w:pPr>
        <w:snapToGrid/>
        <w:spacing w:before="0" w:beforeAutospacing="0" w:after="0" w:afterAutospacing="0" w:line="240" w:lineRule="auto"/>
        <w:jc w:val="both"/>
        <w:textAlignment w:val="baseline"/>
        <w:rPr>
          <w:b w:val="0"/>
          <w:i w:val="0"/>
          <w:caps w:val="0"/>
          <w:spacing w:val="0"/>
          <w:w w:val="100"/>
          <w:sz w:val="20"/>
        </w:rPr>
      </w:pPr>
    </w:p>
    <w:p w14:paraId="766A290F">
      <w:pPr>
        <w:snapToGrid/>
        <w:spacing w:before="0" w:beforeAutospacing="0" w:after="0" w:afterAutospacing="0" w:line="240" w:lineRule="auto"/>
        <w:jc w:val="both"/>
        <w:textAlignment w:val="baseline"/>
        <w:rPr>
          <w:b w:val="0"/>
          <w:i w:val="0"/>
          <w:caps w:val="0"/>
          <w:spacing w:val="0"/>
          <w:w w:val="100"/>
          <w:sz w:val="20"/>
        </w:rPr>
      </w:pPr>
    </w:p>
    <w:p w14:paraId="4A3CDB8F">
      <w:pPr>
        <w:snapToGrid/>
        <w:spacing w:before="0" w:beforeAutospacing="0" w:after="0" w:afterAutospacing="0" w:line="240" w:lineRule="auto"/>
        <w:jc w:val="both"/>
        <w:textAlignment w:val="baseline"/>
        <w:rPr>
          <w:b w:val="0"/>
          <w:i w:val="0"/>
          <w:caps w:val="0"/>
          <w:spacing w:val="0"/>
          <w:w w:val="100"/>
          <w:sz w:val="20"/>
        </w:rPr>
      </w:pPr>
    </w:p>
    <w:p w14:paraId="5672F9ED">
      <w:pPr>
        <w:snapToGrid/>
        <w:spacing w:before="0" w:beforeAutospacing="0" w:after="0" w:afterAutospacing="0" w:line="240" w:lineRule="auto"/>
        <w:jc w:val="both"/>
        <w:textAlignment w:val="baseline"/>
        <w:rPr>
          <w:b w:val="0"/>
          <w:i w:val="0"/>
          <w:caps w:val="0"/>
          <w:spacing w:val="0"/>
          <w:w w:val="100"/>
          <w:sz w:val="20"/>
        </w:rPr>
      </w:pPr>
    </w:p>
    <w:p w14:paraId="64AD3D51">
      <w:pPr>
        <w:tabs>
          <w:tab w:val="left" w:pos="886"/>
        </w:tabs>
        <w:snapToGrid/>
        <w:spacing w:before="0" w:beforeAutospacing="0" w:after="0" w:afterAutospacing="0" w:line="240" w:lineRule="auto"/>
        <w:jc w:val="left"/>
        <w:textAlignment w:val="baseline"/>
        <w:rPr>
          <w:b w:val="0"/>
          <w:i w:val="0"/>
          <w:caps w:val="0"/>
          <w:spacing w:val="0"/>
          <w:w w:val="100"/>
          <w:sz w:val="20"/>
        </w:rPr>
        <w:sectPr>
          <w:headerReference r:id="rId21" w:type="first"/>
          <w:pgSz w:w="11906" w:h="16838"/>
          <w:pgMar w:top="2041" w:right="1531" w:bottom="2041" w:left="1531" w:header="851" w:footer="992" w:gutter="0"/>
          <w:pgNumType w:fmt="numberInDash"/>
          <w:cols w:space="0" w:num="1"/>
          <w:titlePg/>
          <w:docGrid w:type="lines" w:linePitch="312" w:charSpace="0"/>
        </w:sectPr>
      </w:pPr>
    </w:p>
    <w:p w14:paraId="7F557E01">
      <w:pPr>
        <w:snapToGrid/>
        <w:spacing w:before="0" w:beforeAutospacing="0" w:after="0" w:afterAutospacing="0" w:line="240" w:lineRule="auto"/>
        <w:jc w:val="both"/>
        <w:textAlignment w:val="baseline"/>
        <w:rPr>
          <w:rFonts w:hint="eastAsia" w:ascii="仿宋_GB2312" w:hAnsi="宋体" w:eastAsia="仿宋_GB2312" w:cs="MS-UIGothic,Bold"/>
          <w:b w:val="0"/>
          <w:bCs/>
          <w:i w:val="0"/>
          <w:caps w:val="0"/>
          <w:spacing w:val="0"/>
          <w:w w:val="100"/>
          <w:sz w:val="32"/>
          <w:szCs w:val="32"/>
          <w:lang w:eastAsia="zh-CN"/>
        </w:rPr>
      </w:pPr>
    </w:p>
    <w:p w14:paraId="362126C9">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（一）财政拨款收入：</w:t>
      </w:r>
      <w:r>
        <w:rPr>
          <w:rFonts w:hint="eastAsia" w:ascii="仿宋_GB2312" w:hAnsi="宋体" w:eastAsia="仿宋_GB2312" w:cs="Times New Roman"/>
          <w:b w:val="0"/>
          <w:i w:val="0"/>
          <w:caps w:val="0"/>
          <w:color w:val="000000"/>
          <w:spacing w:val="0"/>
          <w:w w:val="100"/>
          <w:kern w:val="0"/>
          <w:sz w:val="32"/>
          <w:szCs w:val="32"/>
        </w:rPr>
        <w:t>本年度从本级财政部门取得的财政拨款，包括一般公共预算财政拨款和政府性基金预算财政拨款。</w:t>
      </w:r>
    </w:p>
    <w:p w14:paraId="44B868F2">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（二）事业收入：</w:t>
      </w:r>
      <w:r>
        <w:rPr>
          <w:rFonts w:hint="eastAsia" w:ascii="仿宋_GB2312" w:hAnsi="宋体" w:eastAsia="仿宋_GB2312" w:cs="Times New Roman"/>
          <w:b w:val="0"/>
          <w:i w:val="0"/>
          <w:caps w:val="0"/>
          <w:color w:val="000000"/>
          <w:spacing w:val="0"/>
          <w:w w:val="100"/>
          <w:kern w:val="0"/>
          <w:sz w:val="32"/>
          <w:szCs w:val="32"/>
        </w:rPr>
        <w:t>指事业单位开展专业业务活动及辅助活动所取得的收入。</w:t>
      </w:r>
    </w:p>
    <w:p w14:paraId="18325133">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（三）其他收入：</w:t>
      </w:r>
      <w:r>
        <w:rPr>
          <w:rFonts w:hint="eastAsia" w:ascii="仿宋_GB2312" w:hAnsi="宋体" w:eastAsia="仿宋_GB2312" w:cs="Times New Roman"/>
          <w:b w:val="0"/>
          <w:i w:val="0"/>
          <w:caps w:val="0"/>
          <w:color w:val="000000"/>
          <w:spacing w:val="0"/>
          <w:w w:val="100"/>
          <w:kern w:val="0"/>
          <w:sz w:val="32"/>
          <w:szCs w:val="32"/>
        </w:rPr>
        <w:t>指除上述“财政拨款收入”“事业收入”“经营收入”等以外的收入。</w:t>
      </w:r>
    </w:p>
    <w:p w14:paraId="46426E9F">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（四）用事业基金弥补收支差额：</w:t>
      </w:r>
      <w:r>
        <w:rPr>
          <w:rFonts w:hint="eastAsia" w:ascii="仿宋_GB2312" w:hAnsi="宋体" w:eastAsia="仿宋_GB2312" w:cs="Times New Roman"/>
          <w:b w:val="0"/>
          <w:i w:val="0"/>
          <w:caps w:val="0"/>
          <w:color w:val="000000"/>
          <w:spacing w:val="0"/>
          <w:w w:val="1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47C3F5C6">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（五）年初结转和结余：</w:t>
      </w:r>
      <w:r>
        <w:rPr>
          <w:rFonts w:hint="eastAsia" w:ascii="仿宋_GB2312" w:hAnsi="宋体" w:eastAsia="仿宋_GB2312" w:cs="Times New Roman"/>
          <w:b w:val="0"/>
          <w:i w:val="0"/>
          <w:caps w:val="0"/>
          <w:color w:val="000000"/>
          <w:spacing w:val="0"/>
          <w:w w:val="100"/>
          <w:kern w:val="0"/>
          <w:sz w:val="32"/>
          <w:szCs w:val="32"/>
        </w:rPr>
        <w:t>指以前年度尚未完成、结转到本年仍按原规定用途继续使用的资金，或项目已完成等产生的结余资金。</w:t>
      </w:r>
    </w:p>
    <w:p w14:paraId="371F2482">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（六）结余分配：</w:t>
      </w:r>
      <w:r>
        <w:rPr>
          <w:rFonts w:hint="eastAsia" w:ascii="仿宋_GB2312" w:hAnsi="宋体" w:eastAsia="仿宋_GB2312" w:cs="Times New Roman"/>
          <w:b w:val="0"/>
          <w:i w:val="0"/>
          <w:caps w:val="0"/>
          <w:color w:val="000000"/>
          <w:spacing w:val="0"/>
          <w:w w:val="100"/>
          <w:kern w:val="0"/>
          <w:sz w:val="32"/>
          <w:szCs w:val="32"/>
        </w:rPr>
        <w:t>指事业单位按照事业单位会计制度的规定从非财政补助结余中分配的事业基金和职工福利基金等。</w:t>
      </w:r>
    </w:p>
    <w:p w14:paraId="10F19E4D">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（七）年末结转和结余：</w:t>
      </w:r>
      <w:r>
        <w:rPr>
          <w:rFonts w:hint="eastAsia" w:ascii="仿宋_GB2312" w:hAnsi="宋体" w:eastAsia="仿宋_GB2312" w:cs="Times New Roman"/>
          <w:b w:val="0"/>
          <w:i w:val="0"/>
          <w:caps w:val="0"/>
          <w:color w:val="000000"/>
          <w:spacing w:val="0"/>
          <w:w w:val="100"/>
          <w:kern w:val="0"/>
          <w:sz w:val="32"/>
          <w:szCs w:val="32"/>
        </w:rPr>
        <w:t>指单位按有关规定结转到下年或以后年度继续使用的资金，或项目已完成等产生的结余资金。</w:t>
      </w:r>
    </w:p>
    <w:p w14:paraId="6BE568E8">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（八）基本支出：</w:t>
      </w:r>
      <w:r>
        <w:rPr>
          <w:rFonts w:hint="eastAsia" w:ascii="仿宋_GB2312" w:hAnsi="宋体" w:eastAsia="仿宋_GB2312" w:cs="Times New Roman"/>
          <w:b w:val="0"/>
          <w:i w:val="0"/>
          <w:caps w:val="0"/>
          <w:color w:val="000000"/>
          <w:spacing w:val="0"/>
          <w:w w:val="100"/>
          <w:kern w:val="0"/>
          <w:sz w:val="32"/>
          <w:szCs w:val="32"/>
        </w:rPr>
        <w:t>填列单位为保障机构正常运转、完成日常工作任务而发生的各项支出。</w:t>
      </w:r>
    </w:p>
    <w:p w14:paraId="19AFD3E9">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（九）项目支出：</w:t>
      </w:r>
      <w:r>
        <w:rPr>
          <w:rFonts w:hint="eastAsia" w:ascii="仿宋_GB2312" w:hAnsi="宋体" w:eastAsia="仿宋_GB2312" w:cs="Times New Roman"/>
          <w:b w:val="0"/>
          <w:i w:val="0"/>
          <w:caps w:val="0"/>
          <w:color w:val="000000"/>
          <w:spacing w:val="0"/>
          <w:w w:val="100"/>
          <w:kern w:val="0"/>
          <w:sz w:val="32"/>
          <w:szCs w:val="32"/>
        </w:rPr>
        <w:t>填列单位为完成特定的行政工作任务或事业发展目标，在基本支出之外发生的各项支出</w:t>
      </w:r>
    </w:p>
    <w:p w14:paraId="1C033EBE">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（十）基本建设支出：</w:t>
      </w:r>
      <w:r>
        <w:rPr>
          <w:rFonts w:hint="eastAsia" w:ascii="仿宋_GB2312" w:hAnsi="宋体" w:eastAsia="仿宋_GB2312" w:cs="Times New Roman"/>
          <w:b w:val="0"/>
          <w:i w:val="0"/>
          <w:caps w:val="0"/>
          <w:color w:val="000000"/>
          <w:spacing w:val="0"/>
          <w:w w:val="1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CCB305F">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（十一）其他资本性支出：</w:t>
      </w:r>
      <w:r>
        <w:rPr>
          <w:rFonts w:hint="eastAsia" w:ascii="仿宋_GB2312" w:hAnsi="宋体" w:eastAsia="仿宋_GB2312" w:cs="Times New Roman"/>
          <w:b w:val="0"/>
          <w:i w:val="0"/>
          <w:caps w:val="0"/>
          <w:color w:val="000000"/>
          <w:spacing w:val="0"/>
          <w:w w:val="1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251A246">
      <w:pPr>
        <w:keepLines w:val="0"/>
        <w:snapToGrid w:val="0"/>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（十二）“三公”经费：</w:t>
      </w:r>
      <w:r>
        <w:rPr>
          <w:rFonts w:hint="eastAsia" w:ascii="仿宋_GB2312" w:hAnsi="宋体" w:eastAsia="仿宋_GB2312" w:cs="Times New Roman"/>
          <w:b w:val="0"/>
          <w:i w:val="0"/>
          <w:caps w:val="0"/>
          <w:color w:val="000000"/>
          <w:spacing w:val="0"/>
          <w:w w:val="1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7757934">
      <w:pPr>
        <w:keepLines w:val="0"/>
        <w:snapToGrid w:val="0"/>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（十三）其他交通费用：</w:t>
      </w:r>
      <w:r>
        <w:rPr>
          <w:rFonts w:hint="eastAsia" w:ascii="仿宋_GB2312" w:hAnsi="宋体" w:eastAsia="仿宋_GB2312" w:cs="Times New Roman"/>
          <w:b w:val="0"/>
          <w:i w:val="0"/>
          <w:caps w:val="0"/>
          <w:color w:val="000000"/>
          <w:spacing w:val="0"/>
          <w:w w:val="100"/>
          <w:kern w:val="0"/>
          <w:sz w:val="32"/>
          <w:szCs w:val="32"/>
        </w:rPr>
        <w:t>填列单位除公务用车运行维护费以外的其他交通费用。如公务交通补贴、租车费用、出租车费用，飞机、船舶等燃料费、维修费、保险费等。</w:t>
      </w:r>
    </w:p>
    <w:p w14:paraId="5445FB41">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（十四）公务用车购置：</w:t>
      </w:r>
      <w:r>
        <w:rPr>
          <w:rFonts w:hint="eastAsia" w:ascii="仿宋_GB2312" w:hAnsi="宋体" w:eastAsia="仿宋_GB2312" w:cs="Times New Roman"/>
          <w:b w:val="0"/>
          <w:i w:val="0"/>
          <w:caps w:val="0"/>
          <w:color w:val="000000"/>
          <w:spacing w:val="0"/>
          <w:w w:val="100"/>
          <w:kern w:val="0"/>
          <w:sz w:val="32"/>
          <w:szCs w:val="32"/>
        </w:rPr>
        <w:t>填列单位公务用车车辆购置支出（含车辆购置税、牌照费）。</w:t>
      </w:r>
    </w:p>
    <w:p w14:paraId="75A1B649">
      <w:pPr>
        <w:keepLines w:val="0"/>
        <w:widowControl/>
        <w:snapToGrid/>
        <w:spacing w:before="0" w:beforeAutospacing="0" w:after="0" w:afterAutospacing="0" w:line="600" w:lineRule="exact"/>
        <w:ind w:firstLine="643" w:firstLineChars="200"/>
        <w:jc w:val="both"/>
        <w:textAlignment w:val="baseline"/>
        <w:rPr>
          <w:rFonts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（十五）其他交通工具购置：</w:t>
      </w:r>
      <w:r>
        <w:rPr>
          <w:rFonts w:hint="eastAsia" w:ascii="仿宋_GB2312" w:hAnsi="宋体" w:eastAsia="仿宋_GB2312" w:cs="Times New Roman"/>
          <w:b w:val="0"/>
          <w:i w:val="0"/>
          <w:caps w:val="0"/>
          <w:color w:val="000000"/>
          <w:spacing w:val="0"/>
          <w:w w:val="100"/>
          <w:kern w:val="0"/>
          <w:sz w:val="32"/>
          <w:szCs w:val="32"/>
        </w:rPr>
        <w:t>填列单位除公务用车外的其他各类交通工具（如船舶、飞机等）购置支出（含车辆购置税、牌照费）。</w:t>
      </w:r>
    </w:p>
    <w:p w14:paraId="40241A90">
      <w:pPr>
        <w:keepLines w:val="0"/>
        <w:widowControl/>
        <w:snapToGrid/>
        <w:spacing w:before="0" w:beforeAutospacing="0" w:after="0" w:afterAutospacing="0" w:line="600" w:lineRule="exact"/>
        <w:ind w:firstLine="643" w:firstLineChars="200"/>
        <w:jc w:val="both"/>
        <w:textAlignment w:val="baseline"/>
        <w:rPr>
          <w:rFonts w:hint="eastAsia" w:ascii="仿宋_GB2312" w:hAnsi="宋体" w:eastAsia="仿宋_GB2312" w:cs="Times New Roman"/>
          <w:b w:val="0"/>
          <w:i w:val="0"/>
          <w:caps w:val="0"/>
          <w:color w:val="000000"/>
          <w:spacing w:val="0"/>
          <w:w w:val="100"/>
          <w:kern w:val="0"/>
          <w:sz w:val="32"/>
          <w:szCs w:val="32"/>
        </w:rPr>
      </w:pPr>
      <w:r>
        <w:rPr>
          <w:rFonts w:hint="eastAsia" w:ascii="仿宋_GB2312" w:hAnsi="宋体" w:eastAsia="仿宋_GB2312" w:cs="Times New Roman"/>
          <w:b/>
          <w:bCs/>
          <w:i w:val="0"/>
          <w:caps w:val="0"/>
          <w:color w:val="000000"/>
          <w:spacing w:val="0"/>
          <w:w w:val="100"/>
          <w:kern w:val="0"/>
          <w:sz w:val="32"/>
          <w:szCs w:val="32"/>
        </w:rPr>
        <w:t>（十六）机关运行经费：</w:t>
      </w:r>
      <w:r>
        <w:rPr>
          <w:rFonts w:hint="eastAsia" w:ascii="仿宋_GB2312" w:hAnsi="宋体" w:eastAsia="仿宋_GB2312" w:cs="Times New Roman"/>
          <w:b w:val="0"/>
          <w:i w:val="0"/>
          <w:caps w:val="0"/>
          <w:color w:val="000000"/>
          <w:spacing w:val="0"/>
          <w:w w:val="1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E6B9F43">
      <w:pPr>
        <w:tabs>
          <w:tab w:val="left" w:pos="235"/>
        </w:tabs>
        <w:snapToGrid/>
        <w:spacing w:before="0" w:beforeAutospacing="0" w:after="0" w:afterAutospacing="0" w:line="240" w:lineRule="auto"/>
        <w:ind w:firstLine="643" w:firstLineChars="200"/>
        <w:jc w:val="left"/>
        <w:textAlignment w:val="baseline"/>
        <w:rPr>
          <w:b w:val="0"/>
          <w:i w:val="0"/>
          <w:caps w:val="0"/>
          <w:spacing w:val="0"/>
          <w:w w:val="100"/>
          <w:sz w:val="20"/>
        </w:rPr>
      </w:pPr>
      <w:r>
        <w:rPr>
          <w:rFonts w:hint="eastAsia" w:ascii="仿宋_GB2312" w:hAnsi="宋体" w:eastAsia="仿宋_GB2312" w:cs="Times New Roman"/>
          <w:b/>
          <w:bCs/>
          <w:i w:val="0"/>
          <w:caps w:val="0"/>
          <w:color w:val="000000"/>
          <w:spacing w:val="0"/>
          <w:w w:val="100"/>
          <w:kern w:val="0"/>
          <w:sz w:val="32"/>
          <w:szCs w:val="32"/>
        </w:rPr>
        <w:t>（十七）经费形式:</w:t>
      </w:r>
      <w:r>
        <w:rPr>
          <w:rFonts w:hint="eastAsia" w:ascii="仿宋_GB2312" w:hAnsi="宋体" w:eastAsia="仿宋_GB2312" w:cs="Times New Roman"/>
          <w:b w:val="0"/>
          <w:i w:val="0"/>
          <w:caps w:val="0"/>
          <w:color w:val="000000"/>
          <w:spacing w:val="0"/>
          <w:w w:val="100"/>
          <w:kern w:val="0"/>
          <w:sz w:val="32"/>
          <w:szCs w:val="32"/>
        </w:rPr>
        <w:t>按照经费来源，</w:t>
      </w:r>
      <w:r>
        <w:rPr>
          <w:rFonts w:hint="eastAsia" w:ascii="仿宋_GB2312" w:hAnsi="Cambria" w:eastAsia="仿宋_GB2312" w:cs="ArialUnicodeMS"/>
          <w:b w:val="0"/>
          <w:i w:val="0"/>
          <w:caps w:val="0"/>
          <w:spacing w:val="0"/>
          <w:w w:val="100"/>
          <w:kern w:val="0"/>
          <w:sz w:val="32"/>
          <w:szCs w:val="32"/>
        </w:rPr>
        <w:t>可分为财政拨款、财政性资金基本保证、财政性资金定额或定项补助、财政性资金零补助四类。</w:t>
      </w:r>
    </w:p>
    <w:p w14:paraId="6CDAC37C">
      <w:pPr>
        <w:tabs>
          <w:tab w:val="left" w:pos="235"/>
        </w:tabs>
        <w:snapToGrid/>
        <w:spacing w:before="0" w:beforeAutospacing="0" w:after="0" w:afterAutospacing="0" w:line="240" w:lineRule="auto"/>
        <w:jc w:val="left"/>
        <w:textAlignment w:val="baseline"/>
        <w:rPr>
          <w:b w:val="0"/>
          <w:i w:val="0"/>
          <w:caps w:val="0"/>
          <w:spacing w:val="0"/>
          <w:w w:val="100"/>
          <w:sz w:val="20"/>
        </w:rPr>
      </w:pPr>
    </w:p>
    <w:p w14:paraId="1457425E">
      <w:pPr>
        <w:tabs>
          <w:tab w:val="left" w:pos="235"/>
        </w:tabs>
        <w:snapToGrid/>
        <w:spacing w:before="0" w:beforeAutospacing="0" w:after="0" w:afterAutospacing="0" w:line="240" w:lineRule="auto"/>
        <w:jc w:val="left"/>
        <w:textAlignment w:val="baseline"/>
        <w:rPr>
          <w:b w:val="0"/>
          <w:i w:val="0"/>
          <w:caps w:val="0"/>
          <w:spacing w:val="0"/>
          <w:w w:val="100"/>
          <w:sz w:val="20"/>
        </w:rPr>
      </w:pPr>
    </w:p>
    <w:p w14:paraId="5D42DA1A">
      <w:pPr>
        <w:tabs>
          <w:tab w:val="left" w:pos="235"/>
        </w:tabs>
        <w:snapToGrid/>
        <w:spacing w:before="0" w:beforeAutospacing="0" w:after="0" w:afterAutospacing="0" w:line="240" w:lineRule="auto"/>
        <w:jc w:val="left"/>
        <w:textAlignment w:val="baseline"/>
        <w:rPr>
          <w:b w:val="0"/>
          <w:i w:val="0"/>
          <w:caps w:val="0"/>
          <w:spacing w:val="0"/>
          <w:w w:val="100"/>
          <w:sz w:val="20"/>
        </w:rPr>
      </w:pPr>
    </w:p>
    <w:p w14:paraId="6E2115F1">
      <w:pPr>
        <w:tabs>
          <w:tab w:val="left" w:pos="235"/>
        </w:tabs>
        <w:snapToGrid/>
        <w:spacing w:before="0" w:beforeAutospacing="0" w:after="0" w:afterAutospacing="0" w:line="240" w:lineRule="auto"/>
        <w:jc w:val="left"/>
        <w:textAlignment w:val="baseline"/>
        <w:rPr>
          <w:b w:val="0"/>
          <w:i w:val="0"/>
          <w:caps w:val="0"/>
          <w:spacing w:val="0"/>
          <w:w w:val="100"/>
          <w:sz w:val="20"/>
        </w:rPr>
      </w:pPr>
    </w:p>
    <w:p w14:paraId="0DF30FD9">
      <w:pPr>
        <w:tabs>
          <w:tab w:val="left" w:pos="235"/>
        </w:tabs>
        <w:snapToGrid/>
        <w:spacing w:before="0" w:beforeAutospacing="0" w:after="0" w:afterAutospacing="0" w:line="240" w:lineRule="auto"/>
        <w:jc w:val="left"/>
        <w:textAlignment w:val="baseline"/>
        <w:rPr>
          <w:b w:val="0"/>
          <w:i w:val="0"/>
          <w:caps w:val="0"/>
          <w:spacing w:val="0"/>
          <w:w w:val="100"/>
          <w:sz w:val="20"/>
        </w:rPr>
        <w:sectPr>
          <w:headerReference r:id="rId22" w:type="default"/>
          <w:pgSz w:w="11906" w:h="16838"/>
          <w:pgMar w:top="2098" w:right="1474" w:bottom="1985" w:left="1588" w:header="851" w:footer="992" w:gutter="0"/>
          <w:pgNumType w:fmt="numberInDash"/>
          <w:cols w:space="425" w:num="1"/>
          <w:docGrid w:type="lines" w:linePitch="312" w:charSpace="0"/>
        </w:sectPr>
      </w:pPr>
    </w:p>
    <w:p w14:paraId="4B324278">
      <w:pPr>
        <w:snapToGrid/>
        <w:spacing w:before="0" w:beforeAutospacing="0" w:after="0" w:afterAutospacing="0" w:line="240" w:lineRule="auto"/>
        <w:jc w:val="both"/>
        <w:textAlignment w:val="baseline"/>
        <w:rPr>
          <w:b w:val="0"/>
          <w:i w:val="0"/>
          <w:caps w:val="0"/>
          <w:spacing w:val="0"/>
          <w:w w:val="100"/>
          <w:sz w:val="20"/>
        </w:rPr>
      </w:pPr>
    </w:p>
    <w:p w14:paraId="1F8AA18B">
      <w:pPr>
        <w:tabs>
          <w:tab w:val="left" w:pos="235"/>
        </w:tabs>
        <w:snapToGrid/>
        <w:spacing w:before="0" w:beforeAutospacing="0" w:after="0" w:afterAutospacing="0" w:line="240" w:lineRule="auto"/>
        <w:jc w:val="left"/>
        <w:textAlignment w:val="baseline"/>
        <w:rPr>
          <w:b w:val="0"/>
          <w:i w:val="0"/>
          <w:caps w:val="0"/>
          <w:spacing w:val="0"/>
          <w:w w:val="100"/>
          <w:sz w:val="20"/>
        </w:rPr>
        <w:sectPr>
          <w:headerReference r:id="rId23" w:type="default"/>
          <w:pgSz w:w="11906" w:h="16838"/>
          <w:pgMar w:top="2098" w:right="1474" w:bottom="1985" w:left="1588" w:header="851" w:footer="992" w:gutter="0"/>
          <w:pgNumType w:fmt="numberInDash"/>
          <w:cols w:space="425" w:num="1"/>
          <w:docGrid w:type="lines" w:linePitch="312" w:charSpace="0"/>
        </w:sectPr>
      </w:pPr>
      <w:r>
        <w:rPr>
          <w:b w:val="0"/>
          <w:i w:val="0"/>
          <w:caps w:val="0"/>
          <w:spacing w:val="0"/>
          <w:w w:val="100"/>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451B8081">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6B62D7B2">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p w14:paraId="73DC5200">
                            <w:pPr>
                              <w:widowControl/>
                              <w:jc w:val="cente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C6E1369">
                            <w:pPr>
                              <w:widowControl/>
                              <w:jc w:val="cente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A2574F1">
                            <w:pPr>
                              <w:widowControl/>
                              <w:jc w:val="cente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F92122C">
                            <w:pPr>
                              <w:widowControl/>
                              <w:jc w:val="cente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见附表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14:paraId="451B8081">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6B62D7B2">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p w14:paraId="73DC5200">
                      <w:pPr>
                        <w:widowControl/>
                        <w:jc w:val="cente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C6E1369">
                      <w:pPr>
                        <w:widowControl/>
                        <w:jc w:val="cente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A2574F1">
                      <w:pPr>
                        <w:widowControl/>
                        <w:jc w:val="cente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F92122C">
                      <w:pPr>
                        <w:widowControl/>
                        <w:jc w:val="cente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见附表</w:t>
                      </w:r>
                    </w:p>
                  </w:txbxContent>
                </v:textbox>
              </v:shape>
            </w:pict>
          </mc:Fallback>
        </mc:AlternateContent>
      </w:r>
    </w:p>
    <w:p w14:paraId="021B4E52">
      <w:pPr>
        <w:widowControl/>
        <w:snapToGrid/>
        <w:spacing w:before="0" w:beforeAutospacing="0" w:after="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一、收入支出决算总表</w:t>
      </w:r>
      <w:r>
        <w:rPr>
          <w:rFonts w:hint="eastAsia" w:eastAsia="仿宋_GB2312"/>
          <w:b w:val="0"/>
          <w:i w:val="0"/>
          <w:caps w:val="0"/>
          <w:spacing w:val="0"/>
          <w:w w:val="100"/>
          <w:sz w:val="32"/>
          <w:szCs w:val="32"/>
          <w:lang w:val="en-US" w:eastAsia="zh-CN"/>
        </w:rPr>
        <w:t>(公开01表)</w:t>
      </w:r>
    </w:p>
    <w:p w14:paraId="2046AA62">
      <w:pPr>
        <w:widowControl/>
        <w:snapToGrid/>
        <w:spacing w:before="0" w:beforeAutospacing="0" w:after="0" w:afterAutospacing="0" w:line="580" w:lineRule="exact"/>
        <w:ind w:left="640" w:firstLine="640" w:firstLineChars="200"/>
        <w:jc w:val="both"/>
        <w:textAlignment w:val="baseline"/>
        <w:rPr>
          <w:rFonts w:hint="default" w:eastAsia="仿宋_GB2312"/>
          <w:b w:val="0"/>
          <w:i w:val="0"/>
          <w:caps w:val="0"/>
          <w:spacing w:val="0"/>
          <w:w w:val="100"/>
          <w:sz w:val="32"/>
          <w:szCs w:val="32"/>
          <w:lang w:val="en-US" w:eastAsia="zh-CN"/>
        </w:rPr>
      </w:pPr>
      <w:r>
        <w:rPr>
          <w:rFonts w:eastAsia="仿宋_GB2312"/>
          <w:b w:val="0"/>
          <w:i w:val="0"/>
          <w:caps w:val="0"/>
          <w:spacing w:val="0"/>
          <w:w w:val="100"/>
          <w:sz w:val="32"/>
          <w:szCs w:val="32"/>
        </w:rPr>
        <w:t>二、收入决算表</w:t>
      </w:r>
      <w:r>
        <w:rPr>
          <w:rFonts w:hint="eastAsia" w:eastAsia="仿宋_GB2312"/>
          <w:b w:val="0"/>
          <w:i w:val="0"/>
          <w:caps w:val="0"/>
          <w:spacing w:val="0"/>
          <w:w w:val="100"/>
          <w:sz w:val="32"/>
          <w:szCs w:val="32"/>
          <w:lang w:val="en-US" w:eastAsia="zh-CN"/>
        </w:rPr>
        <w:t>(公开02表)</w:t>
      </w:r>
    </w:p>
    <w:p w14:paraId="4F67B848">
      <w:pPr>
        <w:widowControl/>
        <w:snapToGrid/>
        <w:spacing w:before="0" w:beforeAutospacing="0" w:after="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三、支出决算表</w:t>
      </w:r>
      <w:r>
        <w:rPr>
          <w:rFonts w:hint="eastAsia" w:eastAsia="仿宋_GB2312"/>
          <w:b w:val="0"/>
          <w:i w:val="0"/>
          <w:caps w:val="0"/>
          <w:spacing w:val="0"/>
          <w:w w:val="100"/>
          <w:sz w:val="32"/>
          <w:szCs w:val="32"/>
          <w:lang w:val="en-US" w:eastAsia="zh-CN"/>
        </w:rPr>
        <w:t>(公开03表)</w:t>
      </w:r>
    </w:p>
    <w:p w14:paraId="1446742B">
      <w:pPr>
        <w:widowControl/>
        <w:snapToGrid/>
        <w:spacing w:before="0" w:beforeAutospacing="0" w:after="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四、财政拨款收入支出决算总表</w:t>
      </w:r>
      <w:r>
        <w:rPr>
          <w:rFonts w:hint="eastAsia" w:eastAsia="仿宋_GB2312"/>
          <w:b w:val="0"/>
          <w:i w:val="0"/>
          <w:caps w:val="0"/>
          <w:spacing w:val="0"/>
          <w:w w:val="100"/>
          <w:sz w:val="32"/>
          <w:szCs w:val="32"/>
          <w:lang w:val="en-US" w:eastAsia="zh-CN"/>
        </w:rPr>
        <w:t>(公开04表)</w:t>
      </w:r>
    </w:p>
    <w:p w14:paraId="3F70F4E8">
      <w:pPr>
        <w:widowControl/>
        <w:snapToGrid/>
        <w:spacing w:before="0" w:beforeAutospacing="0" w:after="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五、一般公共预算财政拨款支出决算表</w:t>
      </w:r>
      <w:r>
        <w:rPr>
          <w:rFonts w:hint="eastAsia" w:eastAsia="仿宋_GB2312"/>
          <w:b w:val="0"/>
          <w:i w:val="0"/>
          <w:caps w:val="0"/>
          <w:spacing w:val="0"/>
          <w:w w:val="100"/>
          <w:sz w:val="32"/>
          <w:szCs w:val="32"/>
          <w:lang w:val="en-US" w:eastAsia="zh-CN"/>
        </w:rPr>
        <w:t>(公开05表)</w:t>
      </w:r>
    </w:p>
    <w:p w14:paraId="6894E997">
      <w:pPr>
        <w:widowControl/>
        <w:snapToGrid/>
        <w:spacing w:before="0" w:beforeAutospacing="0" w:after="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六、一般公共预算财政拨款基本支出决算表</w:t>
      </w:r>
      <w:r>
        <w:rPr>
          <w:rFonts w:hint="eastAsia" w:eastAsia="仿宋_GB2312"/>
          <w:b w:val="0"/>
          <w:i w:val="0"/>
          <w:caps w:val="0"/>
          <w:spacing w:val="0"/>
          <w:w w:val="100"/>
          <w:sz w:val="32"/>
          <w:szCs w:val="32"/>
          <w:lang w:val="en-US" w:eastAsia="zh-CN"/>
        </w:rPr>
        <w:t>(公开06表)</w:t>
      </w:r>
    </w:p>
    <w:p w14:paraId="5ED530F5">
      <w:pPr>
        <w:widowControl/>
        <w:snapToGrid/>
        <w:spacing w:before="0" w:beforeAutospacing="0" w:after="0" w:afterAutospacing="0" w:line="580" w:lineRule="exact"/>
        <w:ind w:left="640" w:firstLine="640" w:firstLineChars="200"/>
        <w:jc w:val="both"/>
        <w:textAlignment w:val="baseline"/>
        <w:rPr>
          <w:rFonts w:hint="eastAsia" w:eastAsia="仿宋_GB2312"/>
          <w:b w:val="0"/>
          <w:i w:val="0"/>
          <w:caps w:val="0"/>
          <w:spacing w:val="0"/>
          <w:w w:val="100"/>
          <w:sz w:val="32"/>
          <w:szCs w:val="32"/>
          <w:lang w:val="en-US" w:eastAsia="zh-CN"/>
        </w:rPr>
      </w:pPr>
      <w:r>
        <w:rPr>
          <w:rFonts w:eastAsia="仿宋_GB2312"/>
          <w:b w:val="0"/>
          <w:i w:val="0"/>
          <w:caps w:val="0"/>
          <w:spacing w:val="0"/>
          <w:w w:val="100"/>
          <w:sz w:val="32"/>
          <w:szCs w:val="32"/>
        </w:rPr>
        <w:t>七、</w:t>
      </w:r>
      <w:r>
        <w:rPr>
          <w:rFonts w:hint="eastAsia" w:eastAsia="仿宋_GB2312"/>
          <w:b w:val="0"/>
          <w:i w:val="0"/>
          <w:caps w:val="0"/>
          <w:spacing w:val="0"/>
          <w:w w:val="100"/>
          <w:sz w:val="32"/>
          <w:szCs w:val="32"/>
        </w:rPr>
        <w:t>一般公共预算财政拨款</w:t>
      </w:r>
      <w:r>
        <w:rPr>
          <w:rFonts w:eastAsia="仿宋_GB2312"/>
          <w:b w:val="0"/>
          <w:i w:val="0"/>
          <w:caps w:val="0"/>
          <w:spacing w:val="0"/>
          <w:w w:val="100"/>
          <w:sz w:val="32"/>
          <w:szCs w:val="32"/>
        </w:rPr>
        <w:t>“三公”经费</w:t>
      </w:r>
      <w:r>
        <w:rPr>
          <w:rFonts w:hint="eastAsia" w:eastAsia="仿宋_GB2312"/>
          <w:b w:val="0"/>
          <w:i w:val="0"/>
          <w:caps w:val="0"/>
          <w:spacing w:val="0"/>
          <w:w w:val="100"/>
          <w:sz w:val="32"/>
          <w:szCs w:val="32"/>
        </w:rPr>
        <w:t>支出决算表</w:t>
      </w:r>
      <w:r>
        <w:rPr>
          <w:rFonts w:hint="eastAsia" w:eastAsia="仿宋_GB2312"/>
          <w:b w:val="0"/>
          <w:i w:val="0"/>
          <w:caps w:val="0"/>
          <w:spacing w:val="0"/>
          <w:w w:val="100"/>
          <w:sz w:val="32"/>
          <w:szCs w:val="32"/>
          <w:lang w:val="en-US" w:eastAsia="zh-CN"/>
        </w:rPr>
        <w:t>(公开07表)</w:t>
      </w:r>
    </w:p>
    <w:p w14:paraId="6BD94D01">
      <w:pPr>
        <w:widowControl/>
        <w:snapToGrid/>
        <w:spacing w:before="0" w:beforeAutospacing="0" w:after="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八、</w:t>
      </w:r>
      <w:r>
        <w:rPr>
          <w:rFonts w:eastAsia="仿宋_GB2312"/>
          <w:b w:val="0"/>
          <w:i w:val="0"/>
          <w:caps w:val="0"/>
          <w:spacing w:val="0"/>
          <w:w w:val="100"/>
          <w:sz w:val="32"/>
          <w:szCs w:val="32"/>
        </w:rPr>
        <w:t>政府性基金预算财政拨款收入支出决算表</w:t>
      </w:r>
      <w:r>
        <w:rPr>
          <w:rFonts w:hint="eastAsia" w:eastAsia="仿宋_GB2312"/>
          <w:b w:val="0"/>
          <w:i w:val="0"/>
          <w:caps w:val="0"/>
          <w:spacing w:val="0"/>
          <w:w w:val="100"/>
          <w:sz w:val="32"/>
          <w:szCs w:val="32"/>
          <w:lang w:val="en-US" w:eastAsia="zh-CN"/>
        </w:rPr>
        <w:t>(公开08表)</w:t>
      </w:r>
    </w:p>
    <w:p w14:paraId="7A481F2E">
      <w:pPr>
        <w:widowControl/>
        <w:snapToGrid/>
        <w:spacing w:before="0" w:beforeAutospacing="0" w:after="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九</w:t>
      </w:r>
      <w:r>
        <w:rPr>
          <w:rFonts w:eastAsia="仿宋_GB2312"/>
          <w:b w:val="0"/>
          <w:i w:val="0"/>
          <w:caps w:val="0"/>
          <w:spacing w:val="0"/>
          <w:w w:val="100"/>
          <w:sz w:val="32"/>
          <w:szCs w:val="32"/>
        </w:rPr>
        <w:t>、国有资本经营预算</w:t>
      </w:r>
      <w:r>
        <w:rPr>
          <w:rFonts w:hint="eastAsia" w:eastAsia="仿宋_GB2312"/>
          <w:b w:val="0"/>
          <w:i w:val="0"/>
          <w:caps w:val="0"/>
          <w:spacing w:val="0"/>
          <w:w w:val="100"/>
          <w:sz w:val="32"/>
          <w:szCs w:val="32"/>
        </w:rPr>
        <w:t>财政拨款</w:t>
      </w:r>
      <w:r>
        <w:rPr>
          <w:rFonts w:eastAsia="仿宋_GB2312"/>
          <w:b w:val="0"/>
          <w:i w:val="0"/>
          <w:caps w:val="0"/>
          <w:spacing w:val="0"/>
          <w:w w:val="100"/>
          <w:sz w:val="32"/>
          <w:szCs w:val="32"/>
        </w:rPr>
        <w:t>支出决算表</w:t>
      </w:r>
      <w:r>
        <w:rPr>
          <w:rFonts w:hint="eastAsia" w:eastAsia="仿宋_GB2312"/>
          <w:b w:val="0"/>
          <w:i w:val="0"/>
          <w:caps w:val="0"/>
          <w:spacing w:val="0"/>
          <w:w w:val="100"/>
          <w:sz w:val="32"/>
          <w:szCs w:val="32"/>
          <w:lang w:val="en-US" w:eastAsia="zh-CN"/>
        </w:rPr>
        <w:t>(公开09表)</w:t>
      </w:r>
    </w:p>
    <w:p w14:paraId="4206F4F6">
      <w:pPr>
        <w:snapToGrid/>
        <w:spacing w:before="0" w:beforeAutospacing="0" w:after="0" w:afterAutospacing="0" w:line="240" w:lineRule="auto"/>
        <w:jc w:val="both"/>
        <w:textAlignment w:val="baseline"/>
        <w:rPr>
          <w:b w:val="0"/>
          <w:i w:val="0"/>
          <w:caps w:val="0"/>
          <w:spacing w:val="0"/>
          <w:w w:val="100"/>
          <w:sz w:val="20"/>
        </w:rPr>
      </w:pPr>
      <w:r>
        <w:rPr>
          <w:rFonts w:hint="eastAsia" w:ascii="仿宋_GB2312" w:hAnsi="宋体" w:eastAsia="仿宋_GB2312" w:cs="Times New Roman"/>
          <w:b w:val="0"/>
          <w:i w:val="0"/>
          <w:caps w:val="0"/>
          <w:color w:val="000000"/>
          <w:spacing w:val="0"/>
          <w:w w:val="100"/>
          <w:kern w:val="0"/>
          <w:sz w:val="32"/>
          <w:szCs w:val="32"/>
          <w:lang w:eastAsia="zh-CN"/>
        </w:rPr>
        <w:t>详见附表：《高邑县行政审批局</w:t>
      </w:r>
      <w:r>
        <w:rPr>
          <w:rFonts w:hint="eastAsia" w:ascii="仿宋_GB2312" w:hAnsi="宋体" w:eastAsia="仿宋_GB2312" w:cs="Times New Roman"/>
          <w:b w:val="0"/>
          <w:i w:val="0"/>
          <w:caps w:val="0"/>
          <w:color w:val="000000"/>
          <w:spacing w:val="0"/>
          <w:w w:val="100"/>
          <w:kern w:val="0"/>
          <w:sz w:val="32"/>
          <w:szCs w:val="32"/>
          <w:lang w:val="en-US" w:eastAsia="zh-CN"/>
        </w:rPr>
        <w:t>2019年度部门决算公开表</w:t>
      </w:r>
      <w:r>
        <w:rPr>
          <w:rFonts w:hint="eastAsia" w:ascii="仿宋_GB2312" w:hAnsi="宋体" w:eastAsia="仿宋_GB2312" w:cs="Times New Roman"/>
          <w:b w:val="0"/>
          <w:i w:val="0"/>
          <w:caps w:val="0"/>
          <w:color w:val="000000"/>
          <w:spacing w:val="0"/>
          <w:w w:val="100"/>
          <w:kern w:val="0"/>
          <w:sz w:val="32"/>
          <w:szCs w:val="32"/>
          <w:lang w:eastAsia="zh-CN"/>
        </w:rPr>
        <w:t>》。</w:t>
      </w:r>
    </w:p>
    <w:p w14:paraId="6A4F293B">
      <w:pPr>
        <w:snapToGrid/>
        <w:spacing w:before="0" w:beforeAutospacing="0" w:after="0" w:afterAutospacing="0" w:line="240" w:lineRule="auto"/>
        <w:jc w:val="both"/>
        <w:textAlignment w:val="baseline"/>
        <w:rPr>
          <w:b w:val="0"/>
          <w:i w:val="0"/>
          <w:caps w:val="0"/>
          <w:spacing w:val="0"/>
          <w:w w:val="100"/>
          <w:sz w:val="20"/>
        </w:rPr>
      </w:pPr>
      <w:r>
        <w:rPr>
          <w:b w:val="0"/>
          <w:i w:val="0"/>
          <w:caps w:val="0"/>
          <w:spacing w:val="0"/>
          <w:w w:val="100"/>
          <w:sz w:val="21"/>
        </w:rPr>
        <w:br w:type="page"/>
      </w:r>
    </w:p>
    <w:p w14:paraId="130243A6">
      <w:pPr>
        <w:snapToGrid/>
        <w:spacing w:before="0" w:beforeAutospacing="0" w:after="0" w:afterAutospacing="0" w:line="240" w:lineRule="auto"/>
        <w:jc w:val="both"/>
        <w:textAlignment w:val="baseline"/>
        <w:rPr>
          <w:b w:val="0"/>
          <w:i w:val="0"/>
          <w:caps w:val="0"/>
          <w:spacing w:val="0"/>
          <w:w w:val="100"/>
          <w:sz w:val="20"/>
        </w:rPr>
      </w:pPr>
    </w:p>
    <w:p w14:paraId="19DFF10E">
      <w:pPr>
        <w:snapToGrid/>
        <w:spacing w:before="0" w:beforeAutospacing="0" w:after="0" w:afterAutospacing="0" w:line="240" w:lineRule="auto"/>
        <w:jc w:val="both"/>
        <w:textAlignment w:val="baseline"/>
        <w:rPr>
          <w:b w:val="0"/>
          <w:i w:val="0"/>
          <w:caps w:val="0"/>
          <w:spacing w:val="0"/>
          <w:w w:val="100"/>
          <w:sz w:val="20"/>
        </w:rPr>
      </w:pPr>
      <w:r>
        <w:rPr>
          <w:b w:val="0"/>
          <w:i w:val="0"/>
          <w:caps w:val="0"/>
          <w:spacing w:val="0"/>
          <w:w w:val="100"/>
          <w:sz w:val="21"/>
        </w:rP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altName w:val="微软雅黑"/>
    <w:panose1 w:val="03000509000000000000"/>
    <w:charset w:val="86"/>
    <w:family w:val="script"/>
    <w:pitch w:val="default"/>
    <w:sig w:usb0="00000000" w:usb1="00000000" w:usb2="00000000" w:usb3="00000000" w:csb0="00000000"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_GBK">
    <w:altName w:val="宋体"/>
    <w:panose1 w:val="00000000000000000000"/>
    <w:charset w:val="86"/>
    <w:family w:val="roman"/>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FC0DE">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B1DDC">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7A9900">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9BA74">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C93D05">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6E8F82">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786E8F82">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05F27">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96E702">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6796E702">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DC9BFC">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AA80AE">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42AA80AE">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576D9">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2D441A">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522D441A">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46281">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521967">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19521967">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5EDA1F">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339CB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66339CB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81991">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0E378F">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650E378F">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17B4F">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D9828">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A2CBE0">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7143A871">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12A2CBE0">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7143A871">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CBE15">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DE767E">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6F1C12">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364B974"/>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1E6F1C12">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364B974"/>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3D739A">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43DE87">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6A43DE87">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DB9E8">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EBD93">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42368">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BEA271">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BFAE9">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7DFF8">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15BC27">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1E15BC27">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1E832">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23F237">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A23F237">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B94FA">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C0BA2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56C0BA2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222FFA"/>
    <w:multiLevelType w:val="singleLevel"/>
    <w:tmpl w:val="5F222FF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8"/>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2NTEzZmY1M2MxNmZkNDEwMWZmNDlkNzFhZWJjOWQ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3659E"/>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47192D"/>
    <w:rsid w:val="01F26075"/>
    <w:rsid w:val="028F69E0"/>
    <w:rsid w:val="03E63D7A"/>
    <w:rsid w:val="05640CB7"/>
    <w:rsid w:val="05717D4B"/>
    <w:rsid w:val="05B004B3"/>
    <w:rsid w:val="05B00A30"/>
    <w:rsid w:val="06B86095"/>
    <w:rsid w:val="080769E6"/>
    <w:rsid w:val="0823752D"/>
    <w:rsid w:val="08497595"/>
    <w:rsid w:val="08890BB6"/>
    <w:rsid w:val="0989515A"/>
    <w:rsid w:val="09F34D3F"/>
    <w:rsid w:val="0A074B0C"/>
    <w:rsid w:val="0A275CF5"/>
    <w:rsid w:val="0AFB35DC"/>
    <w:rsid w:val="0B011416"/>
    <w:rsid w:val="0B147A4C"/>
    <w:rsid w:val="0BDB6EC2"/>
    <w:rsid w:val="0BE10CE6"/>
    <w:rsid w:val="0C205F86"/>
    <w:rsid w:val="0CCE31AD"/>
    <w:rsid w:val="0D1C565D"/>
    <w:rsid w:val="0DDE6B5B"/>
    <w:rsid w:val="0F353573"/>
    <w:rsid w:val="11B15722"/>
    <w:rsid w:val="12E43C91"/>
    <w:rsid w:val="13E502A8"/>
    <w:rsid w:val="15655B2F"/>
    <w:rsid w:val="15955C10"/>
    <w:rsid w:val="16AD00C3"/>
    <w:rsid w:val="174941D6"/>
    <w:rsid w:val="17B464DF"/>
    <w:rsid w:val="18996450"/>
    <w:rsid w:val="18BB35D2"/>
    <w:rsid w:val="191243AD"/>
    <w:rsid w:val="19F0183C"/>
    <w:rsid w:val="1A4D0910"/>
    <w:rsid w:val="1BD50F62"/>
    <w:rsid w:val="1BE22690"/>
    <w:rsid w:val="1CEC4C1A"/>
    <w:rsid w:val="1DC001DA"/>
    <w:rsid w:val="1E454FB8"/>
    <w:rsid w:val="20AA3005"/>
    <w:rsid w:val="20C600D0"/>
    <w:rsid w:val="216A7BD8"/>
    <w:rsid w:val="217819FE"/>
    <w:rsid w:val="23A65459"/>
    <w:rsid w:val="24711E47"/>
    <w:rsid w:val="24761448"/>
    <w:rsid w:val="26D83462"/>
    <w:rsid w:val="276C26F7"/>
    <w:rsid w:val="27B02DF9"/>
    <w:rsid w:val="27C53170"/>
    <w:rsid w:val="28F47AB4"/>
    <w:rsid w:val="29B57FCE"/>
    <w:rsid w:val="29D9523C"/>
    <w:rsid w:val="2A46789B"/>
    <w:rsid w:val="2A850ED9"/>
    <w:rsid w:val="2A8715A0"/>
    <w:rsid w:val="2B240FC1"/>
    <w:rsid w:val="2B522F72"/>
    <w:rsid w:val="2C1332BB"/>
    <w:rsid w:val="2C2A085B"/>
    <w:rsid w:val="2CD34DD6"/>
    <w:rsid w:val="2D183384"/>
    <w:rsid w:val="2E6E68FA"/>
    <w:rsid w:val="30C826B1"/>
    <w:rsid w:val="30DE6EFA"/>
    <w:rsid w:val="31C2036A"/>
    <w:rsid w:val="31CF30E1"/>
    <w:rsid w:val="320D02A5"/>
    <w:rsid w:val="337A4A4D"/>
    <w:rsid w:val="3399588C"/>
    <w:rsid w:val="33EC6BE8"/>
    <w:rsid w:val="348E566F"/>
    <w:rsid w:val="34F07A2C"/>
    <w:rsid w:val="35134DD0"/>
    <w:rsid w:val="358A4CC8"/>
    <w:rsid w:val="35CF1BA6"/>
    <w:rsid w:val="36121829"/>
    <w:rsid w:val="36927664"/>
    <w:rsid w:val="36D76BDD"/>
    <w:rsid w:val="3713075E"/>
    <w:rsid w:val="38FD17CD"/>
    <w:rsid w:val="39134C84"/>
    <w:rsid w:val="39B211F9"/>
    <w:rsid w:val="39FE0857"/>
    <w:rsid w:val="3A226944"/>
    <w:rsid w:val="3AEE6A48"/>
    <w:rsid w:val="3B0E6F6D"/>
    <w:rsid w:val="3B7139B9"/>
    <w:rsid w:val="3C1620AA"/>
    <w:rsid w:val="3C614ADE"/>
    <w:rsid w:val="3C650F93"/>
    <w:rsid w:val="3D245CF1"/>
    <w:rsid w:val="3D8F080F"/>
    <w:rsid w:val="3DE04DC8"/>
    <w:rsid w:val="3DED20E1"/>
    <w:rsid w:val="3EA10DB6"/>
    <w:rsid w:val="3EA50EB6"/>
    <w:rsid w:val="3EDB2EBD"/>
    <w:rsid w:val="3F6C77EF"/>
    <w:rsid w:val="3FFE43FF"/>
    <w:rsid w:val="40AA0003"/>
    <w:rsid w:val="41043C50"/>
    <w:rsid w:val="41CA1302"/>
    <w:rsid w:val="425D1DE0"/>
    <w:rsid w:val="42EE6F33"/>
    <w:rsid w:val="43B428AA"/>
    <w:rsid w:val="443A16A9"/>
    <w:rsid w:val="44763884"/>
    <w:rsid w:val="44CE1FA4"/>
    <w:rsid w:val="451862FE"/>
    <w:rsid w:val="462A4BEE"/>
    <w:rsid w:val="464F0010"/>
    <w:rsid w:val="471C727D"/>
    <w:rsid w:val="47D92911"/>
    <w:rsid w:val="47DB44D1"/>
    <w:rsid w:val="48436008"/>
    <w:rsid w:val="487F73ED"/>
    <w:rsid w:val="48D510F0"/>
    <w:rsid w:val="48DB359E"/>
    <w:rsid w:val="48F4245E"/>
    <w:rsid w:val="49A91152"/>
    <w:rsid w:val="4A347EAE"/>
    <w:rsid w:val="4A7B2B49"/>
    <w:rsid w:val="4B1033DF"/>
    <w:rsid w:val="4B415D66"/>
    <w:rsid w:val="4B5936F0"/>
    <w:rsid w:val="4C093D0C"/>
    <w:rsid w:val="4C130878"/>
    <w:rsid w:val="4E200EEA"/>
    <w:rsid w:val="4F8C5D79"/>
    <w:rsid w:val="50020F77"/>
    <w:rsid w:val="509525E2"/>
    <w:rsid w:val="520641F0"/>
    <w:rsid w:val="520F3F33"/>
    <w:rsid w:val="520F5575"/>
    <w:rsid w:val="52600405"/>
    <w:rsid w:val="529B4319"/>
    <w:rsid w:val="52D46893"/>
    <w:rsid w:val="53105B04"/>
    <w:rsid w:val="53C5257D"/>
    <w:rsid w:val="544000B4"/>
    <w:rsid w:val="54710218"/>
    <w:rsid w:val="55077967"/>
    <w:rsid w:val="56FA3457"/>
    <w:rsid w:val="57354D3E"/>
    <w:rsid w:val="57773DD6"/>
    <w:rsid w:val="578B79AB"/>
    <w:rsid w:val="5A1F1415"/>
    <w:rsid w:val="5B5D7A70"/>
    <w:rsid w:val="5C6F1911"/>
    <w:rsid w:val="5CCD3FD5"/>
    <w:rsid w:val="5D125D80"/>
    <w:rsid w:val="5D2E197E"/>
    <w:rsid w:val="5D8F35E3"/>
    <w:rsid w:val="5E7F70E1"/>
    <w:rsid w:val="5ED91A4B"/>
    <w:rsid w:val="5F3C5802"/>
    <w:rsid w:val="5F6309B5"/>
    <w:rsid w:val="5F89797C"/>
    <w:rsid w:val="60075F90"/>
    <w:rsid w:val="600F0939"/>
    <w:rsid w:val="61A42931"/>
    <w:rsid w:val="61FA5F9D"/>
    <w:rsid w:val="62251EF5"/>
    <w:rsid w:val="63B1108F"/>
    <w:rsid w:val="64CD6910"/>
    <w:rsid w:val="64D42E9F"/>
    <w:rsid w:val="65266B6E"/>
    <w:rsid w:val="6547727B"/>
    <w:rsid w:val="6599688A"/>
    <w:rsid w:val="65C6418F"/>
    <w:rsid w:val="66443BBA"/>
    <w:rsid w:val="67132008"/>
    <w:rsid w:val="673C56C7"/>
    <w:rsid w:val="6789158D"/>
    <w:rsid w:val="67D81BA4"/>
    <w:rsid w:val="68181923"/>
    <w:rsid w:val="68721ABA"/>
    <w:rsid w:val="68B25370"/>
    <w:rsid w:val="699E3F0E"/>
    <w:rsid w:val="6A24331A"/>
    <w:rsid w:val="6AAF1C96"/>
    <w:rsid w:val="6B321313"/>
    <w:rsid w:val="6B7C7EFA"/>
    <w:rsid w:val="6BD0088B"/>
    <w:rsid w:val="6BF27F2E"/>
    <w:rsid w:val="6C08678F"/>
    <w:rsid w:val="6C307759"/>
    <w:rsid w:val="6C857225"/>
    <w:rsid w:val="6CDD04DC"/>
    <w:rsid w:val="6CF250D7"/>
    <w:rsid w:val="6D0E4526"/>
    <w:rsid w:val="6D2A4757"/>
    <w:rsid w:val="6E422B84"/>
    <w:rsid w:val="6FA921A0"/>
    <w:rsid w:val="715043F8"/>
    <w:rsid w:val="718F4A78"/>
    <w:rsid w:val="73A06238"/>
    <w:rsid w:val="741C293F"/>
    <w:rsid w:val="74654F58"/>
    <w:rsid w:val="747814E7"/>
    <w:rsid w:val="7520084C"/>
    <w:rsid w:val="75681757"/>
    <w:rsid w:val="75A346A8"/>
    <w:rsid w:val="76565886"/>
    <w:rsid w:val="7808427B"/>
    <w:rsid w:val="787E32F3"/>
    <w:rsid w:val="79713744"/>
    <w:rsid w:val="79A941A9"/>
    <w:rsid w:val="79B9382C"/>
    <w:rsid w:val="79D175AF"/>
    <w:rsid w:val="79E368B5"/>
    <w:rsid w:val="7B043B76"/>
    <w:rsid w:val="7BD12E7D"/>
    <w:rsid w:val="7C041A6A"/>
    <w:rsid w:val="7CDC6189"/>
    <w:rsid w:val="7DB91F1B"/>
    <w:rsid w:val="7E260C6D"/>
    <w:rsid w:val="7E327570"/>
    <w:rsid w:val="7E555A3E"/>
    <w:rsid w:val="7EA80079"/>
    <w:rsid w:val="7EA94884"/>
    <w:rsid w:val="7F56525C"/>
    <w:rsid w:val="7FD6558F"/>
    <w:rsid w:val="7FF77D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F:\Users\Administrator\Desktop\&#26032;&#24314;%20XLS%20&#24037;&#20316;&#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F:\Users\Administrator\Desktop\&#26032;&#24314;%20XLS%20&#24037;&#20316;&#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F:\Users\Administrator\Desktop\&#20010;&#20154;&#20107;&#39033;.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XLS%20&#24037;&#20316;&#34920;%20(6).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dministrator\Desktop\&#26032;&#24314;XLS%20&#24037;&#20316;&#34920;%20(6).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工作表.xls]Sheet3'!$A$1:$D$1</c:f>
              <c:strCache>
                <c:ptCount val="4"/>
                <c:pt idx="0">
                  <c:v>财政拨款收入</c:v>
                </c:pt>
                <c:pt idx="1">
                  <c:v>事业收入</c:v>
                </c:pt>
                <c:pt idx="2">
                  <c:v>经营收入</c:v>
                </c:pt>
                <c:pt idx="3">
                  <c:v>其他收入</c:v>
                </c:pt>
              </c:strCache>
            </c:strRef>
          </c:cat>
          <c:val>
            <c:numRef>
              <c:f>'[新建 XLS 工作表.xls]Sheet3'!$A$2:$D$2</c:f>
              <c:numCache>
                <c:formatCode>0.00%</c:formatCode>
                <c:ptCount val="4"/>
                <c:pt idx="0">
                  <c:v>1</c:v>
                </c:pt>
                <c:pt idx="1">
                  <c:v>0</c:v>
                </c:pt>
                <c:pt idx="2">
                  <c:v>0</c:v>
                </c:pt>
                <c:pt idx="3">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工作表.xls]Sheet3'!$A$1:$C$1</c:f>
              <c:strCache>
                <c:ptCount val="3"/>
                <c:pt idx="0">
                  <c:v>基本支出</c:v>
                </c:pt>
                <c:pt idx="1">
                  <c:v>项目支出</c:v>
                </c:pt>
                <c:pt idx="2">
                  <c:v>经营支出</c:v>
                </c:pt>
              </c:strCache>
            </c:strRef>
          </c:cat>
          <c:val>
            <c:numRef>
              <c:f>'[新建 XLS 工作表.xls]Sheet3'!$A$2:$C$2</c:f>
              <c:numCache>
                <c:formatCode>0.00%</c:formatCode>
                <c:ptCount val="3"/>
                <c:pt idx="0">
                  <c:v>0.6105</c:v>
                </c:pt>
                <c:pt idx="1">
                  <c:v>0.3895</c:v>
                </c:pt>
                <c:pt idx="2">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0954751131221719"/>
          <c:y val="0.76997245179063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[个人事项.xls]Sheet1!$C$44</c:f>
              <c:strCache>
                <c:ptCount val="1"/>
                <c:pt idx="0">
                  <c:v>收支（万元）</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[个人事项.xls]Sheet1!$B$45:$B$48</c:f>
              <c:strCache>
                <c:ptCount val="4"/>
                <c:pt idx="0">
                  <c:v>2019年收入</c:v>
                </c:pt>
                <c:pt idx="1">
                  <c:v>2018年收入</c:v>
                </c:pt>
                <c:pt idx="2">
                  <c:v>2019年支出</c:v>
                </c:pt>
                <c:pt idx="3">
                  <c:v>2018年支出</c:v>
                </c:pt>
              </c:strCache>
            </c:strRef>
          </c:cat>
          <c:val>
            <c:numRef>
              <c:f>[个人事项.xls]Sheet1!$C$45:$C$48</c:f>
              <c:numCache>
                <c:formatCode>General</c:formatCode>
                <c:ptCount val="4"/>
                <c:pt idx="0">
                  <c:v>357.95</c:v>
                </c:pt>
                <c:pt idx="1">
                  <c:v>243.94</c:v>
                </c:pt>
                <c:pt idx="2">
                  <c:v>361.85</c:v>
                </c:pt>
                <c:pt idx="3">
                  <c:v>244.84</c:v>
                </c:pt>
              </c:numCache>
            </c:numRef>
          </c:val>
        </c:ser>
        <c:dLbls>
          <c:showLegendKey val="0"/>
          <c:showVal val="1"/>
          <c:showCatName val="0"/>
          <c:showSerName val="0"/>
          <c:showPercent val="0"/>
          <c:showBubbleSize val="0"/>
        </c:dLbls>
        <c:gapWidth val="219"/>
        <c:overlap val="-27"/>
        <c:axId val="489333026"/>
        <c:axId val="767193071"/>
      </c:barChart>
      <c:catAx>
        <c:axId val="48933302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67193071"/>
        <c:crosses val="autoZero"/>
        <c:auto val="1"/>
        <c:lblAlgn val="ctr"/>
        <c:lblOffset val="100"/>
        <c:noMultiLvlLbl val="0"/>
      </c:catAx>
      <c:valAx>
        <c:axId val="767193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933302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'[新建XLS 工作表 (6).xls]Sheet1'!$D$4</c:f>
              <c:strCache>
                <c:ptCount val="1"/>
                <c:pt idx="0">
                  <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'[新建XLS 工作表 (6).xls]Sheet1'!$C$5:$C$8</c:f>
              <c:strCache>
                <c:ptCount val="4"/>
                <c:pt idx="0">
                  <c:v>收入预算数</c:v>
                </c:pt>
                <c:pt idx="1">
                  <c:v>收入决算数</c:v>
                </c:pt>
                <c:pt idx="2">
                  <c:v>支出预算数</c:v>
                </c:pt>
                <c:pt idx="3">
                  <c:v>支出决算数</c:v>
                </c:pt>
              </c:strCache>
            </c:strRef>
          </c:cat>
          <c:val>
            <c:numRef>
              <c:f>'[新建XLS 工作表 (6).xls]Sheet1'!$D$5:$D$8</c:f>
              <c:numCache>
                <c:formatCode>General</c:formatCode>
                <c:ptCount val="4"/>
                <c:pt idx="0">
                  <c:v>290.01</c:v>
                </c:pt>
                <c:pt idx="1">
                  <c:v>357.95</c:v>
                </c:pt>
                <c:pt idx="2">
                  <c:v>290.01</c:v>
                </c:pt>
                <c:pt idx="3">
                  <c:v>361.85</c:v>
                </c:pt>
              </c:numCache>
            </c:numRef>
          </c:val>
        </c:ser>
        <c:dLbls>
          <c:showLegendKey val="0"/>
          <c:showVal val="1"/>
          <c:showCatName val="0"/>
          <c:showSerName val="0"/>
          <c:showPercent val="0"/>
          <c:showBubbleSize val="0"/>
        </c:dLbls>
        <c:gapWidth val="219"/>
        <c:overlap val="-27"/>
        <c:axId val="652525672"/>
        <c:axId val="660627201"/>
      </c:barChart>
      <c:catAx>
        <c:axId val="65252567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627201"/>
        <c:crosses val="autoZero"/>
        <c:auto val="1"/>
        <c:lblAlgn val="ctr"/>
        <c:lblOffset val="100"/>
        <c:noMultiLvlLbl val="0"/>
      </c:catAx>
      <c:valAx>
        <c:axId val="66062720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52525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'[新建XLS 工作表 (6).xls]Sheet1'!$D$3</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'[新建XLS 工作表 (6).xls]Sheet1'!$C$4:$C$9</c:f>
              <c:strCache>
                <c:ptCount val="6"/>
                <c:pt idx="0">
                  <c:v>名称</c:v>
                </c:pt>
                <c:pt idx="1">
                  <c:v>一般公共服务（类）支出</c:v>
                </c:pt>
                <c:pt idx="2">
                  <c:v>社会保障和就业（类）支出</c:v>
                </c:pt>
                <c:pt idx="3">
                  <c:v>卫生健康支出</c:v>
                </c:pt>
                <c:pt idx="4">
                  <c:v>住房保障（类）支出</c:v>
                </c:pt>
              </c:strCache>
            </c:strRef>
          </c:cat>
          <c:val>
            <c:numRef>
              <c:f>'[新建XLS 工作表 (6).xls]Sheet1'!$D$4:$D$9</c:f>
              <c:numCache>
                <c:formatCode>General</c:formatCode>
                <c:ptCount val="6"/>
                <c:pt idx="0">
                  <c:v>0</c:v>
                </c:pt>
                <c:pt idx="1" c:formatCode="0.00%">
                  <c:v>0.7709</c:v>
                </c:pt>
                <c:pt idx="2" c:formatCode="0.00%">
                  <c:v>0.1179</c:v>
                </c:pt>
                <c:pt idx="3" c:formatCode="0.00%">
                  <c:v>0.0356</c:v>
                </c:pt>
                <c:pt idx="4" c:formatCode="0.00%">
                  <c:v>0.0756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26</Pages>
  <Words>6670</Words>
  <Characters>7137</Characters>
  <Lines>78</Lines>
  <Paragraphs>22</Paragraphs>
  <TotalTime>2</TotalTime>
  <ScaleCrop>false</ScaleCrop>
  <LinksUpToDate>false</LinksUpToDate>
  <CharactersWithSpaces>7267</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2020-10-29T00:58:00Z</cp:lastPrinted>
  <dcterms:modified xsi:type="dcterms:W3CDTF">2024-09-12T01:42:03Z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ADABF0784E0E4EA1B6E9430711D2A9DE</vt:lpwstr>
  </property>
</Properties>
</file>