
<file path=[Content_Types].xml><?xml version="1.0" encoding="utf-8"?>
<Types xmlns="http://schemas.openxmlformats.org/package/2006/content-types">
  <Default Extension="xml" ContentType="application/xml"/>
  <Default Extension="xls" ContentType="application/vnd.ms-excel"/>
  <Default Extension="jpeg" ContentType="image/jpeg"/>
  <Default Extension="JPG" ContentType="image/.jpg"/>
  <Default Extension="emf" ContentType="image/x-e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bCs/>
          <w:sz w:val="72"/>
          <w:szCs w:val="72"/>
        </w:rPr>
      </w:pPr>
      <w:r>
        <w:pict>
          <v:shape id="图片 7" o:spid="_x0000_s1026" o:spt="75" alt="wc ga" type="#_x0000_t75" style="position:absolute;left:0pt;margin-left:-78.75pt;margin-top:-106.7pt;height:850.15pt;width:596.6pt;z-index:-251656192;mso-width-relative:page;mso-height-relative:page;" filled="f" o:preferrelative="t" stroked="f" coordsize="21600,21600">
            <v:path/>
            <v:fill on="f" focussize="0,0"/>
            <v:stroke on="f" joinstyle="miter"/>
            <v:imagedata r:id="rId6" o:title=""/>
            <o:lock v:ext="edit" aspectratio="t"/>
          </v:shape>
        </w:pict>
      </w:r>
    </w:p>
    <w:p>
      <w:pPr>
        <w:widowControl/>
        <w:jc w:val="center"/>
        <w:rPr>
          <w:rFonts w:ascii="黑体" w:hAnsi="宋体" w:eastAsia="黑体"/>
          <w:color w:val="002060"/>
          <w:sz w:val="72"/>
          <w:szCs w:val="72"/>
        </w:rPr>
      </w:pPr>
      <w:r>
        <w:pict>
          <v:shape id="_x0000_s1027" o:spid="_x0000_s1027" o:spt="202" type="#_x0000_t202" style="position:absolute;left:0pt;margin-left:-83.1pt;margin-top:43.25pt;height:166.25pt;width:596.2pt;z-index:251659264;mso-width-relative:page;mso-height-relative:page;" filled="f" stroked="f" coordsize="21600,21600">
            <v:path/>
            <v:fill on="f" focussize="0,0"/>
            <v:stroke on="f" weight="0.5pt" joinstyle="miter"/>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s="黑体"/>
                      <w:color w:val="FDEFBE"/>
                      <w:sz w:val="96"/>
                      <w:szCs w:val="96"/>
                    </w:rPr>
                    <w:t>高邑县高邑镇人民政府</w:t>
                  </w:r>
                </w:p>
                <w:p>
                  <w:pPr>
                    <w:widowControl/>
                    <w:spacing w:line="1200" w:lineRule="exact"/>
                    <w:jc w:val="center"/>
                    <w:rPr>
                      <w:color w:val="FDEFBE"/>
                      <w:sz w:val="96"/>
                      <w:szCs w:val="96"/>
                    </w:rPr>
                  </w:pPr>
                  <w:r>
                    <w:rPr>
                      <w:rFonts w:ascii="黑体" w:hAnsi="宋体" w:eastAsia="黑体" w:cs="黑体"/>
                      <w:color w:val="FDEFBE"/>
                      <w:sz w:val="96"/>
                      <w:szCs w:val="96"/>
                    </w:rPr>
                    <w:t>2018</w:t>
                  </w:r>
                  <w:r>
                    <w:rPr>
                      <w:rFonts w:hint="eastAsia" w:ascii="黑体" w:hAnsi="宋体" w:eastAsia="黑体" w:cs="黑体"/>
                      <w:color w:val="FDEFBE"/>
                      <w:sz w:val="96"/>
                      <w:szCs w:val="96"/>
                    </w:rPr>
                    <w:t>年度部门决算</w:t>
                  </w:r>
                </w:p>
                <w:p>
                  <w:pPr>
                    <w:rPr>
                      <w:color w:val="FDEFBE"/>
                      <w:sz w:val="96"/>
                      <w:szCs w:val="96"/>
                    </w:rPr>
                  </w:pPr>
                </w:p>
              </w:txbxContent>
            </v:textbox>
          </v:shape>
        </w:pict>
      </w:r>
    </w:p>
    <w:p>
      <w:pPr>
        <w:widowControl/>
        <w:jc w:val="center"/>
        <w:rPr>
          <w:rFonts w:ascii="黑体" w:hAnsi="黑体" w:eastAsia="黑体"/>
          <w:b/>
          <w:bCs/>
          <w:sz w:val="72"/>
          <w:szCs w:val="72"/>
        </w:rPr>
      </w:pPr>
    </w:p>
    <w:p>
      <w:pPr>
        <w:widowControl/>
        <w:jc w:val="center"/>
        <w:rPr>
          <w:rFonts w:ascii="黑体" w:hAnsi="黑体" w:eastAsia="黑体"/>
          <w:b/>
          <w:bCs/>
          <w:sz w:val="72"/>
          <w:szCs w:val="72"/>
        </w:rPr>
      </w:pPr>
    </w:p>
    <w:p>
      <w:pPr>
        <w:widowControl/>
        <w:jc w:val="center"/>
        <w:rPr>
          <w:rFonts w:ascii="黑体" w:hAnsi="黑体" w:eastAsia="黑体"/>
          <w:b/>
          <w:bCs/>
          <w:sz w:val="72"/>
          <w:szCs w:val="72"/>
        </w:rPr>
      </w:pPr>
    </w:p>
    <w:p>
      <w:pPr>
        <w:widowControl/>
        <w:jc w:val="center"/>
        <w:rPr>
          <w:rFonts w:ascii="黑体" w:hAnsi="黑体" w:eastAsia="黑体"/>
          <w:b/>
          <w:bCs/>
          <w:sz w:val="72"/>
          <w:szCs w:val="72"/>
        </w:rPr>
      </w:pPr>
    </w:p>
    <w:p>
      <w:pPr>
        <w:widowControl/>
        <w:jc w:val="center"/>
        <w:rPr>
          <w:rFonts w:ascii="黑体" w:hAnsi="黑体" w:eastAsia="黑体"/>
          <w:b/>
          <w:bCs/>
          <w:sz w:val="72"/>
          <w:szCs w:val="72"/>
        </w:rPr>
      </w:pPr>
    </w:p>
    <w:p>
      <w:pPr>
        <w:widowControl/>
        <w:jc w:val="center"/>
        <w:rPr>
          <w:rFonts w:ascii="黑体" w:hAnsi="黑体" w:eastAsia="黑体"/>
          <w:b/>
          <w:bCs/>
          <w:sz w:val="72"/>
          <w:szCs w:val="72"/>
        </w:rPr>
      </w:pPr>
    </w:p>
    <w:p>
      <w:pPr>
        <w:widowControl/>
        <w:jc w:val="center"/>
        <w:rPr>
          <w:rFonts w:ascii="黑体" w:hAnsi="黑体" w:eastAsia="黑体"/>
          <w:b/>
          <w:bCs/>
          <w:sz w:val="72"/>
          <w:szCs w:val="72"/>
        </w:rPr>
      </w:pPr>
    </w:p>
    <w:p>
      <w:pPr>
        <w:widowControl/>
        <w:jc w:val="center"/>
        <w:rPr>
          <w:rFonts w:ascii="黑体" w:hAnsi="黑体" w:eastAsia="黑体"/>
          <w:b/>
          <w:bCs/>
          <w:sz w:val="72"/>
          <w:szCs w:val="72"/>
        </w:rPr>
      </w:pPr>
    </w:p>
    <w:p>
      <w:pPr>
        <w:widowControl/>
        <w:jc w:val="center"/>
        <w:rPr>
          <w:rFonts w:ascii="楷体" w:hAnsi="楷体" w:eastAsia="楷体"/>
          <w:b/>
          <w:bCs/>
          <w:sz w:val="40"/>
          <w:szCs w:val="40"/>
        </w:rPr>
      </w:pPr>
    </w:p>
    <w:p>
      <w:pPr>
        <w:widowControl/>
        <w:jc w:val="center"/>
        <w:rPr>
          <w:rFonts w:ascii="楷体_GB2312" w:hAnsi="楷体" w:eastAsia="楷体_GB2312"/>
          <w:b/>
          <w:bCs/>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_GB2312"/>
          <w:b/>
          <w:bCs/>
          <w:sz w:val="40"/>
          <w:szCs w:val="40"/>
        </w:rPr>
        <w:t>二</w:t>
      </w:r>
      <w:r>
        <w:rPr>
          <w:rFonts w:hint="eastAsia" w:ascii="宋体" w:hAnsi="宋体" w:cs="宋体"/>
          <w:b/>
          <w:bCs/>
          <w:sz w:val="40"/>
          <w:szCs w:val="40"/>
        </w:rPr>
        <w:t>〇</w:t>
      </w:r>
      <w:r>
        <w:rPr>
          <w:rFonts w:hint="eastAsia" w:ascii="楷体_GB2312" w:hAnsi="楷体_GB2312" w:eastAsia="楷体_GB2312" w:cs="楷体_GB2312"/>
          <w:b/>
          <w:bCs/>
          <w:sz w:val="40"/>
          <w:szCs w:val="40"/>
        </w:rPr>
        <w:t>一九年十</w:t>
      </w:r>
      <w:r>
        <w:rPr>
          <w:rFonts w:hint="eastAsia" w:ascii="楷体_GB2312" w:hAnsi="楷体" w:eastAsia="楷体_GB2312" w:cs="楷体_GB2312"/>
          <w:b/>
          <w:bCs/>
          <w:sz w:val="40"/>
          <w:szCs w:val="40"/>
        </w:rPr>
        <w:t>月八日</w:t>
      </w:r>
    </w:p>
    <w:p>
      <w:pPr>
        <w:widowControl/>
        <w:spacing w:after="0" w:line="600" w:lineRule="exact"/>
        <w:jc w:val="left"/>
        <w:rPr>
          <w:rFonts w:ascii="楷体" w:hAnsi="楷体" w:eastAsia="楷体"/>
          <w:sz w:val="32"/>
          <w:szCs w:val="32"/>
          <w:highlight w:val="yellow"/>
        </w:rPr>
      </w:pPr>
    </w:p>
    <w:p>
      <w:pPr>
        <w:spacing w:beforeLines="200" w:after="0" w:line="1000" w:lineRule="exact"/>
        <w:jc w:val="center"/>
        <w:rPr>
          <w:rFonts w:ascii="黑体" w:eastAsia="黑体"/>
          <w:sz w:val="48"/>
          <w:szCs w:val="48"/>
        </w:rPr>
      </w:pPr>
      <w:r>
        <w:pict>
          <v:group id="_x0000_s1028" o:spid="_x0000_s1028" o:spt="203" style="position:absolute;left:0pt;margin-left:-80.8pt;margin-top:39.95pt;height:46.7pt;width:250.05pt;mso-position-vertical-relative:page;z-index:251659264;mso-width-relative:page;mso-height-relative:page;" coordorigin="4551,52615" coordsize="8546,1398" o:allowoverlap="f">
            <o:lock v:ext="edit"/>
            <v:rect id="矩形 13" o:spid="_x0000_s1029" o:spt="1" style="position:absolute;left:4551;top:52615;height:1175;width:8546;v-text-anchor:middle;" fillcolor="#D9D9D9" filled="t" stroked="f" coordsize="21600,21600">
              <v:path/>
              <v:fill on="t" focussize="0,0"/>
              <v:stroke on="f" weight="2pt"/>
              <v:imagedata o:title=""/>
              <o:lock v:ext="edit"/>
            </v:rect>
            <v:rect id="矩形 14" o:spid="_x0000_s1030" o:spt="1" style="position:absolute;left:4577;top:52890;height:1123;width:8324;v-text-anchor:middle;" fillcolor="#AD002D" filled="t" stroked="t" coordsize="21600,21600">
              <v:path/>
              <v:fill on="t" focussize="0,0"/>
              <v:stroke weight="2pt" color="#B0761F" joinstyle="round"/>
              <v:imagedata o:title=""/>
              <o:lock v:ext="edit"/>
              <v:textbox>
                <w:txbxContent/>
              </v:textbox>
            </v:rect>
            <w10:anchorlock/>
          </v:group>
        </w:pict>
      </w:r>
      <w:r>
        <w:rPr>
          <w:rFonts w:hint="eastAsia" w:ascii="黑体" w:eastAsia="黑体" w:cs="黑体"/>
          <w:sz w:val="48"/>
          <w:szCs w:val="48"/>
        </w:rPr>
        <w:t>目</w:t>
      </w:r>
      <w:r>
        <w:rPr>
          <w:rFonts w:ascii="黑体" w:eastAsia="黑体" w:cs="黑体"/>
          <w:sz w:val="48"/>
          <w:szCs w:val="48"/>
        </w:rPr>
        <w:t xml:space="preserve">    </w:t>
      </w:r>
      <w:r>
        <w:rPr>
          <w:rFonts w:hint="eastAsia" w:ascii="黑体" w:eastAsia="黑体" w:cs="黑体"/>
          <w:sz w:val="48"/>
          <w:szCs w:val="48"/>
        </w:rPr>
        <w:t>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24"/>
        </w:rPr>
      </w:pPr>
      <w:r>
        <w:rPr>
          <w:rFonts w:hint="eastAsia" w:eastAsia="黑体" w:cs="黑体"/>
          <w:sz w:val="32"/>
          <w:szCs w:val="32"/>
        </w:rPr>
        <w:t>第一部分</w:t>
      </w:r>
      <w:r>
        <w:rPr>
          <w:rFonts w:eastAsia="黑体"/>
          <w:sz w:val="32"/>
          <w:szCs w:val="32"/>
        </w:rPr>
        <w:t xml:space="preserve">   </w:t>
      </w:r>
      <w:r>
        <w:rPr>
          <w:rFonts w:hint="eastAsia" w:eastAsia="黑体" w:cs="黑体"/>
          <w:sz w:val="32"/>
          <w:szCs w:val="32"/>
        </w:rPr>
        <w:t>部门概况</w:t>
      </w:r>
    </w:p>
    <w:p>
      <w:pPr>
        <w:widowControl/>
        <w:spacing w:line="580" w:lineRule="exact"/>
        <w:ind w:firstLine="1273" w:firstLineChars="398"/>
        <w:rPr>
          <w:rFonts w:eastAsia="仿宋_GB2312"/>
          <w:sz w:val="32"/>
          <w:szCs w:val="32"/>
        </w:rPr>
      </w:pPr>
      <w:r>
        <w:rPr>
          <w:rFonts w:hint="eastAsia" w:eastAsia="仿宋_GB2312" w:cs="仿宋_GB2312"/>
          <w:sz w:val="32"/>
          <w:szCs w:val="32"/>
        </w:rPr>
        <w:t>一、部门职责</w:t>
      </w:r>
    </w:p>
    <w:p>
      <w:pPr>
        <w:widowControl/>
        <w:spacing w:line="580" w:lineRule="exact"/>
        <w:ind w:firstLine="1273" w:firstLineChars="398"/>
        <w:rPr>
          <w:rFonts w:eastAsia="仿宋_GB2312"/>
          <w:sz w:val="32"/>
          <w:szCs w:val="32"/>
        </w:rPr>
      </w:pPr>
      <w:r>
        <w:rPr>
          <w:rFonts w:hint="eastAsia" w:eastAsia="仿宋_GB2312" w:cs="仿宋_GB2312"/>
          <w:sz w:val="32"/>
          <w:szCs w:val="32"/>
        </w:rPr>
        <w:t>二、机构设置</w:t>
      </w:r>
    </w:p>
    <w:p>
      <w:pPr>
        <w:widowControl/>
        <w:spacing w:line="580" w:lineRule="exact"/>
        <w:ind w:firstLine="640" w:firstLineChars="200"/>
        <w:rPr>
          <w:rFonts w:eastAsia="仿宋_GB2312"/>
          <w:sz w:val="20"/>
          <w:szCs w:val="20"/>
        </w:rPr>
      </w:pPr>
      <w:r>
        <w:rPr>
          <w:rFonts w:hint="eastAsia" w:eastAsia="黑体" w:cs="黑体"/>
          <w:sz w:val="32"/>
          <w:szCs w:val="32"/>
        </w:rPr>
        <w:t>第二部分</w:t>
      </w:r>
      <w:r>
        <w:rPr>
          <w:rFonts w:eastAsia="黑体"/>
          <w:sz w:val="32"/>
          <w:szCs w:val="32"/>
        </w:rPr>
        <w:t xml:space="preserve">   2018</w:t>
      </w:r>
      <w:r>
        <w:rPr>
          <w:rFonts w:hint="eastAsia" w:eastAsia="黑体" w:cs="黑体"/>
          <w:sz w:val="32"/>
          <w:szCs w:val="32"/>
        </w:rPr>
        <w:t>年度部门决算报表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一、收入支出决算总表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二、收入决算表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三、支出决算表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七、一般公共预算财政拨款</w:t>
      </w:r>
      <w:r>
        <w:rPr>
          <w:rFonts w:eastAsia="仿宋_GB2312"/>
          <w:sz w:val="32"/>
          <w:szCs w:val="32"/>
        </w:rPr>
        <w:t>“</w:t>
      </w:r>
      <w:r>
        <w:rPr>
          <w:rFonts w:hint="eastAsia" w:eastAsia="仿宋_GB2312" w:cs="仿宋_GB2312"/>
          <w:sz w:val="32"/>
          <w:szCs w:val="32"/>
        </w:rPr>
        <w:t>三公</w:t>
      </w:r>
      <w:r>
        <w:rPr>
          <w:rFonts w:eastAsia="仿宋_GB2312"/>
          <w:sz w:val="32"/>
          <w:szCs w:val="32"/>
        </w:rPr>
        <w:t>”</w:t>
      </w:r>
      <w:r>
        <w:rPr>
          <w:rFonts w:hint="eastAsia" w:eastAsia="仿宋_GB2312" w:cs="仿宋_GB2312"/>
          <w:sz w:val="32"/>
          <w:szCs w:val="32"/>
        </w:rPr>
        <w:t>经费支出决算表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八、政府性基金预算财政拨款收入支出决算表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九、国有资本经营预算财政拨款支出决算表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十、政府采购情况表</w:t>
      </w:r>
    </w:p>
    <w:p>
      <w:pPr>
        <w:widowControl/>
        <w:spacing w:line="580" w:lineRule="exact"/>
        <w:ind w:firstLine="640" w:firstLineChars="200"/>
        <w:rPr>
          <w:rFonts w:eastAsia="黑体"/>
          <w:sz w:val="32"/>
          <w:szCs w:val="32"/>
        </w:rPr>
      </w:pPr>
      <w:r>
        <w:rPr>
          <w:rFonts w:hint="eastAsia" w:eastAsia="黑体" w:cs="黑体"/>
          <w:sz w:val="32"/>
          <w:szCs w:val="32"/>
        </w:rPr>
        <w:t>第三部分</w:t>
      </w:r>
      <w:r>
        <w:rPr>
          <w:rFonts w:eastAsia="黑体"/>
          <w:sz w:val="32"/>
          <w:szCs w:val="32"/>
        </w:rPr>
        <w:t xml:space="preserve">  </w:t>
      </w:r>
      <w:r>
        <w:rPr>
          <w:rFonts w:hint="eastAsia" w:eastAsia="黑体" w:cs="黑体"/>
          <w:sz w:val="32"/>
          <w:szCs w:val="32"/>
        </w:rPr>
        <w:t>高邑县高邑镇部门</w:t>
      </w:r>
      <w:r>
        <w:rPr>
          <w:rFonts w:eastAsia="黑体"/>
          <w:sz w:val="32"/>
          <w:szCs w:val="32"/>
        </w:rPr>
        <w:t>2018</w:t>
      </w:r>
      <w:r>
        <w:rPr>
          <w:rFonts w:hint="eastAsia" w:eastAsia="黑体" w:cs="黑体"/>
          <w:sz w:val="32"/>
          <w:szCs w:val="32"/>
        </w:rPr>
        <w:t>年部门决算情况说明</w:t>
      </w:r>
      <w:r>
        <w:pict>
          <v:group id="_x0000_s1031" o:spid="_x0000_s1031" o:spt="203" style="position:absolute;left:0pt;margin-left:-80.8pt;margin-top:38.95pt;height:46.7pt;width:222.8pt;mso-position-vertical-relative:page;z-index:251659264;mso-width-relative:page;mso-height-relative:page;" coordorigin="4551,52615" coordsize="8546,1398">
            <o:lock v:ext="edit"/>
            <v:rect id="矩形 13" o:spid="_x0000_s1032" o:spt="1" style="position:absolute;left:4551;top:52615;height:1175;width:8546;v-text-anchor:middle;" fillcolor="#D9D9D9" filled="t" stroked="f" coordsize="21600,21600">
              <v:path/>
              <v:fill on="t" focussize="0,0"/>
              <v:stroke on="f" weight="2pt"/>
              <v:imagedata o:title=""/>
              <o:lock v:ext="edit"/>
            </v:rect>
            <v:rect id="矩形 14" o:spid="_x0000_s1033"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目</w:t>
                    </w:r>
                    <w:r>
                      <w:rPr>
                        <w:rFonts w:ascii="楷体" w:hAnsi="楷体" w:eastAsia="楷体" w:cs="楷体"/>
                        <w:b/>
                        <w:bCs/>
                        <w:color w:val="FDEFBE"/>
                        <w:kern w:val="0"/>
                        <w:sz w:val="32"/>
                        <w:szCs w:val="32"/>
                      </w:rPr>
                      <w:t xml:space="preserve"> </w:t>
                    </w:r>
                    <w:r>
                      <w:rPr>
                        <w:rFonts w:hint="eastAsia" w:ascii="楷体" w:hAnsi="楷体" w:eastAsia="楷体" w:cs="楷体"/>
                        <w:b/>
                        <w:bCs/>
                        <w:color w:val="FDEFBE"/>
                        <w:kern w:val="0"/>
                        <w:sz w:val="32"/>
                        <w:szCs w:val="32"/>
                      </w:rPr>
                      <w:t>录</w:t>
                    </w:r>
                  </w:p>
                  <w:p>
                    <w:pPr>
                      <w:jc w:val="center"/>
                    </w:pPr>
                  </w:p>
                </w:txbxContent>
              </v:textbox>
            </v:rect>
            <w10:anchorlock/>
          </v:group>
        </w:pic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二、收入决算情况说明</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三、支出决算情况说明</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五、一般公共预算财政拨款</w:t>
      </w:r>
      <w:r>
        <w:rPr>
          <w:rFonts w:eastAsia="仿宋_GB2312"/>
          <w:sz w:val="32"/>
          <w:szCs w:val="32"/>
        </w:rPr>
        <w:t>“</w:t>
      </w:r>
      <w:r>
        <w:rPr>
          <w:rFonts w:hint="eastAsia" w:eastAsia="仿宋_GB2312" w:cs="仿宋_GB2312"/>
          <w:sz w:val="32"/>
          <w:szCs w:val="32"/>
        </w:rPr>
        <w:t>三公</w:t>
      </w:r>
      <w:r>
        <w:rPr>
          <w:rFonts w:eastAsia="仿宋_GB2312"/>
          <w:sz w:val="32"/>
          <w:szCs w:val="32"/>
        </w:rPr>
        <w:t>”</w:t>
      </w:r>
      <w:r>
        <w:rPr>
          <w:rFonts w:hint="eastAsia" w:eastAsia="仿宋_GB2312" w:cs="仿宋_GB2312"/>
          <w:sz w:val="32"/>
          <w:szCs w:val="32"/>
        </w:rPr>
        <w:t>经费支出决算情况说明</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六、预算绩效情况说明</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七、其他重要事项的说明</w:t>
      </w:r>
    </w:p>
    <w:p>
      <w:pPr>
        <w:widowControl/>
        <w:spacing w:line="580" w:lineRule="exact"/>
        <w:ind w:firstLine="640" w:firstLineChars="200"/>
        <w:rPr>
          <w:rFonts w:eastAsia="黑体"/>
          <w:sz w:val="32"/>
          <w:szCs w:val="32"/>
        </w:rPr>
      </w:pPr>
      <w:r>
        <w:rPr>
          <w:rFonts w:hint="eastAsia" w:eastAsia="黑体" w:cs="黑体"/>
          <w:sz w:val="32"/>
          <w:szCs w:val="32"/>
        </w:rPr>
        <w:t>第四部分</w:t>
      </w:r>
      <w:r>
        <w:rPr>
          <w:rFonts w:eastAsia="黑体"/>
          <w:sz w:val="32"/>
          <w:szCs w:val="32"/>
        </w:rPr>
        <w:t xml:space="preserve">  </w:t>
      </w:r>
      <w:r>
        <w:rPr>
          <w:rFonts w:hint="eastAsia" w:eastAsia="黑体" w:cs="黑体"/>
          <w:sz w:val="32"/>
          <w:szCs w:val="32"/>
        </w:rPr>
        <w:t>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pict>
          <v:shape id="图片 12" o:spid="_x0000_s1034" o:spt="75" alt="2" type="#_x0000_t75" style="position:absolute;left:0pt;margin-left:-80.7pt;margin-top:-106.45pt;height:844.65pt;width:597.3pt;z-index:-251656192;mso-width-relative:page;mso-height-relative:page;" filled="f" o:preferrelative="t" stroked="f" coordsize="21600,21600">
            <v:path/>
            <v:fill on="f" focussize="0,0"/>
            <v:stroke on="f" joinstyle="miter"/>
            <v:imagedata r:id="rId7" o:title=""/>
            <o:lock v:ext="edit" aspectratio="t"/>
            <w10:anchorlock/>
          </v:shape>
        </w:pict>
      </w:r>
      <w:r>
        <w:pict>
          <v:shape id="_x0000_s1035" o:spid="_x0000_s1035" o:spt="202" type="#_x0000_t202" style="position:absolute;left:0pt;margin-left:-97.3pt;margin-top:259.1pt;height:81.7pt;width:613.65pt;z-index:251659264;mso-width-relative:page;mso-height-relative:page;" filled="f" stroked="f" coordsize="21600,21600">
            <v:path/>
            <v:fill on="f" focussize="0,0"/>
            <v:stroke on="f" weight="0.5pt" joinstyle="miter"/>
            <v:imagedata o:title=""/>
            <o:lock v:ext="edit"/>
            <v:textbox>
              <w:txbxContent>
                <w:p>
                  <w:pPr>
                    <w:widowControl/>
                    <w:jc w:val="center"/>
                    <w:rPr>
                      <w:color w:val="FDEFBE"/>
                      <w:sz w:val="96"/>
                      <w:szCs w:val="96"/>
                    </w:rPr>
                  </w:pPr>
                  <w:r>
                    <w:rPr>
                      <w:rFonts w:hint="eastAsia" w:ascii="黑体" w:hAnsi="宋体" w:eastAsia="黑体" w:cs="黑体"/>
                      <w:color w:val="FDEFBE"/>
                      <w:sz w:val="96"/>
                      <w:szCs w:val="96"/>
                    </w:rPr>
                    <w:t>第一部分</w:t>
                  </w:r>
                  <w:r>
                    <w:rPr>
                      <w:rFonts w:ascii="黑体" w:hAnsi="宋体" w:eastAsia="黑体" w:cs="黑体"/>
                      <w:color w:val="FDEFBE"/>
                      <w:sz w:val="96"/>
                      <w:szCs w:val="96"/>
                    </w:rPr>
                    <w:t xml:space="preserve">  </w:t>
                  </w:r>
                  <w:r>
                    <w:rPr>
                      <w:rFonts w:hint="eastAsia" w:ascii="黑体" w:hAnsi="宋体" w:eastAsia="黑体" w:cs="黑体"/>
                      <w:color w:val="FDEFBE"/>
                      <w:sz w:val="96"/>
                      <w:szCs w:val="96"/>
                    </w:rPr>
                    <w:t>部门概况</w:t>
                  </w:r>
                </w:p>
              </w:txbxContent>
            </v:textbox>
            <w10:anchorlock/>
          </v:shape>
        </w:pict>
      </w:r>
    </w:p>
    <w:p/>
    <w:p/>
    <w:p/>
    <w:p/>
    <w:p/>
    <w:p/>
    <w:p/>
    <w:p/>
    <w:p/>
    <w:p/>
    <w:p/>
    <w:p/>
    <w:p/>
    <w:p/>
    <w:p/>
    <w:p>
      <w:pPr>
        <w:pStyle w:val="2"/>
        <w:spacing w:before="0" w:after="0" w:line="600" w:lineRule="exact"/>
        <w:jc w:val="left"/>
        <w:rPr>
          <w:rFonts w:ascii="黑体" w:hAnsi="Cambria" w:eastAsia="黑体"/>
          <w:b w:val="0"/>
          <w:bCs w:val="0"/>
          <w:kern w:val="0"/>
          <w:sz w:val="32"/>
          <w:szCs w:val="32"/>
        </w:rPr>
      </w:pPr>
      <w:r>
        <w:pict>
          <v:group id="_x0000_s1036" o:spid="_x0000_s1036" o:spt="203" style="position:absolute;left:0pt;margin-left:-80.8pt;margin-top:39.5pt;height:46.7pt;width:245.25pt;mso-position-vertical-relative:page;z-index:251659264;mso-width-relative:page;mso-height-relative:page;" coordorigin="4551,52615" coordsize="8546,1398">
            <o:lock v:ext="edit"/>
            <v:rect id="_x0000_s1037" o:spid="_x0000_s1037" o:spt="1" style="position:absolute;left:4551;top:52615;height:1175;width:8546;v-text-anchor:middle;" fillcolor="#D9D9D9" filled="t" stroked="f" coordsize="21600,21600">
              <v:path/>
              <v:fill on="t" focussize="0,0"/>
              <v:stroke on="f" weight="2pt"/>
              <v:imagedata o:title=""/>
              <o:lock v:ext="edit"/>
            </v:rect>
            <v:rect id="_x0000_s1038" o:spid="_x0000_s1038"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部门概况</w:t>
                    </w:r>
                  </w:p>
                  <w:p>
                    <w:pPr>
                      <w:jc w:val="center"/>
                    </w:pPr>
                  </w:p>
                </w:txbxContent>
              </v:textbox>
            </v:rect>
            <w10:anchorlock/>
          </v:group>
        </w:pict>
      </w:r>
      <w:r>
        <w:rPr>
          <w:rFonts w:hint="eastAsia" w:ascii="黑体" w:hAnsi="Cambria" w:eastAsia="黑体" w:cs="黑体"/>
          <w:b w:val="0"/>
          <w:bCs w:val="0"/>
          <w:kern w:val="0"/>
          <w:sz w:val="32"/>
          <w:szCs w:val="32"/>
        </w:rPr>
        <w:t>一、部门职责</w:t>
      </w:r>
    </w:p>
    <w:p>
      <w:pPr>
        <w:spacing w:line="600" w:lineRule="exact"/>
        <w:ind w:firstLine="640" w:firstLineChars="200"/>
        <w:rPr>
          <w:rFonts w:ascii="仿宋_GB2312" w:hAnsi="Cambria" w:eastAsia="仿宋_GB2312"/>
          <w:kern w:val="0"/>
          <w:sz w:val="32"/>
          <w:szCs w:val="32"/>
        </w:rPr>
      </w:pPr>
      <w:r>
        <w:rPr>
          <w:rFonts w:ascii="仿宋_GB2312" w:hAnsi="Cambria" w:eastAsia="仿宋_GB2312" w:cs="仿宋_GB2312"/>
          <w:kern w:val="0"/>
          <w:sz w:val="32"/>
          <w:szCs w:val="32"/>
        </w:rPr>
        <w:t>1</w:t>
      </w:r>
      <w:r>
        <w:rPr>
          <w:rFonts w:hint="eastAsia" w:ascii="仿宋_GB2312" w:hAnsi="Cambria" w:eastAsia="仿宋_GB2312" w:cs="仿宋_GB2312"/>
          <w:kern w:val="0"/>
          <w:sz w:val="32"/>
          <w:szCs w:val="32"/>
        </w:rPr>
        <w:t>、组织编制全镇各部门规划和计划，推进基层民主</w:t>
      </w:r>
    </w:p>
    <w:p>
      <w:pPr>
        <w:spacing w:line="600" w:lineRule="exact"/>
        <w:ind w:firstLine="640" w:firstLineChars="200"/>
        <w:rPr>
          <w:rFonts w:ascii="仿宋_GB2312" w:hAnsi="Cambria" w:eastAsia="仿宋_GB2312"/>
          <w:kern w:val="0"/>
          <w:sz w:val="32"/>
          <w:szCs w:val="32"/>
        </w:rPr>
      </w:pPr>
      <w:r>
        <w:rPr>
          <w:rFonts w:hint="eastAsia" w:ascii="仿宋_GB2312" w:hAnsi="Cambria" w:eastAsia="仿宋_GB2312" w:cs="仿宋_GB2312"/>
          <w:kern w:val="0"/>
          <w:sz w:val="32"/>
          <w:szCs w:val="32"/>
        </w:rPr>
        <w:t>稳定和完善农村基本经营制度，支持农民专业合作经济组织发展，健全农村市场和农业服务体系。保护基本农田，组织开展农业基础设施建设，推广农业先进适用技术，抓好粮食生产。把经济工作的着力点放在营造良好的发展环境、落实国家各项政策和强农惠农措施上来。</w:t>
      </w:r>
    </w:p>
    <w:p>
      <w:pPr>
        <w:spacing w:line="600" w:lineRule="exact"/>
        <w:ind w:firstLine="640" w:firstLineChars="200"/>
        <w:rPr>
          <w:rFonts w:ascii="仿宋_GB2312" w:hAnsi="Cambria" w:eastAsia="仿宋_GB2312"/>
          <w:kern w:val="0"/>
          <w:sz w:val="32"/>
          <w:szCs w:val="32"/>
        </w:rPr>
      </w:pPr>
      <w:r>
        <w:rPr>
          <w:rFonts w:ascii="仿宋_GB2312" w:hAnsi="Cambria" w:eastAsia="仿宋_GB2312" w:cs="仿宋_GB2312"/>
          <w:kern w:val="0"/>
          <w:sz w:val="32"/>
          <w:szCs w:val="32"/>
        </w:rPr>
        <w:t>2</w:t>
      </w:r>
      <w:r>
        <w:rPr>
          <w:rFonts w:hint="eastAsia" w:ascii="仿宋_GB2312" w:hAnsi="Cambria" w:eastAsia="仿宋_GB2312" w:cs="仿宋_GB2312"/>
          <w:kern w:val="0"/>
          <w:sz w:val="32"/>
          <w:szCs w:val="32"/>
        </w:rPr>
        <w:t>、拟定全镇经济发展规划、镇村建设规划、环境监管及稳定和完善农村基本经营制度加快农村公共服务体系建设，健全农村社会保障体系，完善农村最低生活保障制度，加强文明建设，提高生态环境，做好农村基建的指导和规划，改善基础设施。增强规划和计划的前瞻性，完善农村制度，着力改善民生。</w:t>
      </w:r>
    </w:p>
    <w:p>
      <w:pPr>
        <w:spacing w:line="600" w:lineRule="exact"/>
        <w:ind w:firstLine="640" w:firstLineChars="200"/>
        <w:rPr>
          <w:rFonts w:ascii="仿宋_GB2312" w:hAnsi="Cambria" w:eastAsia="仿宋_GB2312"/>
          <w:kern w:val="0"/>
          <w:sz w:val="32"/>
          <w:szCs w:val="32"/>
        </w:rPr>
      </w:pPr>
      <w:r>
        <w:rPr>
          <w:rFonts w:ascii="仿宋_GB2312" w:hAnsi="Cambria" w:eastAsia="仿宋_GB2312" w:cs="仿宋_GB2312"/>
          <w:kern w:val="0"/>
          <w:sz w:val="32"/>
          <w:szCs w:val="32"/>
        </w:rPr>
        <w:t>3</w:t>
      </w:r>
      <w:r>
        <w:rPr>
          <w:rFonts w:hint="eastAsia" w:ascii="仿宋_GB2312" w:hAnsi="Cambria" w:eastAsia="仿宋_GB2312" w:cs="仿宋_GB2312"/>
          <w:kern w:val="0"/>
          <w:sz w:val="32"/>
          <w:szCs w:val="32"/>
        </w:rPr>
        <w:t>、推进基层民主，促进农村和谐</w:t>
      </w:r>
    </w:p>
    <w:p>
      <w:pPr>
        <w:spacing w:line="600" w:lineRule="exact"/>
        <w:ind w:firstLine="640" w:firstLineChars="200"/>
        <w:rPr>
          <w:rFonts w:ascii="仿宋_GB2312" w:hAnsi="Cambria" w:eastAsia="仿宋_GB2312"/>
          <w:kern w:val="0"/>
          <w:sz w:val="32"/>
          <w:szCs w:val="32"/>
        </w:rPr>
      </w:pPr>
      <w:r>
        <w:rPr>
          <w:rFonts w:hint="eastAsia" w:ascii="仿宋_GB2312" w:hAnsi="Cambria" w:eastAsia="仿宋_GB2312" w:cs="仿宋_GB2312"/>
          <w:kern w:val="0"/>
          <w:sz w:val="32"/>
          <w:szCs w:val="32"/>
        </w:rPr>
        <w:t>推进依法行政，指导村民自治，促进社会组织健康发展。</w:t>
      </w:r>
    </w:p>
    <w:p>
      <w:pPr>
        <w:spacing w:line="600" w:lineRule="exact"/>
        <w:ind w:firstLine="640" w:firstLineChars="200"/>
        <w:rPr>
          <w:rFonts w:ascii="仿宋_GB2312" w:hAnsi="Cambria" w:eastAsia="仿宋_GB2312"/>
          <w:kern w:val="0"/>
          <w:sz w:val="32"/>
          <w:szCs w:val="32"/>
        </w:rPr>
      </w:pPr>
      <w:r>
        <w:rPr>
          <w:rFonts w:ascii="仿宋_GB2312" w:hAnsi="Cambria" w:eastAsia="仿宋_GB2312" w:cs="仿宋_GB2312"/>
          <w:kern w:val="0"/>
          <w:sz w:val="32"/>
          <w:szCs w:val="32"/>
        </w:rPr>
        <w:t>4</w:t>
      </w:r>
      <w:r>
        <w:rPr>
          <w:rFonts w:hint="eastAsia" w:ascii="仿宋_GB2312" w:hAnsi="Cambria" w:eastAsia="仿宋_GB2312" w:cs="仿宋_GB2312"/>
          <w:kern w:val="0"/>
          <w:sz w:val="32"/>
          <w:szCs w:val="32"/>
        </w:rPr>
        <w:t>、全镇科教文卫的普及和建设全镇文化和群众性体育活动，做好技术服务和推广普及。提高农村文化及教育、医疗等水平。</w:t>
      </w:r>
    </w:p>
    <w:p>
      <w:pPr>
        <w:spacing w:line="600" w:lineRule="exact"/>
        <w:ind w:firstLine="640" w:firstLineChars="200"/>
        <w:rPr>
          <w:rFonts w:ascii="仿宋_GB2312" w:hAnsi="Cambria" w:eastAsia="仿宋_GB2312"/>
          <w:kern w:val="0"/>
          <w:sz w:val="32"/>
          <w:szCs w:val="32"/>
        </w:rPr>
      </w:pPr>
      <w:r>
        <w:rPr>
          <w:rFonts w:ascii="仿宋_GB2312" w:hAnsi="Cambria" w:eastAsia="仿宋_GB2312" w:cs="仿宋_GB2312"/>
          <w:kern w:val="0"/>
          <w:sz w:val="32"/>
          <w:szCs w:val="32"/>
        </w:rPr>
        <w:t>5</w:t>
      </w:r>
      <w:r>
        <w:rPr>
          <w:rFonts w:hint="eastAsia" w:ascii="仿宋_GB2312" w:hAnsi="Cambria" w:eastAsia="仿宋_GB2312" w:cs="仿宋_GB2312"/>
          <w:kern w:val="0"/>
          <w:sz w:val="32"/>
          <w:szCs w:val="32"/>
        </w:rPr>
        <w:t>、计生服务坚持国策，提高优生率，做好基本国策的宣传，提高人口素质。</w:t>
      </w:r>
    </w:p>
    <w:p>
      <w:pPr>
        <w:spacing w:line="600" w:lineRule="exact"/>
        <w:ind w:firstLine="640" w:firstLineChars="200"/>
        <w:rPr>
          <w:rFonts w:ascii="仿宋_GB2312" w:hAnsi="Cambria" w:eastAsia="仿宋_GB2312"/>
          <w:kern w:val="0"/>
          <w:sz w:val="32"/>
          <w:szCs w:val="32"/>
        </w:rPr>
      </w:pPr>
      <w:r>
        <w:rPr>
          <w:rFonts w:ascii="仿宋_GB2312" w:hAnsi="Cambria" w:eastAsia="仿宋_GB2312" w:cs="仿宋_GB2312"/>
          <w:kern w:val="0"/>
          <w:sz w:val="32"/>
          <w:szCs w:val="32"/>
        </w:rPr>
        <w:t>6</w:t>
      </w:r>
      <w:r>
        <w:rPr>
          <w:rFonts w:hint="eastAsia" w:ascii="仿宋_GB2312" w:hAnsi="Cambria" w:eastAsia="仿宋_GB2312" w:cs="仿宋_GB2312"/>
          <w:kern w:val="0"/>
          <w:sz w:val="32"/>
          <w:szCs w:val="32"/>
        </w:rPr>
        <w:t>、就业和保障负责农村劳动力职业培训、劳动就业和社会保障，减少农村剩余劳动力。</w:t>
      </w:r>
    </w:p>
    <w:p>
      <w:pPr>
        <w:spacing w:line="600" w:lineRule="exact"/>
        <w:ind w:firstLine="640" w:firstLineChars="200"/>
        <w:rPr>
          <w:rFonts w:ascii="仿宋_GB2312" w:hAnsi="Cambria" w:eastAsia="仿宋_GB2312"/>
          <w:kern w:val="0"/>
          <w:sz w:val="32"/>
          <w:szCs w:val="32"/>
        </w:rPr>
      </w:pPr>
      <w:r>
        <w:rPr>
          <w:rFonts w:ascii="仿宋_GB2312" w:hAnsi="Cambria" w:eastAsia="仿宋_GB2312" w:cs="仿宋_GB2312"/>
          <w:kern w:val="0"/>
          <w:sz w:val="32"/>
          <w:szCs w:val="32"/>
        </w:rPr>
        <w:t>7</w:t>
      </w:r>
      <w:r>
        <w:rPr>
          <w:rFonts w:hint="eastAsia" w:ascii="仿宋_GB2312" w:hAnsi="Cambria" w:eastAsia="仿宋_GB2312" w:cs="仿宋_GB2312"/>
          <w:kern w:val="0"/>
          <w:sz w:val="32"/>
          <w:szCs w:val="32"/>
        </w:rPr>
        <w:t>、编制、汇总、审核乡级及村级财务预算，监管资金流向编制资金预算，制定财务计划，监督计划执行情况，做好分析及审核。做好资金的核算及监督，对其合法性、准确性、进行审核。</w:t>
      </w:r>
    </w:p>
    <w:p>
      <w:pPr>
        <w:ind w:firstLine="627" w:firstLineChars="196"/>
        <w:outlineLvl w:val="0"/>
        <w:rPr>
          <w:rFonts w:ascii="仿宋_GB2312" w:hAnsi="Cambria" w:eastAsia="仿宋_GB2312"/>
          <w:kern w:val="0"/>
          <w:sz w:val="32"/>
          <w:szCs w:val="32"/>
        </w:rPr>
      </w:pPr>
      <w:r>
        <w:rPr>
          <w:rFonts w:ascii="仿宋_GB2312" w:hAnsi="Cambria" w:eastAsia="仿宋_GB2312" w:cs="仿宋_GB2312"/>
          <w:kern w:val="0"/>
          <w:sz w:val="32"/>
          <w:szCs w:val="32"/>
        </w:rPr>
        <w:t>8</w:t>
      </w:r>
      <w:r>
        <w:rPr>
          <w:rFonts w:hint="eastAsia" w:ascii="仿宋_GB2312" w:hAnsi="Cambria" w:eastAsia="仿宋_GB2312" w:cs="仿宋_GB2312"/>
          <w:kern w:val="0"/>
          <w:sz w:val="32"/>
          <w:szCs w:val="32"/>
        </w:rPr>
        <w:t>、村镇建设村镇基础建设等工作。相关占地补偿项目支出，包括占地、拆迁、附着物等相关赔偿。</w:t>
      </w:r>
    </w:p>
    <w:p>
      <w:pPr>
        <w:pStyle w:val="2"/>
        <w:spacing w:before="0" w:after="0" w:line="600" w:lineRule="exact"/>
        <w:jc w:val="left"/>
        <w:rPr>
          <w:rFonts w:ascii="黑体" w:hAnsi="Cambria" w:eastAsia="黑体"/>
          <w:b w:val="0"/>
          <w:bCs w:val="0"/>
          <w:kern w:val="0"/>
          <w:sz w:val="32"/>
          <w:szCs w:val="32"/>
        </w:rPr>
      </w:pPr>
      <w:r>
        <w:rPr>
          <w:rFonts w:hint="eastAsia" w:ascii="黑体" w:hAnsi="Cambria" w:eastAsia="黑体" w:cs="黑体"/>
          <w:b w:val="0"/>
          <w:bCs w:val="0"/>
          <w:kern w:val="0"/>
          <w:sz w:val="32"/>
          <w:szCs w:val="32"/>
        </w:rPr>
        <w:t>二、机构设置</w:t>
      </w:r>
    </w:p>
    <w:p>
      <w:pPr>
        <w:spacing w:after="0" w:line="560" w:lineRule="exact"/>
        <w:ind w:firstLine="640" w:firstLineChars="200"/>
        <w:rPr>
          <w:rFonts w:ascii="仿宋_GB2312" w:hAnsi="Cambria" w:eastAsia="仿宋_GB2312"/>
          <w:kern w:val="0"/>
          <w:sz w:val="32"/>
          <w:szCs w:val="32"/>
        </w:rPr>
      </w:pPr>
      <w:r>
        <w:rPr>
          <w:rFonts w:hint="eastAsia" w:ascii="仿宋_GB2312" w:hAnsi="Cambria" w:eastAsia="仿宋_GB2312" w:cs="仿宋_GB2312"/>
          <w:kern w:val="0"/>
          <w:sz w:val="32"/>
          <w:szCs w:val="32"/>
        </w:rPr>
        <w:t>从决算编报单位构成看，纳入</w:t>
      </w:r>
      <w:r>
        <w:rPr>
          <w:rFonts w:ascii="仿宋_GB2312" w:hAnsi="Cambria" w:eastAsia="仿宋_GB2312" w:cs="仿宋_GB2312"/>
          <w:kern w:val="0"/>
          <w:sz w:val="32"/>
          <w:szCs w:val="32"/>
        </w:rPr>
        <w:t xml:space="preserve">2018 </w:t>
      </w:r>
      <w:r>
        <w:rPr>
          <w:rFonts w:hint="eastAsia" w:ascii="仿宋_GB2312" w:hAnsi="Cambria" w:eastAsia="仿宋_GB2312" w:cs="仿宋_GB2312"/>
          <w:kern w:val="0"/>
          <w:sz w:val="32"/>
          <w:szCs w:val="32"/>
        </w:rPr>
        <w:t>年度本部门决算汇编范围的独立核算单位（以下简称“单位”）共</w:t>
      </w:r>
      <w:r>
        <w:rPr>
          <w:rFonts w:ascii="仿宋_GB2312" w:hAnsi="Cambria" w:eastAsia="仿宋_GB2312" w:cs="仿宋_GB2312"/>
          <w:kern w:val="0"/>
          <w:sz w:val="32"/>
          <w:szCs w:val="32"/>
        </w:rPr>
        <w:t xml:space="preserve"> 1</w:t>
      </w:r>
      <w:r>
        <w:rPr>
          <w:rFonts w:hint="eastAsia" w:ascii="仿宋_GB2312" w:hAnsi="Cambria" w:eastAsia="仿宋_GB2312" w:cs="仿宋_GB2312"/>
          <w:kern w:val="0"/>
          <w:sz w:val="32"/>
          <w:szCs w:val="32"/>
        </w:rPr>
        <w:t>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253"/>
        <w:gridCol w:w="28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hAnsi="Cambria" w:eastAsia="仿宋_GB2312"/>
                <w:b/>
                <w:bCs/>
                <w:kern w:val="0"/>
                <w:sz w:val="28"/>
                <w:szCs w:val="28"/>
              </w:rPr>
            </w:pPr>
            <w:r>
              <w:rPr>
                <w:rFonts w:hint="eastAsia" w:ascii="仿宋_GB2312" w:hAnsi="Cambria" w:eastAsia="仿宋_GB2312" w:cs="仿宋_GB2312"/>
                <w:b/>
                <w:bCs/>
                <w:kern w:val="0"/>
                <w:sz w:val="28"/>
                <w:szCs w:val="28"/>
              </w:rPr>
              <w:t>序号</w:t>
            </w:r>
          </w:p>
        </w:tc>
        <w:tc>
          <w:tcPr>
            <w:tcW w:w="3485" w:type="dxa"/>
            <w:vAlign w:val="center"/>
          </w:tcPr>
          <w:p>
            <w:pPr>
              <w:spacing w:after="0" w:line="560" w:lineRule="exact"/>
              <w:jc w:val="center"/>
              <w:rPr>
                <w:rFonts w:ascii="仿宋_GB2312" w:hAnsi="Cambria" w:eastAsia="仿宋_GB2312"/>
                <w:b/>
                <w:bCs/>
                <w:kern w:val="0"/>
                <w:sz w:val="28"/>
                <w:szCs w:val="28"/>
              </w:rPr>
            </w:pPr>
            <w:r>
              <w:rPr>
                <w:rFonts w:hint="eastAsia" w:ascii="仿宋_GB2312" w:hAnsi="Cambria" w:eastAsia="仿宋_GB2312" w:cs="仿宋_GB2312"/>
                <w:b/>
                <w:bCs/>
                <w:kern w:val="0"/>
                <w:sz w:val="28"/>
                <w:szCs w:val="28"/>
              </w:rPr>
              <w:t>单位名称</w:t>
            </w:r>
          </w:p>
        </w:tc>
        <w:tc>
          <w:tcPr>
            <w:tcW w:w="2253" w:type="dxa"/>
            <w:vAlign w:val="center"/>
          </w:tcPr>
          <w:p>
            <w:pPr>
              <w:spacing w:after="0" w:line="560" w:lineRule="exact"/>
              <w:jc w:val="center"/>
              <w:rPr>
                <w:rFonts w:ascii="仿宋_GB2312" w:hAnsi="Cambria" w:eastAsia="仿宋_GB2312"/>
                <w:b/>
                <w:bCs/>
                <w:kern w:val="0"/>
                <w:sz w:val="28"/>
                <w:szCs w:val="28"/>
              </w:rPr>
            </w:pPr>
            <w:r>
              <w:rPr>
                <w:rFonts w:hint="eastAsia" w:ascii="仿宋_GB2312" w:hAnsi="Cambria" w:eastAsia="仿宋_GB2312" w:cs="仿宋_GB2312"/>
                <w:b/>
                <w:bCs/>
                <w:kern w:val="0"/>
                <w:sz w:val="28"/>
                <w:szCs w:val="28"/>
              </w:rPr>
              <w:t>单位基本性质</w:t>
            </w:r>
          </w:p>
        </w:tc>
        <w:tc>
          <w:tcPr>
            <w:tcW w:w="2857" w:type="dxa"/>
            <w:vAlign w:val="center"/>
          </w:tcPr>
          <w:p>
            <w:pPr>
              <w:spacing w:after="0" w:line="560" w:lineRule="exact"/>
              <w:jc w:val="center"/>
              <w:rPr>
                <w:rFonts w:ascii="仿宋_GB2312" w:hAnsi="Cambria" w:eastAsia="仿宋_GB2312"/>
                <w:b/>
                <w:bCs/>
                <w:kern w:val="0"/>
                <w:sz w:val="28"/>
                <w:szCs w:val="28"/>
              </w:rPr>
            </w:pPr>
            <w:r>
              <w:rPr>
                <w:rFonts w:hint="eastAsia" w:ascii="仿宋_GB2312" w:hAnsi="Cambria" w:eastAsia="仿宋_GB2312" w:cs="仿宋_GB2312"/>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hAnsi="Cambria" w:eastAsia="仿宋_GB2312" w:cs="仿宋_GB2312"/>
                <w:kern w:val="0"/>
                <w:sz w:val="28"/>
                <w:szCs w:val="28"/>
              </w:rPr>
            </w:pPr>
            <w:r>
              <w:rPr>
                <w:rFonts w:ascii="仿宋_GB2312" w:hAnsi="Cambria" w:eastAsia="仿宋_GB2312" w:cs="仿宋_GB2312"/>
                <w:kern w:val="0"/>
                <w:sz w:val="28"/>
                <w:szCs w:val="28"/>
              </w:rPr>
              <w:t>1</w:t>
            </w:r>
          </w:p>
        </w:tc>
        <w:tc>
          <w:tcPr>
            <w:tcW w:w="3485" w:type="dxa"/>
          </w:tcPr>
          <w:p>
            <w:pPr>
              <w:spacing w:after="0" w:line="560" w:lineRule="exact"/>
              <w:rPr>
                <w:rFonts w:ascii="仿宋_GB2312" w:hAnsi="Cambria" w:eastAsia="仿宋_GB2312"/>
                <w:kern w:val="0"/>
                <w:sz w:val="28"/>
                <w:szCs w:val="28"/>
              </w:rPr>
            </w:pPr>
            <w:r>
              <w:rPr>
                <w:rFonts w:hint="eastAsia" w:ascii="宋体" w:hAnsi="宋体" w:cs="宋体"/>
                <w:kern w:val="0"/>
                <w:sz w:val="28"/>
                <w:szCs w:val="28"/>
              </w:rPr>
              <w:t>高邑县高邑镇人民政府</w:t>
            </w:r>
          </w:p>
        </w:tc>
        <w:tc>
          <w:tcPr>
            <w:tcW w:w="2253" w:type="dxa"/>
          </w:tcPr>
          <w:p>
            <w:pPr>
              <w:spacing w:after="0" w:line="560" w:lineRule="exact"/>
              <w:jc w:val="center"/>
              <w:rPr>
                <w:rFonts w:ascii="仿宋_GB2312" w:hAnsi="Cambria" w:eastAsia="仿宋_GB2312"/>
                <w:kern w:val="0"/>
                <w:sz w:val="28"/>
                <w:szCs w:val="28"/>
              </w:rPr>
            </w:pPr>
            <w:r>
              <w:rPr>
                <w:rFonts w:hint="eastAsia" w:ascii="宋体" w:hAnsi="宋体" w:cs="宋体"/>
                <w:kern w:val="0"/>
                <w:sz w:val="28"/>
                <w:szCs w:val="28"/>
              </w:rPr>
              <w:t>行政机关</w:t>
            </w:r>
          </w:p>
        </w:tc>
        <w:tc>
          <w:tcPr>
            <w:tcW w:w="2857" w:type="dxa"/>
          </w:tcPr>
          <w:p>
            <w:pPr>
              <w:spacing w:after="0" w:line="560" w:lineRule="exact"/>
              <w:jc w:val="center"/>
              <w:rPr>
                <w:rFonts w:ascii="仿宋_GB2312" w:hAnsi="Cambria" w:eastAsia="仿宋_GB2312"/>
                <w:kern w:val="0"/>
                <w:sz w:val="28"/>
                <w:szCs w:val="28"/>
              </w:rPr>
            </w:pPr>
            <w:r>
              <w:rPr>
                <w:rFonts w:hint="eastAsia" w:ascii="宋体" w:hAnsi="宋体" w:cs="宋体"/>
                <w:kern w:val="0"/>
                <w:sz w:val="28"/>
                <w:szCs w:val="28"/>
              </w:rPr>
              <w:t>财政拨款</w:t>
            </w:r>
          </w:p>
        </w:tc>
      </w:tr>
    </w:tbl>
    <w:p>
      <w:pPr>
        <w:spacing w:after="0" w:line="560" w:lineRule="exact"/>
        <w:rPr>
          <w:rFonts w:ascii="仿宋_GB2312" w:hAnsi="Cambria" w:eastAsia="仿宋_GB2312"/>
          <w:kern w:val="0"/>
          <w:sz w:val="32"/>
          <w:szCs w:val="32"/>
        </w:rPr>
      </w:pPr>
    </w:p>
    <w:p>
      <w:pPr>
        <w:widowControl/>
        <w:spacing w:line="560" w:lineRule="exact"/>
        <w:rPr>
          <w:rFonts w:ascii="黑体" w:hAnsi="Cambria" w:eastAsia="黑体"/>
          <w:kern w:val="0"/>
          <w:sz w:val="52"/>
          <w:szCs w:val="52"/>
        </w:rPr>
      </w:pPr>
    </w:p>
    <w:p>
      <w:pPr>
        <w:widowControl/>
        <w:spacing w:line="560" w:lineRule="exact"/>
        <w:jc w:val="center"/>
        <w:rPr>
          <w:rFonts w:ascii="黑体" w:hAnsi="Cambria" w:eastAsia="黑体"/>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hAnsi="Cambria" w:eastAsia="黑体"/>
          <w:kern w:val="0"/>
          <w:sz w:val="52"/>
          <w:szCs w:val="52"/>
        </w:rPr>
      </w:pPr>
      <w:r>
        <w:pict>
          <v:shape id="图片 16" o:spid="_x0000_s1039" o:spt="75" alt="2" type="#_x0000_t75" style="position:absolute;left:0pt;margin-left:-80.6pt;margin-top:-104.5pt;height:840.95pt;width:596.15pt;z-index:-251656192;mso-width-relative:page;mso-height-relative:page;" filled="f" o:preferrelative="t" stroked="f" coordsize="21600,21600">
            <v:path/>
            <v:fill on="f" focussize="0,0"/>
            <v:stroke on="f" joinstyle="miter"/>
            <v:imagedata r:id="rId7" o:title=""/>
            <o:lock v:ext="edit" aspectratio="t"/>
            <w10:anchorlock/>
          </v:shape>
        </w:pict>
      </w:r>
    </w:p>
    <w:p>
      <w:pPr>
        <w:rPr>
          <w:rFonts w:ascii="宋体"/>
          <w:color w:val="000000"/>
          <w:kern w:val="0"/>
        </w:rPr>
      </w:pPr>
    </w:p>
    <w:p>
      <w:pPr>
        <w:rPr>
          <w:rFonts w:ascii="宋体"/>
          <w:color w:val="000000"/>
          <w:kern w:val="0"/>
        </w:rPr>
      </w:pPr>
    </w:p>
    <w:p>
      <w:pPr>
        <w:rPr>
          <w:rFonts w:ascii="宋体"/>
          <w:color w:val="000000"/>
          <w:kern w:val="0"/>
        </w:rPr>
        <w:sectPr>
          <w:pgSz w:w="11906" w:h="16838"/>
          <w:pgMar w:top="2098" w:right="1474" w:bottom="1984" w:left="1588" w:header="851" w:footer="992" w:gutter="0"/>
          <w:cols w:space="0" w:num="1"/>
          <w:docGrid w:type="lines" w:linePitch="312" w:charSpace="0"/>
        </w:sectPr>
      </w:pPr>
      <w:r>
        <w:pict>
          <v:shape id="_x0000_s1040" o:spid="_x0000_s1040" o:spt="202" type="#_x0000_t202" style="position:absolute;left:0pt;margin-left:-74.2pt;margin-top:120.3pt;height:159.1pt;width:596.2pt;z-index:251659264;mso-width-relative:page;mso-height-relative:page;" filled="f" stroked="f" coordsize="21600,21600">
            <v:path/>
            <v:fill on="f" focussize="0,0"/>
            <v:stroke on="f" weight="0.5pt" joinstyle="miter"/>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s="黑体"/>
                      <w:color w:val="FDEFBE"/>
                      <w:sz w:val="96"/>
                      <w:szCs w:val="96"/>
                    </w:rPr>
                    <w:t>第二部分</w:t>
                  </w:r>
                </w:p>
                <w:p>
                  <w:pPr>
                    <w:widowControl/>
                    <w:spacing w:line="1200" w:lineRule="exact"/>
                    <w:jc w:val="center"/>
                    <w:rPr>
                      <w:color w:val="FDEFBE"/>
                      <w:sz w:val="96"/>
                      <w:szCs w:val="96"/>
                    </w:rPr>
                  </w:pPr>
                  <w:r>
                    <w:rPr>
                      <w:rFonts w:ascii="黑体" w:hAnsi="宋体" w:eastAsia="黑体" w:cs="黑体"/>
                      <w:color w:val="FDEFBE"/>
                      <w:sz w:val="96"/>
                      <w:szCs w:val="96"/>
                    </w:rPr>
                    <w:t>2018</w:t>
                  </w:r>
                  <w:r>
                    <w:rPr>
                      <w:rFonts w:hint="eastAsia" w:ascii="黑体" w:hAnsi="宋体" w:eastAsia="黑体" w:cs="黑体"/>
                      <w:color w:val="FDEFBE"/>
                      <w:sz w:val="96"/>
                      <w:szCs w:val="96"/>
                    </w:rPr>
                    <w:t>年度部门决算报表</w:t>
                  </w:r>
                </w:p>
              </w:txbxContent>
            </v:textbox>
            <w10:anchorlock/>
          </v:shape>
        </w:pict>
      </w:r>
    </w:p>
    <w:p>
      <w:pPr>
        <w:widowControl/>
        <w:spacing w:line="580" w:lineRule="exact"/>
        <w:ind w:left="640" w:firstLine="723" w:firstLineChars="200"/>
        <w:jc w:val="left"/>
        <w:rPr>
          <w:rFonts w:eastAsia="仿宋_GB2312" w:cs="仿宋_GB2312"/>
          <w:b/>
          <w:sz w:val="36"/>
          <w:szCs w:val="32"/>
        </w:rPr>
      </w:pPr>
      <w:r>
        <w:rPr>
          <w:rFonts w:hint="eastAsia" w:eastAsia="仿宋_GB2312" w:cs="仿宋_GB2312"/>
          <w:b/>
          <w:sz w:val="36"/>
          <w:szCs w:val="32"/>
        </w:rPr>
        <w:t>本部门应公开10张决算表格，即：</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一、收入支出决算总表（公开01表）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二、收入决算表（公开02表）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三、支出决算表（公开03表）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四、财政拨款收入支出决算总表（公开04表）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五、一般公共预算财政拨款支出决算表（公开05表）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六、一般公共预算财政拨款基本支出决算表（公开06表）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七、一般公共预算财政拨款</w:t>
      </w:r>
      <w:r>
        <w:rPr>
          <w:rFonts w:eastAsia="仿宋_GB2312"/>
          <w:sz w:val="32"/>
          <w:szCs w:val="32"/>
        </w:rPr>
        <w:t>“</w:t>
      </w:r>
      <w:r>
        <w:rPr>
          <w:rFonts w:hint="eastAsia" w:eastAsia="仿宋_GB2312" w:cs="仿宋_GB2312"/>
          <w:sz w:val="32"/>
          <w:szCs w:val="32"/>
        </w:rPr>
        <w:t>三公</w:t>
      </w:r>
      <w:r>
        <w:rPr>
          <w:rFonts w:eastAsia="仿宋_GB2312"/>
          <w:sz w:val="32"/>
          <w:szCs w:val="32"/>
        </w:rPr>
        <w:t>”</w:t>
      </w:r>
      <w:r>
        <w:rPr>
          <w:rFonts w:hint="eastAsia" w:eastAsia="仿宋_GB2312" w:cs="仿宋_GB2312"/>
          <w:sz w:val="32"/>
          <w:szCs w:val="32"/>
        </w:rPr>
        <w:t>经费支出决算表（公开07表）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八、政府性基金预算财政拨款收入支出决算表（公开08表）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九、国有资本经营预算财政拨款支出决算表（公开09表）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十、政府采购情况表（公开10表）</w:t>
      </w:r>
    </w:p>
    <w:p>
      <w:pPr>
        <w:widowControl/>
        <w:spacing w:line="580" w:lineRule="exact"/>
        <w:ind w:left="640" w:firstLine="640" w:firstLineChars="200"/>
        <w:rPr>
          <w:rFonts w:eastAsia="仿宋_GB2312"/>
          <w:sz w:val="32"/>
          <w:szCs w:val="32"/>
        </w:rPr>
      </w:pPr>
      <w:r>
        <w:rPr>
          <w:rFonts w:hint="eastAsia" w:eastAsia="仿宋_GB2312"/>
          <w:sz w:val="32"/>
          <w:szCs w:val="32"/>
        </w:rPr>
        <w:t>详见附表：（高邑县高邑镇人民政府2018年度部门决算公开表）</w:t>
      </w:r>
    </w:p>
    <w:p>
      <w:pPr>
        <w:tabs>
          <w:tab w:val="left" w:pos="1086"/>
        </w:tabs>
        <w:suppressAutoHyphens/>
        <w:jc w:val="center"/>
        <w:rPr>
          <w:rFonts w:ascii="仿宋_GB2312" w:hAnsi="宋体" w:eastAsia="仿宋_GB2312"/>
          <w:b/>
          <w:bCs/>
          <w:sz w:val="28"/>
          <w:szCs w:val="28"/>
        </w:rPr>
        <w:sectPr>
          <w:pgSz w:w="11906" w:h="16838"/>
          <w:pgMar w:top="2098" w:right="1474" w:bottom="1984" w:left="1588" w:header="851" w:footer="992" w:gutter="0"/>
          <w:cols w:space="0" w:num="1"/>
          <w:docGrid w:type="lines" w:linePitch="312" w:charSpace="0"/>
        </w:sectPr>
      </w:pPr>
    </w:p>
    <w:p>
      <w:pPr>
        <w:rPr>
          <w:rFonts w:ascii="宋体"/>
          <w:color w:val="000000"/>
          <w:kern w:val="0"/>
        </w:rPr>
        <w:sectPr>
          <w:pgSz w:w="11906" w:h="16838"/>
          <w:pgMar w:top="2098" w:right="1474" w:bottom="1984" w:left="1588" w:header="851" w:footer="992" w:gutter="0"/>
          <w:cols w:space="0" w:num="1"/>
          <w:docGrid w:type="lines" w:linePitch="312" w:charSpace="0"/>
        </w:sectPr>
      </w:pPr>
      <w:r>
        <w:pict>
          <v:shape id="图片 4" o:spid="_x0000_s1041" o:spt="75" alt="2" type="#_x0000_t75" style="position:absolute;left:0pt;margin-left:-79.45pt;margin-top:-105.35pt;height:840.95pt;width:594.5pt;z-index:-251656192;mso-width-relative:page;mso-height-relative:page;" filled="f" o:preferrelative="t" stroked="f" coordsize="21600,21600">
            <v:path/>
            <v:fill on="f" focussize="0,0"/>
            <v:stroke on="f" joinstyle="miter"/>
            <v:imagedata r:id="rId7" o:title=""/>
            <o:lock v:ext="edit" aspectratio="t"/>
            <w10:anchorlock/>
          </v:shape>
        </w:pict>
      </w:r>
      <w:r>
        <w:pict>
          <v:shape id="_x0000_s1042" o:spid="_x0000_s1042" o:spt="202" type="#_x0000_t202" style="position:absolute;left:0pt;margin-left:-78.7pt;margin-top:232.8pt;height:159.1pt;width:596.2pt;z-index:251659264;mso-width-relative:page;mso-height-relative:page;" filled="f" stroked="f" coordsize="21600,21600">
            <v:path/>
            <v:fill on="f" focussize="0,0"/>
            <v:stroke on="f" weight="0.5pt" joinstyle="miter"/>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s="黑体"/>
                      <w:color w:val="FDEFBE"/>
                      <w:sz w:val="96"/>
                      <w:szCs w:val="96"/>
                    </w:rPr>
                    <w:t>第三部分</w:t>
                  </w:r>
                </w:p>
                <w:p>
                  <w:pPr>
                    <w:widowControl/>
                    <w:spacing w:line="1200" w:lineRule="exact"/>
                    <w:jc w:val="center"/>
                    <w:rPr>
                      <w:color w:val="FDEFBE"/>
                      <w:sz w:val="96"/>
                      <w:szCs w:val="96"/>
                    </w:rPr>
                  </w:pPr>
                  <w:r>
                    <w:rPr>
                      <w:rFonts w:hint="eastAsia" w:ascii="黑体" w:hAnsi="宋体" w:eastAsia="黑体" w:cs="黑体"/>
                      <w:color w:val="FDEFBE"/>
                      <w:sz w:val="96"/>
                      <w:szCs w:val="96"/>
                    </w:rPr>
                    <w:t>部门决算情况说明</w:t>
                  </w:r>
                </w:p>
              </w:txbxContent>
            </v:textbox>
            <w10:anchorlock/>
          </v:shape>
        </w:pict>
      </w:r>
    </w:p>
    <w:p>
      <w:pPr>
        <w:pStyle w:val="3"/>
        <w:spacing w:before="0" w:after="0" w:line="580" w:lineRule="exact"/>
        <w:ind w:firstLine="640" w:firstLineChars="200"/>
        <w:rPr>
          <w:rFonts w:ascii="黑体" w:eastAsia="黑体" w:cs="Times New Roman"/>
          <w:b w:val="0"/>
          <w:bCs w:val="0"/>
        </w:rPr>
      </w:pPr>
      <w:r>
        <w:rPr>
          <w:rFonts w:hint="eastAsia" w:ascii="黑体" w:eastAsia="黑体" w:cs="黑体"/>
          <w:b w:val="0"/>
          <w:bCs w:val="0"/>
        </w:rPr>
        <w:t>一、收入</w:t>
      </w:r>
      <w:r>
        <w:rPr>
          <w:rFonts w:hint="eastAsia" w:ascii="黑体" w:hAnsi="Cambria" w:eastAsia="黑体" w:cs="黑体"/>
          <w:b w:val="0"/>
          <w:bCs w:val="0"/>
          <w:kern w:val="0"/>
        </w:rPr>
        <w:t>支</w:t>
      </w:r>
      <w:r>
        <w:pict>
          <v:group id="_x0000_s1043" o:spid="_x0000_s1043" o:spt="203" style="position:absolute;left:0pt;margin-left:-0.55pt;margin-top:29.3pt;height:43.95pt;width:301.85pt;mso-position-horizontal-relative:page;mso-position-vertical-relative:page;z-index:251659264;mso-width-relative:page;mso-height-relative:page;" coordorigin="4551,52615" coordsize="8546,1398">
            <o:lock v:ext="edit"/>
            <v:rect id="矩形 13" o:spid="_x0000_s1044" o:spt="1" style="position:absolute;left:4551;top:52615;height:1175;width:8546;v-text-anchor:middle;" fillcolor="#D9D9D9" filled="t" stroked="f" coordsize="21600,21600">
              <v:path/>
              <v:fill on="t" focussize="0,0"/>
              <v:stroke on="f" weight="2pt"/>
              <v:imagedata o:title=""/>
              <o:lock v:ext="edit"/>
            </v:rect>
            <v:rect id="矩形 14" o:spid="_x0000_s1045" o:spt="1" style="position:absolute;left:4577;top:52890;height:1123;width:8324;v-text-anchor:middle;" fillcolor="#AD002D" filled="t" stroked="t" coordsize="21600,21600">
              <v:path/>
              <v:fill on="t" focussize="0,0"/>
              <v:stroke weight="2pt" color="#B0761F" joinstyle="round"/>
              <v:imagedata o:title=""/>
              <o:lock v:ext="edit"/>
              <v:textbox style="mso-next-textbox:#矩形 14;">
                <w:txbxContent>
                  <w:p>
                    <w:pPr>
                      <w:widowControl/>
                      <w:jc w:val="left"/>
                      <w:rPr>
                        <w:rFonts w:ascii="楷体" w:hAnsi="楷体" w:eastAsia="楷体"/>
                        <w:b/>
                        <w:bCs/>
                        <w:color w:val="FDEFBE"/>
                        <w:sz w:val="32"/>
                        <w:szCs w:val="32"/>
                      </w:rPr>
                    </w:pPr>
                    <w:r>
                      <w:rPr>
                        <w:rFonts w:ascii="楷体" w:hAnsi="楷体" w:eastAsia="楷体" w:cs="楷体"/>
                        <w:b/>
                        <w:bCs/>
                        <w:color w:val="FDEFBE"/>
                        <w:kern w:val="0"/>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pPr>
                      <w:widowControl/>
                      <w:jc w:val="left"/>
                      <w:rPr>
                        <w:rFonts w:ascii="楷体" w:hAnsi="楷体" w:eastAsia="楷体"/>
                        <w:b/>
                        <w:bCs/>
                        <w:color w:val="FDEFBE"/>
                        <w:sz w:val="36"/>
                        <w:szCs w:val="36"/>
                      </w:rPr>
                    </w:pPr>
                    <w:r>
                      <w:rPr>
                        <w:rFonts w:ascii="楷体" w:hAnsi="楷体" w:eastAsia="楷体" w:cs="楷体"/>
                        <w:b/>
                        <w:bCs/>
                        <w:color w:val="FDEFBE"/>
                        <w:kern w:val="0"/>
                        <w:sz w:val="36"/>
                        <w:szCs w:val="36"/>
                      </w:rPr>
                      <w:t>2018</w:t>
                    </w:r>
                    <w:r>
                      <w:rPr>
                        <w:rFonts w:hint="eastAsia" w:ascii="楷体" w:hAnsi="楷体" w:eastAsia="楷体" w:cs="楷体"/>
                        <w:b/>
                        <w:bCs/>
                        <w:color w:val="FDEFBE"/>
                        <w:kern w:val="0"/>
                        <w:sz w:val="36"/>
                        <w:szCs w:val="36"/>
                      </w:rPr>
                      <w:t>年度部门决算</w:t>
                    </w:r>
                    <w:r>
                      <w:rPr>
                        <w:rFonts w:hint="eastAsia" w:ascii="MS Gothic" w:hAnsi="MS Gothic" w:eastAsia="MS Gothic" w:cs="MS Gothic"/>
                        <w:b/>
                        <w:bCs/>
                        <w:color w:val="FDEFBE"/>
                        <w:kern w:val="0"/>
                        <w:sz w:val="36"/>
                        <w:szCs w:val="36"/>
                      </w:rPr>
                      <w:t>☞</w:t>
                    </w:r>
                    <w:r>
                      <w:rPr>
                        <w:rFonts w:hint="eastAsia" w:ascii="楷体" w:hAnsi="楷体" w:eastAsia="楷体" w:cs="楷体"/>
                        <w:b/>
                        <w:bCs/>
                        <w:color w:val="FDEFBE"/>
                        <w:kern w:val="0"/>
                        <w:sz w:val="36"/>
                        <w:szCs w:val="36"/>
                      </w:rPr>
                      <w:t>目</w:t>
                    </w:r>
                    <w:r>
                      <w:rPr>
                        <w:rFonts w:ascii="楷体" w:hAnsi="楷体" w:eastAsia="楷体" w:cs="楷体"/>
                        <w:b/>
                        <w:bCs/>
                        <w:color w:val="FDEFBE"/>
                        <w:kern w:val="0"/>
                        <w:sz w:val="36"/>
                        <w:szCs w:val="36"/>
                      </w:rPr>
                      <w:t xml:space="preserve"> </w:t>
                    </w:r>
                    <w:r>
                      <w:rPr>
                        <w:rFonts w:hint="eastAsia" w:ascii="楷体" w:hAnsi="楷体" w:eastAsia="楷体" w:cs="楷体"/>
                        <w:b/>
                        <w:bCs/>
                        <w:color w:val="FDEFBE"/>
                        <w:kern w:val="0"/>
                        <w:sz w:val="36"/>
                        <w:szCs w:val="36"/>
                      </w:rPr>
                      <w:t>录</w:t>
                    </w:r>
                  </w:p>
                  <w:p>
                    <w:pPr>
                      <w:jc w:val="center"/>
                    </w:pPr>
                  </w:p>
                </w:txbxContent>
              </v:textbox>
            </v:rect>
            <w10:anchorlock/>
          </v:group>
        </w:pict>
      </w:r>
      <w:r>
        <w:rPr>
          <w:rFonts w:hint="eastAsia" w:ascii="黑体" w:hAnsi="Cambria" w:eastAsia="黑体" w:cs="黑体"/>
          <w:b w:val="0"/>
          <w:bCs w:val="0"/>
          <w:kern w:val="0"/>
        </w:rPr>
        <w:t>出</w:t>
      </w:r>
      <w:r>
        <w:rPr>
          <w:rFonts w:hint="eastAsia" w:ascii="黑体" w:eastAsia="黑体" w:cs="黑体"/>
          <w:b w:val="0"/>
          <w:bCs w:val="0"/>
        </w:rPr>
        <w:t>决算总体情况说明</w:t>
      </w:r>
    </w:p>
    <w:p>
      <w:pPr>
        <w:widowControl/>
        <w:spacing w:line="580" w:lineRule="exact"/>
        <w:ind w:left="640" w:firstLine="640" w:firstLineChars="200"/>
        <w:rPr>
          <w:rFonts w:ascii="仿宋_GB2312" w:eastAsia="仿宋_GB2312"/>
          <w:sz w:val="32"/>
          <w:szCs w:val="32"/>
        </w:rPr>
      </w:pPr>
      <w:r>
        <w:rPr>
          <w:rFonts w:hint="eastAsia" w:ascii="仿宋_GB2312" w:eastAsia="仿宋_GB2312" w:cs="仿宋_GB2312"/>
          <w:sz w:val="32"/>
          <w:szCs w:val="32"/>
        </w:rPr>
        <w:t>本部门</w:t>
      </w:r>
      <w:r>
        <w:rPr>
          <w:rFonts w:ascii="仿宋_GB2312" w:eastAsia="仿宋_GB2312" w:cs="仿宋_GB2312"/>
          <w:sz w:val="32"/>
          <w:szCs w:val="32"/>
        </w:rPr>
        <w:t>2018</w:t>
      </w:r>
      <w:r>
        <w:rPr>
          <w:rFonts w:hint="eastAsia" w:ascii="仿宋_GB2312" w:eastAsia="仿宋_GB2312" w:cs="仿宋_GB2312"/>
          <w:sz w:val="32"/>
          <w:szCs w:val="32"/>
        </w:rPr>
        <w:t>年度年初结转和结余</w:t>
      </w:r>
      <w:r>
        <w:rPr>
          <w:rFonts w:ascii="仿宋_GB2312" w:eastAsia="仿宋_GB2312" w:cs="仿宋_GB2312"/>
          <w:sz w:val="32"/>
          <w:szCs w:val="32"/>
        </w:rPr>
        <w:t>194.56</w:t>
      </w:r>
      <w:r>
        <w:rPr>
          <w:rFonts w:hint="eastAsia" w:ascii="仿宋_GB2312" w:eastAsia="仿宋_GB2312" w:cs="仿宋_GB2312"/>
          <w:sz w:val="32"/>
          <w:szCs w:val="32"/>
        </w:rPr>
        <w:t>万元，本年收入</w:t>
      </w:r>
      <w:r>
        <w:rPr>
          <w:rFonts w:ascii="仿宋_GB2312" w:eastAsia="仿宋_GB2312" w:cs="仿宋_GB2312"/>
          <w:sz w:val="32"/>
          <w:szCs w:val="32"/>
        </w:rPr>
        <w:t>6926.33</w:t>
      </w:r>
      <w:r>
        <w:rPr>
          <w:rFonts w:hint="eastAsia" w:ascii="仿宋_GB2312" w:eastAsia="仿宋_GB2312" w:cs="仿宋_GB2312"/>
          <w:sz w:val="32"/>
          <w:szCs w:val="32"/>
        </w:rPr>
        <w:t>万元；本年支出</w:t>
      </w:r>
      <w:r>
        <w:rPr>
          <w:rFonts w:ascii="仿宋_GB2312" w:eastAsia="仿宋_GB2312" w:cs="仿宋_GB2312"/>
          <w:sz w:val="32"/>
          <w:szCs w:val="32"/>
        </w:rPr>
        <w:t>6981.42</w:t>
      </w:r>
      <w:r>
        <w:rPr>
          <w:rFonts w:hint="eastAsia" w:ascii="仿宋_GB2312" w:eastAsia="仿宋_GB2312" w:cs="仿宋_GB2312"/>
          <w:sz w:val="32"/>
          <w:szCs w:val="32"/>
        </w:rPr>
        <w:t>万元、年末结转和结余</w:t>
      </w:r>
      <w:r>
        <w:rPr>
          <w:rFonts w:ascii="仿宋_GB2312" w:eastAsia="仿宋_GB2312" w:cs="仿宋_GB2312"/>
          <w:sz w:val="32"/>
          <w:szCs w:val="32"/>
        </w:rPr>
        <w:t>139.47</w:t>
      </w:r>
      <w:r>
        <w:rPr>
          <w:rFonts w:hint="eastAsia" w:ascii="仿宋_GB2312" w:eastAsia="仿宋_GB2312" w:cs="仿宋_GB2312"/>
          <w:sz w:val="32"/>
          <w:szCs w:val="32"/>
        </w:rPr>
        <w:t>万元。与</w:t>
      </w:r>
      <w:r>
        <w:rPr>
          <w:rFonts w:ascii="仿宋_GB2312" w:eastAsia="仿宋_GB2312" w:cs="仿宋_GB2312"/>
          <w:sz w:val="32"/>
          <w:szCs w:val="32"/>
        </w:rPr>
        <w:t>2017</w:t>
      </w:r>
      <w:r>
        <w:rPr>
          <w:rFonts w:hint="eastAsia" w:ascii="仿宋_GB2312" w:eastAsia="仿宋_GB2312" w:cs="仿宋_GB2312"/>
          <w:sz w:val="32"/>
          <w:szCs w:val="32"/>
        </w:rPr>
        <w:t>年度决算相比，本年收入增加</w:t>
      </w:r>
      <w:r>
        <w:rPr>
          <w:rFonts w:ascii="仿宋_GB2312" w:eastAsia="仿宋_GB2312" w:cs="仿宋_GB2312"/>
          <w:sz w:val="32"/>
          <w:szCs w:val="32"/>
        </w:rPr>
        <w:t>2364.54</w:t>
      </w:r>
      <w:r>
        <w:rPr>
          <w:rFonts w:hint="eastAsia" w:ascii="仿宋_GB2312" w:eastAsia="仿宋_GB2312" w:cs="仿宋_GB2312"/>
          <w:sz w:val="32"/>
          <w:szCs w:val="32"/>
        </w:rPr>
        <w:t>万元，增长</w:t>
      </w:r>
      <w:r>
        <w:rPr>
          <w:rFonts w:ascii="仿宋_GB2312" w:eastAsia="仿宋_GB2312" w:cs="仿宋_GB2312"/>
          <w:sz w:val="32"/>
          <w:szCs w:val="32"/>
        </w:rPr>
        <w:t>51.83%</w:t>
      </w:r>
      <w:r>
        <w:rPr>
          <w:rFonts w:hint="eastAsia" w:ascii="仿宋_GB2312" w:eastAsia="仿宋_GB2312" w:cs="仿宋_GB2312"/>
          <w:sz w:val="32"/>
          <w:szCs w:val="32"/>
        </w:rPr>
        <w:t>，主要是一般公共预算财政拨款的增加；本年支出增加</w:t>
      </w:r>
      <w:r>
        <w:rPr>
          <w:rFonts w:ascii="仿宋_GB2312" w:eastAsia="仿宋_GB2312" w:cs="仿宋_GB2312"/>
          <w:sz w:val="32"/>
          <w:szCs w:val="32"/>
        </w:rPr>
        <w:t>1865.46</w:t>
      </w:r>
      <w:r>
        <w:rPr>
          <w:rFonts w:hint="eastAsia" w:ascii="仿宋_GB2312" w:eastAsia="仿宋_GB2312" w:cs="仿宋_GB2312"/>
          <w:sz w:val="32"/>
          <w:szCs w:val="32"/>
        </w:rPr>
        <w:t>万元，增长</w:t>
      </w:r>
      <w:r>
        <w:rPr>
          <w:rFonts w:ascii="仿宋_GB2312" w:eastAsia="仿宋_GB2312" w:cs="仿宋_GB2312"/>
          <w:sz w:val="32"/>
          <w:szCs w:val="32"/>
        </w:rPr>
        <w:t>36.46%</w:t>
      </w:r>
      <w:r>
        <w:rPr>
          <w:rFonts w:hint="eastAsia" w:ascii="仿宋_GB2312" w:eastAsia="仿宋_GB2312" w:cs="仿宋_GB2312"/>
          <w:sz w:val="32"/>
          <w:szCs w:val="32"/>
        </w:rPr>
        <w:t>，增长的主要原因是镇政府一般公共服务支出的增加、教育支出的增加、节能环保支出、城乡社区支出及农林水方面的支出都有了相应的增加。</w:t>
      </w:r>
    </w:p>
    <w:p>
      <w:pPr>
        <w:pStyle w:val="3"/>
        <w:spacing w:before="0" w:after="0" w:line="580" w:lineRule="exact"/>
        <w:ind w:firstLine="320" w:firstLineChars="100"/>
        <w:rPr>
          <w:rFonts w:ascii="黑体" w:eastAsia="黑体" w:cs="Times New Roman"/>
          <w:b w:val="0"/>
          <w:bCs w:val="0"/>
        </w:rPr>
      </w:pPr>
      <w:r>
        <w:rPr>
          <w:rFonts w:hint="eastAsia" w:ascii="黑体" w:eastAsia="黑体" w:cs="黑体"/>
          <w:b w:val="0"/>
          <w:bCs w:val="0"/>
        </w:rPr>
        <w:t>二、收入决算情况说明</w:t>
      </w:r>
    </w:p>
    <w:p>
      <w:pPr>
        <w:adjustRightInd w:val="0"/>
        <w:snapToGrid w:val="0"/>
        <w:spacing w:after="0" w:line="580" w:lineRule="exact"/>
        <w:ind w:left="336" w:leftChars="160" w:firstLine="320" w:firstLineChars="100"/>
        <w:rPr>
          <w:rFonts w:ascii="仿宋_GB2312" w:eastAsia="仿宋_GB2312"/>
          <w:sz w:val="32"/>
          <w:szCs w:val="32"/>
        </w:rPr>
      </w:pPr>
      <w:r>
        <w:rPr>
          <w:rFonts w:hint="eastAsia" w:ascii="仿宋_GB2312" w:eastAsia="仿宋_GB2312" w:cs="仿宋_GB2312"/>
          <w:sz w:val="32"/>
          <w:szCs w:val="32"/>
        </w:rPr>
        <w:t>本部门</w:t>
      </w:r>
      <w:r>
        <w:rPr>
          <w:rFonts w:ascii="仿宋_GB2312" w:eastAsia="仿宋_GB2312" w:cs="仿宋_GB2312"/>
          <w:sz w:val="32"/>
          <w:szCs w:val="32"/>
        </w:rPr>
        <w:t>2018</w:t>
      </w:r>
      <w:r>
        <w:rPr>
          <w:rFonts w:hint="eastAsia" w:ascii="仿宋_GB2312" w:eastAsia="仿宋_GB2312" w:cs="仿宋_GB2312"/>
          <w:sz w:val="32"/>
          <w:szCs w:val="32"/>
        </w:rPr>
        <w:t>年度本年收入合计</w:t>
      </w:r>
      <w:r>
        <w:rPr>
          <w:rFonts w:ascii="仿宋_GB2312" w:eastAsia="仿宋_GB2312" w:cs="仿宋_GB2312"/>
          <w:sz w:val="32"/>
          <w:szCs w:val="32"/>
        </w:rPr>
        <w:t>6926.33</w:t>
      </w:r>
      <w:r>
        <w:rPr>
          <w:rFonts w:hint="eastAsia" w:ascii="仿宋_GB2312" w:eastAsia="仿宋_GB2312" w:cs="仿宋_GB2312"/>
          <w:sz w:val="32"/>
          <w:szCs w:val="32"/>
        </w:rPr>
        <w:t>万元，其中：财政拨款收入</w:t>
      </w:r>
      <w:r>
        <w:rPr>
          <w:rFonts w:ascii="仿宋_GB2312" w:eastAsia="仿宋_GB2312" w:cs="仿宋_GB2312"/>
          <w:sz w:val="32"/>
          <w:szCs w:val="32"/>
        </w:rPr>
        <w:t>6926.33</w:t>
      </w:r>
      <w:r>
        <w:rPr>
          <w:rFonts w:hint="eastAsia" w:ascii="仿宋_GB2312" w:eastAsia="仿宋_GB2312" w:cs="仿宋_GB2312"/>
          <w:sz w:val="32"/>
          <w:szCs w:val="32"/>
        </w:rPr>
        <w:t>万元，占</w:t>
      </w:r>
      <w:r>
        <w:rPr>
          <w:rFonts w:ascii="仿宋_GB2312" w:eastAsia="仿宋_GB2312" w:cs="仿宋_GB2312"/>
          <w:sz w:val="32"/>
          <w:szCs w:val="32"/>
        </w:rPr>
        <w:t>100%</w:t>
      </w:r>
      <w:r>
        <w:rPr>
          <w:rFonts w:hint="eastAsia" w:ascii="仿宋_GB2312" w:eastAsia="仿宋_GB2312" w:cs="仿宋_GB2312"/>
          <w:sz w:val="32"/>
          <w:szCs w:val="32"/>
        </w:rPr>
        <w:t>；事业收入</w:t>
      </w:r>
      <w:r>
        <w:rPr>
          <w:rFonts w:ascii="仿宋_GB2312" w:eastAsia="仿宋_GB2312" w:cs="仿宋_GB2312"/>
          <w:sz w:val="32"/>
          <w:szCs w:val="32"/>
        </w:rPr>
        <w:t>0</w:t>
      </w:r>
      <w:r>
        <w:rPr>
          <w:rFonts w:hint="eastAsia" w:ascii="仿宋_GB2312" w:eastAsia="仿宋_GB2312" w:cs="仿宋_GB2312"/>
          <w:sz w:val="32"/>
          <w:szCs w:val="32"/>
        </w:rPr>
        <w:t>万元，占</w:t>
      </w:r>
      <w:r>
        <w:rPr>
          <w:rFonts w:ascii="仿宋_GB2312" w:eastAsia="仿宋_GB2312" w:cs="仿宋_GB2312"/>
          <w:sz w:val="32"/>
          <w:szCs w:val="32"/>
        </w:rPr>
        <w:t>0%</w:t>
      </w:r>
      <w:r>
        <w:rPr>
          <w:rFonts w:hint="eastAsia" w:ascii="仿宋_GB2312" w:eastAsia="仿宋_GB2312" w:cs="仿宋_GB2312"/>
          <w:sz w:val="32"/>
          <w:szCs w:val="32"/>
        </w:rPr>
        <w:t>；经营收入</w:t>
      </w:r>
      <w:r>
        <w:rPr>
          <w:rFonts w:ascii="仿宋_GB2312" w:eastAsia="仿宋_GB2312" w:cs="仿宋_GB2312"/>
          <w:sz w:val="32"/>
          <w:szCs w:val="32"/>
        </w:rPr>
        <w:t>0</w:t>
      </w:r>
      <w:r>
        <w:rPr>
          <w:rFonts w:hint="eastAsia" w:ascii="仿宋_GB2312" w:eastAsia="仿宋_GB2312" w:cs="仿宋_GB2312"/>
          <w:sz w:val="32"/>
          <w:szCs w:val="32"/>
        </w:rPr>
        <w:t>万元，占</w:t>
      </w:r>
      <w:r>
        <w:rPr>
          <w:rFonts w:ascii="仿宋_GB2312" w:eastAsia="仿宋_GB2312" w:cs="仿宋_GB2312"/>
          <w:sz w:val="32"/>
          <w:szCs w:val="32"/>
        </w:rPr>
        <w:t>0%</w:t>
      </w:r>
      <w:r>
        <w:rPr>
          <w:rFonts w:hint="eastAsia" w:ascii="仿宋_GB2312" w:eastAsia="仿宋_GB2312" w:cs="仿宋_GB2312"/>
          <w:sz w:val="32"/>
          <w:szCs w:val="32"/>
        </w:rPr>
        <w:t>；其他收入</w:t>
      </w:r>
      <w:r>
        <w:rPr>
          <w:rFonts w:ascii="仿宋_GB2312" w:eastAsia="仿宋_GB2312" w:cs="仿宋_GB2312"/>
          <w:sz w:val="32"/>
          <w:szCs w:val="32"/>
        </w:rPr>
        <w:t>0</w:t>
      </w:r>
      <w:r>
        <w:rPr>
          <w:rFonts w:hint="eastAsia" w:ascii="仿宋_GB2312" w:eastAsia="仿宋_GB2312" w:cs="仿宋_GB2312"/>
          <w:sz w:val="32"/>
          <w:szCs w:val="32"/>
        </w:rPr>
        <w:t>万元，占</w:t>
      </w:r>
      <w:r>
        <w:rPr>
          <w:rFonts w:ascii="仿宋_GB2312" w:eastAsia="仿宋_GB2312" w:cs="仿宋_GB2312"/>
          <w:sz w:val="32"/>
          <w:szCs w:val="32"/>
        </w:rPr>
        <w:t>0%</w:t>
      </w:r>
      <w:r>
        <w:rPr>
          <w:rFonts w:hint="eastAsia" w:ascii="仿宋_GB2312" w:eastAsia="仿宋_GB2312" w:cs="仿宋_GB2312"/>
          <w:sz w:val="32"/>
          <w:szCs w:val="32"/>
        </w:rPr>
        <w:t>。如图所示：</w:t>
      </w:r>
    </w:p>
    <w:p>
      <w:pPr>
        <w:ind w:firstLine="1928" w:firstLineChars="600"/>
      </w:pPr>
      <w:r>
        <w:rPr>
          <w:rFonts w:hint="eastAsia" w:ascii="方正仿宋_GBK" w:cs="宋体"/>
          <w:b/>
          <w:bCs/>
          <w:sz w:val="32"/>
          <w:szCs w:val="32"/>
        </w:rPr>
        <w:t>图</w:t>
      </w:r>
      <w:r>
        <w:rPr>
          <w:rFonts w:hint="eastAsia" w:cs="宋体" w:asciiTheme="minorEastAsia" w:hAnsiTheme="minorEastAsia" w:eastAsiaTheme="minorEastAsia"/>
          <w:b/>
          <w:bCs/>
          <w:sz w:val="32"/>
          <w:szCs w:val="32"/>
        </w:rPr>
        <w:t>1：2018</w:t>
      </w:r>
      <w:r>
        <w:rPr>
          <w:rFonts w:hint="eastAsia" w:ascii="方正仿宋_GBK" w:cs="宋体"/>
          <w:b/>
          <w:bCs/>
          <w:sz w:val="32"/>
          <w:szCs w:val="32"/>
        </w:rPr>
        <w:t>年收入决算结构饼状图</w:t>
      </w:r>
    </w:p>
    <w:p>
      <w:pPr>
        <w:adjustRightInd w:val="0"/>
        <w:snapToGrid w:val="0"/>
        <w:spacing w:line="560" w:lineRule="exact"/>
        <w:jc w:val="center"/>
        <w:rPr>
          <w:rFonts w:ascii="方正仿宋_GBK"/>
          <w:b/>
          <w:bCs/>
          <w:sz w:val="32"/>
          <w:szCs w:val="32"/>
        </w:rPr>
      </w:pPr>
    </w:p>
    <w:p>
      <w:pPr>
        <w:adjustRightInd w:val="0"/>
        <w:snapToGrid w:val="0"/>
        <w:spacing w:after="0" w:line="580" w:lineRule="exact"/>
        <w:rPr>
          <w:rFonts w:ascii="仿宋_GB2312" w:eastAsia="仿宋_GB2312"/>
          <w:sz w:val="32"/>
          <w:szCs w:val="32"/>
        </w:rPr>
      </w:pPr>
    </w:p>
    <w:p>
      <w:pPr>
        <w:adjustRightInd w:val="0"/>
        <w:snapToGrid w:val="0"/>
        <w:spacing w:after="0" w:line="580" w:lineRule="exact"/>
        <w:rPr>
          <w:rFonts w:ascii="仿宋_GB2312" w:eastAsia="仿宋_GB2312"/>
          <w:sz w:val="32"/>
          <w:szCs w:val="32"/>
        </w:rPr>
      </w:pPr>
      <w:r>
        <w:pict>
          <v:shape id="_x0000_s1046" o:spid="_x0000_s1046" o:spt="75" type="#_x0000_t75" style="position:absolute;left:0pt;margin-left:5.25pt;margin-top:-75.8pt;height:240.6pt;width:439.35pt;z-index:251659264;mso-width-relative:page;mso-height-relative:page;" o:ole="t" fillcolor="#000000" filled="f" o:preferrelative="t" stroked="f" coordsize="21600,21600">
            <v:path/>
            <v:fill on="f" focussize="0,0"/>
            <v:stroke on="f" weight="7.8740157480315e-5pt" color="#FFFFFF" joinstyle="miter"/>
            <v:imagedata r:id="rId9" o:title=""/>
            <o:lock v:ext="edit" rotation="t" aspectratio="t"/>
            <w10:anchorlock/>
          </v:shape>
          <o:OLEObject Type="Embed" ProgID="Excel.Sheet.8" ShapeID="_x0000_s1046" DrawAspect="Content" ObjectID="_1468075725" r:id="rId8">
            <o:LockedField>false</o:LockedField>
          </o:OLEObject>
        </w:pict>
      </w:r>
    </w:p>
    <w:p>
      <w:pPr>
        <w:pStyle w:val="3"/>
        <w:spacing w:before="0" w:after="0" w:line="580" w:lineRule="exact"/>
        <w:ind w:firstLine="643" w:firstLineChars="200"/>
        <w:rPr>
          <w:rFonts w:ascii="黑体" w:eastAsia="黑体" w:cs="Times New Roman"/>
        </w:rPr>
      </w:pPr>
    </w:p>
    <w:p>
      <w:pPr>
        <w:pStyle w:val="3"/>
        <w:spacing w:before="0" w:after="0" w:line="580" w:lineRule="exact"/>
        <w:rPr>
          <w:rFonts w:ascii="黑体" w:eastAsia="黑体" w:cs="Times New Roman"/>
        </w:rPr>
      </w:pPr>
    </w:p>
    <w:p/>
    <w:p>
      <w:pPr>
        <w:pStyle w:val="3"/>
        <w:spacing w:before="0" w:after="0" w:line="580" w:lineRule="exact"/>
        <w:ind w:firstLine="640" w:firstLineChars="200"/>
        <w:rPr>
          <w:rFonts w:ascii="黑体" w:eastAsia="黑体" w:cs="Times New Roman"/>
          <w:b w:val="0"/>
          <w:bCs w:val="0"/>
        </w:rPr>
      </w:pPr>
      <w:r>
        <w:rPr>
          <w:rFonts w:hint="eastAsia" w:ascii="黑体" w:eastAsia="黑体" w:cs="黑体"/>
          <w:b w:val="0"/>
          <w:bCs w:val="0"/>
        </w:rPr>
        <w:t>三、支出决算情况说明</w:t>
      </w:r>
    </w:p>
    <w:p>
      <w:pPr>
        <w:adjustRightInd w:val="0"/>
        <w:snapToGrid w:val="0"/>
        <w:spacing w:after="0" w:line="580" w:lineRule="exact"/>
        <w:ind w:firstLine="640" w:firstLineChars="200"/>
        <w:rPr>
          <w:rFonts w:ascii="仿宋_GB2312" w:eastAsia="仿宋_GB2312"/>
          <w:sz w:val="32"/>
          <w:szCs w:val="32"/>
        </w:rPr>
      </w:pPr>
      <w:r>
        <w:rPr>
          <w:rFonts w:hint="eastAsia" w:ascii="仿宋_GB2312" w:eastAsia="仿宋_GB2312" w:cs="仿宋_GB2312"/>
          <w:sz w:val="32"/>
          <w:szCs w:val="32"/>
        </w:rPr>
        <w:t>本部门</w:t>
      </w:r>
      <w:r>
        <w:rPr>
          <w:rFonts w:ascii="仿宋_GB2312" w:eastAsia="仿宋_GB2312" w:cs="仿宋_GB2312"/>
          <w:sz w:val="32"/>
          <w:szCs w:val="32"/>
        </w:rPr>
        <w:t>2018</w:t>
      </w:r>
      <w:r>
        <w:rPr>
          <w:rFonts w:hint="eastAsia" w:ascii="仿宋_GB2312" w:eastAsia="仿宋_GB2312" w:cs="仿宋_GB2312"/>
          <w:sz w:val="32"/>
          <w:szCs w:val="32"/>
        </w:rPr>
        <w:t>年度本年支出合计</w:t>
      </w:r>
      <w:r>
        <w:rPr>
          <w:rFonts w:ascii="仿宋_GB2312" w:eastAsia="仿宋_GB2312" w:cs="仿宋_GB2312"/>
          <w:sz w:val="32"/>
          <w:szCs w:val="32"/>
        </w:rPr>
        <w:t>6981.42</w:t>
      </w:r>
      <w:r>
        <w:rPr>
          <w:rFonts w:hint="eastAsia" w:ascii="仿宋_GB2312" w:eastAsia="仿宋_GB2312" w:cs="仿宋_GB2312"/>
          <w:sz w:val="32"/>
          <w:szCs w:val="32"/>
        </w:rPr>
        <w:t>万元，其中：基本支出</w:t>
      </w:r>
      <w:r>
        <w:rPr>
          <w:rFonts w:ascii="仿宋_GB2312" w:eastAsia="仿宋_GB2312" w:cs="仿宋_GB2312"/>
          <w:sz w:val="32"/>
          <w:szCs w:val="32"/>
        </w:rPr>
        <w:t>2889.39</w:t>
      </w:r>
      <w:r>
        <w:rPr>
          <w:rFonts w:hint="eastAsia" w:ascii="仿宋_GB2312" w:eastAsia="仿宋_GB2312" w:cs="仿宋_GB2312"/>
          <w:sz w:val="32"/>
          <w:szCs w:val="32"/>
        </w:rPr>
        <w:t>万元，占</w:t>
      </w:r>
      <w:r>
        <w:rPr>
          <w:rFonts w:ascii="仿宋_GB2312" w:eastAsia="仿宋_GB2312" w:cs="仿宋_GB2312"/>
          <w:sz w:val="32"/>
          <w:szCs w:val="32"/>
        </w:rPr>
        <w:t>41.39%</w:t>
      </w:r>
      <w:r>
        <w:rPr>
          <w:rFonts w:hint="eastAsia" w:ascii="仿宋_GB2312" w:eastAsia="仿宋_GB2312" w:cs="仿宋_GB2312"/>
          <w:sz w:val="32"/>
          <w:szCs w:val="32"/>
        </w:rPr>
        <w:t>；项目支出</w:t>
      </w:r>
      <w:r>
        <w:rPr>
          <w:rFonts w:ascii="仿宋_GB2312" w:eastAsia="仿宋_GB2312" w:cs="仿宋_GB2312"/>
          <w:sz w:val="32"/>
          <w:szCs w:val="32"/>
        </w:rPr>
        <w:t>4092.03</w:t>
      </w:r>
      <w:r>
        <w:rPr>
          <w:rFonts w:hint="eastAsia" w:ascii="仿宋_GB2312" w:eastAsia="仿宋_GB2312" w:cs="仿宋_GB2312"/>
          <w:sz w:val="32"/>
          <w:szCs w:val="32"/>
        </w:rPr>
        <w:t>万元，占</w:t>
      </w:r>
      <w:r>
        <w:rPr>
          <w:rFonts w:ascii="仿宋_GB2312" w:eastAsia="仿宋_GB2312" w:cs="仿宋_GB2312"/>
          <w:sz w:val="32"/>
          <w:szCs w:val="32"/>
        </w:rPr>
        <w:t>58.61%</w:t>
      </w:r>
      <w:r>
        <w:rPr>
          <w:rFonts w:hint="eastAsia" w:ascii="仿宋_GB2312" w:eastAsia="仿宋_GB2312" w:cs="仿宋_GB2312"/>
          <w:sz w:val="32"/>
          <w:szCs w:val="32"/>
        </w:rPr>
        <w:t>；经营支出</w:t>
      </w:r>
      <w:r>
        <w:rPr>
          <w:rFonts w:ascii="仿宋_GB2312" w:eastAsia="仿宋_GB2312" w:cs="仿宋_GB2312"/>
          <w:sz w:val="32"/>
          <w:szCs w:val="32"/>
        </w:rPr>
        <w:t>0</w:t>
      </w:r>
      <w:r>
        <w:rPr>
          <w:rFonts w:hint="eastAsia" w:ascii="仿宋_GB2312" w:eastAsia="仿宋_GB2312" w:cs="仿宋_GB2312"/>
          <w:sz w:val="32"/>
          <w:szCs w:val="32"/>
        </w:rPr>
        <w:t>万元，占</w:t>
      </w:r>
      <w:r>
        <w:rPr>
          <w:rFonts w:ascii="仿宋_GB2312" w:eastAsia="仿宋_GB2312" w:cs="仿宋_GB2312"/>
          <w:sz w:val="32"/>
          <w:szCs w:val="32"/>
        </w:rPr>
        <w:t>0%</w:t>
      </w:r>
      <w:r>
        <w:rPr>
          <w:rFonts w:hint="eastAsia" w:ascii="仿宋_GB2312" w:eastAsia="仿宋_GB2312" w:cs="仿宋_GB2312"/>
          <w:sz w:val="32"/>
          <w:szCs w:val="32"/>
        </w:rPr>
        <w:t>。如图所示：</w:t>
      </w:r>
    </w:p>
    <w:p>
      <w:pPr>
        <w:adjustRightInd w:val="0"/>
        <w:snapToGrid w:val="0"/>
        <w:spacing w:line="560" w:lineRule="exact"/>
        <w:jc w:val="center"/>
        <w:rPr>
          <w:rFonts w:ascii="方正仿宋_GBK"/>
          <w:b/>
          <w:bCs/>
          <w:sz w:val="32"/>
          <w:szCs w:val="32"/>
        </w:rPr>
      </w:pPr>
      <w:r>
        <w:pict>
          <v:shape id="_x0000_s1047" o:spid="_x0000_s1047" o:spt="75" type="#_x0000_t75" style="position:absolute;left:0pt;margin-left:-5.25pt;margin-top:32.2pt;height:237.65pt;width:453.05pt;z-index:251659264;mso-width-relative:page;mso-height-relative:page;" o:ole="t" fillcolor="#000000" filled="f" o:preferrelative="t" stroked="f" coordsize="21600,21600">
            <v:path/>
            <v:fill on="f" focussize="0,0"/>
            <v:stroke on="f" weight="7.8740157480315e-5pt" color="#FFFFFF" joinstyle="miter"/>
            <v:imagedata r:id="rId11" o:title=""/>
            <o:lock v:ext="edit" rotation="t" aspectratio="t"/>
            <w10:anchorlock/>
          </v:shape>
          <o:OLEObject Type="Embed" ProgID="Excel.Sheet.8" ShapeID="_x0000_s1047" DrawAspect="Content" ObjectID="_1468075726" r:id="rId10">
            <o:LockedField>false</o:LockedField>
          </o:OLEObject>
        </w:pict>
      </w:r>
      <w:r>
        <w:rPr>
          <w:rFonts w:hint="eastAsia" w:ascii="方正仿宋_GBK" w:cs="宋体"/>
          <w:b/>
          <w:bCs/>
          <w:sz w:val="32"/>
          <w:szCs w:val="32"/>
        </w:rPr>
        <w:t>图</w:t>
      </w:r>
      <w:r>
        <w:rPr>
          <w:rFonts w:ascii="方正仿宋_GBK" w:cs="方正仿宋_GBK"/>
          <w:b/>
          <w:bCs/>
          <w:sz w:val="32"/>
          <w:szCs w:val="32"/>
        </w:rPr>
        <w:t xml:space="preserve"> </w:t>
      </w:r>
      <w:r>
        <w:rPr>
          <w:rFonts w:hint="eastAsia" w:cs="方正仿宋_GBK" w:asciiTheme="majorEastAsia" w:hAnsiTheme="majorEastAsia" w:eastAsiaTheme="majorEastAsia"/>
          <w:b/>
          <w:bCs/>
          <w:sz w:val="32"/>
          <w:szCs w:val="32"/>
        </w:rPr>
        <w:t>2：2018</w:t>
      </w:r>
      <w:r>
        <w:rPr>
          <w:rFonts w:hint="eastAsia" w:ascii="方正仿宋_GBK" w:cs="宋体"/>
          <w:b/>
          <w:bCs/>
          <w:sz w:val="32"/>
          <w:szCs w:val="32"/>
        </w:rPr>
        <w:t>年支出决算结构饼状图</w:t>
      </w:r>
      <w:r>
        <w:pict>
          <v:group id="_x0000_s1048" o:spid="_x0000_s1048" o:spt="203" style="position:absolute;left:0pt;margin-left:-0.55pt;margin-top:29.3pt;height:43.95pt;width:301.85pt;mso-position-horizontal-relative:page;mso-position-vertical-relative:page;z-index:251659264;mso-width-relative:page;mso-height-relative:page;" coordorigin="4551,52615" coordsize="8546,1398">
            <o:lock v:ext="edit"/>
            <v:rect id="矩形 13" o:spid="_x0000_s1049" o:spt="1" style="position:absolute;left:4551;top:52615;height:1175;width:8546;v-text-anchor:middle;" fillcolor="#D9D9D9" filled="t" stroked="f" coordsize="21600,21600">
              <v:path/>
              <v:fill on="t" focussize="0,0"/>
              <v:stroke on="f" weight="2pt"/>
              <v:imagedata o:title=""/>
              <o:lock v:ext="edit"/>
            </v:rect>
            <v:rect id="矩形 14" o:spid="_x0000_s1050"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p>
    <w:p/>
    <w:p/>
    <w:p/>
    <w:p/>
    <w:p/>
    <w:p/>
    <w:p>
      <w:pPr>
        <w:pStyle w:val="3"/>
        <w:spacing w:before="0" w:after="0" w:line="580" w:lineRule="exact"/>
        <w:ind w:firstLine="640" w:firstLineChars="200"/>
        <w:rPr>
          <w:rFonts w:ascii="黑体" w:eastAsia="黑体" w:cs="Times New Roman"/>
          <w:b w:val="0"/>
          <w:bCs w:val="0"/>
        </w:rPr>
      </w:pPr>
      <w:r>
        <w:rPr>
          <w:rFonts w:hint="eastAsia" w:ascii="黑体" w:eastAsia="黑体" w:cs="黑体"/>
          <w:b w:val="0"/>
          <w:bCs w:val="0"/>
        </w:rPr>
        <w:t>四、</w:t>
      </w:r>
      <w:r>
        <w:rPr>
          <w:rFonts w:hint="eastAsia" w:ascii="黑体" w:hAnsi="Cambria" w:eastAsia="黑体" w:cs="黑体"/>
          <w:b w:val="0"/>
          <w:bCs w:val="0"/>
          <w:kern w:val="0"/>
        </w:rPr>
        <w:t>财政</w:t>
      </w:r>
      <w:r>
        <w:rPr>
          <w:rFonts w:hint="eastAsia" w:ascii="黑体" w:eastAsia="黑体" w:cs="黑体"/>
          <w:b w:val="0"/>
          <w:bCs w:val="0"/>
        </w:rPr>
        <w:t>拨款收入支出决算情况说明</w:t>
      </w:r>
    </w:p>
    <w:p>
      <w:pPr>
        <w:spacing w:after="0" w:line="580" w:lineRule="exact"/>
        <w:ind w:firstLine="643" w:firstLineChars="200"/>
        <w:rPr>
          <w:rFonts w:ascii="楷体_GB2312" w:eastAsia="楷体_GB2312"/>
          <w:b/>
          <w:bCs/>
          <w:sz w:val="32"/>
          <w:szCs w:val="32"/>
        </w:rPr>
      </w:pPr>
      <w:r>
        <w:rPr>
          <w:rFonts w:hint="eastAsia" w:ascii="楷体_GB2312" w:eastAsia="楷体_GB2312" w:cs="楷体_GB2312"/>
          <w:b/>
          <w:bCs/>
          <w:sz w:val="32"/>
          <w:szCs w:val="32"/>
        </w:rPr>
        <w:t>（一）财政拨款收支与</w:t>
      </w:r>
      <w:r>
        <w:rPr>
          <w:rFonts w:ascii="楷体_GB2312" w:eastAsia="楷体_GB2312" w:cs="楷体_GB2312"/>
          <w:b/>
          <w:bCs/>
          <w:sz w:val="32"/>
          <w:szCs w:val="32"/>
        </w:rPr>
        <w:t xml:space="preserve">2017 </w:t>
      </w:r>
      <w:r>
        <w:rPr>
          <w:rFonts w:hint="eastAsia" w:ascii="楷体_GB2312" w:eastAsia="楷体_GB2312" w:cs="楷体_GB2312"/>
          <w:b/>
          <w:bCs/>
          <w:sz w:val="32"/>
          <w:szCs w:val="32"/>
        </w:rPr>
        <w:t>年度决算对比情况</w:t>
      </w:r>
    </w:p>
    <w:p>
      <w:pPr>
        <w:spacing w:after="0" w:line="560" w:lineRule="exact"/>
        <w:ind w:firstLine="640" w:firstLineChars="200"/>
        <w:rPr>
          <w:rFonts w:ascii="仿宋_GB2312" w:eastAsia="仿宋_GB2312"/>
          <w:sz w:val="32"/>
          <w:szCs w:val="32"/>
        </w:rPr>
      </w:pPr>
      <w:r>
        <w:rPr>
          <w:rFonts w:hint="eastAsia" w:ascii="仿宋_GB2312" w:eastAsia="仿宋_GB2312" w:cs="仿宋_GB2312"/>
          <w:sz w:val="32"/>
          <w:szCs w:val="32"/>
        </w:rPr>
        <w:t>本部门</w:t>
      </w:r>
      <w:r>
        <w:rPr>
          <w:rFonts w:ascii="仿宋_GB2312" w:eastAsia="仿宋_GB2312" w:cs="仿宋_GB2312"/>
          <w:sz w:val="32"/>
          <w:szCs w:val="32"/>
        </w:rPr>
        <w:t>2018</w:t>
      </w:r>
      <w:r>
        <w:rPr>
          <w:rFonts w:hint="eastAsia" w:ascii="仿宋_GB2312" w:eastAsia="仿宋_GB2312" w:cs="仿宋_GB2312"/>
          <w:sz w:val="32"/>
          <w:szCs w:val="32"/>
        </w:rPr>
        <w:t>年度财政拨款年初结转和结余170.74万元，本年收入</w:t>
      </w:r>
      <w:r>
        <w:rPr>
          <w:rFonts w:ascii="仿宋_GB2312" w:eastAsia="仿宋_GB2312" w:cs="仿宋_GB2312"/>
          <w:sz w:val="32"/>
          <w:szCs w:val="32"/>
        </w:rPr>
        <w:t>6926.33</w:t>
      </w:r>
      <w:r>
        <w:rPr>
          <w:rFonts w:hint="eastAsia" w:ascii="仿宋_GB2312" w:eastAsia="仿宋_GB2312" w:cs="仿宋_GB2312"/>
          <w:sz w:val="32"/>
          <w:szCs w:val="32"/>
        </w:rPr>
        <w:t>万元；本年支出6957.6万元、年末结转和结余</w:t>
      </w:r>
      <w:r>
        <w:rPr>
          <w:rFonts w:ascii="仿宋_GB2312" w:eastAsia="仿宋_GB2312" w:cs="仿宋_GB2312"/>
          <w:sz w:val="32"/>
          <w:szCs w:val="32"/>
        </w:rPr>
        <w:t>139.47</w:t>
      </w:r>
      <w:r>
        <w:rPr>
          <w:rFonts w:hint="eastAsia" w:ascii="仿宋_GB2312" w:eastAsia="仿宋_GB2312" w:cs="仿宋_GB2312"/>
          <w:sz w:val="32"/>
          <w:szCs w:val="32"/>
        </w:rPr>
        <w:t>万元。与</w:t>
      </w:r>
      <w:r>
        <w:rPr>
          <w:rFonts w:ascii="仿宋_GB2312" w:eastAsia="仿宋_GB2312" w:cs="仿宋_GB2312"/>
          <w:sz w:val="32"/>
          <w:szCs w:val="32"/>
        </w:rPr>
        <w:t>2017</w:t>
      </w:r>
      <w:r>
        <w:rPr>
          <w:rFonts w:hint="eastAsia" w:ascii="仿宋_GB2312" w:eastAsia="仿宋_GB2312" w:cs="仿宋_GB2312"/>
          <w:sz w:val="32"/>
          <w:szCs w:val="32"/>
        </w:rPr>
        <w:t>年度决算相比，财政拨款本年收入增加</w:t>
      </w:r>
      <w:r>
        <w:rPr>
          <w:rFonts w:ascii="仿宋_GB2312" w:eastAsia="仿宋_GB2312" w:cs="仿宋_GB2312"/>
          <w:sz w:val="32"/>
          <w:szCs w:val="32"/>
        </w:rPr>
        <w:t>2364.54</w:t>
      </w:r>
      <w:r>
        <w:rPr>
          <w:rFonts w:hint="eastAsia" w:ascii="仿宋_GB2312" w:eastAsia="仿宋_GB2312" w:cs="仿宋_GB2312"/>
          <w:sz w:val="32"/>
          <w:szCs w:val="32"/>
        </w:rPr>
        <w:t>万元，增长</w:t>
      </w:r>
      <w:r>
        <w:rPr>
          <w:rFonts w:ascii="仿宋_GB2312" w:eastAsia="仿宋_GB2312" w:cs="仿宋_GB2312"/>
          <w:sz w:val="32"/>
          <w:szCs w:val="32"/>
        </w:rPr>
        <w:t>51.83%</w:t>
      </w:r>
      <w:r>
        <w:rPr>
          <w:rFonts w:hint="eastAsia" w:ascii="仿宋_GB2312" w:eastAsia="仿宋_GB2312" w:cs="仿宋_GB2312"/>
          <w:sz w:val="32"/>
          <w:szCs w:val="32"/>
        </w:rPr>
        <w:t>，主要是一般公共预算财政拨款收入的增加；本年支出6957.6万元，增加</w:t>
      </w:r>
      <w:r>
        <w:rPr>
          <w:rFonts w:ascii="仿宋_GB2312" w:eastAsia="仿宋_GB2312" w:cs="仿宋_GB2312"/>
          <w:sz w:val="32"/>
          <w:szCs w:val="32"/>
        </w:rPr>
        <w:t>2345.11</w:t>
      </w:r>
      <w:r>
        <w:rPr>
          <w:rFonts w:hint="eastAsia" w:ascii="仿宋_GB2312" w:eastAsia="仿宋_GB2312" w:cs="仿宋_GB2312"/>
          <w:sz w:val="32"/>
          <w:szCs w:val="32"/>
        </w:rPr>
        <w:t>万元，增长</w:t>
      </w:r>
      <w:r>
        <w:rPr>
          <w:rFonts w:ascii="仿宋_GB2312" w:eastAsia="仿宋_GB2312" w:cs="仿宋_GB2312"/>
          <w:sz w:val="32"/>
          <w:szCs w:val="32"/>
        </w:rPr>
        <w:t>50.84%</w:t>
      </w:r>
      <w:r>
        <w:rPr>
          <w:rFonts w:hint="eastAsia" w:ascii="仿宋_GB2312" w:eastAsia="仿宋_GB2312" w:cs="仿宋_GB2312"/>
          <w:sz w:val="32"/>
          <w:szCs w:val="32"/>
        </w:rPr>
        <w:t>主要是一般公共服务支出、教育支出、农林水支出和城乡社区支出的增加。</w:t>
      </w:r>
    </w:p>
    <w:p>
      <w:pPr>
        <w:spacing w:after="0" w:line="560" w:lineRule="exact"/>
        <w:ind w:firstLine="640" w:firstLineChars="200"/>
        <w:rPr>
          <w:rFonts w:ascii="仿宋_GB2312" w:eastAsia="仿宋_GB2312"/>
          <w:sz w:val="32"/>
          <w:szCs w:val="32"/>
        </w:rPr>
      </w:pPr>
      <w:r>
        <w:rPr>
          <w:rFonts w:hint="eastAsia" w:ascii="仿宋_GB2312" w:eastAsia="仿宋_GB2312" w:cs="仿宋_GB2312"/>
          <w:sz w:val="32"/>
          <w:szCs w:val="32"/>
        </w:rPr>
        <w:t>其中，一般公共预算财政拨款年初结转和结余</w:t>
      </w:r>
      <w:r>
        <w:rPr>
          <w:rFonts w:ascii="仿宋_GB2312" w:eastAsia="仿宋_GB2312" w:cs="仿宋_GB2312"/>
          <w:sz w:val="32"/>
          <w:szCs w:val="32"/>
        </w:rPr>
        <w:t>170.74</w:t>
      </w:r>
      <w:r>
        <w:rPr>
          <w:rFonts w:hint="eastAsia" w:ascii="仿宋_GB2312" w:eastAsia="仿宋_GB2312" w:cs="仿宋_GB2312"/>
          <w:sz w:val="32"/>
          <w:szCs w:val="32"/>
        </w:rPr>
        <w:t>万元、本年收入</w:t>
      </w:r>
      <w:r>
        <w:rPr>
          <w:rFonts w:ascii="仿宋_GB2312" w:eastAsia="仿宋_GB2312" w:cs="仿宋_GB2312"/>
          <w:sz w:val="32"/>
          <w:szCs w:val="32"/>
        </w:rPr>
        <w:t>4006.73</w:t>
      </w:r>
      <w:r>
        <w:rPr>
          <w:rFonts w:hint="eastAsia" w:ascii="仿宋_GB2312" w:eastAsia="仿宋_GB2312" w:cs="仿宋_GB2312"/>
          <w:sz w:val="32"/>
          <w:szCs w:val="32"/>
        </w:rPr>
        <w:t>万元；本年支出</w:t>
      </w:r>
      <w:r>
        <w:rPr>
          <w:rFonts w:ascii="仿宋_GB2312" w:eastAsia="仿宋_GB2312" w:cs="仿宋_GB2312"/>
          <w:sz w:val="32"/>
          <w:szCs w:val="32"/>
        </w:rPr>
        <w:t>4038</w:t>
      </w:r>
      <w:r>
        <w:rPr>
          <w:rFonts w:hint="eastAsia" w:ascii="仿宋_GB2312" w:eastAsia="仿宋_GB2312" w:cs="仿宋_GB2312"/>
          <w:sz w:val="32"/>
          <w:szCs w:val="32"/>
        </w:rPr>
        <w:t>万元、年末结转和结余</w:t>
      </w:r>
      <w:r>
        <w:rPr>
          <w:rFonts w:ascii="仿宋_GB2312" w:eastAsia="仿宋_GB2312" w:cs="仿宋_GB2312"/>
          <w:sz w:val="32"/>
          <w:szCs w:val="32"/>
        </w:rPr>
        <w:t>139.47</w:t>
      </w:r>
      <w:r>
        <w:rPr>
          <w:rFonts w:hint="eastAsia" w:ascii="仿宋_GB2312" w:eastAsia="仿宋_GB2312" w:cs="仿宋_GB2312"/>
          <w:sz w:val="32"/>
          <w:szCs w:val="32"/>
        </w:rPr>
        <w:t>万元。与</w:t>
      </w:r>
      <w:r>
        <w:rPr>
          <w:rFonts w:ascii="仿宋_GB2312" w:eastAsia="仿宋_GB2312" w:cs="仿宋_GB2312"/>
          <w:sz w:val="32"/>
          <w:szCs w:val="32"/>
        </w:rPr>
        <w:t>2017</w:t>
      </w:r>
      <w:r>
        <w:rPr>
          <w:rFonts w:hint="eastAsia" w:ascii="仿宋_GB2312" w:eastAsia="仿宋_GB2312" w:cs="仿宋_GB2312"/>
          <w:sz w:val="32"/>
          <w:szCs w:val="32"/>
        </w:rPr>
        <w:t>年度决算相比，一般公共预算财政拨款本年收入增加</w:t>
      </w:r>
      <w:r>
        <w:rPr>
          <w:rFonts w:ascii="仿宋_GB2312" w:eastAsia="仿宋_GB2312" w:cs="仿宋_GB2312"/>
          <w:sz w:val="32"/>
          <w:szCs w:val="32"/>
        </w:rPr>
        <w:t>2060.54</w:t>
      </w:r>
      <w:r>
        <w:rPr>
          <w:rFonts w:hint="eastAsia" w:ascii="仿宋_GB2312" w:eastAsia="仿宋_GB2312" w:cs="仿宋_GB2312"/>
          <w:sz w:val="32"/>
          <w:szCs w:val="32"/>
        </w:rPr>
        <w:t>万元，增加</w:t>
      </w:r>
      <w:r>
        <w:rPr>
          <w:rFonts w:ascii="仿宋_GB2312" w:eastAsia="仿宋_GB2312" w:cs="仿宋_GB2312"/>
          <w:sz w:val="32"/>
          <w:szCs w:val="32"/>
        </w:rPr>
        <w:t>105.88%</w:t>
      </w:r>
      <w:r>
        <w:rPr>
          <w:rFonts w:hint="eastAsia" w:ascii="仿宋_GB2312" w:eastAsia="仿宋_GB2312" w:cs="仿宋_GB2312"/>
          <w:sz w:val="32"/>
          <w:szCs w:val="32"/>
        </w:rPr>
        <w:t>，主要是一般公共服务支出、教育支出、农林水支出和城乡社区支出的增加。</w:t>
      </w:r>
    </w:p>
    <w:p>
      <w:pPr>
        <w:spacing w:after="0" w:line="560" w:lineRule="exact"/>
        <w:ind w:firstLine="640" w:firstLineChars="200"/>
        <w:rPr>
          <w:rFonts w:ascii="仿宋_GB2312" w:eastAsia="仿宋_GB2312"/>
          <w:sz w:val="32"/>
          <w:szCs w:val="32"/>
        </w:rPr>
      </w:pPr>
      <w:r>
        <w:rPr>
          <w:rFonts w:hint="eastAsia" w:ascii="仿宋_GB2312" w:eastAsia="仿宋_GB2312" w:cs="仿宋_GB2312"/>
          <w:sz w:val="32"/>
          <w:szCs w:val="32"/>
        </w:rPr>
        <w:t>政府性基金预算财政拨款年初结转和结余</w:t>
      </w:r>
      <w:r>
        <w:rPr>
          <w:rFonts w:ascii="仿宋_GB2312" w:eastAsia="仿宋_GB2312" w:cs="仿宋_GB2312"/>
          <w:sz w:val="32"/>
          <w:szCs w:val="32"/>
        </w:rPr>
        <w:t>0</w:t>
      </w:r>
      <w:r>
        <w:rPr>
          <w:rFonts w:hint="eastAsia" w:ascii="仿宋_GB2312" w:eastAsia="仿宋_GB2312" w:cs="仿宋_GB2312"/>
          <w:sz w:val="32"/>
          <w:szCs w:val="32"/>
        </w:rPr>
        <w:t>万元、本年收入</w:t>
      </w:r>
      <w:r>
        <w:rPr>
          <w:rFonts w:ascii="仿宋_GB2312" w:eastAsia="仿宋_GB2312" w:cs="仿宋_GB2312"/>
          <w:sz w:val="32"/>
          <w:szCs w:val="32"/>
        </w:rPr>
        <w:t>2919.6</w:t>
      </w:r>
      <w:r>
        <w:rPr>
          <w:rFonts w:hint="eastAsia" w:ascii="仿宋_GB2312" w:eastAsia="仿宋_GB2312" w:cs="仿宋_GB2312"/>
          <w:sz w:val="32"/>
          <w:szCs w:val="32"/>
        </w:rPr>
        <w:t>万元；本年支出</w:t>
      </w:r>
      <w:r>
        <w:rPr>
          <w:rFonts w:ascii="仿宋_GB2312" w:eastAsia="仿宋_GB2312" w:cs="仿宋_GB2312"/>
          <w:sz w:val="32"/>
          <w:szCs w:val="32"/>
        </w:rPr>
        <w:t>2919.6</w:t>
      </w:r>
      <w:r>
        <w:rPr>
          <w:rFonts w:hint="eastAsia" w:ascii="仿宋_GB2312" w:eastAsia="仿宋_GB2312" w:cs="仿宋_GB2312"/>
          <w:sz w:val="32"/>
          <w:szCs w:val="32"/>
        </w:rPr>
        <w:t>万元、年末结转和结余</w:t>
      </w:r>
      <w:r>
        <w:rPr>
          <w:rFonts w:ascii="仿宋_GB2312" w:eastAsia="仿宋_GB2312" w:cs="仿宋_GB2312"/>
          <w:sz w:val="32"/>
          <w:szCs w:val="32"/>
        </w:rPr>
        <w:t>0</w:t>
      </w:r>
      <w:r>
        <w:rPr>
          <w:rFonts w:hint="eastAsia" w:ascii="仿宋_GB2312" w:eastAsia="仿宋_GB2312" w:cs="仿宋_GB2312"/>
          <w:sz w:val="32"/>
          <w:szCs w:val="32"/>
        </w:rPr>
        <w:t>万元。与</w:t>
      </w:r>
      <w:r>
        <w:rPr>
          <w:rFonts w:ascii="仿宋_GB2312" w:eastAsia="仿宋_GB2312" w:cs="仿宋_GB2312"/>
          <w:sz w:val="32"/>
          <w:szCs w:val="32"/>
        </w:rPr>
        <w:t>2017</w:t>
      </w:r>
      <w:r>
        <w:rPr>
          <w:rFonts w:hint="eastAsia" w:ascii="仿宋_GB2312" w:eastAsia="仿宋_GB2312" w:cs="仿宋_GB2312"/>
          <w:sz w:val="32"/>
          <w:szCs w:val="32"/>
        </w:rPr>
        <w:t>年度决算相比，政府性基金预算财政拨款本年收入增加</w:t>
      </w:r>
      <w:r>
        <w:rPr>
          <w:rFonts w:ascii="仿宋_GB2312" w:eastAsia="仿宋_GB2312" w:cs="仿宋_GB2312"/>
          <w:sz w:val="32"/>
          <w:szCs w:val="32"/>
        </w:rPr>
        <w:t>304</w:t>
      </w:r>
      <w:r>
        <w:rPr>
          <w:rFonts w:hint="eastAsia" w:ascii="仿宋_GB2312" w:eastAsia="仿宋_GB2312" w:cs="仿宋_GB2312"/>
          <w:sz w:val="32"/>
          <w:szCs w:val="32"/>
        </w:rPr>
        <w:t>万元，增长</w:t>
      </w:r>
      <w:r>
        <w:rPr>
          <w:rFonts w:ascii="仿宋_GB2312" w:eastAsia="仿宋_GB2312" w:cs="仿宋_GB2312"/>
          <w:sz w:val="32"/>
          <w:szCs w:val="32"/>
        </w:rPr>
        <w:t>11.62%</w:t>
      </w:r>
      <w:r>
        <w:rPr>
          <w:rFonts w:hint="eastAsia" w:ascii="仿宋_GB2312" w:eastAsia="仿宋_GB2312" w:cs="仿宋_GB2312"/>
          <w:sz w:val="32"/>
          <w:szCs w:val="32"/>
        </w:rPr>
        <w:t>，主要是征地和拆迁补偿支出的增加。</w:t>
      </w:r>
    </w:p>
    <w:p>
      <w:pPr>
        <w:adjustRightInd w:val="0"/>
        <w:snapToGrid w:val="0"/>
        <w:spacing w:line="560" w:lineRule="exact"/>
        <w:jc w:val="center"/>
        <w:rPr>
          <w:rFonts w:ascii="方正仿宋_GBK"/>
          <w:b/>
          <w:bCs/>
          <w:sz w:val="32"/>
          <w:szCs w:val="32"/>
        </w:rPr>
      </w:pPr>
      <w:r>
        <w:rPr>
          <w:rFonts w:hint="eastAsia" w:ascii="方正仿宋_GBK" w:cs="宋体"/>
          <w:b/>
          <w:bCs/>
          <w:sz w:val="32"/>
          <w:szCs w:val="32"/>
        </w:rPr>
        <w:t>图</w:t>
      </w:r>
      <w:r>
        <w:rPr>
          <w:rFonts w:ascii="方正仿宋_GBK" w:cs="方正仿宋_GBK"/>
          <w:b/>
          <w:bCs/>
          <w:sz w:val="32"/>
          <w:szCs w:val="32"/>
        </w:rPr>
        <w:t xml:space="preserve"> </w:t>
      </w:r>
      <w:r>
        <w:rPr>
          <w:rFonts w:cs="方正仿宋_GBK" w:asciiTheme="majorEastAsia" w:hAnsiTheme="majorEastAsia" w:eastAsiaTheme="majorEastAsia"/>
          <w:b/>
          <w:bCs/>
          <w:sz w:val="32"/>
          <w:szCs w:val="32"/>
        </w:rPr>
        <w:t>3</w:t>
      </w:r>
      <w:r>
        <w:rPr>
          <w:rFonts w:hint="eastAsia" w:cs="宋体" w:asciiTheme="majorEastAsia" w:hAnsiTheme="majorEastAsia" w:eastAsiaTheme="majorEastAsia"/>
          <w:b/>
          <w:bCs/>
          <w:sz w:val="32"/>
          <w:szCs w:val="32"/>
        </w:rPr>
        <w:t>：</w:t>
      </w:r>
      <w:r>
        <w:rPr>
          <w:rFonts w:cs="方正仿宋_GBK" w:asciiTheme="majorEastAsia" w:hAnsiTheme="majorEastAsia" w:eastAsiaTheme="majorEastAsia"/>
          <w:b/>
          <w:bCs/>
          <w:sz w:val="32"/>
          <w:szCs w:val="32"/>
        </w:rPr>
        <w:t>2017-2018</w:t>
      </w:r>
      <w:r>
        <w:rPr>
          <w:rFonts w:hint="eastAsia" w:ascii="方正仿宋_GBK" w:cs="宋体"/>
          <w:b/>
          <w:bCs/>
          <w:sz w:val="32"/>
          <w:szCs w:val="32"/>
        </w:rPr>
        <w:t>年政府性基金预算财政拨款收支情况</w:t>
      </w:r>
      <w:r>
        <w:pict>
          <v:group id="_x0000_s1051" o:spid="_x0000_s1051" o:spt="203" style="position:absolute;left:0pt;margin-left:-0.55pt;margin-top:29.3pt;height:43.95pt;width:301.85pt;mso-position-horizontal-relative:page;mso-position-vertical-relative:page;z-index:251659264;mso-width-relative:page;mso-height-relative:page;" coordorigin="4551,52615" coordsize="8546,1398">
            <o:lock v:ext="edit"/>
            <v:rect id="矩形 13" o:spid="_x0000_s1052" o:spt="1" style="position:absolute;left:4551;top:52615;height:1175;width:8546;v-text-anchor:middle;" fillcolor="#D9D9D9" filled="t" stroked="f" coordsize="21600,21600">
              <v:path/>
              <v:fill on="t" focussize="0,0"/>
              <v:stroke on="f" weight="2pt"/>
              <v:imagedata o:title=""/>
              <o:lock v:ext="edit"/>
            </v:rect>
            <v:rect id="矩形 14" o:spid="_x0000_s1053"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p>
    <w:p>
      <w:pPr>
        <w:spacing w:after="0" w:line="560" w:lineRule="exact"/>
        <w:ind w:firstLine="420" w:firstLineChars="200"/>
        <w:rPr>
          <w:rFonts w:ascii="方正仿宋_GBK"/>
          <w:sz w:val="32"/>
          <w:szCs w:val="32"/>
        </w:rPr>
      </w:pPr>
      <w:r>
        <w:pict>
          <v:shape id="_x0000_s1054" o:spid="_x0000_s1054" o:spt="75" type="#_x0000_t75" style="position:absolute;left:0pt;margin-left:0pt;margin-top:0.6pt;height:228.6pt;width:464.45pt;z-index:251659264;mso-width-relative:page;mso-height-relative:page;" o:ole="t" fillcolor="#000000" filled="f" o:preferrelative="t" stroked="f" coordsize="21600,21600">
            <v:path/>
            <v:fill on="f" focussize="0,0"/>
            <v:stroke on="f" weight="7.8740157480315e-5pt" color="#FFFFFF" joinstyle="miter"/>
            <v:imagedata r:id="rId13" o:title=""/>
            <o:lock v:ext="edit" rotation="t" aspectratio="t"/>
            <w10:anchorlock/>
          </v:shape>
          <o:OLEObject Type="Embed" ProgID="Excel.Sheet.8" ShapeID="_x0000_s1054" DrawAspect="Content" ObjectID="_1468075727" r:id="rId12">
            <o:LockedField>false</o:LockedField>
          </o:OLEObject>
        </w:pict>
      </w:r>
    </w:p>
    <w:p>
      <w:pPr>
        <w:adjustRightInd w:val="0"/>
        <w:snapToGrid w:val="0"/>
        <w:spacing w:after="0" w:line="580" w:lineRule="exact"/>
        <w:rPr>
          <w:rFonts w:ascii="仿宋_GB2312" w:eastAsia="仿宋_GB2312"/>
          <w:sz w:val="32"/>
          <w:szCs w:val="32"/>
        </w:rPr>
      </w:pPr>
    </w:p>
    <w:p>
      <w:pPr>
        <w:adjustRightInd w:val="0"/>
        <w:snapToGrid w:val="0"/>
        <w:spacing w:after="0" w:line="580" w:lineRule="exact"/>
        <w:ind w:firstLine="640" w:firstLineChars="200"/>
        <w:rPr>
          <w:rFonts w:ascii="仿宋_GB2312" w:eastAsia="仿宋_GB2312"/>
          <w:sz w:val="32"/>
          <w:szCs w:val="32"/>
        </w:rPr>
      </w:pPr>
    </w:p>
    <w:p>
      <w:pPr>
        <w:adjustRightInd w:val="0"/>
        <w:snapToGrid w:val="0"/>
        <w:spacing w:after="0" w:line="580" w:lineRule="exact"/>
        <w:ind w:firstLine="640" w:firstLineChars="200"/>
        <w:rPr>
          <w:rFonts w:ascii="仿宋_GB2312" w:eastAsia="仿宋_GB2312"/>
          <w:sz w:val="32"/>
          <w:szCs w:val="32"/>
        </w:rPr>
      </w:pPr>
    </w:p>
    <w:p>
      <w:pPr>
        <w:adjustRightInd w:val="0"/>
        <w:snapToGrid w:val="0"/>
        <w:spacing w:after="0" w:line="580" w:lineRule="exact"/>
        <w:ind w:firstLine="640" w:firstLineChars="200"/>
        <w:rPr>
          <w:rFonts w:ascii="仿宋_GB2312" w:eastAsia="仿宋_GB2312"/>
          <w:sz w:val="32"/>
          <w:szCs w:val="32"/>
        </w:rPr>
      </w:pPr>
    </w:p>
    <w:p>
      <w:pPr>
        <w:adjustRightInd w:val="0"/>
        <w:snapToGrid w:val="0"/>
        <w:spacing w:after="0" w:line="580" w:lineRule="exact"/>
        <w:ind w:firstLine="640" w:firstLineChars="200"/>
        <w:rPr>
          <w:rFonts w:ascii="仿宋_GB2312" w:eastAsia="仿宋_GB2312"/>
          <w:sz w:val="32"/>
          <w:szCs w:val="32"/>
        </w:rPr>
      </w:pPr>
    </w:p>
    <w:p>
      <w:pPr>
        <w:adjustRightInd w:val="0"/>
        <w:snapToGrid w:val="0"/>
        <w:spacing w:after="0" w:line="580" w:lineRule="exact"/>
        <w:ind w:firstLine="640" w:firstLineChars="200"/>
        <w:rPr>
          <w:rFonts w:ascii="仿宋_GB2312" w:eastAsia="仿宋_GB2312"/>
          <w:sz w:val="32"/>
          <w:szCs w:val="32"/>
        </w:rPr>
      </w:pPr>
    </w:p>
    <w:p>
      <w:pPr>
        <w:adjustRightInd w:val="0"/>
        <w:snapToGrid w:val="0"/>
        <w:spacing w:after="0" w:line="580" w:lineRule="exact"/>
        <w:rPr>
          <w:rFonts w:ascii="仿宋_GB2312" w:eastAsia="仿宋_GB2312"/>
          <w:sz w:val="32"/>
          <w:szCs w:val="32"/>
        </w:rPr>
      </w:pPr>
    </w:p>
    <w:p>
      <w:pPr>
        <w:spacing w:after="0" w:line="580" w:lineRule="exact"/>
        <w:ind w:firstLine="643" w:firstLineChars="200"/>
        <w:rPr>
          <w:rFonts w:ascii="仿宋_GB2312" w:eastAsia="仿宋_GB2312"/>
          <w:b/>
          <w:bCs/>
          <w:sz w:val="32"/>
          <w:szCs w:val="32"/>
        </w:rPr>
      </w:pPr>
      <w:r>
        <w:rPr>
          <w:rFonts w:hint="eastAsia" w:ascii="楷体_GB2312" w:eastAsia="楷体_GB2312" w:cs="楷体_GB2312"/>
          <w:b/>
          <w:bCs/>
          <w:sz w:val="32"/>
          <w:szCs w:val="32"/>
        </w:rPr>
        <w:t>（二）财政拨款收支与年初预算数对比情况</w:t>
      </w:r>
      <w:r>
        <w:pict>
          <v:group id="_x0000_s1055" o:spid="_x0000_s1055" o:spt="203" style="position:absolute;left:0pt;margin-left:-0.55pt;margin-top:29.3pt;height:43.95pt;width:301.85pt;mso-position-horizontal-relative:page;mso-position-vertical-relative:page;z-index:251659264;mso-width-relative:page;mso-height-relative:page;" coordorigin="4551,52615" coordsize="8546,1398">
            <o:lock v:ext="edit"/>
            <v:rect id="矩形 13" o:spid="_x0000_s1056" o:spt="1" style="position:absolute;left:4551;top:52615;height:1175;width:8546;v-text-anchor:middle;" fillcolor="#D9D9D9" filled="t" stroked="f" coordsize="21600,21600">
              <v:path/>
              <v:fill on="t" focussize="0,0"/>
              <v:stroke on="f" weight="2pt"/>
              <v:imagedata o:title=""/>
              <o:lock v:ext="edit"/>
            </v:rect>
            <v:rect id="矩形 14" o:spid="_x0000_s1057"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p>
    <w:p>
      <w:pPr>
        <w:adjustRightInd w:val="0"/>
        <w:snapToGrid w:val="0"/>
        <w:spacing w:after="0" w:line="580" w:lineRule="exact"/>
        <w:ind w:firstLine="640" w:firstLineChars="200"/>
        <w:rPr>
          <w:rFonts w:ascii="仿宋_GB2312" w:eastAsia="仿宋_GB2312"/>
          <w:sz w:val="32"/>
          <w:szCs w:val="32"/>
        </w:rPr>
      </w:pPr>
      <w:r>
        <w:rPr>
          <w:rFonts w:hint="eastAsia" w:ascii="仿宋_GB2312" w:eastAsia="仿宋_GB2312" w:cs="仿宋_GB2312"/>
          <w:sz w:val="32"/>
          <w:szCs w:val="32"/>
        </w:rPr>
        <w:t>本部门</w:t>
      </w:r>
      <w:r>
        <w:rPr>
          <w:rFonts w:ascii="仿宋_GB2312" w:eastAsia="仿宋_GB2312" w:cs="仿宋_GB2312"/>
          <w:sz w:val="32"/>
          <w:szCs w:val="32"/>
        </w:rPr>
        <w:t>2018</w:t>
      </w:r>
      <w:r>
        <w:rPr>
          <w:rFonts w:hint="eastAsia" w:ascii="仿宋_GB2312" w:eastAsia="仿宋_GB2312" w:cs="仿宋_GB2312"/>
          <w:sz w:val="32"/>
          <w:szCs w:val="32"/>
        </w:rPr>
        <w:t>年度财政拨款本年收入</w:t>
      </w:r>
      <w:r>
        <w:rPr>
          <w:rFonts w:ascii="仿宋_GB2312" w:eastAsia="仿宋_GB2312" w:cs="仿宋_GB2312"/>
          <w:sz w:val="32"/>
          <w:szCs w:val="32"/>
        </w:rPr>
        <w:t>6926.33</w:t>
      </w:r>
      <w:r>
        <w:rPr>
          <w:rFonts w:hint="eastAsia" w:ascii="仿宋_GB2312" w:eastAsia="仿宋_GB2312" w:cs="仿宋_GB2312"/>
          <w:sz w:val="32"/>
          <w:szCs w:val="32"/>
        </w:rPr>
        <w:t>万元，完成年初预算的</w:t>
      </w:r>
      <w:r>
        <w:rPr>
          <w:rFonts w:ascii="仿宋_GB2312" w:eastAsia="仿宋_GB2312" w:cs="仿宋_GB2312"/>
          <w:sz w:val="32"/>
          <w:szCs w:val="32"/>
        </w:rPr>
        <w:t>161%,</w:t>
      </w:r>
      <w:r>
        <w:rPr>
          <w:rFonts w:hint="eastAsia" w:ascii="仿宋_GB2312" w:eastAsia="仿宋_GB2312" w:cs="仿宋_GB2312"/>
          <w:sz w:val="32"/>
          <w:szCs w:val="32"/>
        </w:rPr>
        <w:t>比年初预算增加</w:t>
      </w:r>
      <w:r>
        <w:rPr>
          <w:rFonts w:ascii="仿宋_GB2312" w:eastAsia="仿宋_GB2312" w:cs="仿宋_GB2312"/>
          <w:sz w:val="32"/>
          <w:szCs w:val="32"/>
        </w:rPr>
        <w:t>2624.46</w:t>
      </w:r>
      <w:r>
        <w:rPr>
          <w:rFonts w:hint="eastAsia" w:ascii="仿宋_GB2312" w:eastAsia="仿宋_GB2312" w:cs="仿宋_GB2312"/>
          <w:sz w:val="32"/>
          <w:szCs w:val="32"/>
        </w:rPr>
        <w:t>万元，决算数大于预算数主要原因是财政拨款收入的增加；本年支出6957.6万元，完成年初预算的</w:t>
      </w:r>
      <w:r>
        <w:rPr>
          <w:rFonts w:ascii="仿宋_GB2312" w:eastAsia="仿宋_GB2312" w:cs="仿宋_GB2312"/>
          <w:sz w:val="32"/>
          <w:szCs w:val="32"/>
        </w:rPr>
        <w:t>162.29%,</w:t>
      </w:r>
      <w:r>
        <w:rPr>
          <w:rFonts w:hint="eastAsia" w:ascii="仿宋_GB2312" w:eastAsia="仿宋_GB2312" w:cs="仿宋_GB2312"/>
          <w:sz w:val="32"/>
          <w:szCs w:val="32"/>
        </w:rPr>
        <w:t>比年初预算增加</w:t>
      </w:r>
      <w:r>
        <w:rPr>
          <w:rFonts w:ascii="仿宋_GB2312" w:eastAsia="仿宋_GB2312" w:cs="仿宋_GB2312"/>
          <w:sz w:val="32"/>
          <w:szCs w:val="32"/>
        </w:rPr>
        <w:t>2679.55</w:t>
      </w:r>
      <w:r>
        <w:rPr>
          <w:rFonts w:hint="eastAsia" w:ascii="仿宋_GB2312" w:eastAsia="仿宋_GB2312" w:cs="仿宋_GB2312"/>
          <w:sz w:val="32"/>
          <w:szCs w:val="32"/>
        </w:rPr>
        <w:t>万元，决算数大于预算数主要原因是主要是基本支出与项目支出的增加。</w:t>
      </w:r>
    </w:p>
    <w:p>
      <w:pPr>
        <w:adjustRightInd w:val="0"/>
        <w:snapToGrid w:val="0"/>
        <w:spacing w:after="0" w:line="580" w:lineRule="exact"/>
        <w:ind w:firstLine="640" w:firstLineChars="200"/>
        <w:rPr>
          <w:rFonts w:ascii="仿宋_GB2312" w:eastAsia="仿宋_GB2312"/>
          <w:sz w:val="32"/>
          <w:szCs w:val="32"/>
        </w:rPr>
      </w:pPr>
      <w:r>
        <w:rPr>
          <w:rFonts w:hint="eastAsia" w:ascii="仿宋_GB2312" w:eastAsia="仿宋_GB2312" w:cs="仿宋_GB2312"/>
          <w:sz w:val="32"/>
          <w:szCs w:val="32"/>
        </w:rPr>
        <w:t>其中，一般公共预算财政拨款本年收入完成年初预算</w:t>
      </w:r>
      <w:r>
        <w:rPr>
          <w:rFonts w:ascii="仿宋_GB2312" w:eastAsia="仿宋_GB2312" w:cs="仿宋_GB2312"/>
          <w:sz w:val="32"/>
          <w:szCs w:val="32"/>
        </w:rPr>
        <w:t>518.40%</w:t>
      </w:r>
      <w:r>
        <w:rPr>
          <w:rFonts w:hint="eastAsia" w:ascii="仿宋_GB2312" w:eastAsia="仿宋_GB2312" w:cs="仿宋_GB2312"/>
          <w:sz w:val="32"/>
          <w:szCs w:val="32"/>
        </w:rPr>
        <w:t>，比年初预算增加</w:t>
      </w:r>
      <w:r>
        <w:rPr>
          <w:rFonts w:ascii="仿宋_GB2312" w:eastAsia="仿宋_GB2312" w:cs="仿宋_GB2312"/>
          <w:sz w:val="32"/>
          <w:szCs w:val="32"/>
        </w:rPr>
        <w:t>3233.82</w:t>
      </w:r>
      <w:r>
        <w:rPr>
          <w:rFonts w:hint="eastAsia" w:ascii="仿宋_GB2312" w:eastAsia="仿宋_GB2312" w:cs="仿宋_GB2312"/>
          <w:sz w:val="32"/>
          <w:szCs w:val="32"/>
        </w:rPr>
        <w:t>万元，主要是人员经费和行政运行的增加；支出完成年初预算</w:t>
      </w:r>
      <w:r>
        <w:rPr>
          <w:rFonts w:ascii="仿宋_GB2312" w:eastAsia="仿宋_GB2312" w:cs="仿宋_GB2312"/>
          <w:sz w:val="32"/>
          <w:szCs w:val="32"/>
        </w:rPr>
        <w:t>522.44%</w:t>
      </w:r>
      <w:r>
        <w:rPr>
          <w:rFonts w:hint="eastAsia" w:ascii="仿宋_GB2312" w:eastAsia="仿宋_GB2312" w:cs="仿宋_GB2312"/>
          <w:sz w:val="32"/>
          <w:szCs w:val="32"/>
        </w:rPr>
        <w:t>，比年初预算增加</w:t>
      </w:r>
      <w:r>
        <w:rPr>
          <w:rFonts w:ascii="仿宋_GB2312" w:eastAsia="仿宋_GB2312" w:cs="仿宋_GB2312"/>
          <w:sz w:val="32"/>
          <w:szCs w:val="32"/>
        </w:rPr>
        <w:t>3265.09</w:t>
      </w:r>
      <w:r>
        <w:rPr>
          <w:rFonts w:hint="eastAsia" w:ascii="仿宋_GB2312" w:eastAsia="仿宋_GB2312" w:cs="仿宋_GB2312"/>
          <w:sz w:val="32"/>
          <w:szCs w:val="32"/>
        </w:rPr>
        <w:t>万元，主要是人员经费支出及教育支出的增加。政府性基金预算财政拨款本年收入完成年初预算</w:t>
      </w:r>
      <w:r>
        <w:rPr>
          <w:rFonts w:ascii="仿宋_GB2312" w:eastAsia="仿宋_GB2312" w:cs="仿宋_GB2312"/>
          <w:sz w:val="32"/>
          <w:szCs w:val="32"/>
        </w:rPr>
        <w:t>82.73%</w:t>
      </w:r>
      <w:r>
        <w:rPr>
          <w:rFonts w:hint="eastAsia" w:ascii="仿宋_GB2312" w:eastAsia="仿宋_GB2312" w:cs="仿宋_GB2312"/>
          <w:sz w:val="32"/>
          <w:szCs w:val="32"/>
        </w:rPr>
        <w:t>，比年初预算减少</w:t>
      </w:r>
      <w:r>
        <w:rPr>
          <w:rFonts w:ascii="仿宋_GB2312" w:eastAsia="仿宋_GB2312" w:cs="仿宋_GB2312"/>
          <w:sz w:val="32"/>
          <w:szCs w:val="32"/>
        </w:rPr>
        <w:t>609.36</w:t>
      </w:r>
      <w:r>
        <w:rPr>
          <w:rFonts w:hint="eastAsia" w:ascii="仿宋_GB2312" w:eastAsia="仿宋_GB2312" w:cs="仿宋_GB2312"/>
          <w:sz w:val="32"/>
          <w:szCs w:val="32"/>
        </w:rPr>
        <w:t>万元，主要是占地补偿的减少；支出完成年初预算</w:t>
      </w:r>
      <w:r>
        <w:rPr>
          <w:rFonts w:ascii="仿宋_GB2312" w:eastAsia="仿宋_GB2312" w:cs="仿宋_GB2312"/>
          <w:sz w:val="32"/>
          <w:szCs w:val="32"/>
        </w:rPr>
        <w:t>82.41%</w:t>
      </w:r>
      <w:r>
        <w:rPr>
          <w:rFonts w:hint="eastAsia" w:ascii="仿宋_GB2312" w:eastAsia="仿宋_GB2312" w:cs="仿宋_GB2312"/>
          <w:sz w:val="32"/>
          <w:szCs w:val="32"/>
        </w:rPr>
        <w:t>，比年初预算减少</w:t>
      </w:r>
      <w:r>
        <w:rPr>
          <w:rFonts w:ascii="仿宋_GB2312" w:eastAsia="仿宋_GB2312" w:cs="仿宋_GB2312"/>
          <w:sz w:val="32"/>
          <w:szCs w:val="32"/>
        </w:rPr>
        <w:t>622.82</w:t>
      </w:r>
      <w:r>
        <w:rPr>
          <w:rFonts w:hint="eastAsia" w:ascii="仿宋_GB2312" w:eastAsia="仿宋_GB2312" w:cs="仿宋_GB2312"/>
          <w:sz w:val="32"/>
          <w:szCs w:val="32"/>
        </w:rPr>
        <w:t>万元，主要是征地拆迁与占地的减少。</w:t>
      </w:r>
    </w:p>
    <w:p>
      <w:pPr>
        <w:adjustRightInd w:val="0"/>
        <w:snapToGrid w:val="0"/>
        <w:spacing w:line="560" w:lineRule="exact"/>
        <w:jc w:val="center"/>
        <w:rPr>
          <w:rFonts w:ascii="方正仿宋_GBK"/>
          <w:b/>
          <w:bCs/>
          <w:sz w:val="32"/>
          <w:szCs w:val="32"/>
        </w:rPr>
      </w:pPr>
      <w:r>
        <w:pict>
          <v:shape id="_x0000_s1058" o:spid="_x0000_s1058" o:spt="75" type="#_x0000_t75" style="position:absolute;left:0pt;margin-left:-15.75pt;margin-top:29.8pt;height:219.65pt;width:496.2pt;z-index:251659264;mso-width-relative:page;mso-height-relative:page;" o:ole="t" fillcolor="#000000" filled="f" o:preferrelative="t" stroked="f" coordsize="21600,21600">
            <v:path/>
            <v:fill on="f" focussize="0,0"/>
            <v:stroke on="f" weight="7.8740157480315e-5pt" color="#FFFFFF" joinstyle="miter"/>
            <v:imagedata r:id="rId15" o:title=""/>
            <o:lock v:ext="edit" rotation="t" aspectratio="t"/>
            <w10:anchorlock/>
          </v:shape>
          <o:OLEObject Type="Embed" ProgID="Excel.Sheet.8" ShapeID="_x0000_s1058" DrawAspect="Content" ObjectID="_1468075728" r:id="rId14">
            <o:LockedField>false</o:LockedField>
          </o:OLEObject>
        </w:pict>
      </w:r>
      <w:r>
        <w:rPr>
          <w:rFonts w:hint="eastAsia" w:ascii="方正仿宋_GBK" w:cs="宋体"/>
          <w:b/>
          <w:bCs/>
          <w:sz w:val="32"/>
          <w:szCs w:val="32"/>
        </w:rPr>
        <w:t>图</w:t>
      </w:r>
      <w:r>
        <w:rPr>
          <w:rFonts w:cs="方正仿宋_GBK" w:asciiTheme="majorEastAsia" w:hAnsiTheme="majorEastAsia" w:eastAsiaTheme="majorEastAsia"/>
          <w:b/>
          <w:bCs/>
          <w:sz w:val="32"/>
          <w:szCs w:val="32"/>
        </w:rPr>
        <w:t xml:space="preserve"> 4</w:t>
      </w:r>
      <w:r>
        <w:rPr>
          <w:rFonts w:hint="eastAsia" w:cs="宋体" w:asciiTheme="majorEastAsia" w:hAnsiTheme="majorEastAsia" w:eastAsiaTheme="majorEastAsia"/>
          <w:b/>
          <w:bCs/>
          <w:sz w:val="32"/>
          <w:szCs w:val="32"/>
        </w:rPr>
        <w:t>：2018年政府性基金预算</w:t>
      </w:r>
      <w:r>
        <w:rPr>
          <w:rFonts w:hint="eastAsia" w:ascii="方正仿宋_GBK" w:cs="宋体"/>
          <w:b/>
          <w:bCs/>
          <w:sz w:val="32"/>
          <w:szCs w:val="32"/>
        </w:rPr>
        <w:t>财政拨款收支预决算对比情况</w:t>
      </w:r>
      <w:r>
        <w:pict>
          <v:group id="_x0000_s1059" o:spid="_x0000_s1059" o:spt="203" style="position:absolute;left:0pt;margin-left:-0.55pt;margin-top:29.3pt;height:43.95pt;width:301.85pt;mso-position-horizontal-relative:page;mso-position-vertical-relative:page;z-index:251659264;mso-width-relative:page;mso-height-relative:page;" coordorigin="4551,52615" coordsize="8546,1398">
            <o:lock v:ext="edit"/>
            <v:rect id="矩形 13" o:spid="_x0000_s1060" o:spt="1" style="position:absolute;left:4551;top:52615;height:1175;width:8546;v-text-anchor:middle;" fillcolor="#D9D9D9" filled="t" stroked="f" coordsize="21600,21600">
              <v:path/>
              <v:fill on="t" focussize="0,0"/>
              <v:stroke on="f" weight="2pt"/>
              <v:imagedata o:title=""/>
              <o:lock v:ext="edit"/>
            </v:rect>
            <v:rect id="矩形 14" o:spid="_x0000_s1061"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p>
    <w:p>
      <w:pPr>
        <w:adjustRightInd w:val="0"/>
        <w:snapToGrid w:val="0"/>
        <w:spacing w:after="0" w:line="580" w:lineRule="exact"/>
        <w:ind w:firstLine="640" w:firstLineChars="200"/>
        <w:rPr>
          <w:rFonts w:ascii="仿宋_GB2312" w:eastAsia="仿宋_GB2312"/>
          <w:sz w:val="32"/>
          <w:szCs w:val="32"/>
        </w:rPr>
      </w:pPr>
    </w:p>
    <w:p>
      <w:pPr>
        <w:adjustRightInd w:val="0"/>
        <w:snapToGrid w:val="0"/>
        <w:spacing w:after="0" w:line="580" w:lineRule="exact"/>
        <w:ind w:firstLine="640" w:firstLineChars="200"/>
        <w:rPr>
          <w:rFonts w:ascii="仿宋_GB2312" w:eastAsia="仿宋_GB2312"/>
          <w:sz w:val="32"/>
          <w:szCs w:val="32"/>
        </w:rPr>
      </w:pPr>
    </w:p>
    <w:p>
      <w:pPr>
        <w:adjustRightInd w:val="0"/>
        <w:snapToGrid w:val="0"/>
        <w:spacing w:after="0" w:line="580" w:lineRule="exact"/>
        <w:ind w:firstLine="640" w:firstLineChars="200"/>
        <w:rPr>
          <w:rFonts w:ascii="仿宋_GB2312" w:eastAsia="仿宋_GB2312"/>
          <w:sz w:val="32"/>
          <w:szCs w:val="32"/>
        </w:rPr>
      </w:pPr>
    </w:p>
    <w:p>
      <w:pPr>
        <w:adjustRightInd w:val="0"/>
        <w:snapToGrid w:val="0"/>
        <w:spacing w:after="0" w:line="580" w:lineRule="exact"/>
        <w:ind w:firstLine="640" w:firstLineChars="200"/>
        <w:rPr>
          <w:rFonts w:ascii="仿宋_GB2312" w:eastAsia="仿宋_GB2312"/>
          <w:sz w:val="32"/>
          <w:szCs w:val="32"/>
        </w:rPr>
      </w:pPr>
    </w:p>
    <w:p>
      <w:pPr>
        <w:adjustRightInd w:val="0"/>
        <w:snapToGrid w:val="0"/>
        <w:spacing w:after="0" w:line="580" w:lineRule="exact"/>
        <w:ind w:firstLine="640" w:firstLineChars="200"/>
        <w:rPr>
          <w:rFonts w:ascii="仿宋_GB2312" w:eastAsia="仿宋_GB2312"/>
          <w:sz w:val="32"/>
          <w:szCs w:val="32"/>
        </w:rPr>
      </w:pPr>
    </w:p>
    <w:p>
      <w:pPr>
        <w:adjustRightInd w:val="0"/>
        <w:snapToGrid w:val="0"/>
        <w:spacing w:after="0" w:line="580" w:lineRule="exact"/>
        <w:ind w:firstLine="640" w:firstLineChars="200"/>
        <w:rPr>
          <w:rFonts w:ascii="仿宋_GB2312" w:eastAsia="仿宋_GB2312"/>
          <w:sz w:val="32"/>
          <w:szCs w:val="32"/>
        </w:rPr>
      </w:pPr>
    </w:p>
    <w:p>
      <w:pPr>
        <w:adjustRightInd w:val="0"/>
        <w:snapToGrid w:val="0"/>
        <w:spacing w:after="0" w:line="580" w:lineRule="exact"/>
        <w:rPr>
          <w:rFonts w:ascii="仿宋_GB2312" w:eastAsia="仿宋_GB2312"/>
          <w:sz w:val="32"/>
          <w:szCs w:val="32"/>
        </w:rPr>
      </w:pPr>
    </w:p>
    <w:p>
      <w:pPr>
        <w:numPr>
          <w:ilvl w:val="0"/>
          <w:numId w:val="1"/>
        </w:numPr>
        <w:adjustRightInd w:val="0"/>
        <w:snapToGrid w:val="0"/>
        <w:spacing w:after="0" w:line="580" w:lineRule="exact"/>
        <w:ind w:left="420" w:leftChars="200"/>
        <w:rPr>
          <w:rFonts w:ascii="楷体_GB2312" w:eastAsia="楷体_GB2312"/>
          <w:b/>
          <w:bCs/>
          <w:sz w:val="32"/>
          <w:szCs w:val="32"/>
        </w:rPr>
      </w:pPr>
      <w:r>
        <w:rPr>
          <w:rFonts w:hint="eastAsia" w:ascii="楷体_GB2312" w:eastAsia="楷体_GB2312" w:cs="楷体_GB2312"/>
          <w:b/>
          <w:bCs/>
          <w:sz w:val="32"/>
          <w:szCs w:val="32"/>
        </w:rPr>
        <w:t>财政拨款支出决算结构情况。</w:t>
      </w:r>
    </w:p>
    <w:p>
      <w:pPr>
        <w:adjustRightInd w:val="0"/>
        <w:snapToGrid w:val="0"/>
        <w:spacing w:after="0" w:line="580" w:lineRule="exact"/>
        <w:ind w:firstLine="640" w:firstLineChars="200"/>
        <w:rPr>
          <w:rFonts w:ascii="仿宋_GB2312" w:eastAsia="仿宋_GB2312"/>
          <w:sz w:val="32"/>
          <w:szCs w:val="32"/>
        </w:rPr>
      </w:pPr>
      <w:r>
        <w:rPr>
          <w:rFonts w:ascii="仿宋_GB2312" w:eastAsia="仿宋_GB2312" w:cs="仿宋_GB2312"/>
          <w:sz w:val="32"/>
          <w:szCs w:val="32"/>
        </w:rPr>
        <w:t xml:space="preserve">2018 </w:t>
      </w:r>
      <w:r>
        <w:rPr>
          <w:rFonts w:hint="eastAsia" w:ascii="仿宋_GB2312" w:eastAsia="仿宋_GB2312" w:cs="仿宋_GB2312"/>
          <w:sz w:val="32"/>
          <w:szCs w:val="32"/>
        </w:rPr>
        <w:t>年度财政拨款支出</w:t>
      </w:r>
      <w:r>
        <w:rPr>
          <w:rFonts w:ascii="仿宋_GB2312" w:eastAsia="仿宋_GB2312" w:cs="仿宋_GB2312"/>
          <w:sz w:val="32"/>
          <w:szCs w:val="32"/>
        </w:rPr>
        <w:t>6</w:t>
      </w:r>
      <w:r>
        <w:rPr>
          <w:rFonts w:hint="eastAsia" w:ascii="仿宋_GB2312" w:eastAsia="仿宋_GB2312" w:cs="仿宋_GB2312"/>
          <w:sz w:val="32"/>
          <w:szCs w:val="32"/>
        </w:rPr>
        <w:t>957.6万元，主要用于以下方面：一般公共服务（类）支出</w:t>
      </w:r>
      <w:r>
        <w:rPr>
          <w:rFonts w:ascii="仿宋_GB2312" w:eastAsia="仿宋_GB2312" w:cs="仿宋_GB2312"/>
          <w:sz w:val="32"/>
          <w:szCs w:val="32"/>
        </w:rPr>
        <w:t>1247.2</w:t>
      </w:r>
      <w:r>
        <w:rPr>
          <w:rFonts w:hint="eastAsia" w:ascii="仿宋_GB2312" w:eastAsia="仿宋_GB2312" w:cs="仿宋_GB2312"/>
          <w:sz w:val="32"/>
          <w:szCs w:val="32"/>
        </w:rPr>
        <w:t>万元，占</w:t>
      </w:r>
      <w:r>
        <w:rPr>
          <w:rFonts w:ascii="仿宋_GB2312" w:eastAsia="仿宋_GB2312" w:cs="仿宋_GB2312"/>
          <w:sz w:val="32"/>
          <w:szCs w:val="32"/>
        </w:rPr>
        <w:t>17.86%</w:t>
      </w:r>
      <w:r>
        <w:rPr>
          <w:rFonts w:hint="eastAsia" w:ascii="仿宋_GB2312" w:eastAsia="仿宋_GB2312" w:cs="仿宋_GB2312"/>
          <w:sz w:val="32"/>
          <w:szCs w:val="32"/>
        </w:rPr>
        <w:t>；教育支出</w:t>
      </w:r>
      <w:r>
        <w:rPr>
          <w:rFonts w:ascii="仿宋_GB2312" w:eastAsia="仿宋_GB2312" w:cs="仿宋_GB2312"/>
          <w:sz w:val="32"/>
          <w:szCs w:val="32"/>
        </w:rPr>
        <w:t>1700</w:t>
      </w:r>
      <w:r>
        <w:rPr>
          <w:rFonts w:hint="eastAsia" w:ascii="仿宋_GB2312" w:eastAsia="仿宋_GB2312" w:cs="仿宋_GB2312"/>
          <w:sz w:val="32"/>
          <w:szCs w:val="32"/>
        </w:rPr>
        <w:t>万元，占</w:t>
      </w:r>
      <w:r>
        <w:rPr>
          <w:rFonts w:ascii="仿宋_GB2312" w:eastAsia="仿宋_GB2312" w:cs="仿宋_GB2312"/>
          <w:sz w:val="32"/>
          <w:szCs w:val="32"/>
        </w:rPr>
        <w:t>24.54%</w:t>
      </w:r>
      <w:r>
        <w:rPr>
          <w:rFonts w:hint="eastAsia" w:ascii="仿宋_GB2312" w:eastAsia="仿宋_GB2312" w:cs="仿宋_GB2312"/>
          <w:sz w:val="32"/>
          <w:szCs w:val="32"/>
        </w:rPr>
        <w:t>；节能环保支出167.7万元，占</w:t>
      </w:r>
      <w:r>
        <w:rPr>
          <w:rFonts w:ascii="仿宋_GB2312" w:eastAsia="仿宋_GB2312" w:cs="仿宋_GB2312"/>
          <w:sz w:val="32"/>
          <w:szCs w:val="32"/>
        </w:rPr>
        <w:t>2.44%</w:t>
      </w:r>
      <w:r>
        <w:rPr>
          <w:rFonts w:hint="eastAsia" w:ascii="仿宋_GB2312" w:eastAsia="仿宋_GB2312" w:cs="仿宋_GB2312"/>
          <w:sz w:val="32"/>
          <w:szCs w:val="32"/>
        </w:rPr>
        <w:t>；城乡社区支出</w:t>
      </w:r>
      <w:r>
        <w:rPr>
          <w:rFonts w:ascii="仿宋_GB2312" w:eastAsia="仿宋_GB2312" w:cs="仿宋_GB2312"/>
          <w:sz w:val="32"/>
          <w:szCs w:val="32"/>
        </w:rPr>
        <w:t>36</w:t>
      </w:r>
      <w:r>
        <w:rPr>
          <w:rFonts w:hint="eastAsia" w:ascii="仿宋_GB2312" w:eastAsia="仿宋_GB2312" w:cs="仿宋_GB2312"/>
          <w:sz w:val="32"/>
          <w:szCs w:val="32"/>
        </w:rPr>
        <w:t>02.7万元，占</w:t>
      </w:r>
      <w:r>
        <w:rPr>
          <w:rFonts w:ascii="仿宋_GB2312" w:eastAsia="仿宋_GB2312" w:cs="仿宋_GB2312"/>
          <w:sz w:val="32"/>
          <w:szCs w:val="32"/>
        </w:rPr>
        <w:t>51.9%;</w:t>
      </w:r>
      <w:r>
        <w:rPr>
          <w:rFonts w:hint="eastAsia" w:ascii="仿宋_GB2312" w:eastAsia="仿宋_GB2312" w:cs="仿宋_GB2312"/>
          <w:sz w:val="32"/>
          <w:szCs w:val="32"/>
        </w:rPr>
        <w:t>农林水支出</w:t>
      </w:r>
      <w:r>
        <w:rPr>
          <w:rFonts w:ascii="仿宋_GB2312" w:eastAsia="仿宋_GB2312" w:cs="仿宋_GB2312"/>
          <w:sz w:val="32"/>
          <w:szCs w:val="32"/>
        </w:rPr>
        <w:t>240</w:t>
      </w:r>
      <w:r>
        <w:rPr>
          <w:rFonts w:hint="eastAsia" w:ascii="仿宋_GB2312" w:eastAsia="仿宋_GB2312" w:cs="仿宋_GB2312"/>
          <w:sz w:val="32"/>
          <w:szCs w:val="32"/>
        </w:rPr>
        <w:t>万元，占</w:t>
      </w:r>
      <w:r>
        <w:rPr>
          <w:rFonts w:ascii="仿宋_GB2312" w:eastAsia="仿宋_GB2312" w:cs="仿宋_GB2312"/>
          <w:sz w:val="32"/>
          <w:szCs w:val="32"/>
        </w:rPr>
        <w:t>3.44%</w:t>
      </w:r>
      <w:r>
        <w:rPr>
          <w:rFonts w:hint="eastAsia" w:ascii="仿宋_GB2312" w:eastAsia="仿宋_GB2312" w:cs="仿宋_GB2312"/>
          <w:sz w:val="32"/>
          <w:szCs w:val="32"/>
        </w:rPr>
        <w:t>。</w:t>
      </w:r>
    </w:p>
    <w:p>
      <w:pPr>
        <w:adjustRightInd w:val="0"/>
        <w:snapToGrid w:val="0"/>
        <w:spacing w:line="560" w:lineRule="exact"/>
        <w:jc w:val="center"/>
        <w:rPr>
          <w:rFonts w:hint="eastAsia" w:ascii="方正仿宋_GBK" w:cs="宋体"/>
          <w:b/>
          <w:bCs/>
          <w:sz w:val="32"/>
          <w:szCs w:val="32"/>
        </w:rPr>
      </w:pPr>
      <w:r>
        <w:rPr>
          <w:rFonts w:hint="eastAsia" w:ascii="方正仿宋_GBK" w:cs="宋体"/>
          <w:b/>
          <w:bCs/>
          <w:sz w:val="32"/>
          <w:szCs w:val="32"/>
        </w:rPr>
        <w:t>图</w:t>
      </w:r>
      <w:r>
        <w:rPr>
          <w:rFonts w:ascii="方正仿宋_GBK" w:cs="方正仿宋_GBK"/>
          <w:b/>
          <w:bCs/>
          <w:sz w:val="32"/>
          <w:szCs w:val="32"/>
        </w:rPr>
        <w:t xml:space="preserve"> </w:t>
      </w:r>
      <w:r>
        <w:rPr>
          <w:rFonts w:cs="方正仿宋_GBK" w:asciiTheme="majorEastAsia" w:hAnsiTheme="majorEastAsia" w:eastAsiaTheme="majorEastAsia"/>
          <w:b/>
          <w:bCs/>
          <w:sz w:val="32"/>
          <w:szCs w:val="32"/>
        </w:rPr>
        <w:t>5</w:t>
      </w:r>
      <w:r>
        <w:rPr>
          <w:rFonts w:hint="eastAsia" w:cs="宋体" w:asciiTheme="majorEastAsia" w:hAnsiTheme="majorEastAsia" w:eastAsiaTheme="majorEastAsia"/>
          <w:b/>
          <w:bCs/>
          <w:sz w:val="32"/>
          <w:szCs w:val="32"/>
        </w:rPr>
        <w:t>：2018年</w:t>
      </w:r>
      <w:r>
        <w:rPr>
          <w:rFonts w:hint="eastAsia" w:ascii="方正仿宋_GBK" w:cs="宋体"/>
          <w:b/>
          <w:bCs/>
          <w:sz w:val="32"/>
          <w:szCs w:val="32"/>
        </w:rPr>
        <w:t>财政拨款支出决算结构（按功能分类）</w:t>
      </w:r>
    </w:p>
    <w:p>
      <w:pPr>
        <w:adjustRightInd w:val="0"/>
        <w:snapToGrid w:val="0"/>
        <w:spacing w:line="240" w:lineRule="auto"/>
        <w:jc w:val="center"/>
        <w:rPr>
          <w:rFonts w:ascii="方正仿宋_GBK"/>
          <w:b/>
          <w:bCs/>
          <w:sz w:val="32"/>
          <w:szCs w:val="32"/>
        </w:rPr>
      </w:pPr>
      <w:r>
        <w:rPr>
          <w:rFonts w:ascii="方正仿宋_GBK"/>
          <w:b/>
          <w:sz w:val="32"/>
          <w:szCs w:val="32"/>
        </w:rPr>
        <w:pict>
          <v:shape id="_x0000_i1025" o:spt="75" type="#_x0000_t75" style="height:257.35pt;width:427pt;" filled="f" o:preferrelative="t" stroked="f" coordsize="21600,21600">
            <v:path/>
            <v:fill on="f" focussize="0,0"/>
            <v:stroke on="f" joinstyle="miter"/>
            <v:imagedata r:id="rId16" o:title=""/>
            <o:lock v:ext="edit" aspectratio="t"/>
            <w10:wrap type="none"/>
            <w10:anchorlock/>
          </v:shape>
        </w:pict>
      </w:r>
      <w:r>
        <w:pict>
          <v:group id="_x0000_s1062" o:spid="_x0000_s1062" o:spt="203" style="position:absolute;left:0pt;margin-left:-0.55pt;margin-top:29.3pt;height:43.95pt;width:301.85pt;mso-position-horizontal-relative:page;mso-position-vertical-relative:page;z-index:251659264;mso-width-relative:page;mso-height-relative:page;" coordorigin="4551,52615" coordsize="8546,1398">
            <o:lock v:ext="edit"/>
            <v:rect id="矩形 13" o:spid="_x0000_s1063" o:spt="1" style="position:absolute;left:4551;top:52615;height:1175;width:8546;v-text-anchor:middle;" fillcolor="#D9D9D9" filled="t" stroked="f" coordsize="21600,21600">
              <v:path/>
              <v:fill on="t" focussize="0,0"/>
              <v:stroke on="f" weight="2pt"/>
              <v:imagedata o:title=""/>
              <o:lock v:ext="edit"/>
            </v:rect>
            <v:rect id="矩形 14" o:spid="_x0000_s1064" o:spt="1" style="position:absolute;left:4577;top:52890;height:1123;width:8324;v-text-anchor:middle;" fillcolor="#AD002D" filled="t" stroked="t" coordsize="21600,21600">
              <v:path/>
              <v:fill on="t" focussize="0,0"/>
              <v:stroke weight="2pt" color="#B0761F" joinstyle="round"/>
              <v:imagedata o:title=""/>
              <o:lock v:ext="edit"/>
              <v:textbox style="mso-next-textbox:#矩形 14;">
                <w:txbxContent>
                  <w:p>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p>
    <w:p>
      <w:pPr>
        <w:adjustRightInd w:val="0"/>
        <w:snapToGrid w:val="0"/>
        <w:spacing w:after="0" w:line="580" w:lineRule="exact"/>
        <w:ind w:left="420" w:leftChars="200"/>
        <w:rPr>
          <w:rFonts w:ascii="楷体_GB2312" w:eastAsia="楷体_GB2312"/>
          <w:b/>
          <w:bCs/>
          <w:sz w:val="32"/>
          <w:szCs w:val="32"/>
        </w:rPr>
      </w:pPr>
      <w:r>
        <w:pict>
          <v:group id="_x0000_s1066" o:spid="_x0000_s1066" o:spt="203" style="position:absolute;left:0pt;margin-left:-0.55pt;margin-top:29.3pt;height:43.95pt;width:301.85pt;mso-position-horizontal-relative:page;mso-position-vertical-relative:page;z-index:251659264;mso-width-relative:page;mso-height-relative:page;" coordorigin="4551,52615" coordsize="8546,1398">
            <o:lock v:ext="edit"/>
            <v:rect id="矩形 13" o:spid="_x0000_s1067" o:spt="1" style="position:absolute;left:4551;top:52615;height:1175;width:8546;v-text-anchor:middle;" fillcolor="#D9D9D9" filled="t" stroked="f" coordsize="21600,21600">
              <v:path/>
              <v:fill on="t" focussize="0,0"/>
              <v:stroke on="f" weight="2pt"/>
              <v:imagedata o:title=""/>
              <o:lock v:ext="edit"/>
            </v:rect>
            <v:rect id="矩形 14" o:spid="_x0000_s1068"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r>
        <w:rPr>
          <w:rFonts w:hint="eastAsia" w:ascii="楷体_GB2312" w:eastAsia="楷体_GB2312" w:cs="楷体_GB2312"/>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sz w:val="32"/>
          <w:szCs w:val="32"/>
        </w:rPr>
      </w:pPr>
      <w:r>
        <w:rPr>
          <w:rFonts w:ascii="仿宋_GB2312" w:eastAsia="仿宋_GB2312" w:cs="仿宋_GB2312"/>
          <w:sz w:val="32"/>
          <w:szCs w:val="32"/>
        </w:rPr>
        <w:t xml:space="preserve">2018 </w:t>
      </w:r>
      <w:r>
        <w:rPr>
          <w:rFonts w:hint="eastAsia" w:ascii="仿宋_GB2312" w:eastAsia="仿宋_GB2312" w:cs="仿宋_GB2312"/>
          <w:sz w:val="32"/>
          <w:szCs w:val="32"/>
        </w:rPr>
        <w:t>年度一般公共预算财政拨款基本支出</w:t>
      </w:r>
      <w:r>
        <w:rPr>
          <w:rFonts w:ascii="仿宋_GB2312" w:eastAsia="仿宋_GB2312" w:cs="仿宋_GB2312"/>
          <w:sz w:val="32"/>
          <w:szCs w:val="32"/>
        </w:rPr>
        <w:t>2888.8</w:t>
      </w:r>
      <w:r>
        <w:rPr>
          <w:rFonts w:hint="eastAsia" w:ascii="仿宋_GB2312" w:eastAsia="仿宋_GB2312" w:cs="仿宋_GB2312"/>
          <w:sz w:val="32"/>
          <w:szCs w:val="32"/>
        </w:rPr>
        <w:t>万元，其中：人员经费</w:t>
      </w:r>
      <w:r>
        <w:rPr>
          <w:rFonts w:ascii="仿宋_GB2312" w:eastAsia="仿宋_GB2312" w:cs="仿宋_GB2312"/>
          <w:sz w:val="32"/>
          <w:szCs w:val="32"/>
        </w:rPr>
        <w:t>2584.27</w:t>
      </w:r>
      <w:r>
        <w:rPr>
          <w:rFonts w:hint="eastAsia" w:ascii="仿宋_GB2312" w:eastAsia="仿宋_GB2312" w:cs="仿宋_GB2312"/>
          <w:sz w:val="32"/>
          <w:szCs w:val="32"/>
        </w:rPr>
        <w:t>万元，主要包括基本工资、津贴补贴、奖金、绩效工资、机关事业单位基本养老保险缴费、职业年金缴费、职工基本医疗保险缴费、住房公积金、其他社会保障缴费、其他工资福利支出、离休费、退休费、抚恤金、生活补助、医疗费补助、奖励金、其他对个人和家庭的补助支出；公用经费</w:t>
      </w:r>
      <w:r>
        <w:rPr>
          <w:rFonts w:ascii="仿宋_GB2312" w:eastAsia="仿宋_GB2312" w:cs="仿宋_GB2312"/>
          <w:sz w:val="32"/>
          <w:szCs w:val="32"/>
        </w:rPr>
        <w:t>304.53</w:t>
      </w:r>
      <w:r>
        <w:rPr>
          <w:rFonts w:hint="eastAsia" w:ascii="仿宋_GB2312" w:eastAsia="仿宋_GB2312" w:cs="仿宋_GB2312"/>
          <w:sz w:val="32"/>
          <w:szCs w:val="32"/>
        </w:rPr>
        <w:t>万元，主要包括办公费、印刷费、咨询费、手续费、水费、电费、邮电费、取暖费、物业管理费、差旅费、维修（护）费、租赁费、会议费、培训费、公务接待费、专用材料费、劳务费、委托业务费、工会经费、公务用车运行维护费、其他交通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cs="Times New Roman"/>
          <w:b w:val="0"/>
          <w:bCs w:val="0"/>
        </w:rPr>
      </w:pPr>
      <w:r>
        <w:rPr>
          <w:rFonts w:hint="eastAsia" w:ascii="黑体" w:eastAsia="黑体" w:cs="黑体"/>
          <w:b w:val="0"/>
          <w:bCs w:val="0"/>
        </w:rPr>
        <w:t>五、一般公共预算财政拨款“三公”</w:t>
      </w:r>
      <w:r>
        <w:rPr>
          <w:rFonts w:ascii="黑体" w:eastAsia="黑体" w:cs="黑体"/>
          <w:b w:val="0"/>
          <w:bCs w:val="0"/>
        </w:rPr>
        <w:t xml:space="preserve"> </w:t>
      </w:r>
      <w:r>
        <w:rPr>
          <w:rFonts w:hint="eastAsia" w:ascii="黑体" w:eastAsia="黑体" w:cs="黑体"/>
          <w:b w:val="0"/>
          <w:bCs w:val="0"/>
        </w:rPr>
        <w:t>经费支出决算情况说明</w:t>
      </w:r>
    </w:p>
    <w:p>
      <w:pPr>
        <w:adjustRightInd w:val="0"/>
        <w:snapToGrid w:val="0"/>
        <w:spacing w:after="0" w:line="580" w:lineRule="exact"/>
        <w:ind w:firstLine="640" w:firstLineChars="200"/>
        <w:rPr>
          <w:rFonts w:ascii="仿宋_GB2312" w:eastAsia="仿宋_GB2312"/>
          <w:sz w:val="32"/>
          <w:szCs w:val="32"/>
        </w:rPr>
      </w:pPr>
      <w:r>
        <w:rPr>
          <w:rFonts w:hint="eastAsia" w:ascii="仿宋_GB2312" w:eastAsia="仿宋_GB2312" w:cs="仿宋_GB2312"/>
          <w:sz w:val="32"/>
          <w:szCs w:val="32"/>
        </w:rPr>
        <w:t>本部门</w:t>
      </w:r>
      <w:r>
        <w:rPr>
          <w:rFonts w:ascii="仿宋_GB2312" w:eastAsia="仿宋_GB2312" w:cs="仿宋_GB2312"/>
          <w:sz w:val="32"/>
          <w:szCs w:val="32"/>
        </w:rPr>
        <w:t>2018</w:t>
      </w:r>
      <w:r>
        <w:rPr>
          <w:rFonts w:hint="eastAsia" w:ascii="仿宋_GB2312" w:eastAsia="仿宋_GB2312" w:cs="仿宋_GB2312"/>
          <w:sz w:val="32"/>
          <w:szCs w:val="32"/>
        </w:rPr>
        <w:t>年度</w:t>
      </w:r>
      <w:r>
        <w:rPr>
          <w:rFonts w:ascii="仿宋_GB2312" w:eastAsia="仿宋_GB2312" w:cs="仿宋_GB2312"/>
          <w:sz w:val="32"/>
          <w:szCs w:val="32"/>
        </w:rPr>
        <w:t xml:space="preserve"> </w:t>
      </w:r>
      <w:r>
        <w:rPr>
          <w:rFonts w:hint="eastAsia" w:ascii="仿宋_GB2312" w:eastAsia="仿宋_GB2312" w:cs="仿宋_GB2312"/>
          <w:sz w:val="32"/>
          <w:szCs w:val="32"/>
        </w:rPr>
        <w:t>“三公”经费支出共计</w:t>
      </w:r>
      <w:r>
        <w:rPr>
          <w:rFonts w:ascii="仿宋_GB2312" w:eastAsia="仿宋_GB2312" w:cs="仿宋_GB2312"/>
          <w:sz w:val="32"/>
          <w:szCs w:val="32"/>
        </w:rPr>
        <w:t>1.77</w:t>
      </w:r>
      <w:r>
        <w:rPr>
          <w:rFonts w:hint="eastAsia" w:ascii="仿宋_GB2312" w:eastAsia="仿宋_GB2312" w:cs="仿宋_GB2312"/>
          <w:sz w:val="32"/>
          <w:szCs w:val="32"/>
        </w:rPr>
        <w:t>万元，</w:t>
      </w:r>
      <w:r>
        <w:rPr>
          <w:rFonts w:hint="eastAsia" w:ascii="仿宋_GB2312" w:eastAsia="仿宋_GB2312" w:cs="仿宋_GB2312"/>
          <w:b/>
          <w:bCs/>
          <w:sz w:val="32"/>
          <w:szCs w:val="32"/>
        </w:rPr>
        <w:t>较年初预算减少</w:t>
      </w:r>
      <w:r>
        <w:rPr>
          <w:rFonts w:ascii="仿宋_GB2312" w:eastAsia="仿宋_GB2312" w:cs="仿宋_GB2312"/>
          <w:b/>
          <w:bCs/>
          <w:sz w:val="32"/>
          <w:szCs w:val="32"/>
        </w:rPr>
        <w:t>11.23</w:t>
      </w:r>
      <w:r>
        <w:rPr>
          <w:rFonts w:hint="eastAsia" w:ascii="仿宋_GB2312" w:eastAsia="仿宋_GB2312" w:cs="仿宋_GB2312"/>
          <w:b/>
          <w:bCs/>
          <w:sz w:val="32"/>
          <w:szCs w:val="32"/>
        </w:rPr>
        <w:t>万元，降低</w:t>
      </w:r>
      <w:r>
        <w:rPr>
          <w:rFonts w:ascii="仿宋_GB2312" w:eastAsia="仿宋_GB2312" w:cs="仿宋_GB2312"/>
          <w:b/>
          <w:bCs/>
          <w:sz w:val="32"/>
          <w:szCs w:val="32"/>
        </w:rPr>
        <w:t>86.38%</w:t>
      </w:r>
      <w:r>
        <w:rPr>
          <w:rFonts w:hint="eastAsia" w:ascii="仿宋_GB2312" w:eastAsia="仿宋_GB2312" w:cs="仿宋_GB2312"/>
          <w:b/>
          <w:bCs/>
          <w:sz w:val="32"/>
          <w:szCs w:val="32"/>
        </w:rPr>
        <w:t>，</w:t>
      </w:r>
      <w:r>
        <w:rPr>
          <w:rFonts w:hint="eastAsia" w:ascii="仿宋_GB2312" w:eastAsia="仿宋_GB2312" w:cs="仿宋_GB2312"/>
          <w:sz w:val="32"/>
          <w:szCs w:val="32"/>
        </w:rPr>
        <w:t>主要是认真贯彻落实中央</w:t>
      </w:r>
      <w:bookmarkStart w:id="0" w:name="_GoBack"/>
      <w:bookmarkEnd w:id="0"/>
      <w:r>
        <w:rPr>
          <w:rFonts w:hint="eastAsia" w:ascii="仿宋_GB2312" w:eastAsia="仿宋_GB2312" w:cs="仿宋_GB2312"/>
          <w:sz w:val="32"/>
          <w:szCs w:val="32"/>
        </w:rPr>
        <w:t>八项规定精神和厉行节约要求，从严控制“三公”经费开支，全年实际支出比预算有较大幅度的降低，主要是公务用车运行维护费的降低。具体情况如下：</w:t>
      </w:r>
    </w:p>
    <w:p>
      <w:pPr>
        <w:adjustRightInd w:val="0"/>
        <w:snapToGrid w:val="0"/>
        <w:spacing w:after="0" w:line="580" w:lineRule="exact"/>
        <w:ind w:firstLine="643" w:firstLineChars="200"/>
        <w:rPr>
          <w:rFonts w:ascii="仿宋_GB2312" w:eastAsia="仿宋_GB2312"/>
          <w:sz w:val="32"/>
          <w:szCs w:val="32"/>
        </w:rPr>
      </w:pPr>
      <w:r>
        <w:rPr>
          <w:rFonts w:hint="eastAsia" w:ascii="楷体_GB2312" w:eastAsia="楷体_GB2312" w:cs="楷体_GB2312"/>
          <w:b/>
          <w:bCs/>
          <w:sz w:val="32"/>
          <w:szCs w:val="32"/>
        </w:rPr>
        <w:t>（</w:t>
      </w:r>
      <w:r>
        <w:pict>
          <v:group id="_x0000_s1069" o:spid="_x0000_s1069" o:spt="203" style="position:absolute;left:0pt;margin-left:-0.55pt;margin-top:29.3pt;height:43.95pt;width:301.85pt;mso-position-horizontal-relative:page;mso-position-vertical-relative:page;z-index:251659264;mso-width-relative:page;mso-height-relative:page;" coordorigin="4551,52615" coordsize="8546,1398">
            <o:lock v:ext="edit"/>
            <v:rect id="矩形 13" o:spid="_x0000_s1070" o:spt="1" style="position:absolute;left:4551;top:52615;height:1175;width:8546;v-text-anchor:middle;" fillcolor="#D9D9D9" filled="t" stroked="f" coordsize="21600,21600">
              <v:path/>
              <v:fill on="t" focussize="0,0"/>
              <v:stroke on="f" weight="2pt"/>
              <v:imagedata o:title=""/>
              <o:lock v:ext="edit"/>
            </v:rect>
            <v:rect id="矩形 14" o:spid="_x0000_s1071"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r>
        <w:rPr>
          <w:rFonts w:hint="eastAsia" w:ascii="楷体_GB2312" w:eastAsia="楷体_GB2312" w:cs="楷体_GB2312"/>
          <w:b/>
          <w:bCs/>
          <w:sz w:val="32"/>
          <w:szCs w:val="32"/>
        </w:rPr>
        <w:t>一）因公出国（境）费支出</w:t>
      </w:r>
      <w:r>
        <w:rPr>
          <w:rFonts w:ascii="楷体_GB2312" w:eastAsia="楷体_GB2312" w:cs="楷体_GB2312"/>
          <w:b/>
          <w:bCs/>
          <w:sz w:val="32"/>
          <w:szCs w:val="32"/>
        </w:rPr>
        <w:t>0</w:t>
      </w:r>
      <w:r>
        <w:rPr>
          <w:rFonts w:hint="eastAsia" w:ascii="楷体_GB2312" w:eastAsia="楷体_GB2312" w:cs="楷体_GB2312"/>
          <w:b/>
          <w:bCs/>
          <w:sz w:val="32"/>
          <w:szCs w:val="32"/>
        </w:rPr>
        <w:t>万元。</w:t>
      </w:r>
      <w:r>
        <w:rPr>
          <w:rFonts w:hint="eastAsia" w:ascii="仿宋_GB2312" w:eastAsia="仿宋_GB2312" w:cs="仿宋_GB2312"/>
          <w:sz w:val="32"/>
          <w:szCs w:val="32"/>
        </w:rPr>
        <w:t>本部门</w:t>
      </w:r>
      <w:r>
        <w:rPr>
          <w:rFonts w:ascii="仿宋_GB2312" w:eastAsia="仿宋_GB2312" w:cs="仿宋_GB2312"/>
          <w:sz w:val="32"/>
          <w:szCs w:val="32"/>
        </w:rPr>
        <w:t>2018</w:t>
      </w:r>
      <w:r>
        <w:rPr>
          <w:rFonts w:hint="eastAsia" w:ascii="仿宋_GB2312" w:eastAsia="仿宋_GB2312" w:cs="仿宋_GB2312"/>
          <w:sz w:val="32"/>
          <w:szCs w:val="32"/>
        </w:rPr>
        <w:t>年度因公出国（境）团组0个，共0人/参加其他单位组织的因公出国（境）团组0个，共0人/参加本单位组织的出国（境）团组。因公出国（境）费支出较年初预算增加（减少）0万元，增长（降低）0%，与年初预算持平无增减变化。</w:t>
      </w:r>
    </w:p>
    <w:p>
      <w:pPr>
        <w:adjustRightInd w:val="0"/>
        <w:snapToGrid w:val="0"/>
        <w:spacing w:after="0" w:line="580" w:lineRule="exact"/>
        <w:ind w:firstLine="643" w:firstLineChars="200"/>
        <w:rPr>
          <w:rFonts w:ascii="仿宋_GB2312" w:eastAsia="仿宋_GB2312"/>
          <w:b/>
          <w:bCs/>
          <w:sz w:val="32"/>
          <w:szCs w:val="32"/>
        </w:rPr>
      </w:pPr>
      <w:r>
        <w:rPr>
          <w:rFonts w:hint="eastAsia" w:ascii="楷体_GB2312" w:eastAsia="楷体_GB2312" w:cs="楷体_GB2312"/>
          <w:b/>
          <w:bCs/>
          <w:sz w:val="32"/>
          <w:szCs w:val="32"/>
        </w:rPr>
        <w:t>（二）公务用车购置及运行维护费支出</w:t>
      </w:r>
      <w:r>
        <w:rPr>
          <w:rFonts w:ascii="楷体_GB2312" w:eastAsia="楷体_GB2312" w:cs="楷体_GB2312"/>
          <w:b/>
          <w:bCs/>
          <w:sz w:val="32"/>
          <w:szCs w:val="32"/>
        </w:rPr>
        <w:t>1.77</w:t>
      </w:r>
      <w:r>
        <w:rPr>
          <w:rFonts w:hint="eastAsia" w:ascii="楷体_GB2312" w:eastAsia="楷体_GB2312" w:cs="楷体_GB2312"/>
          <w:b/>
          <w:bCs/>
          <w:sz w:val="32"/>
          <w:szCs w:val="32"/>
        </w:rPr>
        <w:t>万元。</w:t>
      </w:r>
      <w:r>
        <w:rPr>
          <w:rFonts w:hint="eastAsia" w:ascii="仿宋_GB2312" w:eastAsia="仿宋_GB2312" w:cs="仿宋_GB2312"/>
          <w:sz w:val="32"/>
          <w:szCs w:val="32"/>
        </w:rPr>
        <w:t>本部门</w:t>
      </w:r>
      <w:r>
        <w:rPr>
          <w:rFonts w:ascii="仿宋_GB2312" w:eastAsia="仿宋_GB2312" w:cs="仿宋_GB2312"/>
          <w:sz w:val="32"/>
          <w:szCs w:val="32"/>
        </w:rPr>
        <w:t>2018</w:t>
      </w:r>
      <w:r>
        <w:rPr>
          <w:rFonts w:hint="eastAsia" w:ascii="仿宋_GB2312" w:eastAsia="仿宋_GB2312" w:cs="仿宋_GB2312"/>
          <w:sz w:val="32"/>
          <w:szCs w:val="32"/>
        </w:rPr>
        <w:t>年度公务用车购置及运行维护费较年初预算减少</w:t>
      </w:r>
      <w:r>
        <w:rPr>
          <w:rFonts w:ascii="仿宋_GB2312" w:eastAsia="仿宋_GB2312" w:cs="仿宋_GB2312"/>
          <w:sz w:val="32"/>
          <w:szCs w:val="32"/>
        </w:rPr>
        <w:t>11.23</w:t>
      </w:r>
      <w:r>
        <w:rPr>
          <w:rFonts w:hint="eastAsia" w:ascii="仿宋_GB2312" w:eastAsia="仿宋_GB2312" w:cs="仿宋_GB2312"/>
          <w:sz w:val="32"/>
          <w:szCs w:val="32"/>
        </w:rPr>
        <w:t>万元，降低</w:t>
      </w:r>
      <w:r>
        <w:rPr>
          <w:rFonts w:ascii="仿宋_GB2312" w:eastAsia="仿宋_GB2312" w:cs="仿宋_GB2312"/>
          <w:sz w:val="32"/>
          <w:szCs w:val="32"/>
        </w:rPr>
        <w:t>86.38%,</w:t>
      </w:r>
      <w:r>
        <w:rPr>
          <w:rFonts w:hint="eastAsia" w:ascii="仿宋_GB2312" w:eastAsia="仿宋_GB2312" w:cs="仿宋_GB2312"/>
          <w:sz w:val="32"/>
          <w:szCs w:val="32"/>
        </w:rPr>
        <w:t>主要是公务用车加油及维修费的降低。</w:t>
      </w:r>
      <w:r>
        <w:rPr>
          <w:rFonts w:hint="eastAsia" w:ascii="仿宋_GB2312" w:eastAsia="仿宋_GB2312" w:cs="仿宋_GB2312"/>
          <w:b/>
          <w:bCs/>
          <w:sz w:val="32"/>
          <w:szCs w:val="32"/>
        </w:rPr>
        <w:t>其中：</w:t>
      </w:r>
    </w:p>
    <w:p>
      <w:pPr>
        <w:adjustRightInd w:val="0"/>
        <w:snapToGrid w:val="0"/>
        <w:spacing w:after="0" w:line="580" w:lineRule="exact"/>
        <w:ind w:firstLine="643" w:firstLineChars="200"/>
        <w:rPr>
          <w:rFonts w:ascii="仿宋_GB2312" w:eastAsia="仿宋_GB2312"/>
          <w:sz w:val="32"/>
          <w:szCs w:val="32"/>
        </w:rPr>
      </w:pPr>
      <w:r>
        <w:rPr>
          <w:rFonts w:hint="eastAsia" w:ascii="仿宋_GB2312" w:eastAsia="仿宋_GB2312" w:cs="仿宋_GB2312"/>
          <w:b/>
          <w:bCs/>
          <w:sz w:val="32"/>
          <w:szCs w:val="32"/>
        </w:rPr>
        <w:t>公务用车购置费：</w:t>
      </w:r>
      <w:r>
        <w:rPr>
          <w:rFonts w:hint="eastAsia" w:ascii="仿宋_GB2312" w:eastAsia="仿宋_GB2312" w:cs="仿宋_GB2312"/>
          <w:sz w:val="32"/>
          <w:szCs w:val="32"/>
        </w:rPr>
        <w:t>本部门</w:t>
      </w:r>
      <w:r>
        <w:rPr>
          <w:rFonts w:ascii="仿宋_GB2312" w:eastAsia="仿宋_GB2312" w:cs="仿宋_GB2312"/>
          <w:sz w:val="32"/>
          <w:szCs w:val="32"/>
        </w:rPr>
        <w:t>2018</w:t>
      </w:r>
      <w:r>
        <w:rPr>
          <w:rFonts w:hint="eastAsia" w:ascii="仿宋_GB2312" w:eastAsia="仿宋_GB2312" w:cs="仿宋_GB2312"/>
          <w:sz w:val="32"/>
          <w:szCs w:val="32"/>
        </w:rPr>
        <w:t>年度无发生公务用车购置费的支出。本部门自公务用车改革以来共保留公务用车</w:t>
      </w:r>
      <w:r>
        <w:rPr>
          <w:rFonts w:ascii="仿宋_GB2312" w:eastAsia="仿宋_GB2312" w:cs="仿宋_GB2312"/>
          <w:sz w:val="32"/>
          <w:szCs w:val="32"/>
        </w:rPr>
        <w:t>2</w:t>
      </w:r>
      <w:r>
        <w:rPr>
          <w:rFonts w:hint="eastAsia" w:ascii="仿宋_GB2312" w:eastAsia="仿宋_GB2312" w:cs="仿宋_GB2312"/>
          <w:sz w:val="32"/>
          <w:szCs w:val="32"/>
        </w:rPr>
        <w:t>辆，公务用车购置费支出与年初预算持平。</w:t>
      </w:r>
    </w:p>
    <w:p>
      <w:pPr>
        <w:adjustRightInd w:val="0"/>
        <w:snapToGrid w:val="0"/>
        <w:spacing w:after="0" w:line="580" w:lineRule="exact"/>
        <w:ind w:firstLine="643" w:firstLineChars="200"/>
        <w:rPr>
          <w:rFonts w:ascii="仿宋_GB2312" w:eastAsia="仿宋_GB2312"/>
          <w:sz w:val="32"/>
          <w:szCs w:val="32"/>
        </w:rPr>
      </w:pPr>
      <w:r>
        <w:rPr>
          <w:rFonts w:hint="eastAsia" w:ascii="仿宋_GB2312" w:eastAsia="仿宋_GB2312" w:cs="仿宋_GB2312"/>
          <w:b/>
          <w:bCs/>
          <w:sz w:val="32"/>
          <w:szCs w:val="32"/>
        </w:rPr>
        <w:t>公务用车运行维护费：</w:t>
      </w:r>
      <w:r>
        <w:rPr>
          <w:rFonts w:hint="eastAsia" w:ascii="仿宋_GB2312" w:eastAsia="仿宋_GB2312" w:cs="仿宋_GB2312"/>
          <w:sz w:val="32"/>
          <w:szCs w:val="32"/>
        </w:rPr>
        <w:t>本部门</w:t>
      </w:r>
      <w:r>
        <w:rPr>
          <w:rFonts w:ascii="仿宋_GB2312" w:eastAsia="仿宋_GB2312" w:cs="仿宋_GB2312"/>
          <w:sz w:val="32"/>
          <w:szCs w:val="32"/>
        </w:rPr>
        <w:t>2018</w:t>
      </w:r>
      <w:r>
        <w:rPr>
          <w:rFonts w:hint="eastAsia" w:ascii="仿宋_GB2312" w:eastAsia="仿宋_GB2312" w:cs="仿宋_GB2312"/>
          <w:sz w:val="32"/>
          <w:szCs w:val="32"/>
        </w:rPr>
        <w:t>年度单位公务用车保有量2辆。公车运行维护费支出较年初预算减少</w:t>
      </w:r>
      <w:r>
        <w:rPr>
          <w:rFonts w:ascii="仿宋_GB2312" w:eastAsia="仿宋_GB2312" w:cs="仿宋_GB2312"/>
          <w:sz w:val="32"/>
          <w:szCs w:val="32"/>
        </w:rPr>
        <w:t>11.23</w:t>
      </w:r>
      <w:r>
        <w:rPr>
          <w:rFonts w:hint="eastAsia" w:ascii="仿宋_GB2312" w:eastAsia="仿宋_GB2312" w:cs="仿宋_GB2312"/>
          <w:sz w:val="32"/>
          <w:szCs w:val="32"/>
        </w:rPr>
        <w:t>万元，降低</w:t>
      </w:r>
      <w:r>
        <w:rPr>
          <w:rFonts w:ascii="仿宋_GB2312" w:eastAsia="仿宋_GB2312" w:cs="仿宋_GB2312"/>
          <w:sz w:val="32"/>
          <w:szCs w:val="32"/>
        </w:rPr>
        <w:t>86.38%,</w:t>
      </w:r>
      <w:r>
        <w:rPr>
          <w:rFonts w:hint="eastAsia" w:ascii="仿宋_GB2312" w:eastAsia="仿宋_GB2312" w:cs="仿宋_GB2312"/>
          <w:sz w:val="32"/>
          <w:szCs w:val="32"/>
        </w:rPr>
        <w:t>主要是公务用车加油费及修车费用的减少。</w:t>
      </w:r>
    </w:p>
    <w:p>
      <w:pPr>
        <w:adjustRightInd w:val="0"/>
        <w:snapToGrid w:val="0"/>
        <w:spacing w:after="0" w:line="580" w:lineRule="exact"/>
        <w:ind w:firstLine="643" w:firstLineChars="200"/>
        <w:rPr>
          <w:rFonts w:ascii="仿宋_GB2312" w:eastAsia="仿宋_GB2312"/>
          <w:sz w:val="32"/>
          <w:szCs w:val="32"/>
        </w:rPr>
      </w:pPr>
      <w:r>
        <w:rPr>
          <w:rFonts w:hint="eastAsia" w:ascii="楷体_GB2312" w:eastAsia="楷体_GB2312" w:cs="楷体_GB2312"/>
          <w:b/>
          <w:bCs/>
          <w:sz w:val="32"/>
          <w:szCs w:val="32"/>
        </w:rPr>
        <w:t>（三）公务接待费支出</w:t>
      </w:r>
      <w:r>
        <w:rPr>
          <w:rFonts w:ascii="楷体_GB2312" w:eastAsia="楷体_GB2312" w:cs="楷体_GB2312"/>
          <w:b/>
          <w:bCs/>
          <w:sz w:val="32"/>
          <w:szCs w:val="32"/>
        </w:rPr>
        <w:t>0</w:t>
      </w:r>
      <w:r>
        <w:rPr>
          <w:rFonts w:hint="eastAsia" w:ascii="楷体_GB2312" w:eastAsia="楷体_GB2312" w:cs="楷体_GB2312"/>
          <w:b/>
          <w:bCs/>
          <w:sz w:val="32"/>
          <w:szCs w:val="32"/>
        </w:rPr>
        <w:t>万元。</w:t>
      </w:r>
      <w:r>
        <w:pict>
          <v:group id="_x0000_s1072" o:spid="_x0000_s1072" o:spt="203" style="position:absolute;left:0pt;margin-left:-0.55pt;margin-top:29.3pt;height:43.95pt;width:301.85pt;mso-position-horizontal-relative:page;mso-position-vertical-relative:page;z-index:251659264;mso-width-relative:page;mso-height-relative:page;" coordorigin="4551,52615" coordsize="8546,1398">
            <o:lock v:ext="edit"/>
            <v:rect id="矩形 13" o:spid="_x0000_s1073" o:spt="1" style="position:absolute;left:4551;top:52615;height:1175;width:8546;v-text-anchor:middle;" fillcolor="#D9D9D9" filled="t" stroked="f" coordsize="21600,21600">
              <v:path/>
              <v:fill on="t" focussize="0,0"/>
              <v:stroke on="f" weight="2pt"/>
              <v:imagedata o:title=""/>
              <o:lock v:ext="edit"/>
            </v:rect>
            <v:rect id="矩形 14" o:spid="_x0000_s1074"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r>
        <w:rPr>
          <w:rFonts w:hint="eastAsia" w:ascii="仿宋_GB2312" w:eastAsia="仿宋_GB2312" w:cs="仿宋_GB2312"/>
          <w:sz w:val="32"/>
          <w:szCs w:val="32"/>
        </w:rPr>
        <w:t>本部门</w:t>
      </w:r>
      <w:r>
        <w:rPr>
          <w:rFonts w:ascii="仿宋_GB2312" w:eastAsia="仿宋_GB2312" w:cs="仿宋_GB2312"/>
          <w:sz w:val="32"/>
          <w:szCs w:val="32"/>
        </w:rPr>
        <w:t>2018</w:t>
      </w:r>
      <w:r>
        <w:rPr>
          <w:rFonts w:hint="eastAsia" w:ascii="仿宋_GB2312" w:eastAsia="仿宋_GB2312" w:cs="仿宋_GB2312"/>
          <w:sz w:val="32"/>
          <w:szCs w:val="32"/>
        </w:rPr>
        <w:t>年度无发生公务接待。公务接待费支出较年初预算无增减变化。主要是我单位认真贯彻落实中央八项规定精神和厉行节约要求，从严控制“三公”经费开支。各级领导检查、督导工作等各项公务活动，没有在我单位用餐，因此没有产生公务接待费用。</w:t>
      </w:r>
    </w:p>
    <w:p>
      <w:pPr>
        <w:pStyle w:val="3"/>
        <w:spacing w:before="0" w:after="0" w:line="500" w:lineRule="exact"/>
        <w:ind w:firstLine="643" w:firstLineChars="200"/>
        <w:rPr>
          <w:rFonts w:ascii="黑体" w:eastAsia="黑体" w:cs="黑体"/>
        </w:rPr>
      </w:pPr>
      <w:r>
        <w:rPr>
          <w:rFonts w:hint="eastAsia" w:ascii="黑体" w:eastAsia="黑体" w:cs="黑体"/>
        </w:rPr>
        <w:t>六、绩效预算情况说明</w:t>
      </w:r>
    </w:p>
    <w:p>
      <w:pPr>
        <w:adjustRightInd w:val="0"/>
        <w:snapToGrid w:val="0"/>
        <w:spacing w:after="0" w:line="500" w:lineRule="exact"/>
        <w:ind w:firstLine="640" w:firstLineChars="200"/>
        <w:rPr>
          <w:rFonts w:ascii="仿宋_GB2312" w:eastAsia="仿宋_GB2312" w:cs="仿宋_GB2312"/>
          <w:sz w:val="32"/>
          <w:szCs w:val="32"/>
        </w:rPr>
      </w:pPr>
      <w:r>
        <w:rPr>
          <w:rFonts w:hint="eastAsia" w:ascii="仿宋_GB2312" w:eastAsia="仿宋_GB2312" w:cs="仿宋_GB2312"/>
          <w:sz w:val="32"/>
          <w:szCs w:val="32"/>
        </w:rPr>
        <w:t>（一）绩效管理工作开展情况。</w:t>
      </w:r>
    </w:p>
    <w:p>
      <w:pPr>
        <w:adjustRightInd w:val="0"/>
        <w:snapToGrid w:val="0"/>
        <w:spacing w:after="0" w:line="560" w:lineRule="exact"/>
        <w:ind w:firstLine="640" w:firstLineChars="200"/>
        <w:rPr>
          <w:rFonts w:ascii="仿宋_GB2312" w:eastAsia="仿宋_GB2312" w:cs="仿宋_GB2312"/>
          <w:sz w:val="32"/>
          <w:szCs w:val="32"/>
        </w:rPr>
      </w:pPr>
      <w:r>
        <w:rPr>
          <w:rFonts w:ascii="仿宋_GB2312" w:eastAsia="仿宋_GB2312" w:cs="仿宋_GB2312"/>
          <w:sz w:val="32"/>
          <w:szCs w:val="32"/>
        </w:rPr>
        <w:t>2018</w:t>
      </w:r>
      <w:r>
        <w:rPr>
          <w:rFonts w:hint="eastAsia" w:ascii="仿宋_GB2312" w:eastAsia="仿宋_GB2312" w:cs="仿宋_GB2312"/>
          <w:sz w:val="32"/>
          <w:szCs w:val="32"/>
        </w:rPr>
        <w:t>年我镇继续优化了“部门职责</w:t>
      </w:r>
      <w:r>
        <w:rPr>
          <w:rFonts w:ascii="仿宋_GB2312" w:eastAsia="仿宋_GB2312" w:cs="仿宋_GB2312"/>
          <w:sz w:val="32"/>
          <w:szCs w:val="32"/>
        </w:rPr>
        <w:t>-</w:t>
      </w:r>
      <w:r>
        <w:rPr>
          <w:rFonts w:hint="eastAsia" w:ascii="仿宋_GB2312" w:eastAsia="仿宋_GB2312" w:cs="仿宋_GB2312"/>
          <w:sz w:val="32"/>
          <w:szCs w:val="32"/>
        </w:rPr>
        <w:t>工作活动</w:t>
      </w:r>
      <w:r>
        <w:rPr>
          <w:rFonts w:ascii="仿宋_GB2312" w:eastAsia="仿宋_GB2312" w:cs="仿宋_GB2312"/>
          <w:sz w:val="32"/>
          <w:szCs w:val="32"/>
        </w:rPr>
        <w:t>-</w:t>
      </w:r>
      <w:r>
        <w:rPr>
          <w:rFonts w:hint="eastAsia" w:ascii="仿宋_GB2312" w:eastAsia="仿宋_GB2312" w:cs="仿宋_GB2312"/>
          <w:sz w:val="32"/>
          <w:szCs w:val="32"/>
        </w:rPr>
        <w:t>预算项目”的绩效预算管理机构，分三个层次分别制定绩效目标和指标，力争可审核、可监控、可评价，将绩效管理融入项目管理全过程，确定部门预算项目和预算额度，清晰描述预算项目开支范围和内容，确定预算项目的绩效目标、绩效指标和评价标准，为预算绩效控制、绩效分析、绩效评价打下好的基础，为提高资金使用效果、规范预算管理打下良好基础</w:t>
      </w:r>
      <w:r>
        <w:rPr>
          <w:rFonts w:ascii="仿宋_GB2312" w:eastAsia="仿宋_GB2312" w:cs="仿宋_GB2312"/>
          <w:sz w:val="32"/>
          <w:szCs w:val="32"/>
        </w:rPr>
        <w:t>.</w:t>
      </w:r>
      <w:r>
        <w:rPr>
          <w:rFonts w:hint="eastAsia" w:ascii="仿宋_GB2312" w:eastAsia="仿宋_GB2312" w:cs="仿宋_GB2312"/>
          <w:sz w:val="32"/>
          <w:szCs w:val="32"/>
        </w:rPr>
        <w:t>根据《关于开展</w:t>
      </w:r>
      <w:r>
        <w:rPr>
          <w:rFonts w:ascii="仿宋_GB2312" w:eastAsia="仿宋_GB2312" w:cs="仿宋_GB2312"/>
          <w:sz w:val="32"/>
          <w:szCs w:val="32"/>
        </w:rPr>
        <w:t>2018</w:t>
      </w:r>
      <w:r>
        <w:rPr>
          <w:rFonts w:hint="eastAsia" w:ascii="仿宋_GB2312" w:eastAsia="仿宋_GB2312" w:cs="仿宋_GB2312"/>
          <w:sz w:val="32"/>
          <w:szCs w:val="32"/>
        </w:rPr>
        <w:t>年度财政专项资金部门绩效自评价工作的通知》（石财绩</w:t>
      </w:r>
      <w:r>
        <w:rPr>
          <w:rFonts w:ascii="仿宋_GB2312" w:eastAsia="仿宋_GB2312" w:cs="仿宋_GB2312"/>
          <w:sz w:val="32"/>
          <w:szCs w:val="32"/>
        </w:rPr>
        <w:t>[2019]1</w:t>
      </w:r>
      <w:r>
        <w:rPr>
          <w:rFonts w:hint="eastAsia" w:ascii="仿宋_GB2312" w:eastAsia="仿宋_GB2312" w:cs="仿宋_GB2312"/>
          <w:sz w:val="32"/>
          <w:szCs w:val="32"/>
        </w:rPr>
        <w:t>号），本单位认真开展了预算绩效管理改革开展情况自查，对部门全面规范绩效预算编制、严格预算执行管理、推进绩效评价工作、推进预决算信息公开等方面进行了自评，考核结果为良好。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00" w:lineRule="exact"/>
        <w:ind w:firstLine="640" w:firstLineChars="200"/>
        <w:rPr>
          <w:rFonts w:ascii="仿宋_GB2312" w:eastAsia="仿宋_GB2312" w:cs="仿宋_GB2312"/>
          <w:sz w:val="32"/>
          <w:szCs w:val="32"/>
        </w:rPr>
      </w:pPr>
      <w:r>
        <w:rPr>
          <w:rFonts w:hint="eastAsia" w:ascii="仿宋_GB2312" w:eastAsia="仿宋_GB2312" w:cs="仿宋_GB2312"/>
          <w:sz w:val="32"/>
          <w:szCs w:val="32"/>
        </w:rPr>
        <w:t>（二）预算项目绩效评价开展情况</w:t>
      </w:r>
    </w:p>
    <w:p>
      <w:pPr>
        <w:adjustRightInd w:val="0"/>
        <w:snapToGrid w:val="0"/>
        <w:spacing w:after="0" w:line="560" w:lineRule="exact"/>
        <w:ind w:firstLine="640" w:firstLineChars="200"/>
        <w:rPr>
          <w:rFonts w:ascii="仿宋_GB2312" w:eastAsia="仿宋_GB2312" w:cs="仿宋_GB2312"/>
          <w:sz w:val="32"/>
          <w:szCs w:val="32"/>
        </w:rPr>
      </w:pPr>
      <w:r>
        <w:rPr>
          <w:rFonts w:hint="eastAsia" w:ascii="仿宋_GB2312" w:eastAsia="仿宋_GB2312" w:cs="仿宋_GB2312"/>
          <w:sz w:val="32"/>
          <w:szCs w:val="32"/>
        </w:rPr>
        <w:t>一是建立绩效管理方面的机制。为推行绩效管理工作健康有序开展，成立了预算绩效管理领导小组，明确主体责任，规范工作内容，对财政支出的实际绩效进行评价，提高了预算绩效评价的准确性。</w:t>
      </w:r>
    </w:p>
    <w:p>
      <w:pPr>
        <w:adjustRightInd w:val="0"/>
        <w:snapToGrid w:val="0"/>
        <w:spacing w:after="0" w:line="560" w:lineRule="exact"/>
        <w:ind w:firstLine="640" w:firstLineChars="200"/>
        <w:rPr>
          <w:rFonts w:ascii="仿宋_GB2312" w:eastAsia="仿宋_GB2312" w:cs="仿宋_GB2312"/>
          <w:sz w:val="32"/>
          <w:szCs w:val="32"/>
        </w:rPr>
      </w:pPr>
      <w:r>
        <w:rPr>
          <w:rFonts w:hint="eastAsia" w:ascii="仿宋_GB2312" w:eastAsia="仿宋_GB2312" w:cs="仿宋_GB2312"/>
          <w:sz w:val="32"/>
          <w:szCs w:val="32"/>
        </w:rPr>
        <w:t>二是强化日常监管工作，确保资金使用效率。对项目实施情况进行全程跟踪检查，发现问题及时督促整改，确保绩效目标全面完成。对绩效自评中发现的问题进行整改，堵塞项目管理中的漏洞，绩效评价结果与下年度预算安排挂钩，进一步提高财政资金的使用效益。</w:t>
      </w:r>
    </w:p>
    <w:p>
      <w:pPr>
        <w:adjustRightInd w:val="0"/>
        <w:snapToGrid w:val="0"/>
        <w:spacing w:after="0" w:line="500" w:lineRule="exact"/>
        <w:ind w:firstLine="640" w:firstLineChars="200"/>
        <w:rPr>
          <w:rFonts w:ascii="仿宋_GB2312" w:eastAsia="仿宋_GB2312" w:cs="仿宋_GB2312"/>
          <w:sz w:val="32"/>
          <w:szCs w:val="32"/>
        </w:rPr>
      </w:pPr>
      <w:r>
        <w:rPr>
          <w:rFonts w:hint="eastAsia" w:ascii="仿宋_GB2312" w:eastAsia="仿宋_GB2312" w:cs="仿宋_GB2312"/>
          <w:sz w:val="32"/>
          <w:szCs w:val="32"/>
        </w:rPr>
        <w:t>根据预算绩效管理要求，本单位组织对</w:t>
      </w:r>
      <w:r>
        <w:rPr>
          <w:rFonts w:ascii="仿宋_GB2312" w:eastAsia="仿宋_GB2312" w:cs="仿宋_GB2312"/>
          <w:sz w:val="32"/>
          <w:szCs w:val="32"/>
        </w:rPr>
        <w:t>2018</w:t>
      </w:r>
      <w:r>
        <w:rPr>
          <w:rFonts w:hint="eastAsia" w:ascii="仿宋_GB2312" w:eastAsia="仿宋_GB2312" w:cs="仿宋_GB2312"/>
          <w:sz w:val="32"/>
          <w:szCs w:val="32"/>
        </w:rPr>
        <w:t>年度一般公共预算项目支出全面开展绩效自评，涉及大气污染防治、“散乱污”企业拆除、“创城”违建拆除工作、征地和拆迁补偿发放、农村人居环境治理、“美丽乡村建设”、“农村改厕”、河道治理、一事一议项目施工等</w:t>
      </w:r>
      <w:r>
        <w:rPr>
          <w:rFonts w:ascii="仿宋_GB2312" w:eastAsia="仿宋_GB2312" w:cs="仿宋_GB2312"/>
          <w:sz w:val="32"/>
          <w:szCs w:val="32"/>
        </w:rPr>
        <w:t>13</w:t>
      </w:r>
      <w:r>
        <w:rPr>
          <w:rFonts w:hint="eastAsia" w:ascii="仿宋_GB2312" w:eastAsia="仿宋_GB2312" w:cs="仿宋_GB2312"/>
          <w:sz w:val="32"/>
          <w:szCs w:val="32"/>
        </w:rPr>
        <w:t>个项目，涉及资金</w:t>
      </w:r>
      <w:r>
        <w:rPr>
          <w:rFonts w:ascii="仿宋_GB2312" w:eastAsia="仿宋_GB2312" w:cs="仿宋_GB2312"/>
          <w:sz w:val="32"/>
          <w:szCs w:val="32"/>
        </w:rPr>
        <w:t>6981.42</w:t>
      </w:r>
      <w:r>
        <w:rPr>
          <w:rFonts w:hint="eastAsia" w:ascii="仿宋_GB2312" w:eastAsia="仿宋_GB2312" w:cs="仿宋_GB2312"/>
          <w:sz w:val="32"/>
          <w:szCs w:val="32"/>
        </w:rPr>
        <w:t>万元。从评价情况看，评价结果为优秀的项目有</w:t>
      </w:r>
      <w:r>
        <w:rPr>
          <w:rFonts w:ascii="仿宋_GB2312" w:eastAsia="仿宋_GB2312" w:cs="仿宋_GB2312"/>
          <w:sz w:val="32"/>
          <w:szCs w:val="32"/>
        </w:rPr>
        <w:t>4</w:t>
      </w:r>
      <w:r>
        <w:rPr>
          <w:rFonts w:hint="eastAsia" w:ascii="仿宋_GB2312" w:eastAsia="仿宋_GB2312" w:cs="仿宋_GB2312"/>
          <w:sz w:val="32"/>
          <w:szCs w:val="32"/>
        </w:rPr>
        <w:t>个，良好的项目有</w:t>
      </w:r>
      <w:r>
        <w:rPr>
          <w:rFonts w:ascii="仿宋_GB2312" w:eastAsia="仿宋_GB2312" w:cs="仿宋_GB2312"/>
          <w:sz w:val="32"/>
          <w:szCs w:val="32"/>
        </w:rPr>
        <w:t>7</w:t>
      </w:r>
      <w:r>
        <w:rPr>
          <w:rFonts w:hint="eastAsia" w:ascii="仿宋_GB2312" w:eastAsia="仿宋_GB2312" w:cs="仿宋_GB2312"/>
          <w:sz w:val="32"/>
          <w:szCs w:val="32"/>
        </w:rPr>
        <w:t>个，一般的项目有</w:t>
      </w:r>
      <w:r>
        <w:rPr>
          <w:rFonts w:ascii="仿宋_GB2312" w:eastAsia="仿宋_GB2312" w:cs="仿宋_GB2312"/>
          <w:sz w:val="32"/>
          <w:szCs w:val="32"/>
        </w:rPr>
        <w:t>2</w:t>
      </w:r>
      <w:r>
        <w:rPr>
          <w:rFonts w:hint="eastAsia" w:ascii="仿宋_GB2312" w:eastAsia="仿宋_GB2312" w:cs="仿宋_GB2312"/>
          <w:sz w:val="32"/>
          <w:szCs w:val="32"/>
        </w:rPr>
        <w:t>个。</w:t>
      </w:r>
    </w:p>
    <w:p>
      <w:pPr>
        <w:adjustRightInd w:val="0"/>
        <w:snapToGrid w:val="0"/>
        <w:spacing w:after="0" w:line="500" w:lineRule="exact"/>
        <w:ind w:firstLine="640" w:firstLineChars="200"/>
        <w:rPr>
          <w:rFonts w:ascii="仿宋_GB2312" w:eastAsia="仿宋_GB2312" w:cs="仿宋_GB2312"/>
          <w:sz w:val="32"/>
          <w:szCs w:val="32"/>
        </w:rPr>
      </w:pPr>
      <w:r>
        <w:rPr>
          <w:rFonts w:hint="eastAsia" w:ascii="仿宋_GB2312" w:eastAsia="仿宋_GB2312" w:cs="仿宋_GB2312"/>
          <w:sz w:val="32"/>
          <w:szCs w:val="32"/>
        </w:rPr>
        <w:t>（三）预算项目绩效自评选例</w:t>
      </w:r>
    </w:p>
    <w:p>
      <w:pPr>
        <w:adjustRightInd w:val="0"/>
        <w:snapToGrid w:val="0"/>
        <w:spacing w:after="0" w:line="500" w:lineRule="exact"/>
        <w:ind w:firstLine="640" w:firstLineChars="200"/>
        <w:rPr>
          <w:rFonts w:ascii="仿宋_GB2312" w:eastAsia="仿宋_GB2312" w:cs="仿宋_GB2312"/>
          <w:sz w:val="32"/>
          <w:szCs w:val="32"/>
        </w:rPr>
      </w:pPr>
      <w:r>
        <w:rPr>
          <w:rFonts w:hint="eastAsia" w:ascii="仿宋_GB2312" w:eastAsia="仿宋_GB2312" w:cs="仿宋_GB2312"/>
          <w:sz w:val="32"/>
          <w:szCs w:val="32"/>
        </w:rPr>
        <w:t>本单位无民生项目和重点支出项目。</w:t>
      </w:r>
    </w:p>
    <w:p>
      <w:pPr>
        <w:pStyle w:val="3"/>
        <w:spacing w:before="0" w:after="0" w:line="580" w:lineRule="exact"/>
        <w:ind w:firstLine="640" w:firstLineChars="200"/>
        <w:rPr>
          <w:rFonts w:ascii="黑体" w:eastAsia="黑体" w:cs="Times New Roman"/>
          <w:b w:val="0"/>
          <w:bCs w:val="0"/>
        </w:rPr>
      </w:pPr>
      <w:r>
        <w:rPr>
          <w:rFonts w:hint="eastAsia" w:ascii="黑体" w:eastAsia="黑体" w:cs="黑体"/>
          <w:b w:val="0"/>
          <w:bCs w:val="0"/>
        </w:rPr>
        <w:t>七、其他重要事项的说明</w:t>
      </w:r>
    </w:p>
    <w:p>
      <w:pPr>
        <w:pStyle w:val="4"/>
        <w:spacing w:before="0" w:after="0" w:line="580" w:lineRule="exact"/>
        <w:ind w:firstLine="643" w:firstLineChars="200"/>
        <w:rPr>
          <w:rFonts w:ascii="楷体_GB2312" w:eastAsia="楷体_GB2312"/>
        </w:rPr>
      </w:pPr>
      <w:r>
        <w:rPr>
          <w:rFonts w:hint="eastAsia" w:ascii="楷体_GB2312" w:eastAsia="楷体_GB2312" w:cs="楷体_GB2312"/>
        </w:rPr>
        <w:t>（一）机关运行经费情况</w:t>
      </w:r>
    </w:p>
    <w:p>
      <w:pPr>
        <w:adjustRightInd w:val="0"/>
        <w:snapToGrid w:val="0"/>
        <w:spacing w:after="0" w:line="580" w:lineRule="exact"/>
        <w:ind w:firstLine="640" w:firstLineChars="200"/>
        <w:rPr>
          <w:rFonts w:ascii="仿宋_GB2312" w:eastAsia="仿宋_GB2312"/>
          <w:sz w:val="32"/>
          <w:szCs w:val="32"/>
        </w:rPr>
      </w:pPr>
      <w:r>
        <w:rPr>
          <w:rFonts w:hint="eastAsia" w:ascii="仿宋_GB2312" w:eastAsia="仿宋_GB2312" w:cs="仿宋_GB2312"/>
          <w:sz w:val="32"/>
          <w:szCs w:val="32"/>
        </w:rPr>
        <w:t>本部门</w:t>
      </w:r>
      <w:r>
        <w:rPr>
          <w:rFonts w:ascii="仿宋_GB2312" w:eastAsia="仿宋_GB2312" w:cs="仿宋_GB2312"/>
          <w:sz w:val="32"/>
          <w:szCs w:val="32"/>
        </w:rPr>
        <w:t>2018</w:t>
      </w:r>
      <w:r>
        <w:rPr>
          <w:rFonts w:hint="eastAsia" w:ascii="仿宋_GB2312" w:eastAsia="仿宋_GB2312" w:cs="仿宋_GB2312"/>
          <w:sz w:val="32"/>
          <w:szCs w:val="32"/>
        </w:rPr>
        <w:t>年度机关运行经费支出</w:t>
      </w:r>
      <w:r>
        <w:rPr>
          <w:rFonts w:ascii="仿宋_GB2312" w:eastAsia="仿宋_GB2312" w:cs="仿宋_GB2312"/>
          <w:sz w:val="32"/>
          <w:szCs w:val="32"/>
        </w:rPr>
        <w:t>304.53</w:t>
      </w:r>
      <w:r>
        <w:rPr>
          <w:rFonts w:hint="eastAsia" w:ascii="仿宋_GB2312" w:eastAsia="仿宋_GB2312" w:cs="仿宋_GB2312"/>
          <w:sz w:val="32"/>
          <w:szCs w:val="32"/>
        </w:rPr>
        <w:t>万元，比年初预算数增加</w:t>
      </w:r>
      <w:r>
        <w:rPr>
          <w:rFonts w:ascii="仿宋_GB2312" w:eastAsia="仿宋_GB2312" w:cs="仿宋_GB2312"/>
          <w:sz w:val="32"/>
          <w:szCs w:val="32"/>
        </w:rPr>
        <w:t>241.79</w:t>
      </w:r>
      <w:r>
        <w:rPr>
          <w:rFonts w:hint="eastAsia" w:ascii="仿宋_GB2312" w:eastAsia="仿宋_GB2312" w:cs="仿宋_GB2312"/>
          <w:sz w:val="32"/>
          <w:szCs w:val="32"/>
        </w:rPr>
        <w:t>万元，增长</w:t>
      </w:r>
      <w:r>
        <w:rPr>
          <w:rFonts w:ascii="仿宋_GB2312" w:eastAsia="仿宋_GB2312" w:cs="仿宋_GB2312"/>
          <w:sz w:val="32"/>
          <w:szCs w:val="32"/>
        </w:rPr>
        <w:t>79.39%</w:t>
      </w:r>
      <w:r>
        <w:rPr>
          <w:rFonts w:hint="eastAsia" w:ascii="仿宋_GB2312" w:eastAsia="仿宋_GB2312" w:cs="仿宋_GB2312"/>
          <w:sz w:val="32"/>
          <w:szCs w:val="32"/>
        </w:rPr>
        <w:t>。主要原因是政府日常办公费用的增加；积极响应高邑县委县政府创建“全国文明县城”、“卫生县城”的号召，加大了城区主要道路及背街小巷以及社区内的道旗、宣传标语等印刷宣传费用、全国两会等重要时间节点信访值班产生的差旅费用以及公务人员车补等其他交通费用的增加。</w:t>
      </w:r>
    </w:p>
    <w:p>
      <w:pPr>
        <w:pStyle w:val="4"/>
        <w:spacing w:before="0" w:after="0" w:line="580" w:lineRule="exact"/>
        <w:ind w:firstLine="643" w:firstLineChars="200"/>
        <w:rPr>
          <w:rFonts w:ascii="楷体_GB2312" w:eastAsia="楷体_GB2312"/>
        </w:rPr>
      </w:pPr>
      <w:r>
        <w:rPr>
          <w:rFonts w:hint="eastAsia" w:ascii="楷体_GB2312" w:eastAsia="楷体_GB2312" w:cs="楷体_GB2312"/>
        </w:rPr>
        <w:t>（二）政府采购情况</w:t>
      </w:r>
    </w:p>
    <w:p>
      <w:pPr>
        <w:widowControl/>
        <w:spacing w:after="0" w:line="580" w:lineRule="exact"/>
        <w:ind w:firstLine="640" w:firstLineChars="200"/>
        <w:jc w:val="left"/>
        <w:rPr>
          <w:rFonts w:ascii="仿宋_GB2312" w:eastAsia="仿宋_GB2312"/>
          <w:sz w:val="32"/>
          <w:szCs w:val="32"/>
        </w:rPr>
      </w:pPr>
      <w:r>
        <w:rPr>
          <w:rFonts w:hint="eastAsia" w:ascii="仿宋_GB2312" w:eastAsia="仿宋_GB2312" w:cs="仿宋_GB2312"/>
          <w:sz w:val="32"/>
          <w:szCs w:val="32"/>
        </w:rPr>
        <w:t>本部门</w:t>
      </w:r>
      <w:r>
        <w:rPr>
          <w:rFonts w:ascii="仿宋_GB2312" w:eastAsia="仿宋_GB2312" w:cs="仿宋_GB2312"/>
          <w:sz w:val="32"/>
          <w:szCs w:val="32"/>
        </w:rPr>
        <w:t>2018</w:t>
      </w:r>
      <w:r>
        <w:rPr>
          <w:rFonts w:hint="eastAsia" w:ascii="仿宋_GB2312" w:eastAsia="仿宋_GB2312" w:cs="仿宋_GB2312"/>
          <w:sz w:val="32"/>
          <w:szCs w:val="32"/>
        </w:rPr>
        <w:t>年度政府采购支出总额</w:t>
      </w:r>
      <w:r>
        <w:rPr>
          <w:rFonts w:ascii="仿宋_GB2312" w:eastAsia="仿宋_GB2312" w:cs="仿宋_GB2312"/>
          <w:sz w:val="32"/>
          <w:szCs w:val="32"/>
        </w:rPr>
        <w:t>271.61</w:t>
      </w:r>
      <w:r>
        <w:rPr>
          <w:rFonts w:hint="eastAsia" w:ascii="仿宋_GB2312" w:eastAsia="仿宋_GB2312" w:cs="仿宋_GB2312"/>
          <w:sz w:val="32"/>
          <w:szCs w:val="32"/>
        </w:rPr>
        <w:t>万元，从采购类型来看，</w:t>
      </w:r>
      <w:r>
        <w:rPr>
          <w:rFonts w:hint="eastAsia" w:ascii="仿宋_GB2312" w:hAnsi="仿宋_GB2312" w:eastAsia="仿宋_GB2312" w:cs="仿宋_GB2312"/>
          <w:color w:val="000000"/>
          <w:kern w:val="0"/>
          <w:sz w:val="32"/>
          <w:szCs w:val="32"/>
        </w:rPr>
        <w:t>政府采购货物支出</w:t>
      </w:r>
      <w:r>
        <w:rPr>
          <w:rFonts w:ascii="仿宋_GB2312" w:hAnsi="仿宋_GB2312" w:eastAsia="仿宋_GB2312" w:cs="仿宋_GB2312"/>
          <w:color w:val="000000"/>
          <w:kern w:val="0"/>
          <w:sz w:val="32"/>
          <w:szCs w:val="32"/>
        </w:rPr>
        <w:t xml:space="preserve">0 </w:t>
      </w:r>
      <w:r>
        <w:rPr>
          <w:rFonts w:hint="eastAsia" w:ascii="仿宋_GB2312" w:hAnsi="仿宋_GB2312" w:eastAsia="仿宋_GB2312" w:cs="仿宋_GB2312"/>
          <w:color w:val="000000"/>
          <w:kern w:val="0"/>
          <w:sz w:val="32"/>
          <w:szCs w:val="32"/>
        </w:rPr>
        <w:t>万元、政府采购工程支出</w:t>
      </w:r>
      <w:r>
        <w:rPr>
          <w:rFonts w:ascii="仿宋_GB2312" w:hAnsi="仿宋_GB2312" w:eastAsia="仿宋_GB2312" w:cs="仿宋_GB2312"/>
          <w:color w:val="000000"/>
          <w:kern w:val="0"/>
          <w:sz w:val="32"/>
          <w:szCs w:val="32"/>
        </w:rPr>
        <w:t>271.61</w:t>
      </w:r>
      <w:r>
        <w:rPr>
          <w:rFonts w:hint="eastAsia" w:ascii="仿宋_GB2312" w:hAnsi="仿宋_GB2312" w:eastAsia="仿宋_GB2312" w:cs="仿宋_GB2312"/>
          <w:color w:val="000000"/>
          <w:kern w:val="0"/>
          <w:sz w:val="32"/>
          <w:szCs w:val="32"/>
        </w:rPr>
        <w:t>万元、政府采购服务支出</w:t>
      </w:r>
      <w:r>
        <w:rPr>
          <w:rFonts w:ascii="仿宋_GB2312" w:hAnsi="仿宋_GB2312" w:eastAsia="仿宋_GB2312" w:cs="仿宋_GB2312"/>
          <w:color w:val="000000"/>
          <w:kern w:val="0"/>
          <w:sz w:val="32"/>
          <w:szCs w:val="32"/>
        </w:rPr>
        <w:t xml:space="preserve"> 0</w:t>
      </w:r>
      <w:r>
        <w:rPr>
          <w:rFonts w:hint="eastAsia" w:ascii="仿宋_GB2312" w:hAnsi="仿宋_GB2312" w:eastAsia="仿宋_GB2312" w:cs="仿宋_GB2312"/>
          <w:color w:val="000000"/>
          <w:kern w:val="0"/>
          <w:sz w:val="32"/>
          <w:szCs w:val="32"/>
        </w:rPr>
        <w:t>万元。授予中小企业合同金</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万元，占政府采购支出总额的</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，其中授予小微企业合同金额</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万元，占政府采购支出总额的</w:t>
      </w:r>
      <w:r>
        <w:rPr>
          <w:rFonts w:ascii="仿宋_GB2312" w:hAnsi="仿宋_GB2312" w:eastAsia="仿宋_GB2312" w:cs="仿宋_GB2312"/>
          <w:color w:val="000000"/>
          <w:kern w:val="0"/>
          <w:sz w:val="32"/>
          <w:szCs w:val="32"/>
        </w:rPr>
        <w:t xml:space="preserve"> 0%</w:t>
      </w:r>
      <w:r>
        <w:rPr>
          <w:rFonts w:hint="eastAsia"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rPr>
      </w:pPr>
      <w:r>
        <w:rPr>
          <w:rFonts w:hint="eastAsia" w:ascii="楷体_GB2312" w:eastAsia="楷体_GB2312" w:cs="楷体_GB2312"/>
        </w:rPr>
        <w:t>（三）国有资产占用情况</w:t>
      </w:r>
    </w:p>
    <w:p>
      <w:pPr>
        <w:adjustRightInd w:val="0"/>
        <w:snapToGrid w:val="0"/>
        <w:spacing w:after="0" w:line="580" w:lineRule="exact"/>
        <w:ind w:firstLine="640" w:firstLineChars="200"/>
        <w:rPr>
          <w:rFonts w:ascii="仿宋_GB2312" w:eastAsia="仿宋_GB2312"/>
          <w:sz w:val="32"/>
          <w:szCs w:val="32"/>
        </w:rPr>
      </w:pPr>
      <w:r>
        <w:rPr>
          <w:rFonts w:hint="eastAsia" w:ascii="仿宋_GB2312" w:eastAsia="仿宋_GB2312" w:cs="仿宋_GB2312"/>
          <w:sz w:val="32"/>
          <w:szCs w:val="32"/>
        </w:rPr>
        <w:t>截至</w:t>
      </w:r>
      <w:r>
        <w:rPr>
          <w:rFonts w:ascii="仿宋_GB2312" w:eastAsia="仿宋_GB2312" w:cs="仿宋_GB2312"/>
          <w:sz w:val="32"/>
          <w:szCs w:val="32"/>
        </w:rPr>
        <w:t>2018</w:t>
      </w:r>
      <w:r>
        <w:rPr>
          <w:rFonts w:hint="eastAsia" w:ascii="仿宋_GB2312" w:eastAsia="仿宋_GB2312" w:cs="仿宋_GB2312"/>
          <w:sz w:val="32"/>
          <w:szCs w:val="32"/>
        </w:rPr>
        <w:t>年</w:t>
      </w:r>
      <w:r>
        <w:rPr>
          <w:rFonts w:ascii="仿宋_GB2312" w:eastAsia="仿宋_GB2312" w:cs="仿宋_GB2312"/>
          <w:sz w:val="32"/>
          <w:szCs w:val="32"/>
        </w:rPr>
        <w:t>12</w:t>
      </w:r>
      <w:r>
        <w:rPr>
          <w:rFonts w:hint="eastAsia" w:ascii="仿宋_GB2312" w:eastAsia="仿宋_GB2312" w:cs="仿宋_GB2312"/>
          <w:sz w:val="32"/>
          <w:szCs w:val="32"/>
        </w:rPr>
        <w:t>月</w:t>
      </w:r>
      <w:r>
        <w:rPr>
          <w:rFonts w:ascii="仿宋_GB2312" w:eastAsia="仿宋_GB2312" w:cs="仿宋_GB2312"/>
          <w:sz w:val="32"/>
          <w:szCs w:val="32"/>
        </w:rPr>
        <w:t>31</w:t>
      </w:r>
      <w:r>
        <w:rPr>
          <w:rFonts w:hint="eastAsia" w:ascii="仿宋_GB2312" w:eastAsia="仿宋_GB2312" w:cs="仿宋_GB2312"/>
          <w:sz w:val="32"/>
          <w:szCs w:val="32"/>
        </w:rPr>
        <w:t>日，本部门共有车辆</w:t>
      </w:r>
      <w:r>
        <w:rPr>
          <w:rFonts w:ascii="仿宋_GB2312" w:eastAsia="仿宋_GB2312" w:cs="仿宋_GB2312"/>
          <w:sz w:val="32"/>
          <w:szCs w:val="32"/>
        </w:rPr>
        <w:t>2</w:t>
      </w:r>
      <w:r>
        <w:rPr>
          <w:rFonts w:hint="eastAsia" w:ascii="仿宋_GB2312" w:eastAsia="仿宋_GB2312" w:cs="仿宋_GB2312"/>
          <w:sz w:val="32"/>
          <w:szCs w:val="32"/>
        </w:rPr>
        <w:t>辆，与</w:t>
      </w:r>
      <w:r>
        <w:rPr>
          <w:rFonts w:ascii="仿宋_GB2312" w:eastAsia="仿宋_GB2312" w:cs="仿宋_GB2312"/>
          <w:sz w:val="32"/>
          <w:szCs w:val="32"/>
        </w:rPr>
        <w:t>2017</w:t>
      </w:r>
      <w:r>
        <w:rPr>
          <w:rFonts w:hint="eastAsia" w:ascii="仿宋_GB2312" w:eastAsia="仿宋_GB2312" w:cs="仿宋_GB2312"/>
          <w:sz w:val="32"/>
          <w:szCs w:val="32"/>
        </w:rPr>
        <w:t>年无增减变化。其中，副部（省）级及以上领导用车</w:t>
      </w:r>
      <w:r>
        <w:rPr>
          <w:rFonts w:ascii="仿宋_GB2312" w:eastAsia="仿宋_GB2312" w:cs="仿宋_GB2312"/>
          <w:sz w:val="32"/>
          <w:szCs w:val="32"/>
        </w:rPr>
        <w:t>0</w:t>
      </w:r>
      <w:r>
        <w:rPr>
          <w:rFonts w:hint="eastAsia" w:ascii="仿宋_GB2312" w:eastAsia="仿宋_GB2312" w:cs="仿宋_GB2312"/>
          <w:sz w:val="32"/>
          <w:szCs w:val="32"/>
        </w:rPr>
        <w:t>辆，主要领导干部用车</w:t>
      </w:r>
      <w:r>
        <w:rPr>
          <w:rFonts w:ascii="仿宋_GB2312" w:eastAsia="仿宋_GB2312" w:cs="仿宋_GB2312"/>
          <w:sz w:val="32"/>
          <w:szCs w:val="32"/>
        </w:rPr>
        <w:t>0</w:t>
      </w:r>
      <w:r>
        <w:rPr>
          <w:rFonts w:hint="eastAsia" w:ascii="仿宋_GB2312" w:eastAsia="仿宋_GB2312" w:cs="仿宋_GB2312"/>
          <w:sz w:val="32"/>
          <w:szCs w:val="32"/>
        </w:rPr>
        <w:t>辆，机要通信用车</w:t>
      </w:r>
      <w:r>
        <w:rPr>
          <w:rFonts w:ascii="仿宋_GB2312" w:eastAsia="仿宋_GB2312" w:cs="仿宋_GB2312"/>
          <w:sz w:val="32"/>
          <w:szCs w:val="32"/>
        </w:rPr>
        <w:t>0</w:t>
      </w:r>
      <w:r>
        <w:rPr>
          <w:rFonts w:hint="eastAsia" w:ascii="仿宋_GB2312" w:eastAsia="仿宋_GB2312" w:cs="仿宋_GB2312"/>
          <w:sz w:val="32"/>
          <w:szCs w:val="32"/>
        </w:rPr>
        <w:t>辆，应急保障用车</w:t>
      </w:r>
      <w:r>
        <w:rPr>
          <w:rFonts w:ascii="仿宋_GB2312" w:eastAsia="仿宋_GB2312" w:cs="仿宋_GB2312"/>
          <w:sz w:val="32"/>
          <w:szCs w:val="32"/>
        </w:rPr>
        <w:t>1</w:t>
      </w:r>
      <w:r>
        <w:rPr>
          <w:rFonts w:hint="eastAsia" w:ascii="仿宋_GB2312" w:eastAsia="仿宋_GB2312" w:cs="仿宋_GB2312"/>
          <w:sz w:val="32"/>
          <w:szCs w:val="32"/>
        </w:rPr>
        <w:t>辆，执法执勤用车</w:t>
      </w:r>
      <w:r>
        <w:rPr>
          <w:rFonts w:ascii="仿宋_GB2312" w:eastAsia="仿宋_GB2312" w:cs="仿宋_GB2312"/>
          <w:sz w:val="32"/>
          <w:szCs w:val="32"/>
        </w:rPr>
        <w:t>1</w:t>
      </w:r>
      <w:r>
        <w:rPr>
          <w:rFonts w:hint="eastAsia" w:ascii="仿宋_GB2312" w:eastAsia="仿宋_GB2312" w:cs="仿宋_GB2312"/>
          <w:sz w:val="32"/>
          <w:szCs w:val="32"/>
        </w:rPr>
        <w:t>辆，特种专业技术用车</w:t>
      </w:r>
      <w:r>
        <w:rPr>
          <w:rFonts w:ascii="仿宋_GB2312" w:eastAsia="仿宋_GB2312" w:cs="仿宋_GB2312"/>
          <w:sz w:val="32"/>
          <w:szCs w:val="32"/>
        </w:rPr>
        <w:t>0</w:t>
      </w:r>
      <w:r>
        <w:rPr>
          <w:rFonts w:hint="eastAsia" w:ascii="仿宋_GB2312" w:eastAsia="仿宋_GB2312" w:cs="仿宋_GB2312"/>
          <w:sz w:val="32"/>
          <w:szCs w:val="32"/>
        </w:rPr>
        <w:t>辆，离退休干部用车</w:t>
      </w:r>
      <w:r>
        <w:rPr>
          <w:rFonts w:ascii="仿宋_GB2312" w:eastAsia="仿宋_GB2312" w:cs="仿宋_GB2312"/>
          <w:sz w:val="32"/>
          <w:szCs w:val="32"/>
        </w:rPr>
        <w:t>0</w:t>
      </w:r>
      <w:r>
        <w:rPr>
          <w:rFonts w:hint="eastAsia" w:ascii="仿宋_GB2312" w:eastAsia="仿宋_GB2312" w:cs="仿宋_GB2312"/>
          <w:sz w:val="32"/>
          <w:szCs w:val="32"/>
        </w:rPr>
        <w:t>辆，其他用车</w:t>
      </w:r>
      <w:r>
        <w:rPr>
          <w:rFonts w:ascii="仿宋_GB2312" w:eastAsia="仿宋_GB2312" w:cs="仿宋_GB2312"/>
          <w:sz w:val="32"/>
          <w:szCs w:val="32"/>
        </w:rPr>
        <w:t>0</w:t>
      </w:r>
      <w:r>
        <w:rPr>
          <w:rFonts w:hint="eastAsia" w:ascii="仿宋_GB2312" w:eastAsia="仿宋_GB2312" w:cs="仿宋_GB2312"/>
          <w:sz w:val="32"/>
          <w:szCs w:val="32"/>
        </w:rPr>
        <w:t>辆，；单位价值</w:t>
      </w:r>
      <w:r>
        <w:rPr>
          <w:rFonts w:ascii="仿宋_GB2312" w:hAnsi="TimesNewRomanPSMT" w:eastAsia="仿宋_GB2312" w:cs="仿宋_GB2312"/>
          <w:sz w:val="32"/>
          <w:szCs w:val="32"/>
        </w:rPr>
        <w:t>50</w:t>
      </w:r>
      <w:r>
        <w:rPr>
          <w:rFonts w:hint="eastAsia" w:ascii="仿宋_GB2312" w:eastAsia="仿宋_GB2312" w:cs="仿宋_GB2312"/>
          <w:sz w:val="32"/>
          <w:szCs w:val="32"/>
        </w:rPr>
        <w:t>万元以上通用设备</w:t>
      </w:r>
      <w:r>
        <w:rPr>
          <w:rFonts w:ascii="仿宋_GB2312" w:eastAsia="仿宋_GB2312" w:cs="仿宋_GB2312"/>
          <w:sz w:val="32"/>
          <w:szCs w:val="32"/>
        </w:rPr>
        <w:t>1</w:t>
      </w:r>
      <w:r>
        <w:rPr>
          <w:rFonts w:hint="eastAsia" w:ascii="仿宋_GB2312" w:eastAsia="仿宋_GB2312" w:cs="仿宋_GB2312"/>
          <w:sz w:val="32"/>
          <w:szCs w:val="32"/>
        </w:rPr>
        <w:t>台（套），比上年无增减变化，单位价值</w:t>
      </w:r>
      <w:r>
        <w:rPr>
          <w:rFonts w:ascii="仿宋_GB2312" w:hAnsi="TimesNewRomanPSMT" w:eastAsia="仿宋_GB2312" w:cs="仿宋_GB2312"/>
          <w:sz w:val="32"/>
          <w:szCs w:val="32"/>
        </w:rPr>
        <w:t>100</w:t>
      </w:r>
      <w:r>
        <w:rPr>
          <w:rFonts w:hint="eastAsia" w:ascii="仿宋_GB2312" w:eastAsia="仿宋_GB2312" w:cs="仿宋_GB2312"/>
          <w:sz w:val="32"/>
          <w:szCs w:val="32"/>
        </w:rPr>
        <w:t>万元以上专用设备</w:t>
      </w:r>
      <w:r>
        <w:rPr>
          <w:rFonts w:ascii="仿宋_GB2312" w:eastAsia="仿宋_GB2312" w:cs="仿宋_GB2312"/>
          <w:sz w:val="32"/>
          <w:szCs w:val="32"/>
        </w:rPr>
        <w:t>0</w:t>
      </w:r>
      <w:r>
        <w:rPr>
          <w:rFonts w:hint="eastAsia" w:ascii="仿宋_GB2312" w:eastAsia="仿宋_GB2312" w:cs="仿宋_GB2312"/>
          <w:sz w:val="32"/>
          <w:szCs w:val="32"/>
        </w:rPr>
        <w:t>台（套），比上年无增减变化。</w:t>
      </w:r>
    </w:p>
    <w:p>
      <w:pPr>
        <w:pStyle w:val="4"/>
        <w:spacing w:before="0" w:after="0" w:line="580" w:lineRule="exact"/>
        <w:ind w:firstLine="643" w:firstLineChars="200"/>
        <w:rPr>
          <w:rFonts w:ascii="楷体_GB2312" w:eastAsia="楷体_GB2312"/>
        </w:rPr>
      </w:pPr>
      <w:r>
        <w:rPr>
          <w:rFonts w:hint="eastAsia" w:ascii="楷体_GB2312" w:eastAsia="楷体_GB2312" w:cs="楷体_GB2312"/>
        </w:rPr>
        <w:t>（四）其他需要说明的情况</w:t>
      </w:r>
    </w:p>
    <w:p>
      <w:pPr>
        <w:adjustRightInd w:val="0"/>
        <w:snapToGrid w:val="0"/>
        <w:spacing w:after="0" w:line="580" w:lineRule="exact"/>
        <w:ind w:firstLine="640" w:firstLineChars="200"/>
        <w:rPr>
          <w:rFonts w:ascii="仿宋_GB2312" w:eastAsia="仿宋_GB2312"/>
          <w:sz w:val="32"/>
          <w:szCs w:val="32"/>
        </w:rPr>
      </w:pPr>
      <w:r>
        <w:rPr>
          <w:rFonts w:ascii="仿宋_GB2312" w:eastAsia="仿宋_GB2312" w:cs="仿宋_GB2312"/>
          <w:sz w:val="32"/>
          <w:szCs w:val="32"/>
        </w:rPr>
        <w:t>1</w:t>
      </w:r>
      <w:r>
        <w:rPr>
          <w:rFonts w:hint="eastAsia" w:ascii="仿宋_GB2312" w:eastAsia="仿宋_GB2312" w:cs="仿宋_GB2312"/>
          <w:sz w:val="32"/>
          <w:szCs w:val="32"/>
        </w:rPr>
        <w:t>、本部门</w:t>
      </w:r>
      <w:r>
        <w:rPr>
          <w:rFonts w:ascii="仿宋_GB2312" w:eastAsia="仿宋_GB2312" w:cs="仿宋_GB2312"/>
          <w:sz w:val="32"/>
          <w:szCs w:val="32"/>
        </w:rPr>
        <w:t>2018</w:t>
      </w:r>
      <w:r>
        <w:rPr>
          <w:rFonts w:hint="eastAsia" w:ascii="仿宋_GB2312" w:eastAsia="仿宋_GB2312" w:cs="仿宋_GB2312"/>
          <w:sz w:val="32"/>
          <w:szCs w:val="32"/>
        </w:rPr>
        <w:t>年度国有资本经营预算财政拨款无收支及结转结余情况，故国有资本经营预算财政拨款收入支出决算表以空表列示。</w:t>
      </w:r>
    </w:p>
    <w:p>
      <w:pPr>
        <w:adjustRightInd w:val="0"/>
        <w:snapToGrid w:val="0"/>
        <w:spacing w:after="0" w:line="580" w:lineRule="exact"/>
        <w:ind w:firstLine="640" w:firstLineChars="200"/>
        <w:rPr>
          <w:rFonts w:ascii="仿宋_GB2312" w:eastAsia="仿宋_GB2312"/>
          <w:sz w:val="32"/>
          <w:szCs w:val="32"/>
        </w:rPr>
      </w:pPr>
      <w:r>
        <w:rPr>
          <w:rFonts w:ascii="仿宋_GB2312" w:eastAsia="仿宋_GB2312" w:cs="仿宋_GB2312"/>
          <w:sz w:val="32"/>
          <w:szCs w:val="32"/>
        </w:rPr>
        <w:t>2</w:t>
      </w:r>
      <w:r>
        <w:rPr>
          <w:rFonts w:hint="eastAsia" w:ascii="仿宋_GB2312" w:eastAsia="仿宋_GB2312" w:cs="仿宋_GB2312"/>
          <w:sz w:val="32"/>
          <w:szCs w:val="32"/>
        </w:rPr>
        <w:t>、由于决算公开表格中金额数值应当保留两位小数，公开数据为四舍五入计算结</w:t>
      </w:r>
      <w:r>
        <w:pict>
          <v:group id="_x0000_s1075" o:spid="_x0000_s1075" o:spt="203" style="position:absolute;left:0pt;margin-left:-0.55pt;margin-top:29.3pt;height:43.95pt;width:301.85pt;mso-position-horizontal-relative:page;mso-position-vertical-relative:page;z-index:251659264;mso-width-relative:page;mso-height-relative:page;" coordorigin="4551,52615" coordsize="8546,1398">
            <o:lock v:ext="edit"/>
            <v:rect id="矩形 13" o:spid="_x0000_s1076" o:spt="1" style="position:absolute;left:4551;top:52615;height:1175;width:8546;v-text-anchor:middle;" fillcolor="#D9D9D9" filled="t" stroked="f" coordsize="21600,21600">
              <v:path/>
              <v:fill on="t" focussize="0,0"/>
              <v:stroke on="f" weight="2pt"/>
              <v:imagedata o:title=""/>
              <o:lock v:ext="edit"/>
            </v:rect>
            <v:rect id="矩形 14" o:spid="_x0000_s1077"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r>
        <w:rPr>
          <w:rFonts w:hint="eastAsia" w:ascii="仿宋_GB2312" w:eastAsia="仿宋_GB2312" w:cs="仿宋_GB2312"/>
          <w:sz w:val="32"/>
          <w:szCs w:val="32"/>
        </w:rPr>
        <w:t>果，个别数据合计项与分项之和存在小数点后差额，特此说明。</w:t>
      </w:r>
    </w:p>
    <w:p>
      <w:pPr>
        <w:widowControl/>
        <w:spacing w:after="0" w:line="580" w:lineRule="exact"/>
        <w:ind w:firstLine="883" w:firstLineChars="200"/>
        <w:jc w:val="left"/>
        <w:rPr>
          <w:rFonts w:ascii="宋体"/>
          <w:b/>
          <w:bCs/>
          <w:kern w:val="0"/>
          <w:sz w:val="44"/>
          <w:szCs w:val="44"/>
        </w:rPr>
        <w:sectPr>
          <w:pgSz w:w="11906" w:h="16838"/>
          <w:pgMar w:top="2098" w:right="1474" w:bottom="1984" w:left="1588" w:header="851" w:footer="992" w:gutter="0"/>
          <w:cols w:space="0" w:num="1"/>
          <w:docGrid w:type="lines" w:linePitch="312" w:charSpace="0"/>
        </w:sectPr>
      </w:pPr>
    </w:p>
    <w:p>
      <w:pPr>
        <w:rPr>
          <w:rFonts w:ascii="宋体"/>
          <w:color w:val="000000"/>
          <w:kern w:val="0"/>
        </w:rPr>
        <w:sectPr>
          <w:pgSz w:w="11906" w:h="16838"/>
          <w:pgMar w:top="2098" w:right="1474" w:bottom="1984" w:left="1588" w:header="851" w:footer="992" w:gutter="0"/>
          <w:cols w:space="0" w:num="1"/>
          <w:docGrid w:type="lines" w:linePitch="312" w:charSpace="0"/>
        </w:sectPr>
      </w:pPr>
      <w:r>
        <w:pict>
          <v:shape id="图片 21" o:spid="_x0000_s1078" o:spt="75" alt="2" type="#_x0000_t75" style="position:absolute;left:0pt;margin-left:-79.45pt;margin-top:-105.35pt;height:840.95pt;width:594.5pt;z-index:-251656192;mso-width-relative:page;mso-height-relative:page;" filled="f" o:preferrelative="t" stroked="f" coordsize="21600,21600">
            <v:path/>
            <v:fill on="f" focussize="0,0"/>
            <v:stroke on="f" joinstyle="miter"/>
            <v:imagedata r:id="rId7" o:title=""/>
            <o:lock v:ext="edit" aspectratio="t"/>
            <w10:anchorlock/>
          </v:shape>
        </w:pict>
      </w:r>
      <w:r>
        <w:pict>
          <v:shape id="_x0000_s1079" o:spid="_x0000_s1079" o:spt="202" type="#_x0000_t202" style="position:absolute;left:0pt;margin-left:-78.7pt;margin-top:232.8pt;height:159.1pt;width:596.2pt;z-index:251659264;mso-width-relative:page;mso-height-relative:page;" filled="f" stroked="f" coordsize="21600,21600">
            <v:path/>
            <v:fill on="f" focussize="0,0"/>
            <v:stroke on="f" weight="0.5pt" joinstyle="miter"/>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s="黑体"/>
                      <w:color w:val="FDEFBE"/>
                      <w:sz w:val="96"/>
                      <w:szCs w:val="96"/>
                    </w:rPr>
                    <w:t>第四部分</w:t>
                  </w:r>
                </w:p>
                <w:p>
                  <w:pPr>
                    <w:widowControl/>
                    <w:spacing w:line="1200" w:lineRule="exact"/>
                    <w:jc w:val="center"/>
                    <w:rPr>
                      <w:color w:val="FDEFBE"/>
                      <w:sz w:val="96"/>
                      <w:szCs w:val="96"/>
                    </w:rPr>
                  </w:pPr>
                  <w:r>
                    <w:rPr>
                      <w:rFonts w:hint="eastAsia" w:ascii="黑体" w:hAnsi="宋体" w:eastAsia="黑体" w:cs="黑体"/>
                      <w:color w:val="FDEFBE"/>
                      <w:sz w:val="96"/>
                      <w:szCs w:val="96"/>
                    </w:rPr>
                    <w:t>名词解释</w:t>
                  </w:r>
                </w:p>
              </w:txbxContent>
            </v:textbox>
            <w10:anchorlock/>
          </v:shape>
        </w:pic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cs="仿宋_GB2312"/>
          <w:b/>
          <w:bCs/>
          <w:color w:val="000000"/>
          <w:kern w:val="0"/>
          <w:sz w:val="32"/>
          <w:szCs w:val="32"/>
        </w:rPr>
        <w:t>（一）财政拨款收入：</w:t>
      </w:r>
      <w:r>
        <w:rPr>
          <w:rFonts w:hint="eastAsia" w:ascii="仿宋_GB2312" w:hAnsi="宋体" w:eastAsia="仿宋_GB2312" w:cs="仿宋_GB2312"/>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cs="仿宋_GB2312"/>
          <w:b/>
          <w:bCs/>
          <w:color w:val="000000"/>
          <w:kern w:val="0"/>
          <w:sz w:val="32"/>
          <w:szCs w:val="32"/>
        </w:rPr>
        <w:t>（二）事业收入：</w:t>
      </w:r>
      <w:r>
        <w:rPr>
          <w:rFonts w:hint="eastAsia" w:ascii="仿宋_GB2312" w:hAnsi="宋体" w:eastAsia="仿宋_GB2312" w:cs="仿宋_GB2312"/>
          <w:color w:val="000000"/>
          <w:kern w:val="0"/>
          <w:sz w:val="32"/>
          <w:szCs w:val="32"/>
        </w:rPr>
        <w:t>指事业单位开展专业业务活动及辅助活动所取得的收入。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cs="仿宋_GB2312"/>
          <w:b/>
          <w:bCs/>
          <w:color w:val="000000"/>
          <w:kern w:val="0"/>
          <w:sz w:val="32"/>
          <w:szCs w:val="32"/>
        </w:rPr>
        <w:t>（三）其他收入：</w:t>
      </w:r>
      <w:r>
        <w:rPr>
          <w:rFonts w:hint="eastAsia" w:ascii="仿宋_GB2312" w:hAnsi="宋体" w:eastAsia="仿宋_GB2312" w:cs="仿宋_GB2312"/>
          <w:color w:val="000000"/>
          <w:kern w:val="0"/>
          <w:sz w:val="32"/>
          <w:szCs w:val="32"/>
        </w:rPr>
        <w:t>指除上述“财政拨款收入”“事业收入”“经营收入”等以外的收入。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cs="仿宋_GB2312"/>
          <w:b/>
          <w:bCs/>
          <w:color w:val="000000"/>
          <w:kern w:val="0"/>
          <w:sz w:val="32"/>
          <w:szCs w:val="32"/>
        </w:rPr>
        <w:t>（四）用事业基金弥补收支差额：</w:t>
      </w:r>
      <w:r>
        <w:rPr>
          <w:rFonts w:hint="eastAsia" w:ascii="仿宋_GB2312" w:hAnsi="宋体" w:eastAsia="仿宋_GB2312" w:cs="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cs="仿宋_GB2312"/>
          <w:b/>
          <w:bCs/>
          <w:color w:val="000000"/>
          <w:kern w:val="0"/>
          <w:sz w:val="32"/>
          <w:szCs w:val="32"/>
        </w:rPr>
        <w:t>（五）年初结转和结余：</w:t>
      </w:r>
      <w:r>
        <w:rPr>
          <w:rFonts w:hint="eastAsia" w:ascii="仿宋_GB2312" w:hAnsi="宋体" w:eastAsia="仿宋_GB2312" w:cs="仿宋_GB2312"/>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cs="仿宋_GB2312"/>
          <w:b/>
          <w:bCs/>
          <w:color w:val="000000"/>
          <w:kern w:val="0"/>
          <w:sz w:val="32"/>
          <w:szCs w:val="32"/>
        </w:rPr>
        <w:t>（六）结余分配：</w:t>
      </w:r>
      <w:r>
        <w:rPr>
          <w:rFonts w:hint="eastAsia" w:ascii="仿宋_GB2312" w:hAnsi="宋体" w:eastAsia="仿宋_GB2312" w:cs="仿宋_GB2312"/>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cs="仿宋_GB2312"/>
          <w:b/>
          <w:bCs/>
          <w:color w:val="000000"/>
          <w:kern w:val="0"/>
          <w:sz w:val="32"/>
          <w:szCs w:val="32"/>
        </w:rPr>
        <w:t>（七）年末结转和结</w:t>
      </w:r>
      <w:r>
        <w:pict>
          <v:group id="_x0000_s1080" o:spid="_x0000_s1080" o:spt="203" style="position:absolute;left:0pt;margin-left:-81.05pt;margin-top:39.65pt;height:43.95pt;width:264.85pt;mso-position-vertical-relative:page;z-index:251659264;mso-width-relative:page;mso-height-relative:page;" coordorigin="4551,52615" coordsize="8546,1398">
            <o:lock v:ext="edit"/>
            <v:rect id="矩形 13" o:spid="_x0000_s1081" o:spt="1" style="position:absolute;left:4551;top:52615;height:1175;width:8546;v-text-anchor:middle;" fillcolor="#D9D9D9" filled="t" stroked="f" coordsize="21600,21600">
              <v:path/>
              <v:fill on="t" focussize="0,0"/>
              <v:stroke on="f" weight="2pt"/>
              <v:imagedata o:title=""/>
              <o:lock v:ext="edit"/>
            </v:rect>
            <v:rect id="矩形 14" o:spid="_x0000_s1082"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名词解释</w:t>
                    </w:r>
                  </w:p>
                  <w:p>
                    <w:pPr>
                      <w:jc w:val="center"/>
                    </w:pPr>
                  </w:p>
                </w:txbxContent>
              </v:textbox>
            </v:rect>
            <w10:anchorlock/>
          </v:group>
        </w:pict>
      </w:r>
      <w:r>
        <w:rPr>
          <w:rFonts w:hint="eastAsia" w:ascii="仿宋_GB2312" w:hAnsi="宋体" w:eastAsia="仿宋_GB2312" w:cs="仿宋_GB2312"/>
          <w:b/>
          <w:bCs/>
          <w:color w:val="000000"/>
          <w:kern w:val="0"/>
          <w:sz w:val="32"/>
          <w:szCs w:val="32"/>
        </w:rPr>
        <w:t>余：</w:t>
      </w:r>
      <w:r>
        <w:rPr>
          <w:rFonts w:hint="eastAsia" w:ascii="仿宋_GB2312" w:hAnsi="宋体" w:eastAsia="仿宋_GB2312" w:cs="仿宋_GB2312"/>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cs="仿宋_GB2312"/>
          <w:b/>
          <w:bCs/>
          <w:color w:val="000000"/>
          <w:kern w:val="0"/>
          <w:sz w:val="32"/>
          <w:szCs w:val="32"/>
        </w:rPr>
        <w:t>（八）基本支出：</w:t>
      </w:r>
      <w:r>
        <w:rPr>
          <w:rFonts w:hint="eastAsia" w:ascii="仿宋_GB2312" w:hAnsi="宋体" w:eastAsia="仿宋_GB2312" w:cs="仿宋_GB2312"/>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cs="仿宋_GB2312"/>
          <w:b/>
          <w:bCs/>
          <w:color w:val="000000"/>
          <w:kern w:val="0"/>
          <w:sz w:val="32"/>
          <w:szCs w:val="32"/>
        </w:rPr>
        <w:t>（九）项目支出：</w:t>
      </w:r>
      <w:r>
        <w:rPr>
          <w:rFonts w:hint="eastAsia" w:ascii="仿宋_GB2312" w:hAnsi="宋体" w:eastAsia="仿宋_GB2312" w:cs="仿宋_GB2312"/>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cs="仿宋_GB2312"/>
          <w:b/>
          <w:bCs/>
          <w:color w:val="000000"/>
          <w:kern w:val="0"/>
          <w:sz w:val="32"/>
          <w:szCs w:val="32"/>
        </w:rPr>
        <w:t>（十）资本性支出（基本建设）：</w:t>
      </w:r>
      <w:r>
        <w:rPr>
          <w:rFonts w:hint="eastAsia" w:ascii="仿宋_GB2312" w:hAnsi="宋体" w:eastAsia="仿宋_GB2312" w:cs="仿宋_GB2312"/>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cs="仿宋_GB2312"/>
          <w:b/>
          <w:bCs/>
          <w:color w:val="000000"/>
          <w:kern w:val="0"/>
          <w:sz w:val="32"/>
          <w:szCs w:val="32"/>
        </w:rPr>
        <w:t>（十一）资本性支出：</w:t>
      </w:r>
      <w:r>
        <w:rPr>
          <w:rFonts w:hint="eastAsia" w:ascii="仿宋_GB2312" w:hAnsi="宋体" w:eastAsia="仿宋_GB2312" w:cs="仿宋_GB2312"/>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cs="仿宋_GB2312"/>
          <w:b/>
          <w:bCs/>
          <w:color w:val="000000"/>
          <w:kern w:val="0"/>
          <w:sz w:val="32"/>
          <w:szCs w:val="32"/>
        </w:rPr>
        <w:t>（十二）“三公”经费：</w:t>
      </w:r>
      <w:r>
        <w:rPr>
          <w:rFonts w:hint="eastAsia" w:ascii="仿宋_GB2312" w:hAnsi="宋体" w:eastAsia="仿宋_GB2312" w:cs="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pict>
          <v:group id="_x0000_s1083" o:spid="_x0000_s1083" o:spt="203" style="position:absolute;left:0pt;margin-left:-81.05pt;margin-top:39.65pt;height:43.95pt;width:264.85pt;mso-position-vertical-relative:page;z-index:251659264;mso-width-relative:page;mso-height-relative:page;" coordorigin="4551,52615" coordsize="8546,1398">
            <o:lock v:ext="edit"/>
            <v:rect id="矩形 13" o:spid="_x0000_s1084" o:spt="1" style="position:absolute;left:4551;top:52615;height:1175;width:8546;v-text-anchor:middle;" fillcolor="#D9D9D9" filled="t" stroked="f" coordsize="21600,21600">
              <v:path/>
              <v:fill on="t" focussize="0,0"/>
              <v:stroke on="f" weight="2pt"/>
              <v:imagedata o:title=""/>
              <o:lock v:ext="edit"/>
            </v:rect>
            <v:rect id="矩形 14" o:spid="_x0000_s1085"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名词解释</w:t>
                    </w:r>
                  </w:p>
                  <w:p>
                    <w:pPr>
                      <w:jc w:val="center"/>
                    </w:pPr>
                  </w:p>
                </w:txbxContent>
              </v:textbox>
            </v:rect>
            <w10:anchorlock/>
          </v:group>
        </w:pict>
      </w:r>
      <w:r>
        <w:rPr>
          <w:rFonts w:hint="eastAsia" w:ascii="仿宋_GB2312" w:hAnsi="宋体" w:eastAsia="仿宋_GB2312" w:cs="仿宋_GB2312"/>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cs="仿宋_GB2312"/>
          <w:b/>
          <w:bCs/>
          <w:color w:val="000000"/>
          <w:kern w:val="0"/>
          <w:sz w:val="32"/>
          <w:szCs w:val="32"/>
        </w:rPr>
        <w:t>（十三）其</w:t>
      </w:r>
      <w:r>
        <w:pict>
          <v:group id="_x0000_s1086" o:spid="_x0000_s1086" o:spt="203" style="position:absolute;left:0pt;margin-left:-81.05pt;margin-top:39.65pt;height:43.95pt;width:264.85pt;mso-position-vertical-relative:page;z-index:251659264;mso-width-relative:page;mso-height-relative:page;" coordorigin="4551,52615" coordsize="8546,1398">
            <o:lock v:ext="edit"/>
            <v:rect id="矩形 13" o:spid="_x0000_s1087" o:spt="1" style="position:absolute;left:4551;top:52615;height:1175;width:8546;v-text-anchor:middle;" fillcolor="#D9D9D9" filled="t" stroked="f" coordsize="21600,21600">
              <v:path/>
              <v:fill on="t" focussize="0,0"/>
              <v:stroke on="f" weight="2pt"/>
              <v:imagedata o:title=""/>
              <o:lock v:ext="edit"/>
            </v:rect>
            <v:rect id="矩形 14" o:spid="_x0000_s1088"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名词解释</w:t>
                    </w:r>
                  </w:p>
                  <w:p>
                    <w:pPr>
                      <w:jc w:val="center"/>
                    </w:pPr>
                  </w:p>
                </w:txbxContent>
              </v:textbox>
            </v:rect>
            <w10:anchorlock/>
          </v:group>
        </w:pict>
      </w:r>
      <w:r>
        <w:rPr>
          <w:rFonts w:hint="eastAsia" w:ascii="仿宋_GB2312" w:hAnsi="宋体" w:eastAsia="仿宋_GB2312" w:cs="仿宋_GB2312"/>
          <w:b/>
          <w:bCs/>
          <w:color w:val="000000"/>
          <w:kern w:val="0"/>
          <w:sz w:val="32"/>
          <w:szCs w:val="32"/>
        </w:rPr>
        <w:t>他交通费用：</w:t>
      </w:r>
      <w:r>
        <w:rPr>
          <w:rFonts w:hint="eastAsia" w:ascii="仿宋_GB2312" w:hAnsi="宋体" w:eastAsia="仿宋_GB2312" w:cs="仿宋_GB2312"/>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cs="仿宋_GB2312"/>
          <w:b/>
          <w:bCs/>
          <w:color w:val="000000"/>
          <w:kern w:val="0"/>
          <w:sz w:val="32"/>
          <w:szCs w:val="32"/>
        </w:rPr>
        <w:t>（十四）公务用车购置：</w:t>
      </w:r>
      <w:r>
        <w:rPr>
          <w:rFonts w:hint="eastAsia" w:ascii="仿宋_GB2312" w:hAnsi="宋体" w:eastAsia="仿宋_GB2312" w:cs="仿宋_GB2312"/>
          <w:color w:val="000000"/>
          <w:kern w:val="0"/>
          <w:sz w:val="32"/>
          <w:szCs w:val="32"/>
        </w:rPr>
        <w:t>填列单位公务用车购置支出（含车辆购置税、牌照费）。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cs="仿宋_GB2312"/>
          <w:b/>
          <w:bCs/>
          <w:color w:val="000000"/>
          <w:kern w:val="0"/>
          <w:sz w:val="32"/>
          <w:szCs w:val="32"/>
        </w:rPr>
        <w:t>（十五）其他交通工具购置：</w:t>
      </w:r>
      <w:r>
        <w:rPr>
          <w:rFonts w:hint="eastAsia" w:ascii="仿宋_GB2312" w:hAnsi="宋体" w:eastAsia="仿宋_GB2312" w:cs="仿宋_GB2312"/>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cs="仿宋_GB2312"/>
          <w:b/>
          <w:bCs/>
          <w:color w:val="000000"/>
          <w:kern w:val="0"/>
          <w:sz w:val="32"/>
          <w:szCs w:val="32"/>
        </w:rPr>
        <w:t>（十六）机关运行经费：</w:t>
      </w:r>
      <w:r>
        <w:rPr>
          <w:rFonts w:hint="eastAsia" w:ascii="仿宋_GB2312" w:hAnsi="宋体" w:eastAsia="仿宋_GB2312" w:cs="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hAnsi="Cambria" w:eastAsia="仿宋_GB2312"/>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hAnsi="宋体" w:eastAsia="仿宋_GB2312" w:cs="仿宋_GB2312"/>
          <w:b/>
          <w:bCs/>
          <w:color w:val="000000"/>
          <w:kern w:val="0"/>
          <w:sz w:val="32"/>
          <w:szCs w:val="32"/>
        </w:rPr>
        <w:t>（十七）经费形式</w:t>
      </w:r>
      <w:r>
        <w:rPr>
          <w:rFonts w:ascii="仿宋_GB2312" w:hAnsi="宋体" w:eastAsia="仿宋_GB2312" w:cs="仿宋_GB2312"/>
          <w:b/>
          <w:bCs/>
          <w:color w:val="000000"/>
          <w:kern w:val="0"/>
          <w:sz w:val="32"/>
          <w:szCs w:val="32"/>
        </w:rPr>
        <w:t>:</w:t>
      </w:r>
      <w:r>
        <w:rPr>
          <w:rFonts w:hint="eastAsia" w:ascii="仿宋_GB2312" w:hAnsi="宋体" w:eastAsia="仿宋_GB2312" w:cs="仿宋_GB2312"/>
          <w:color w:val="000000"/>
          <w:kern w:val="0"/>
          <w:sz w:val="32"/>
          <w:szCs w:val="32"/>
        </w:rPr>
        <w:t>按照经费来源，</w:t>
      </w:r>
      <w:r>
        <w:rPr>
          <w:rFonts w:hint="eastAsia" w:ascii="仿宋_GB2312" w:hAnsi="Cambria" w:eastAsia="仿宋_GB2312" w:cs="仿宋_GB2312"/>
          <w:kern w:val="0"/>
          <w:sz w:val="32"/>
          <w:szCs w:val="32"/>
        </w:rPr>
        <w:t>可分为财政拨款、财政性资金基本保证、财政性资金定额或定项补助、财政性资金零补助四类。</w:t>
      </w:r>
    </w:p>
    <w:p>
      <w:pPr>
        <w:widowControl/>
        <w:spacing w:after="0" w:line="560" w:lineRule="exact"/>
        <w:ind w:firstLine="420" w:firstLineChars="200"/>
        <w:rPr>
          <w:rFonts w:ascii="仿宋_GB2312" w:hAnsi="Cambria" w:eastAsia="仿宋_GB2312"/>
          <w:kern w:val="0"/>
          <w:sz w:val="32"/>
          <w:szCs w:val="32"/>
        </w:rPr>
      </w:pPr>
      <w:r>
        <w:pict>
          <v:shape id="图片 101" o:spid="_x0000_s1089" o:spt="75" alt="3" type="#_x0000_t75" style="position:absolute;left:0pt;margin-left:-78pt;margin-top:-106.7pt;height:845.35pt;width:597.65pt;z-index:-251656192;mso-width-relative:page;mso-height-relative:page;" filled="f" o:preferrelative="t" stroked="f" coordsize="21600,21600">
            <v:path/>
            <v:fill on="f" focussize="0,0"/>
            <v:stroke on="f" joinstyle="miter"/>
            <v:imagedata r:id="rId17" o:title=""/>
            <o:lock v:ext="edit" aspectratio="t"/>
            <w10:anchorlock/>
          </v:shape>
        </w:pict>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S Gothic">
    <w:panose1 w:val="020B0609070205080204"/>
    <w:charset w:val="80"/>
    <w:family w:val="modern"/>
    <w:pitch w:val="default"/>
    <w:sig w:usb0="E00002FF" w:usb1="6AC7FDFB" w:usb2="08000012" w:usb3="00000000" w:csb0="4002009F" w:csb1="DFD70000"/>
  </w:font>
  <w:font w:name="方正仿宋_GBK">
    <w:altName w:val="微软雅黑"/>
    <w:panose1 w:val="00000000000000000000"/>
    <w:charset w:val="86"/>
    <w:family w:val="script"/>
    <w:pitch w:val="default"/>
    <w:sig w:usb0="00000000" w:usb1="00000000" w:usb2="00000010" w:usb3="00000000" w:csb0="00040000" w:csb1="00000000"/>
  </w:font>
  <w:font w:name="TimesNewRomanPSMT">
    <w:altName w:val="Arial"/>
    <w:panose1 w:val="00000000000000000000"/>
    <w:charset w:val="00"/>
    <w:family w:val="swiss"/>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NotTrackMoves/>
  <w:documentProtection w:enforcement="0"/>
  <w:defaultTabStop w:val="420"/>
  <w:doNotHyphenateCaps/>
  <w:drawingGridHorizontalSpacing w:val="105"/>
  <w:drawingGridVerticalSpacing w:val="156"/>
  <w:noPunctuationKerning w:val="1"/>
  <w:characterSpacingControl w:val="compressPunctuation"/>
  <w:noLineBreaksAfter w:lang="zh-CN" w:val="$([{£¥·‘“〈《「『【〔〖〝﹙﹛﹝＄（．［｛￡￥"/>
  <w:noLineBreaksBefore w:lang="zh-CN" w:val="!%),.:;&gt;?]}¢¨°·ˇˉ―‖’”…‰′″›℃∶、。〃〉》」』】〕〗〞︶︺︾﹀﹄﹚﹜﹞！＂％＇），．：；？］｀｜｝～￠"/>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WU3MzQ4N2M3MmNjOTE2ODVjMjczNDRiMjk1MTExMGYifQ=="/>
  </w:docVars>
  <w:rsids>
    <w:rsidRoot w:val="003C1413"/>
    <w:rsid w:val="0000141F"/>
    <w:rsid w:val="00024E7F"/>
    <w:rsid w:val="00032C4A"/>
    <w:rsid w:val="0004412F"/>
    <w:rsid w:val="000475A0"/>
    <w:rsid w:val="000477FD"/>
    <w:rsid w:val="00050CBE"/>
    <w:rsid w:val="0005442C"/>
    <w:rsid w:val="000838C3"/>
    <w:rsid w:val="000875AD"/>
    <w:rsid w:val="000A4466"/>
    <w:rsid w:val="000B2446"/>
    <w:rsid w:val="000D7C65"/>
    <w:rsid w:val="000E2F81"/>
    <w:rsid w:val="000F70CC"/>
    <w:rsid w:val="00106551"/>
    <w:rsid w:val="00117946"/>
    <w:rsid w:val="00117E2C"/>
    <w:rsid w:val="00140610"/>
    <w:rsid w:val="00146C47"/>
    <w:rsid w:val="00150651"/>
    <w:rsid w:val="00152FB8"/>
    <w:rsid w:val="001626D1"/>
    <w:rsid w:val="00176658"/>
    <w:rsid w:val="00181467"/>
    <w:rsid w:val="0018239E"/>
    <w:rsid w:val="00184001"/>
    <w:rsid w:val="001A0877"/>
    <w:rsid w:val="001A1701"/>
    <w:rsid w:val="001A4E93"/>
    <w:rsid w:val="001B3410"/>
    <w:rsid w:val="001C030D"/>
    <w:rsid w:val="001C4A84"/>
    <w:rsid w:val="001D229E"/>
    <w:rsid w:val="001E5902"/>
    <w:rsid w:val="001E72F0"/>
    <w:rsid w:val="001E7E92"/>
    <w:rsid w:val="001F0368"/>
    <w:rsid w:val="002301DF"/>
    <w:rsid w:val="00233705"/>
    <w:rsid w:val="00274E71"/>
    <w:rsid w:val="00275CA2"/>
    <w:rsid w:val="002A458F"/>
    <w:rsid w:val="002A65A5"/>
    <w:rsid w:val="002B1298"/>
    <w:rsid w:val="002C04C4"/>
    <w:rsid w:val="002C12A1"/>
    <w:rsid w:val="002D00DF"/>
    <w:rsid w:val="002D08B0"/>
    <w:rsid w:val="002D1AE3"/>
    <w:rsid w:val="002D5A51"/>
    <w:rsid w:val="002E4509"/>
    <w:rsid w:val="002F2ECE"/>
    <w:rsid w:val="002F51B7"/>
    <w:rsid w:val="002F52BC"/>
    <w:rsid w:val="003177A3"/>
    <w:rsid w:val="00320366"/>
    <w:rsid w:val="00333760"/>
    <w:rsid w:val="003358EC"/>
    <w:rsid w:val="00341C8F"/>
    <w:rsid w:val="00343DB6"/>
    <w:rsid w:val="0035463A"/>
    <w:rsid w:val="00391D9D"/>
    <w:rsid w:val="00391E1D"/>
    <w:rsid w:val="003B6C51"/>
    <w:rsid w:val="003C1413"/>
    <w:rsid w:val="003C3476"/>
    <w:rsid w:val="003C549F"/>
    <w:rsid w:val="003D5A16"/>
    <w:rsid w:val="003E03EC"/>
    <w:rsid w:val="003E58C4"/>
    <w:rsid w:val="003E7DB3"/>
    <w:rsid w:val="003F7EC9"/>
    <w:rsid w:val="00413835"/>
    <w:rsid w:val="00431175"/>
    <w:rsid w:val="004877A3"/>
    <w:rsid w:val="004939BF"/>
    <w:rsid w:val="004B6E37"/>
    <w:rsid w:val="004C32BA"/>
    <w:rsid w:val="004D18FC"/>
    <w:rsid w:val="00530C9A"/>
    <w:rsid w:val="00575922"/>
    <w:rsid w:val="00581B45"/>
    <w:rsid w:val="00590D19"/>
    <w:rsid w:val="005A6C90"/>
    <w:rsid w:val="005E3FB0"/>
    <w:rsid w:val="005F19A1"/>
    <w:rsid w:val="005F4B66"/>
    <w:rsid w:val="005F5208"/>
    <w:rsid w:val="006171BB"/>
    <w:rsid w:val="0062762D"/>
    <w:rsid w:val="00641318"/>
    <w:rsid w:val="0064405D"/>
    <w:rsid w:val="0066012C"/>
    <w:rsid w:val="0066789B"/>
    <w:rsid w:val="00685302"/>
    <w:rsid w:val="00695557"/>
    <w:rsid w:val="006B49C2"/>
    <w:rsid w:val="006C4C75"/>
    <w:rsid w:val="006D4EA7"/>
    <w:rsid w:val="006D7727"/>
    <w:rsid w:val="0070012A"/>
    <w:rsid w:val="0070664B"/>
    <w:rsid w:val="007071B8"/>
    <w:rsid w:val="0071026B"/>
    <w:rsid w:val="007414DE"/>
    <w:rsid w:val="00751DA0"/>
    <w:rsid w:val="0078664F"/>
    <w:rsid w:val="007905A9"/>
    <w:rsid w:val="007E5500"/>
    <w:rsid w:val="007F055B"/>
    <w:rsid w:val="007F238D"/>
    <w:rsid w:val="0080644C"/>
    <w:rsid w:val="00811C2F"/>
    <w:rsid w:val="008266CD"/>
    <w:rsid w:val="008320E5"/>
    <w:rsid w:val="00833D46"/>
    <w:rsid w:val="00834244"/>
    <w:rsid w:val="00840A97"/>
    <w:rsid w:val="00895AC6"/>
    <w:rsid w:val="008B0F56"/>
    <w:rsid w:val="008C0149"/>
    <w:rsid w:val="008C31BC"/>
    <w:rsid w:val="008D5DED"/>
    <w:rsid w:val="008E25CA"/>
    <w:rsid w:val="008F34FC"/>
    <w:rsid w:val="00915350"/>
    <w:rsid w:val="00923B1D"/>
    <w:rsid w:val="00933C54"/>
    <w:rsid w:val="00944CD7"/>
    <w:rsid w:val="00960969"/>
    <w:rsid w:val="00967E40"/>
    <w:rsid w:val="00972280"/>
    <w:rsid w:val="009779BD"/>
    <w:rsid w:val="009820C9"/>
    <w:rsid w:val="009831B2"/>
    <w:rsid w:val="0099627D"/>
    <w:rsid w:val="009A1ABE"/>
    <w:rsid w:val="009B3137"/>
    <w:rsid w:val="009E21A4"/>
    <w:rsid w:val="009E69B7"/>
    <w:rsid w:val="009F22C6"/>
    <w:rsid w:val="009F49F8"/>
    <w:rsid w:val="00A00D4E"/>
    <w:rsid w:val="00A07E50"/>
    <w:rsid w:val="00A15397"/>
    <w:rsid w:val="00A20113"/>
    <w:rsid w:val="00A22AA5"/>
    <w:rsid w:val="00A30BDF"/>
    <w:rsid w:val="00A32F81"/>
    <w:rsid w:val="00A35CE0"/>
    <w:rsid w:val="00A435A2"/>
    <w:rsid w:val="00A4462E"/>
    <w:rsid w:val="00A44AA4"/>
    <w:rsid w:val="00A61623"/>
    <w:rsid w:val="00A71682"/>
    <w:rsid w:val="00A75276"/>
    <w:rsid w:val="00A84687"/>
    <w:rsid w:val="00A94538"/>
    <w:rsid w:val="00AB0A0E"/>
    <w:rsid w:val="00AC498D"/>
    <w:rsid w:val="00AD3B6E"/>
    <w:rsid w:val="00B1751F"/>
    <w:rsid w:val="00B2175A"/>
    <w:rsid w:val="00B44B3C"/>
    <w:rsid w:val="00B56722"/>
    <w:rsid w:val="00B74D39"/>
    <w:rsid w:val="00B81A5B"/>
    <w:rsid w:val="00B91DA4"/>
    <w:rsid w:val="00BA321C"/>
    <w:rsid w:val="00BB35DA"/>
    <w:rsid w:val="00BE6C63"/>
    <w:rsid w:val="00C04415"/>
    <w:rsid w:val="00C11FE3"/>
    <w:rsid w:val="00C12630"/>
    <w:rsid w:val="00C2514B"/>
    <w:rsid w:val="00C34562"/>
    <w:rsid w:val="00C3774E"/>
    <w:rsid w:val="00C5593D"/>
    <w:rsid w:val="00C57456"/>
    <w:rsid w:val="00C623DB"/>
    <w:rsid w:val="00C65387"/>
    <w:rsid w:val="00C805EE"/>
    <w:rsid w:val="00C81E86"/>
    <w:rsid w:val="00C83504"/>
    <w:rsid w:val="00C87FAB"/>
    <w:rsid w:val="00C91FF7"/>
    <w:rsid w:val="00C94E53"/>
    <w:rsid w:val="00CE5513"/>
    <w:rsid w:val="00D0048E"/>
    <w:rsid w:val="00D01C43"/>
    <w:rsid w:val="00D23E7A"/>
    <w:rsid w:val="00D348F9"/>
    <w:rsid w:val="00D453F0"/>
    <w:rsid w:val="00D47FA7"/>
    <w:rsid w:val="00D57C3F"/>
    <w:rsid w:val="00D61063"/>
    <w:rsid w:val="00D86532"/>
    <w:rsid w:val="00DA1543"/>
    <w:rsid w:val="00DB35AF"/>
    <w:rsid w:val="00DB7A86"/>
    <w:rsid w:val="00DD72D7"/>
    <w:rsid w:val="00DE1622"/>
    <w:rsid w:val="00DF05FA"/>
    <w:rsid w:val="00DF5B88"/>
    <w:rsid w:val="00E0589E"/>
    <w:rsid w:val="00E241FA"/>
    <w:rsid w:val="00E2595E"/>
    <w:rsid w:val="00E35374"/>
    <w:rsid w:val="00E36E2A"/>
    <w:rsid w:val="00E50C19"/>
    <w:rsid w:val="00E64655"/>
    <w:rsid w:val="00E73081"/>
    <w:rsid w:val="00E856C9"/>
    <w:rsid w:val="00E97732"/>
    <w:rsid w:val="00EB6A8B"/>
    <w:rsid w:val="00EC4BD4"/>
    <w:rsid w:val="00EE496B"/>
    <w:rsid w:val="00EF38C6"/>
    <w:rsid w:val="00F02F56"/>
    <w:rsid w:val="00F235C5"/>
    <w:rsid w:val="00F36728"/>
    <w:rsid w:val="00F4076F"/>
    <w:rsid w:val="00F53BA0"/>
    <w:rsid w:val="00F567B0"/>
    <w:rsid w:val="00F679C7"/>
    <w:rsid w:val="00F71EBA"/>
    <w:rsid w:val="00F7711A"/>
    <w:rsid w:val="00FA0D58"/>
    <w:rsid w:val="00FA478D"/>
    <w:rsid w:val="00FA56F4"/>
    <w:rsid w:val="00FB4EDA"/>
    <w:rsid w:val="00FD3BD5"/>
    <w:rsid w:val="00FE23B8"/>
    <w:rsid w:val="00FE3CD5"/>
    <w:rsid w:val="00FE3DC8"/>
    <w:rsid w:val="04073F84"/>
    <w:rsid w:val="0B60750A"/>
    <w:rsid w:val="10686488"/>
    <w:rsid w:val="10DF728A"/>
    <w:rsid w:val="1264200E"/>
    <w:rsid w:val="141C5B77"/>
    <w:rsid w:val="18D8339D"/>
    <w:rsid w:val="1A21388F"/>
    <w:rsid w:val="1A570D2F"/>
    <w:rsid w:val="250B0CD5"/>
    <w:rsid w:val="28FB0B8D"/>
    <w:rsid w:val="2A9870FC"/>
    <w:rsid w:val="2D2B7942"/>
    <w:rsid w:val="2D46481D"/>
    <w:rsid w:val="2E733B28"/>
    <w:rsid w:val="31852B5A"/>
    <w:rsid w:val="32D01238"/>
    <w:rsid w:val="3DFC59A8"/>
    <w:rsid w:val="3ECF245E"/>
    <w:rsid w:val="3FB96314"/>
    <w:rsid w:val="53A44FAF"/>
    <w:rsid w:val="594329EC"/>
    <w:rsid w:val="5BEE1540"/>
    <w:rsid w:val="5DE61A5D"/>
    <w:rsid w:val="63C04243"/>
    <w:rsid w:val="649C01C7"/>
    <w:rsid w:val="699A3F60"/>
    <w:rsid w:val="72902E62"/>
    <w:rsid w:val="73C61104"/>
    <w:rsid w:val="776452EA"/>
    <w:rsid w:val="7DC663B9"/>
    <w:rsid w:val="7FD21032"/>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f">
      <v:fill on="t" focussize="0,0"/>
      <v:stroke on="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mbria" w:hAnsi="Cambria" w:eastAsia="黑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name="toc 1" w:locked="1"/>
    <w:lsdException w:uiPriority="39" w:name="toc 2" w:locked="1"/>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unhideWhenUsed="0" w:uiPriority="99" w:semiHidden="0" w:name="header"/>
    <w:lsdException w:unhideWhenUsed="0" w:uiPriority="99" w:semiHidden="0" w:name="footer"/>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99" w:semiHidden="0" w:name="Title"/>
    <w:lsdException w:uiPriority="99" w:name="Closing" w:locked="1"/>
    <w:lsdException w:uiPriority="99" w:name="Signature" w:locked="1"/>
    <w:lsdException w:uiPriority="1"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99" w:semiHidden="0" w:name="Subtitle"/>
    <w:lsdException w:uiPriority="99" w:name="Salutation" w:locked="1"/>
    <w:lsdException w:unhideWhenUsed="0" w:uiPriority="99" w:name="Date"/>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22" w:semiHidden="0" w:name="Strong" w:locked="1"/>
    <w:lsdException w:qFormat="1" w:unhideWhenUsed="0" w:uiPriority="20" w:semiHidden="0" w:name="Emphasis" w:locked="1"/>
    <w:lsdException w:uiPriority="99" w:name="Document Map" w:locked="1"/>
    <w:lsdException w:uiPriority="99"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nhideWhenUsed="0" w:uiPriority="99" w:name="Balloon Text"/>
    <w:lsdException w:unhideWhenUsed="0" w:uiPriority="99" w:semiHidden="0" w:name="Table Grid"/>
    <w:lsdException w:uiPriority="99" w:name="Table Theme" w:locked="1"/>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1"/>
      <w:lang w:val="en-US" w:eastAsia="zh-CN" w:bidi="ar-SA"/>
    </w:rPr>
  </w:style>
  <w:style w:type="paragraph" w:styleId="2">
    <w:name w:val="heading 1"/>
    <w:basedOn w:val="1"/>
    <w:next w:val="1"/>
    <w:link w:val="15"/>
    <w:qFormat/>
    <w:uiPriority w:val="99"/>
    <w:pPr>
      <w:keepNext/>
      <w:keepLines/>
      <w:spacing w:before="340" w:after="330" w:line="578" w:lineRule="auto"/>
      <w:outlineLvl w:val="0"/>
    </w:pPr>
    <w:rPr>
      <w:b/>
      <w:bCs/>
      <w:kern w:val="44"/>
      <w:sz w:val="44"/>
      <w:szCs w:val="44"/>
    </w:rPr>
  </w:style>
  <w:style w:type="paragraph" w:styleId="3">
    <w:name w:val="heading 2"/>
    <w:basedOn w:val="1"/>
    <w:next w:val="1"/>
    <w:link w:val="16"/>
    <w:qFormat/>
    <w:uiPriority w:val="99"/>
    <w:pPr>
      <w:keepNext/>
      <w:keepLines/>
      <w:spacing w:before="260" w:after="260" w:line="416" w:lineRule="auto"/>
      <w:outlineLvl w:val="1"/>
    </w:pPr>
    <w:rPr>
      <w:rFonts w:ascii="Calibri" w:hAnsi="Calibri" w:cs="Calibri"/>
      <w:b/>
      <w:bCs/>
      <w:sz w:val="32"/>
      <w:szCs w:val="32"/>
    </w:rPr>
  </w:style>
  <w:style w:type="paragraph" w:styleId="4">
    <w:name w:val="heading 3"/>
    <w:basedOn w:val="1"/>
    <w:next w:val="1"/>
    <w:link w:val="17"/>
    <w:qFormat/>
    <w:uiPriority w:val="99"/>
    <w:pPr>
      <w:keepNext/>
      <w:keepLines/>
      <w:spacing w:before="260" w:after="260" w:line="416" w:lineRule="auto"/>
      <w:outlineLvl w:val="2"/>
    </w:pPr>
    <w:rPr>
      <w:b/>
      <w:bCs/>
      <w:sz w:val="32"/>
      <w:szCs w:val="32"/>
    </w:rPr>
  </w:style>
  <w:style w:type="paragraph" w:styleId="5">
    <w:name w:val="heading 4"/>
    <w:basedOn w:val="1"/>
    <w:next w:val="1"/>
    <w:link w:val="18"/>
    <w:qFormat/>
    <w:uiPriority w:val="99"/>
    <w:pPr>
      <w:keepNext/>
      <w:keepLines/>
      <w:spacing w:before="280" w:after="290" w:line="376" w:lineRule="auto"/>
      <w:outlineLvl w:val="3"/>
    </w:pPr>
    <w:rPr>
      <w:rFonts w:ascii="Calibri" w:hAnsi="Calibri" w:cs="Calibri"/>
      <w:b/>
      <w:bCs/>
      <w:sz w:val="28"/>
      <w:szCs w:val="28"/>
    </w:rPr>
  </w:style>
  <w:style w:type="character" w:default="1" w:styleId="14">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19"/>
    <w:semiHidden/>
    <w:uiPriority w:val="99"/>
    <w:pPr>
      <w:ind w:left="100" w:leftChars="2500"/>
    </w:pPr>
  </w:style>
  <w:style w:type="paragraph" w:styleId="7">
    <w:name w:val="Balloon Text"/>
    <w:basedOn w:val="1"/>
    <w:link w:val="20"/>
    <w:semiHidden/>
    <w:uiPriority w:val="99"/>
    <w:rPr>
      <w:sz w:val="18"/>
      <w:szCs w:val="18"/>
    </w:rPr>
  </w:style>
  <w:style w:type="paragraph" w:styleId="8">
    <w:name w:val="footer"/>
    <w:basedOn w:val="1"/>
    <w:link w:val="21"/>
    <w:uiPriority w:val="99"/>
    <w:pPr>
      <w:tabs>
        <w:tab w:val="center" w:pos="4153"/>
        <w:tab w:val="right" w:pos="8306"/>
      </w:tabs>
      <w:snapToGrid w:val="0"/>
      <w:jc w:val="left"/>
    </w:pPr>
    <w:rPr>
      <w:rFonts w:ascii="Cambria" w:hAnsi="Cambria" w:eastAsia="黑体" w:cs="Cambria"/>
      <w:sz w:val="18"/>
      <w:szCs w:val="18"/>
    </w:rPr>
  </w:style>
  <w:style w:type="paragraph" w:styleId="9">
    <w:name w:val="header"/>
    <w:basedOn w:val="1"/>
    <w:link w:val="22"/>
    <w:uiPriority w:val="99"/>
    <w:pPr>
      <w:pBdr>
        <w:bottom w:val="single" w:color="auto" w:sz="6" w:space="1"/>
      </w:pBdr>
      <w:tabs>
        <w:tab w:val="center" w:pos="4153"/>
        <w:tab w:val="right" w:pos="8306"/>
      </w:tabs>
      <w:snapToGrid w:val="0"/>
      <w:jc w:val="center"/>
    </w:pPr>
    <w:rPr>
      <w:rFonts w:ascii="Cambria" w:hAnsi="Cambria" w:eastAsia="黑体" w:cs="Cambria"/>
      <w:sz w:val="18"/>
      <w:szCs w:val="18"/>
    </w:rPr>
  </w:style>
  <w:style w:type="paragraph" w:styleId="10">
    <w:name w:val="Subtitle"/>
    <w:basedOn w:val="1"/>
    <w:next w:val="1"/>
    <w:link w:val="23"/>
    <w:qFormat/>
    <w:uiPriority w:val="99"/>
    <w:pPr>
      <w:widowControl/>
      <w:spacing w:after="200" w:line="276" w:lineRule="auto"/>
      <w:jc w:val="left"/>
    </w:pPr>
    <w:rPr>
      <w:rFonts w:ascii="Calibri" w:hAnsi="Calibri" w:cs="Calibri"/>
      <w:i/>
      <w:iCs/>
      <w:color w:val="F0A22E"/>
      <w:spacing w:val="15"/>
      <w:kern w:val="0"/>
      <w:sz w:val="24"/>
      <w:szCs w:val="24"/>
    </w:rPr>
  </w:style>
  <w:style w:type="paragraph" w:styleId="11">
    <w:name w:val="Title"/>
    <w:basedOn w:val="1"/>
    <w:next w:val="1"/>
    <w:link w:val="24"/>
    <w:qFormat/>
    <w:uiPriority w:val="99"/>
    <w:pPr>
      <w:widowControl/>
      <w:pBdr>
        <w:bottom w:val="single" w:color="F0A22E" w:sz="8" w:space="4"/>
      </w:pBdr>
      <w:spacing w:after="300"/>
      <w:jc w:val="left"/>
    </w:pPr>
    <w:rPr>
      <w:rFonts w:ascii="Calibri" w:hAnsi="Calibri" w:cs="Calibri"/>
      <w:color w:val="3A2C24"/>
      <w:spacing w:val="5"/>
      <w:kern w:val="28"/>
      <w:sz w:val="52"/>
      <w:szCs w:val="52"/>
    </w:rPr>
  </w:style>
  <w:style w:type="table" w:styleId="13">
    <w:name w:val="Table Grid"/>
    <w:basedOn w:val="12"/>
    <w:uiPriority w:val="99"/>
    <w:rPr>
      <w:rFonts w:cs="Cambria"/>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5">
    <w:name w:val="标题 1 Char"/>
    <w:basedOn w:val="14"/>
    <w:link w:val="2"/>
    <w:locked/>
    <w:uiPriority w:val="99"/>
    <w:rPr>
      <w:rFonts w:ascii="Times New Roman" w:hAnsi="Times New Roman" w:eastAsia="宋体" w:cs="Times New Roman"/>
      <w:b/>
      <w:bCs/>
      <w:kern w:val="44"/>
      <w:sz w:val="44"/>
      <w:szCs w:val="44"/>
    </w:rPr>
  </w:style>
  <w:style w:type="character" w:customStyle="1" w:styleId="16">
    <w:name w:val="标题 2 Char"/>
    <w:basedOn w:val="14"/>
    <w:link w:val="3"/>
    <w:locked/>
    <w:uiPriority w:val="99"/>
    <w:rPr>
      <w:rFonts w:ascii="Calibri" w:hAnsi="Calibri" w:eastAsia="宋体" w:cs="Calibri"/>
      <w:b/>
      <w:bCs/>
      <w:sz w:val="32"/>
      <w:szCs w:val="32"/>
    </w:rPr>
  </w:style>
  <w:style w:type="character" w:customStyle="1" w:styleId="17">
    <w:name w:val="标题 3 Char"/>
    <w:basedOn w:val="14"/>
    <w:link w:val="4"/>
    <w:locked/>
    <w:uiPriority w:val="99"/>
    <w:rPr>
      <w:rFonts w:ascii="Times New Roman" w:hAnsi="Times New Roman" w:eastAsia="宋体" w:cs="Times New Roman"/>
      <w:b/>
      <w:bCs/>
      <w:sz w:val="32"/>
      <w:szCs w:val="32"/>
    </w:rPr>
  </w:style>
  <w:style w:type="character" w:customStyle="1" w:styleId="18">
    <w:name w:val="标题 4 Char"/>
    <w:basedOn w:val="14"/>
    <w:link w:val="5"/>
    <w:locked/>
    <w:uiPriority w:val="99"/>
    <w:rPr>
      <w:rFonts w:ascii="Calibri" w:hAnsi="Calibri" w:eastAsia="宋体" w:cs="Calibri"/>
      <w:b/>
      <w:bCs/>
      <w:sz w:val="28"/>
      <w:szCs w:val="28"/>
    </w:rPr>
  </w:style>
  <w:style w:type="character" w:customStyle="1" w:styleId="19">
    <w:name w:val="日期 Char"/>
    <w:basedOn w:val="14"/>
    <w:link w:val="6"/>
    <w:semiHidden/>
    <w:locked/>
    <w:uiPriority w:val="99"/>
    <w:rPr>
      <w:rFonts w:ascii="Times New Roman" w:hAnsi="Times New Roman" w:eastAsia="宋体" w:cs="Times New Roman"/>
      <w:sz w:val="24"/>
      <w:szCs w:val="24"/>
    </w:rPr>
  </w:style>
  <w:style w:type="character" w:customStyle="1" w:styleId="20">
    <w:name w:val="批注框文本 Char"/>
    <w:basedOn w:val="14"/>
    <w:link w:val="7"/>
    <w:semiHidden/>
    <w:locked/>
    <w:uiPriority w:val="99"/>
    <w:rPr>
      <w:rFonts w:ascii="Times New Roman" w:hAnsi="Times New Roman" w:eastAsia="宋体" w:cs="Times New Roman"/>
      <w:sz w:val="18"/>
      <w:szCs w:val="18"/>
    </w:rPr>
  </w:style>
  <w:style w:type="character" w:customStyle="1" w:styleId="21">
    <w:name w:val="页脚 Char"/>
    <w:basedOn w:val="14"/>
    <w:link w:val="8"/>
    <w:locked/>
    <w:uiPriority w:val="99"/>
    <w:rPr>
      <w:sz w:val="18"/>
      <w:szCs w:val="18"/>
    </w:rPr>
  </w:style>
  <w:style w:type="character" w:customStyle="1" w:styleId="22">
    <w:name w:val="页眉 Char"/>
    <w:basedOn w:val="14"/>
    <w:link w:val="9"/>
    <w:locked/>
    <w:uiPriority w:val="99"/>
    <w:rPr>
      <w:sz w:val="18"/>
      <w:szCs w:val="18"/>
    </w:rPr>
  </w:style>
  <w:style w:type="character" w:customStyle="1" w:styleId="23">
    <w:name w:val="副标题 Char"/>
    <w:basedOn w:val="14"/>
    <w:link w:val="10"/>
    <w:locked/>
    <w:uiPriority w:val="99"/>
    <w:rPr>
      <w:rFonts w:ascii="Calibri" w:hAnsi="Calibri" w:eastAsia="宋体" w:cs="Calibri"/>
      <w:i/>
      <w:iCs/>
      <w:color w:val="F0A22E"/>
      <w:spacing w:val="15"/>
      <w:kern w:val="0"/>
      <w:sz w:val="24"/>
      <w:szCs w:val="24"/>
    </w:rPr>
  </w:style>
  <w:style w:type="character" w:customStyle="1" w:styleId="24">
    <w:name w:val="标题 Char"/>
    <w:basedOn w:val="14"/>
    <w:link w:val="11"/>
    <w:locked/>
    <w:uiPriority w:val="99"/>
    <w:rPr>
      <w:rFonts w:ascii="Calibri" w:hAnsi="Calibri" w:eastAsia="宋体" w:cs="Calibri"/>
      <w:color w:val="3A2C24"/>
      <w:spacing w:val="5"/>
      <w:kern w:val="28"/>
      <w:sz w:val="52"/>
      <w:szCs w:val="52"/>
    </w:rPr>
  </w:style>
  <w:style w:type="paragraph" w:styleId="25">
    <w:name w:val="No Spacing"/>
    <w:link w:val="26"/>
    <w:qFormat/>
    <w:uiPriority w:val="99"/>
    <w:pPr>
      <w:spacing w:after="160" w:line="480" w:lineRule="auto"/>
    </w:pPr>
    <w:rPr>
      <w:rFonts w:ascii="Cambria" w:hAnsi="Cambria" w:eastAsia="黑体" w:cs="Cambria"/>
      <w:sz w:val="22"/>
      <w:szCs w:val="22"/>
      <w:lang w:val="en-US" w:eastAsia="zh-CN" w:bidi="ar-SA"/>
    </w:rPr>
  </w:style>
  <w:style w:type="character" w:customStyle="1" w:styleId="26">
    <w:name w:val="无间隔 Char"/>
    <w:basedOn w:val="14"/>
    <w:link w:val="25"/>
    <w:locked/>
    <w:uiPriority w:val="99"/>
    <w:rPr>
      <w:rFonts w:cs="Cambria"/>
      <w:sz w:val="22"/>
      <w:szCs w:val="22"/>
      <w:lang w:val="en-US" w:eastAsia="zh-CN" w:bidi="ar-SA"/>
    </w:rPr>
  </w:style>
  <w:style w:type="character" w:customStyle="1" w:styleId="27">
    <w:name w:val="Style1"/>
    <w:basedOn w:val="14"/>
    <w:uiPriority w:val="99"/>
    <w:rPr>
      <w:rFonts w:ascii="Cambria" w:hAnsi="黑体" w:eastAsia="黑体" w:cs="Cambria"/>
      <w:sz w:val="22"/>
      <w:szCs w:val="22"/>
      <w:lang w:eastAsia="zh-CN"/>
    </w:rPr>
  </w:style>
  <w:style w:type="character" w:customStyle="1" w:styleId="28">
    <w:name w:val="Style2"/>
    <w:basedOn w:val="14"/>
    <w:uiPriority w:val="99"/>
    <w:rPr>
      <w:rFonts w:ascii="Cambria" w:hAnsi="黑体" w:eastAsia="黑体" w:cs="Cambria"/>
      <w:sz w:val="22"/>
      <w:szCs w:val="22"/>
      <w:lang w:eastAsia="zh-CN"/>
    </w:rPr>
  </w:style>
  <w:style w:type="character" w:customStyle="1" w:styleId="29">
    <w:name w:val="Style3"/>
    <w:basedOn w:val="14"/>
    <w:uiPriority w:val="99"/>
    <w:rPr>
      <w:rFonts w:ascii="Cambria" w:hAnsi="黑体" w:eastAsia="黑体" w:cs="Cambria"/>
      <w:sz w:val="22"/>
      <w:szCs w:val="22"/>
      <w:lang w:eastAsia="zh-CN"/>
    </w:rPr>
  </w:style>
  <w:style w:type="character" w:customStyle="1" w:styleId="30">
    <w:name w:val="Style4"/>
    <w:basedOn w:val="14"/>
    <w:uiPriority w:val="99"/>
    <w:rPr>
      <w:rFonts w:ascii="Cambria" w:hAnsi="黑体" w:eastAsia="黑体" w:cs="Cambria"/>
      <w:sz w:val="22"/>
      <w:szCs w:val="22"/>
      <w:lang w:eastAsia="zh-CN"/>
    </w:rPr>
  </w:style>
  <w:style w:type="character" w:customStyle="1" w:styleId="31">
    <w:name w:val="Style5"/>
    <w:basedOn w:val="14"/>
    <w:uiPriority w:val="99"/>
    <w:rPr>
      <w:rFonts w:ascii="Cambria" w:hAnsi="黑体" w:eastAsia="黑体" w:cs="Cambria"/>
      <w:sz w:val="22"/>
      <w:szCs w:val="22"/>
      <w:lang w:eastAsia="zh-CN"/>
    </w:rPr>
  </w:style>
  <w:style w:type="paragraph" w:styleId="32">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3.emf"/><Relationship Id="rId8" Type="http://schemas.openxmlformats.org/officeDocument/2006/relationships/oleObject" Target="embeddings/Workbook1.xls"/><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1" Type="http://schemas.openxmlformats.org/officeDocument/2006/relationships/fontTable" Target="fontTable.xml"/><Relationship Id="rId20" Type="http://schemas.openxmlformats.org/officeDocument/2006/relationships/customXml" Target="../customXml/item2.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8.jpeg"/><Relationship Id="rId16" Type="http://schemas.openxmlformats.org/officeDocument/2006/relationships/image" Target="media/image7.jpeg"/><Relationship Id="rId15" Type="http://schemas.openxmlformats.org/officeDocument/2006/relationships/image" Target="media/image6.emf"/><Relationship Id="rId14" Type="http://schemas.openxmlformats.org/officeDocument/2006/relationships/oleObject" Target="embeddings/Workbook4.xls"/><Relationship Id="rId13" Type="http://schemas.openxmlformats.org/officeDocument/2006/relationships/image" Target="media/image5.emf"/><Relationship Id="rId12" Type="http://schemas.openxmlformats.org/officeDocument/2006/relationships/oleObject" Target="embeddings/Workbook3.xls"/><Relationship Id="rId11" Type="http://schemas.openxmlformats.org/officeDocument/2006/relationships/image" Target="media/image4.emf"/><Relationship Id="rId10" Type="http://schemas.openxmlformats.org/officeDocument/2006/relationships/oleObject" Target="embeddings/Workbook2.xls"/><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customShpInfo spid="_x0000_s1027"/>
    <customShpInfo spid="_x0000_s1029"/>
    <customShpInfo spid="_x0000_s1030"/>
    <customShpInfo spid="_x0000_s1028"/>
    <customShpInfo spid="_x0000_s1032"/>
    <customShpInfo spid="_x0000_s1033"/>
    <customShpInfo spid="_x0000_s1031"/>
    <customShpInfo spid="_x0000_s1034"/>
    <customShpInfo spid="_x0000_s1035"/>
    <customShpInfo spid="_x0000_s1037"/>
    <customShpInfo spid="_x0000_s1038"/>
    <customShpInfo spid="_x0000_s1036"/>
    <customShpInfo spid="_x0000_s1039"/>
    <customShpInfo spid="_x0000_s1040"/>
    <customShpInfo spid="_x0000_s1041"/>
    <customShpInfo spid="_x0000_s1042"/>
    <customShpInfo spid="_x0000_s1044"/>
    <customShpInfo spid="_x0000_s1045"/>
    <customShpInfo spid="_x0000_s1043"/>
    <customShpInfo spid="_x0000_s1046"/>
    <customShpInfo spid="_x0000_s1047"/>
    <customShpInfo spid="_x0000_s1049"/>
    <customShpInfo spid="_x0000_s1050"/>
    <customShpInfo spid="_x0000_s1048"/>
    <customShpInfo spid="_x0000_s1052"/>
    <customShpInfo spid="_x0000_s1053"/>
    <customShpInfo spid="_x0000_s1051"/>
    <customShpInfo spid="_x0000_s1054"/>
    <customShpInfo spid="_x0000_s1056"/>
    <customShpInfo spid="_x0000_s1057"/>
    <customShpInfo spid="_x0000_s1055"/>
    <customShpInfo spid="_x0000_s1058"/>
    <customShpInfo spid="_x0000_s1060"/>
    <customShpInfo spid="_x0000_s1061"/>
    <customShpInfo spid="_x0000_s1059"/>
    <customShpInfo spid="_x0000_s1063"/>
    <customShpInfo spid="_x0000_s1064"/>
    <customShpInfo spid="_x0000_s1062"/>
    <customShpInfo spid="_x0000_s1067"/>
    <customShpInfo spid="_x0000_s1068"/>
    <customShpInfo spid="_x0000_s1066"/>
    <customShpInfo spid="_x0000_s1070"/>
    <customShpInfo spid="_x0000_s1071"/>
    <customShpInfo spid="_x0000_s1069"/>
    <customShpInfo spid="_x0000_s1073"/>
    <customShpInfo spid="_x0000_s1074"/>
    <customShpInfo spid="_x0000_s1072"/>
    <customShpInfo spid="_x0000_s1076"/>
    <customShpInfo spid="_x0000_s1077"/>
    <customShpInfo spid="_x0000_s1075"/>
    <customShpInfo spid="_x0000_s1078"/>
    <customShpInfo spid="_x0000_s1079"/>
    <customShpInfo spid="_x0000_s1081"/>
    <customShpInfo spid="_x0000_s1082"/>
    <customShpInfo spid="_x0000_s1080"/>
    <customShpInfo spid="_x0000_s1084"/>
    <customShpInfo spid="_x0000_s1085"/>
    <customShpInfo spid="_x0000_s1083"/>
    <customShpInfo spid="_x0000_s1087"/>
    <customShpInfo spid="_x0000_s1088"/>
    <customShpInfo spid="_x0000_s1086"/>
    <customShpInfo spid="_x0000_s1089"/>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A667BE0-52C0-4CAE-9ED9-A4EAA52B8707}">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24</Pages>
  <Words>1004</Words>
  <Characters>5724</Characters>
  <Lines>47</Lines>
  <Paragraphs>13</Paragraphs>
  <TotalTime>205</TotalTime>
  <ScaleCrop>false</ScaleCrop>
  <LinksUpToDate>false</LinksUpToDate>
  <CharactersWithSpaces>6715</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2019-11-03T07:54:00Z</dcterms:created>
  <dc:creator>User</dc:creator>
  <cp:lastModifiedBy>dell</cp:lastModifiedBy>
  <cp:lastPrinted>2019-08-02T01:01:00Z</cp:lastPrinted>
  <dcterms:modified xsi:type="dcterms:W3CDTF">2024-09-27T08:28:54Z</dcterms:modified>
  <dc:subject>石家庄市xxx部门</dc:subject>
  <dc:title>2017年度部门决算</dc:title>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F5876DD23B2D441083457A5067308E4D_12</vt:lpwstr>
  </property>
</Properties>
</file>