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0" w:name="_GoBack"/>
      <w:bookmarkEnd w:id="0"/>
      <w:r>
        <w:pict>
          <v:shape id="文本框 5" o:spid="_x0000_s1026" o:spt="202" type="#_x0000_t202" style="position:absolute;left:0pt;margin-left:128.25pt;margin-top:619.9pt;height:40.75pt;width:167.85pt;z-index:25166950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">
            <v:path/>
            <v:fill on="f" focussize="0,0"/>
            <v:stroke on="f" weight="0.5pt" joinstyle="miter"/>
            <v:imagedata o:title=""/>
            <o:lock v:ext="edit"/>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w:r>
      <w:r>
        <w:drawing>
          <wp:anchor distT="0" distB="0" distL="114300" distR="114300" simplePos="0" relativeHeight="251660288"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0"/>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b/>
          <w:bCs/>
          <w:sz w:val="48"/>
          <w:szCs w:val="52"/>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kern w:val="0"/>
          <w:sz w:val="44"/>
          <w:szCs w:val="44"/>
        </w:rPr>
      </w:pPr>
      <w:r>
        <w:rPr>
          <w:rFonts w:hint="eastAsia" w:ascii="楷体_GB2312" w:hAnsi="楷体_GB2312" w:eastAsia="楷体_GB2312" w:cs="楷体_GB2312"/>
          <w:kern w:val="0"/>
          <w:sz w:val="44"/>
          <w:szCs w:val="44"/>
        </w:rPr>
        <w:t>高邑县教育局</w:t>
      </w:r>
    </w:p>
    <w:p>
      <w:pPr>
        <w:snapToGrid w:val="0"/>
        <w:jc w:val="center"/>
        <w:rPr>
          <w:rFonts w:ascii="楷体_GB2312" w:hAnsi="楷体_GB2312" w:eastAsia="楷体_GB2312" w:cs="楷体_GB2312"/>
          <w:color w:val="000000" w:themeColor="text1"/>
          <w:kern w:val="0"/>
          <w:sz w:val="40"/>
          <w:szCs w:val="40"/>
        </w:rPr>
      </w:pPr>
      <w:r>
        <w:rPr>
          <w:rFonts w:hint="eastAsia" w:ascii="楷体_GB2312" w:hAnsi="楷体_GB2312" w:eastAsia="楷体_GB2312" w:cs="楷体_GB2312"/>
          <w:color w:val="000000" w:themeColor="text1"/>
          <w:kern w:val="0"/>
          <w:sz w:val="40"/>
          <w:szCs w:val="40"/>
        </w:rPr>
        <w:t>二〇二一年九月</w:t>
      </w:r>
    </w:p>
    <w:p>
      <w:pPr>
        <w:snapToGrid w:val="0"/>
        <w:jc w:val="center"/>
        <w:rPr>
          <w:rFonts w:ascii="楷体_GB2312" w:hAnsi="楷体_GB2312" w:eastAsia="楷体_GB2312" w:cs="楷体_GB2312"/>
          <w:color w:val="000000" w:themeColor="text1"/>
          <w:kern w:val="0"/>
          <w:sz w:val="40"/>
          <w:szCs w:val="40"/>
        </w:rPr>
      </w:pPr>
    </w:p>
    <w:p>
      <w:pPr>
        <w:jc w:val="center"/>
        <w:rPr>
          <w:rFonts w:ascii="黑体" w:hAnsi="黑体" w:eastAsia="黑体" w:cs="黑体"/>
          <w:sz w:val="72"/>
          <w:szCs w:val="96"/>
          <w:highlight w:val="yellow"/>
        </w:rPr>
      </w:pPr>
      <w:r>
        <w:rPr>
          <w:rFonts w:hint="eastAsia" w:ascii="黑体" w:hAnsi="黑体" w:eastAsia="黑体" w:cs="黑体"/>
          <w:sz w:val="72"/>
          <w:szCs w:val="96"/>
        </w:rPr>
        <w:t>高邑县教育局</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ascii="楷体_GB2312" w:hAnsi="楷体_GB2312" w:eastAsia="楷体_GB2312" w:cs="楷体_GB2312"/>
          <w:color w:val="000000" w:themeColor="text1"/>
          <w:kern w:val="0"/>
          <w:sz w:val="40"/>
          <w:szCs w:val="40"/>
        </w:rPr>
      </w:pPr>
    </w:p>
    <w:p>
      <w:pPr>
        <w:snapToGrid w:val="0"/>
        <w:jc w:val="center"/>
        <w:rPr>
          <w:rFonts w:ascii="楷体_GB2312" w:hAnsi="楷体_GB2312" w:eastAsia="楷体_GB2312" w:cs="楷体_GB2312"/>
          <w:color w:val="000000" w:themeColor="text1"/>
          <w:kern w:val="0"/>
          <w:sz w:val="40"/>
          <w:szCs w:val="40"/>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rPr>
        <w:t>二〇二一年九月</w:t>
      </w:r>
    </w:p>
    <w:p>
      <w:pPr>
        <w:tabs>
          <w:tab w:val="left" w:pos="2728"/>
        </w:tabs>
        <w:jc w:val="center"/>
        <w:rPr>
          <w:rFonts w:hint="eastAsia" w:ascii="黑体" w:hAnsi="黑体" w:eastAsia="黑体" w:cs="黑体"/>
          <w:bCs/>
          <w:sz w:val="32"/>
          <w:szCs w:val="32"/>
        </w:rPr>
      </w:pPr>
    </w:p>
    <w:p>
      <w:pPr>
        <w:tabs>
          <w:tab w:val="left" w:pos="2728"/>
        </w:tabs>
        <w:jc w:val="center"/>
        <w:rPr>
          <w:rFonts w:hint="eastAsia"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文本框 143" o:spid="_x0000_s1027" o:spt="202" type="#_x0000_t202" style="position:absolute;left:0pt;margin-left:-85.7pt;margin-top:80.7pt;height:263.1pt;width:613.65pt;z-index:251664384;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">
            <v:path/>
            <v:fill type="pattern" on="t" color2="#FFFFFF" o:title="image2" focussize="0,0" r:id="rId11"/>
            <v:stroke weight="1pt" color="#A5A5A5"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（一）学前教育，实施学前教育重点项目，支持和引导扩大学前教育资源，缓解当前存在的“入园难”、“入园贵”问题。调整完善财政支持政策，增强资金配置的科学性，提高幼儿园入园率和扩大在园幼儿数</w:t>
      </w:r>
      <w:r>
        <w:rPr>
          <w:rFonts w:ascii="仿宋_GB2312" w:eastAsia="仿宋_GB2312" w:cs="Arial Black"/>
          <w:kern w:val="0"/>
          <w:sz w:val="32"/>
          <w:szCs w:val="32"/>
        </w:rPr>
        <w:t>,</w:t>
      </w:r>
      <w:r>
        <w:rPr>
          <w:rFonts w:hint="eastAsia" w:ascii="仿宋_GB2312" w:eastAsia="仿宋_GB2312" w:cs="Arial Black"/>
          <w:kern w:val="0"/>
          <w:sz w:val="32"/>
          <w:szCs w:val="32"/>
        </w:rPr>
        <w:t>有效缓解“入园难”、“入园贵”等问题。</w:t>
      </w:r>
    </w:p>
    <w:p>
      <w:pPr>
        <w:ind w:firstLine="480" w:firstLineChars="150"/>
        <w:rPr>
          <w:rFonts w:ascii="仿宋_GB2312" w:eastAsia="仿宋_GB2312" w:cs="Arial Black"/>
          <w:kern w:val="0"/>
          <w:sz w:val="32"/>
          <w:szCs w:val="32"/>
        </w:rPr>
      </w:pPr>
      <w:r>
        <w:rPr>
          <w:rFonts w:hint="eastAsia" w:ascii="仿宋_GB2312" w:eastAsia="仿宋_GB2312" w:cs="Arial Black"/>
          <w:kern w:val="0"/>
          <w:sz w:val="32"/>
          <w:szCs w:val="32"/>
        </w:rPr>
        <w:t>（二）义务教育，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pPr>
        <w:ind w:firstLine="480" w:firstLineChars="150"/>
        <w:rPr>
          <w:rFonts w:ascii="仿宋_GB2312" w:eastAsia="仿宋_GB2312" w:cs="Arial Black"/>
          <w:kern w:val="0"/>
          <w:sz w:val="32"/>
          <w:szCs w:val="32"/>
        </w:rPr>
      </w:pPr>
      <w:r>
        <w:rPr>
          <w:rFonts w:hint="eastAsia" w:ascii="仿宋_GB2312" w:eastAsia="仿宋_GB2312" w:cs="Arial Black"/>
          <w:kern w:val="0"/>
          <w:sz w:val="32"/>
          <w:szCs w:val="32"/>
        </w:rPr>
        <w:t>（三）高中教育，建立健全普通高中国家助学金制度，改善普通高中办学件。</w:t>
      </w:r>
    </w:p>
    <w:p>
      <w:pPr>
        <w:ind w:firstLine="480" w:firstLineChars="150"/>
        <w:rPr>
          <w:rFonts w:ascii="仿宋_GB2312" w:eastAsia="仿宋_GB2312" w:cs="Arial Black"/>
          <w:kern w:val="0"/>
          <w:sz w:val="32"/>
          <w:szCs w:val="32"/>
        </w:rPr>
      </w:pPr>
      <w:r>
        <w:rPr>
          <w:rFonts w:hint="eastAsia" w:ascii="仿宋_GB2312" w:eastAsia="仿宋_GB2312" w:cs="Arial Black"/>
          <w:kern w:val="0"/>
          <w:sz w:val="32"/>
          <w:szCs w:val="32"/>
        </w:rPr>
        <w:t>（四）职业教育，大力发展职业教育，坚持以就业为导向，深化职业教育教学改革，增强职业教育发展活力。</w:t>
      </w:r>
    </w:p>
    <w:p>
      <w:pPr>
        <w:ind w:firstLine="480" w:firstLineChars="150"/>
        <w:rPr>
          <w:rFonts w:ascii="仿宋_GB2312" w:eastAsia="仿宋_GB2312" w:cs="Arial Black"/>
          <w:kern w:val="0"/>
          <w:sz w:val="32"/>
          <w:szCs w:val="32"/>
        </w:rPr>
      </w:pPr>
      <w:r>
        <w:rPr>
          <w:rFonts w:hint="eastAsia" w:ascii="仿宋_GB2312" w:eastAsia="仿宋_GB2312" w:cs="Arial Black"/>
          <w:kern w:val="0"/>
          <w:sz w:val="32"/>
          <w:szCs w:val="32"/>
        </w:rPr>
        <w:t>（五）成人和民办教育</w:t>
      </w:r>
      <w:r>
        <w:rPr>
          <w:rFonts w:ascii="仿宋_GB2312" w:eastAsia="仿宋_GB2312" w:cs="Arial Black"/>
          <w:kern w:val="0"/>
          <w:sz w:val="32"/>
          <w:szCs w:val="32"/>
        </w:rPr>
        <w:t>,</w:t>
      </w:r>
      <w:r>
        <w:rPr>
          <w:rFonts w:hint="eastAsia" w:ascii="仿宋_GB2312" w:eastAsia="仿宋_GB2312" w:cs="Arial Black"/>
          <w:kern w:val="0"/>
          <w:sz w:val="32"/>
          <w:szCs w:val="32"/>
        </w:rPr>
        <w:t>加强民办教育的统筹规划和管理，完善民办教育政策措施，规范办学秩序，促进民办教育事业发展。</w:t>
      </w:r>
    </w:p>
    <w:p>
      <w:pPr>
        <w:ind w:firstLine="480" w:firstLineChars="150"/>
        <w:rPr>
          <w:rFonts w:ascii="仿宋_GB2312" w:eastAsia="仿宋_GB2312" w:cs="Arial Black"/>
          <w:kern w:val="0"/>
          <w:sz w:val="32"/>
          <w:szCs w:val="32"/>
        </w:rPr>
      </w:pPr>
      <w:r>
        <w:rPr>
          <w:rFonts w:hint="eastAsia" w:ascii="仿宋_GB2312" w:eastAsia="仿宋_GB2312" w:cs="Arial Black"/>
          <w:kern w:val="0"/>
          <w:sz w:val="32"/>
          <w:szCs w:val="32"/>
        </w:rPr>
        <w:t>（六）教师队伍建设</w:t>
      </w:r>
      <w:r>
        <w:rPr>
          <w:rFonts w:ascii="仿宋_GB2312" w:eastAsia="仿宋_GB2312" w:cs="Arial Black"/>
          <w:kern w:val="0"/>
          <w:sz w:val="32"/>
          <w:szCs w:val="32"/>
        </w:rPr>
        <w:t>,</w:t>
      </w:r>
      <w:r>
        <w:rPr>
          <w:rFonts w:hint="eastAsia" w:ascii="仿宋_GB2312" w:eastAsia="仿宋_GB2312" w:cs="Arial Black"/>
          <w:kern w:val="0"/>
          <w:sz w:val="32"/>
          <w:szCs w:val="32"/>
        </w:rPr>
        <w:t>主管全县教师工作；负责全县中小学教师资格标准的实施；统筹规划和指导学校教师及管理人员队伍建设。</w:t>
      </w:r>
    </w:p>
    <w:p>
      <w:pPr>
        <w:ind w:firstLine="560"/>
        <w:rPr>
          <w:rFonts w:ascii="仿宋_GB2312" w:eastAsia="仿宋_GB2312" w:cs="Arial Black"/>
          <w:kern w:val="0"/>
          <w:sz w:val="32"/>
          <w:szCs w:val="32"/>
        </w:rPr>
      </w:pPr>
      <w:r>
        <w:rPr>
          <w:rFonts w:hint="eastAsia" w:ascii="仿宋_GB2312" w:eastAsia="仿宋_GB2312" w:cs="Arial Black"/>
          <w:kern w:val="0"/>
          <w:sz w:val="32"/>
          <w:szCs w:val="32"/>
        </w:rPr>
        <w:t>（七）教育政务管理</w:t>
      </w:r>
      <w:r>
        <w:rPr>
          <w:rFonts w:ascii="仿宋_GB2312" w:eastAsia="仿宋_GB2312" w:cs="Arial Black"/>
          <w:kern w:val="0"/>
          <w:sz w:val="32"/>
          <w:szCs w:val="32"/>
        </w:rPr>
        <w:t>,</w:t>
      </w:r>
      <w:r>
        <w:rPr>
          <w:rFonts w:hint="eastAsia" w:ascii="仿宋_GB2312" w:eastAsia="仿宋_GB2312" w:cs="Arial Black"/>
          <w:kern w:val="0"/>
          <w:sz w:val="32"/>
          <w:szCs w:val="32"/>
        </w:rPr>
        <w:t>负责教育系统综合业务管理和机关综合事务管理。</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年度本部门决算汇编范围的独立核算单位（以下简称“单位”）共15个，具体情况如下：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高邑县教育局(本级)</w:t>
            </w:r>
          </w:p>
        </w:tc>
        <w:tc>
          <w:tcPr>
            <w:tcW w:w="2404"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426"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高邑县第一中学</w:t>
            </w:r>
          </w:p>
        </w:tc>
        <w:tc>
          <w:tcPr>
            <w:tcW w:w="2404"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3</w:t>
            </w:r>
          </w:p>
        </w:tc>
        <w:tc>
          <w:tcPr>
            <w:tcW w:w="3426"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高邑县第二中学</w:t>
            </w:r>
          </w:p>
        </w:tc>
        <w:tc>
          <w:tcPr>
            <w:tcW w:w="2404" w:type="dxa"/>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4</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高邑县第三中学</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5</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hAnsi="Cambria" w:eastAsia="仿宋_GB2312" w:cs="ArialUnicodeMS"/>
                <w:kern w:val="0"/>
                <w:sz w:val="24"/>
              </w:rPr>
              <w:t>高邑县第四中学</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6</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高邑县音体美中学</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7</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高邑县教师进修学校</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8</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高邑县职教中心</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9</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高邑县特殊教育学校</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10</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高邑县职工子弟学校</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11</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高邑县大营学区</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12</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高邑县万城学区</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13</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高邑县富村学区</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14</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高邑县中韩学区</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15</w:t>
            </w:r>
          </w:p>
        </w:tc>
        <w:tc>
          <w:tcPr>
            <w:tcW w:w="3426"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高邑县高邑镇学区</w:t>
            </w:r>
          </w:p>
        </w:tc>
        <w:tc>
          <w:tcPr>
            <w:tcW w:w="2404" w:type="dxa"/>
            <w:tcBorders>
              <w:bottom w:val="single" w:color="auto" w:sz="4" w:space="0"/>
            </w:tcBorders>
            <w:vAlign w:val="center"/>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4"/>
              </w:rPr>
              <w:t>财政补助事业单位</w:t>
            </w:r>
          </w:p>
        </w:tc>
        <w:tc>
          <w:tcPr>
            <w:tcW w:w="2622" w:type="dxa"/>
            <w:tcBorders>
              <w:bottom w:val="single" w:color="auto" w:sz="4" w:space="0"/>
            </w:tcBorders>
            <w:vAlign w:val="center"/>
          </w:tcPr>
          <w:p>
            <w:pPr>
              <w:jc w:val="center"/>
              <w:rPr>
                <w:rFonts w:ascii="仿宋_GB2312" w:eastAsia="仿宋_GB2312"/>
              </w:rPr>
            </w:pPr>
            <w:r>
              <w:rPr>
                <w:rFonts w:hint="eastAsia" w:ascii="仿宋_GB2312" w:eastAsia="仿宋_GB2312" w:cs="ArialUnicodeMS"/>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w:pict>
          <v:shape id="文本框 151" o:spid="_x0000_s1028" o:spt="202" type="#_x0000_t202" style="position:absolute;left:0pt;margin-left:-85.7pt;margin-top:238.15pt;height:173.25pt;width:613.65pt;z-index:25166540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WMGQcXkC&#10;AAAnBQAADgAAAAAAAAAAAAAAAAAuAgAAZHJzL2Uyb0RvYy54bWxQSwECLQAUAAYACAAAACEAoATI&#10;KuUAAAANAQAADwAAAAAAAAAAAAAAAADTBAAAZHJzL2Rvd25yZXYueG1sUEsFBgAAAAAEAAQA8wAA&#10;AOUFA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文本框 2" o:spid="_x0000_s1029" o:spt="202" type="#_x0000_t202" style="position:absolute;left:0pt;margin-left:-80.95pt;margin-top:-207.65pt;height:263.1pt;width:613.65pt;z-index:251666432;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">
            <v:path/>
            <v:fill type="pattern" on="t" color2="#FFFFFF" o:title="image2" focussize="0,0" r:id="rId11"/>
            <v:stroke weight="1pt" color="#A5A5A5"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2020年部门决算情况说明</w:t>
                  </w:r>
                </w:p>
                <w:p>
                  <w:pPr>
                    <w:widowControl/>
                    <w:jc w:val="center"/>
                  </w:pPr>
                </w:p>
                <w:p/>
              </w:txbxContent>
            </v:textbox>
          </v:shape>
        </w:pic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本部门2020年度收、支总计（含结转和结余）32396.83万元。与2019年度决算相比，收支各增加656.8万元，增长2.07%，主要原因是人员工资增长。</w:t>
      </w: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59264" behindDoc="1" locked="0" layoutInCell="1" allowOverlap="1">
            <wp:simplePos x="0" y="0"/>
            <wp:positionH relativeFrom="column">
              <wp:posOffset>744220</wp:posOffset>
            </wp:positionH>
            <wp:positionV relativeFrom="paragraph">
              <wp:posOffset>62230</wp:posOffset>
            </wp:positionV>
            <wp:extent cx="4157980" cy="2273300"/>
            <wp:effectExtent l="0" t="0" r="0" b="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ascii="黑体" w:hAnsi="Calibri" w:eastAsia="黑体" w:cs="Times New Roman"/>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rPr>
        <w:t>部门2020年度本年收入合计</w:t>
      </w:r>
      <w:r>
        <w:rPr>
          <w:rFonts w:ascii="仿宋_GB2312" w:hAnsi="Times New Roman" w:eastAsia="仿宋_GB2312" w:cs="Wingdings"/>
          <w:color w:val="000000" w:themeColor="text1"/>
          <w:sz w:val="32"/>
          <w:szCs w:val="32"/>
        </w:rPr>
        <w:t>31519.67</w:t>
      </w:r>
      <w:r>
        <w:rPr>
          <w:rFonts w:hint="eastAsia" w:ascii="仿宋_GB2312" w:hAnsi="Times New Roman" w:eastAsia="仿宋_GB2312" w:cs="Wingdings"/>
          <w:color w:val="000000" w:themeColor="text1"/>
          <w:sz w:val="32"/>
          <w:szCs w:val="32"/>
        </w:rPr>
        <w:t>万元，其中：财政拨款收入</w:t>
      </w:r>
      <w:r>
        <w:rPr>
          <w:rFonts w:ascii="仿宋_GB2312" w:hAnsi="Times New Roman" w:eastAsia="仿宋_GB2312" w:cs="Wingdings"/>
          <w:color w:val="000000" w:themeColor="text1"/>
          <w:sz w:val="32"/>
          <w:szCs w:val="32"/>
        </w:rPr>
        <w:t>31519.67</w:t>
      </w:r>
      <w:r>
        <w:rPr>
          <w:rFonts w:hint="eastAsia" w:ascii="仿宋_GB2312" w:hAnsi="Times New Roman" w:eastAsia="仿宋_GB2312" w:cs="Wingdings"/>
          <w:color w:val="000000" w:themeColor="text1"/>
          <w:sz w:val="32"/>
          <w:szCs w:val="32"/>
        </w:rPr>
        <w:t>万元，占100%；上级补助收入0万元，占0%；事业收入0万元，占0%；经营收入0万元，占0%；附属单位上缴收入0万元，占0%；其他收入0万元，占0%。</w:t>
      </w:r>
      <w:r>
        <w:rPr>
          <w:rFonts w:hint="eastAsia" w:ascii="仿宋_GB2312" w:hAnsi="Times New Roman" w:eastAsia="仿宋_GB2312" w:cs="Wingdings"/>
          <w:sz w:val="32"/>
          <w:szCs w:val="32"/>
        </w:rPr>
        <w:t>如图所示：</w:t>
      </w:r>
    </w:p>
    <w:p>
      <w:pPr>
        <w:snapToGrid w:val="0"/>
        <w:spacing w:line="600" w:lineRule="exact"/>
        <w:ind w:firstLine="640" w:firstLineChars="200"/>
        <w:outlineLvl w:val="1"/>
        <w:rPr>
          <w:rFonts w:ascii="黑体" w:hAnsi="Calibri" w:eastAsia="黑体" w:cs="Times New Roman"/>
          <w:sz w:val="32"/>
          <w:szCs w:val="32"/>
        </w:rPr>
      </w:pPr>
      <w:r>
        <w:rPr>
          <w:rFonts w:ascii="黑体" w:hAnsi="Calibri" w:eastAsia="黑体" w:cs="Times New Roman"/>
          <w:sz w:val="32"/>
          <w:szCs w:val="32"/>
        </w:rPr>
        <w:pict>
          <v:shape id="文本框 32" o:spid="_x0000_s1032" o:spt="202" type="#_x0000_t202" style="position:absolute;left:0pt;margin-left:113.1pt;margin-top:142.7pt;height:29.35pt;width:209.35pt;z-index:251670528;mso-width-relative:page;mso-height-relative:page;"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DRTcEA&#10;AADcAAAADwAAAGRycy9kb3ducmV2LnhtbERPTWvDMAy9D/YfjAa7rU7KMkZaN5RBYadBk6xnEatx&#10;aCwH22vT/vp6MNhNj/epdTXbUZzJh8GxgnyRgSDunB64V9A2u5d3ECEiaxwdk4IrBag2jw9rLLW7&#10;8J7OdexFCuFQogIT41RKGTpDFsPCTcSJOzpvMSboe6k9XlK4HeUyy96kxYFTg8GJPgx1p/rHKjj0&#10;9nb4zidvtB1f+et2bVo3KPX8NG9XICLN8V/85/7UaX5RwO8z6QK5u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A0U3BAAAA3AAAAA8AAAAAAAAAAAAAAAAAmAIAAGRycy9kb3du&#10;cmV2LnhtbFBLBQYAAAAABAAEAPUAAACGAwAAAAA=&#10;">
            <v:path/>
            <v:fill focussize="0,0"/>
            <v:stroke on="f" weight="0.5pt" joinstyle="miter"/>
            <v:imagedata o:title=""/>
            <o:lock v:ext="edit"/>
            <v:textbox>
              <w:txbxContent>
                <w:p>
                  <w:pPr>
                    <w:adjustRightInd w:val="0"/>
                    <w:snapToGrid w:val="0"/>
                    <w:spacing w:after="160"/>
                    <w:jc w:val="center"/>
                    <w:rPr>
                      <w:rFonts w:ascii="楷体_GB2312" w:hAnsi="楷体_GB2312" w:eastAsia="楷体_GB2312" w:cs="楷体_GB2312"/>
                      <w:sz w:val="24"/>
                    </w:rPr>
                  </w:pPr>
                  <w:r>
                    <w:rPr>
                      <w:rFonts w:hint="eastAsia" w:ascii="楷体_GB2312" w:hAnsi="楷体_GB2312" w:eastAsia="楷体_GB2312" w:cs="楷体_GB2312"/>
                      <w:sz w:val="24"/>
                    </w:rPr>
                    <w:t>图2：收入决算构成情况</w:t>
                  </w:r>
                </w:p>
                <w:p>
                  <w:pPr>
                    <w:spacing w:after="160"/>
                    <w:rPr>
                      <w:rFonts w:ascii="楷体_GB2312" w:hAnsi="楷体_GB2312" w:eastAsia="楷体_GB2312" w:cs="楷体_GB2312"/>
                      <w:sz w:val="18"/>
                      <w:szCs w:val="22"/>
                    </w:rPr>
                  </w:pPr>
                </w:p>
              </w:txbxContent>
            </v:textbox>
          </v:shape>
        </w:pict>
      </w:r>
      <w:r>
        <w:rPr>
          <w:rFonts w:hint="eastAsia" w:ascii="仿宋_GB2312" w:hAnsi="Times New Roman" w:eastAsia="仿宋_GB2312" w:cs="Wingdings"/>
          <w:sz w:val="32"/>
          <w:szCs w:val="32"/>
        </w:rPr>
        <w:drawing>
          <wp:anchor distT="0" distB="0" distL="114300" distR="114300" simplePos="0" relativeHeight="251661312" behindDoc="0" locked="0" layoutInCell="1" allowOverlap="1">
            <wp:simplePos x="0" y="0"/>
            <wp:positionH relativeFrom="column">
              <wp:posOffset>59055</wp:posOffset>
            </wp:positionH>
            <wp:positionV relativeFrom="paragraph">
              <wp:posOffset>170815</wp:posOffset>
            </wp:positionV>
            <wp:extent cx="5546090" cy="1629410"/>
            <wp:effectExtent l="4445" t="4445" r="12065" b="2349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本部门2020年度本年支出合计29691.15万元，其中：基本支出20258.98万元，占68.23%；项目支出9432.17万元，占31.77%；上缴上级支出0万元，占0%；经营支出0万元，占0%；对附属单位补助支出0万元，占0%。如图所示：</w:t>
      </w:r>
    </w:p>
    <w:p>
      <w:pPr>
        <w:adjustRightInd w:val="0"/>
        <w:snapToGrid w:val="0"/>
        <w:spacing w:line="600" w:lineRule="exact"/>
        <w:ind w:firstLine="1260" w:firstLineChars="600"/>
        <w:rPr>
          <w:rFonts w:ascii="仿宋_GB2312" w:hAnsi="Times New Roman" w:eastAsia="仿宋_GB2312" w:cs="Wingdings"/>
          <w:sz w:val="32"/>
          <w:szCs w:val="32"/>
        </w:rPr>
      </w:pPr>
      <w:r>
        <w:drawing>
          <wp:anchor distT="0" distB="0" distL="114300" distR="114300" simplePos="0" relativeHeight="251662336" behindDoc="0" locked="0" layoutInCell="1" allowOverlap="1">
            <wp:simplePos x="0" y="0"/>
            <wp:positionH relativeFrom="column">
              <wp:posOffset>381000</wp:posOffset>
            </wp:positionH>
            <wp:positionV relativeFrom="paragraph">
              <wp:posOffset>257175</wp:posOffset>
            </wp:positionV>
            <wp:extent cx="4596765" cy="2767965"/>
            <wp:effectExtent l="0" t="0" r="13335" b="13335"/>
            <wp:wrapSquare wrapText="bothSides"/>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4"/>
                    <a:stretch>
                      <a:fillRect/>
                    </a:stretch>
                  </pic:blipFill>
                  <pic:spPr>
                    <a:xfrm>
                      <a:off x="0" y="0"/>
                      <a:ext cx="4596765" cy="2767965"/>
                    </a:xfrm>
                    <a:prstGeom prst="rect">
                      <a:avLst/>
                    </a:prstGeom>
                    <a:noFill/>
                    <a:ln>
                      <a:noFill/>
                    </a:ln>
                  </pic:spPr>
                </pic:pic>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3" w:firstLineChars="200"/>
        <w:outlineLvl w:val="1"/>
        <w:rPr>
          <w:rFonts w:ascii="黑体" w:hAnsi="Calibri" w:eastAsia="黑体" w:cs="Times New Roman"/>
          <w:b/>
          <w:bC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本部门2020年度财政拨款本年收入31519.67万元,比2019年度增加1864.67万元，增长6.29%，主要是人员经费增长；本年支出29691.15万元，增加154.12万元，增长0.52%，主要是人员工资支出增加。具体情况如下：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一般公共预算财政拨款本年收入30592.83万元，比上年增加1000.23万元；主要是人员工资的增加；本年支出28868.62万元，比上年减少668.41万元，降低2.26%，主要是项目完工支出减少。</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政府性基金预算财政拨款本年收入926.84万元，比上年增加864.45万元，增长1385.56%，主要原因是增加职教园区建设项目支出；本年支出822.53万元，比上年增772.14万元，增长1532.33%，主要是职教园区建设项目支出。</w:t>
      </w: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31519.67万元，完成年初预算的97.13%,比年初预算减少931.33万元，决算数小于预算数主要原因是部分项目未实施；本年支出29691.15万元，完成年初预算的91.5%,比年初预算减少2759.85万元，决算数小于预算数主要原因是部分项目实施进度慢。具体情况如下：</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一般公共预算财政拨款本年收入完成年初预算95%，比年初预算减少1609.88万元，主要是部分项目未开始；支出完成年初预算89.65%，比年初预算减少3334.09万元，主要是部分项目未开始实施和进度较慢。</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政府性基金预算财政拨款本年收入完成年初预算373.29%，比年初预算增加678.55万元，主要是职教园区建设项目增加；支出完成年初预算331.28%，比年初预算增加574.24万元，主要是职教园区建设项目支出增加。</w:t>
      </w:r>
    </w:p>
    <w:p>
      <w:pPr>
        <w:numPr>
          <w:ilvl w:val="0"/>
          <w:numId w:val="3"/>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年度财政拨款支出29691.15万元，主要用于以下方面：教育（类）支出27892.61万元，占93.94%；文化旅游体育与传媒支出876.01万元，占 2.95%；城乡社区支出 654.84万元，占2.21%；其他支出267.69万元，占0.9%。如下图所示：</w:t>
      </w:r>
    </w:p>
    <w:p>
      <w:pPr>
        <w:adjustRightInd w:val="0"/>
        <w:snapToGrid w:val="0"/>
        <w:spacing w:line="600" w:lineRule="exact"/>
        <w:rPr>
          <w:rFonts w:ascii="楷体_GB2312" w:hAnsi="Times New Roman" w:eastAsia="楷体_GB2312" w:cs="Mongolian Baiti"/>
          <w:b/>
          <w:bCs/>
          <w:sz w:val="32"/>
          <w:szCs w:val="32"/>
        </w:rPr>
      </w:pPr>
      <w:r>
        <w:drawing>
          <wp:anchor distT="0" distB="0" distL="114300" distR="114300" simplePos="0" relativeHeight="251663360" behindDoc="0" locked="0" layoutInCell="1" allowOverlap="1">
            <wp:simplePos x="0" y="0"/>
            <wp:positionH relativeFrom="column">
              <wp:posOffset>495300</wp:posOffset>
            </wp:positionH>
            <wp:positionV relativeFrom="paragraph">
              <wp:posOffset>190500</wp:posOffset>
            </wp:positionV>
            <wp:extent cx="4627245" cy="2767965"/>
            <wp:effectExtent l="0" t="0" r="1905" b="13335"/>
            <wp:wrapSquare wrapText="bothSides"/>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5"/>
                    <a:stretch>
                      <a:fillRect/>
                    </a:stretch>
                  </pic:blipFill>
                  <pic:spPr>
                    <a:xfrm>
                      <a:off x="0" y="0"/>
                      <a:ext cx="4627245" cy="2767965"/>
                    </a:xfrm>
                    <a:prstGeom prst="rect">
                      <a:avLst/>
                    </a:prstGeom>
                    <a:noFill/>
                    <a:ln>
                      <a:noFill/>
                    </a:ln>
                  </pic:spPr>
                </pic:pic>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年度财政拨款基本支出20258.98万元，其中：人员经费 19523.25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735.73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仿宋_GB2312" w:hAnsi="Times New Roman" w:eastAsia="仿宋_GB2312" w:cs="Wingdings"/>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本部门2020年度“三公”经费财政拨款支出预算为1.5万元，支出决算为1.19元，完成预算的79.33%,较预算减少0.31万元，降低20.67%，主要是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；较2019年度减少0.61万元，降低33.89%，主要是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因公出国（境）团组0个、共0人、参加其他单位组织的因公出国（境）团组0个、共0人/无本单位组织的出国（境）团组。因公出国（境）费支出较预算增加0万元，增长0%,主要是</w:t>
      </w:r>
      <w:r>
        <w:rPr>
          <w:rFonts w:hint="eastAsia" w:ascii="仿宋_GB2312" w:hAnsi="Times New Roman" w:eastAsia="仿宋_GB2312" w:cs="DengXian-Regular"/>
          <w:sz w:val="32"/>
          <w:szCs w:val="32"/>
        </w:rPr>
        <w:t>我部门未组织人员出国</w:t>
      </w:r>
      <w:r>
        <w:rPr>
          <w:rFonts w:hint="eastAsia" w:ascii="仿宋_GB2312" w:hAnsi="Times New Roman" w:eastAsia="仿宋_GB2312" w:cs="Wingdings"/>
          <w:sz w:val="32"/>
          <w:szCs w:val="32"/>
        </w:rPr>
        <w:t>；较上年增加0万元，增长0%,主要是</w:t>
      </w:r>
      <w:r>
        <w:rPr>
          <w:rFonts w:hint="eastAsia" w:ascii="仿宋_GB2312" w:hAnsi="Times New Roman" w:eastAsia="仿宋_GB2312" w:cs="DengXian-Regular"/>
          <w:sz w:val="32"/>
          <w:szCs w:val="32"/>
        </w:rPr>
        <w:t>我部门未组织人员出国</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本部门2020年公务用车购置及运行维护费支出1.19万元，完成预算的79.33%，</w:t>
      </w:r>
      <w:r>
        <w:rPr>
          <w:rFonts w:hint="eastAsia" w:ascii="仿宋_GB2312" w:hAnsi="Times New Roman" w:eastAsia="仿宋_GB2312" w:cs="Wingdings"/>
          <w:sz w:val="32"/>
          <w:szCs w:val="32"/>
        </w:rPr>
        <w:t>较预算增减少0.31万元，降低20.67%,主要是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；较上年减少0.61万元，降低33.89%,主要是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发生“公务用车购置”经费支出0万元。公务用车购置费支出较预算增加0万元，增长0%,主要是未发生公务用车购置经费支出；较上年增加0万元，增长0%,主要是未发生公务用车购置经费支出。</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本部门2020年度单位公务用车保有量1辆,发生运行维护费支出1.19万元。公车运行维护费支出较预算减少0.31万元，降低20.67%,主要是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；较上年减少0.61万元，降低33.89%，主要是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本部门2020年公务接待费支出0万元，完成预算的0%。发生</w:t>
      </w:r>
      <w:r>
        <w:rPr>
          <w:rFonts w:hint="eastAsia" w:ascii="仿宋_GB2312" w:hAnsi="Times New Roman" w:eastAsia="仿宋_GB2312" w:cs="Wingdings"/>
          <w:sz w:val="32"/>
          <w:szCs w:val="32"/>
        </w:rPr>
        <w:t>公务接待共0批次、0人次。公务接待费支出较预算增加0万元，增长0%,主要是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；较上年度减少3万元，降低100%,主要是</w:t>
      </w:r>
      <w:r>
        <w:rPr>
          <w:rFonts w:hint="eastAsia" w:ascii="仿宋_GB2312" w:hAnsi="等线" w:eastAsia="仿宋_GB2312" w:cs="DengXian-Regular"/>
          <w:sz w:val="32"/>
          <w:szCs w:val="32"/>
        </w:rPr>
        <w:t>认真贯彻落实中央</w:t>
      </w:r>
      <w:r>
        <w:rPr>
          <w:rFonts w:hint="eastAsia" w:ascii="仿宋_GB2312" w:hAnsi="等线" w:eastAsia="仿宋_GB2312" w:cs="DengXian-Regular"/>
          <w:sz w:val="32"/>
          <w:szCs w:val="32"/>
          <w:lang w:eastAsia="zh-CN"/>
        </w:rPr>
        <w:t>八项规定</w:t>
      </w:r>
      <w:r>
        <w:rPr>
          <w:rFonts w:hint="eastAsia" w:ascii="仿宋_GB2312" w:hAnsi="等线" w:eastAsia="仿宋_GB2312" w:cs="DengXian-Regular"/>
          <w:sz w:val="32"/>
          <w:szCs w:val="32"/>
        </w:rPr>
        <w:t>精神和厉行节约要求，从严控制“三公”经费开支</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24个，共涉及资金8609.64万元，占一般公共预算项目支出总额的100%；政府性基金预算项目4个,共涉及资金822.53万元，占政府性基金预算项目支出总额的100%。</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组织对“高中公用经费”等项目开展了部门重点评价，涉及一般公共预算支出166万元，政府性基金预算支出0万元。从评价情况来看，项目</w:t>
      </w:r>
      <w:r>
        <w:rPr>
          <w:rFonts w:hint="eastAsia" w:ascii="仿宋_GB2312" w:hAnsi="Calibri" w:eastAsia="仿宋_GB2312" w:cs="黑体"/>
          <w:sz w:val="32"/>
          <w:szCs w:val="32"/>
        </w:rPr>
        <w:t>保证了高中教育教学活动正常开展，高中教育教学质量逐年提升。</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高中公用经费项目绩效自评综述：根据年初设定的绩效目标，项目绩效自评得分为95分（绩效自评表附后）。全年预算数为166万元，执行数为166万元，完成预算的100%。项目绩效目标完成情况：一是</w:t>
      </w:r>
      <w:r>
        <w:rPr>
          <w:rFonts w:hint="eastAsia" w:ascii="仿宋_GB2312" w:hAnsi="Calibri" w:eastAsia="仿宋_GB2312" w:cs="黑体"/>
          <w:sz w:val="32"/>
          <w:szCs w:val="32"/>
        </w:rPr>
        <w:t>保证高中教育教学活动正常开展</w:t>
      </w:r>
      <w:r>
        <w:rPr>
          <w:rFonts w:hint="eastAsia" w:ascii="仿宋_GB2312" w:hAnsi="仿宋_GB2312" w:eastAsia="仿宋_GB2312" w:cs="仿宋_GB2312"/>
          <w:sz w:val="32"/>
          <w:szCs w:val="32"/>
        </w:rPr>
        <w:t>；二是</w:t>
      </w:r>
      <w:r>
        <w:rPr>
          <w:rFonts w:hint="eastAsia" w:ascii="仿宋_GB2312" w:hAnsi="Calibri" w:eastAsia="仿宋_GB2312" w:cs="黑体"/>
          <w:sz w:val="32"/>
          <w:szCs w:val="32"/>
        </w:rPr>
        <w:t>高中教育教学质量逐年提升</w:t>
      </w:r>
      <w:r>
        <w:rPr>
          <w:rFonts w:hint="eastAsia" w:ascii="仿宋_GB2312" w:hAnsi="仿宋_GB2312" w:eastAsia="仿宋_GB2312" w:cs="仿宋_GB2312"/>
          <w:sz w:val="32"/>
          <w:szCs w:val="32"/>
        </w:rPr>
        <w:t>。发现的主要问题及原因：</w:t>
      </w:r>
      <w:r>
        <w:rPr>
          <w:rFonts w:hint="eastAsia" w:ascii="仿宋_GB2312" w:hAnsi="Calibri" w:eastAsia="仿宋_GB2312" w:cs="黑体"/>
          <w:sz w:val="32"/>
          <w:szCs w:val="32"/>
        </w:rPr>
        <w:t>第二季度未按时拨付，主要原因是未按时履行相关手续</w:t>
      </w:r>
      <w:r>
        <w:rPr>
          <w:rFonts w:hint="eastAsia" w:ascii="仿宋_GB2312" w:hAnsi="仿宋_GB2312" w:eastAsia="仿宋_GB2312" w:cs="仿宋_GB2312"/>
          <w:sz w:val="32"/>
          <w:szCs w:val="32"/>
        </w:rPr>
        <w:t>。下一步改进措施：</w:t>
      </w:r>
      <w:r>
        <w:rPr>
          <w:rFonts w:hint="eastAsia" w:ascii="仿宋_GB2312" w:hAnsi="Calibri" w:eastAsia="仿宋_GB2312" w:cs="黑体"/>
          <w:sz w:val="32"/>
          <w:szCs w:val="32"/>
        </w:rPr>
        <w:t>对于以上问题以后年度要尽早完善相关手续。加快支出进度</w:t>
      </w:r>
      <w:r>
        <w:rPr>
          <w:rFonts w:hint="eastAsia" w:ascii="仿宋_GB2312" w:hAnsi="仿宋_GB2312" w:eastAsia="仿宋_GB2312" w:cs="仿宋_GB2312"/>
          <w:sz w:val="32"/>
          <w:szCs w:val="32"/>
        </w:rPr>
        <w:t>。</w:t>
      </w:r>
    </w:p>
    <w:tbl>
      <w:tblPr>
        <w:tblStyle w:val="6"/>
        <w:tblW w:w="8872" w:type="dxa"/>
        <w:tblInd w:w="0" w:type="dxa"/>
        <w:tblLayout w:type="fixed"/>
        <w:tblCellMar>
          <w:top w:w="0" w:type="dxa"/>
          <w:left w:w="0" w:type="dxa"/>
          <w:bottom w:w="0" w:type="dxa"/>
          <w:right w:w="0" w:type="dxa"/>
        </w:tblCellMar>
      </w:tblPr>
      <w:tblGrid>
        <w:gridCol w:w="1580"/>
        <w:gridCol w:w="1310"/>
        <w:gridCol w:w="901"/>
        <w:gridCol w:w="914"/>
        <w:gridCol w:w="1033"/>
        <w:gridCol w:w="1022"/>
        <w:gridCol w:w="960"/>
        <w:gridCol w:w="1152"/>
      </w:tblGrid>
      <w:tr>
        <w:tblPrEx>
          <w:tblCellMar>
            <w:top w:w="0" w:type="dxa"/>
            <w:left w:w="0" w:type="dxa"/>
            <w:bottom w:w="0" w:type="dxa"/>
            <w:right w:w="0" w:type="dxa"/>
          </w:tblCellMar>
        </w:tblPrEx>
        <w:trPr>
          <w:trHeight w:val="510" w:hRule="atLeast"/>
        </w:trPr>
        <w:tc>
          <w:tcPr>
            <w:tcW w:w="8872"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color w:val="000000"/>
                <w:sz w:val="40"/>
                <w:szCs w:val="40"/>
              </w:rPr>
            </w:pPr>
            <w:r>
              <w:rPr>
                <w:rFonts w:ascii="方正小标宋_GBK" w:hAnsi="方正小标宋_GBK" w:eastAsia="方正小标宋_GBK" w:cs="方正小标宋_GBK"/>
                <w:color w:val="000000"/>
                <w:kern w:val="0"/>
                <w:sz w:val="40"/>
                <w:szCs w:val="40"/>
              </w:rPr>
              <w:t>县级部门预算项目绩效自评表</w:t>
            </w:r>
          </w:p>
        </w:tc>
      </w:tr>
      <w:tr>
        <w:tblPrEx>
          <w:tblCellMar>
            <w:top w:w="0" w:type="dxa"/>
            <w:left w:w="0" w:type="dxa"/>
            <w:bottom w:w="0" w:type="dxa"/>
            <w:right w:w="0" w:type="dxa"/>
          </w:tblCellMar>
        </w:tblPrEx>
        <w:trPr>
          <w:trHeight w:val="300" w:hRule="atLeast"/>
        </w:trPr>
        <w:tc>
          <w:tcPr>
            <w:tcW w:w="8872" w:type="dxa"/>
            <w:gridSpan w:val="8"/>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（2020年度）</w:t>
            </w:r>
          </w:p>
        </w:tc>
      </w:tr>
      <w:tr>
        <w:tblPrEx>
          <w:tblCellMar>
            <w:top w:w="0" w:type="dxa"/>
            <w:left w:w="0" w:type="dxa"/>
            <w:bottom w:w="0" w:type="dxa"/>
            <w:right w:w="0" w:type="dxa"/>
          </w:tblCellMar>
        </w:tblPrEx>
        <w:trPr>
          <w:trHeight w:val="360" w:hRule="atLeast"/>
        </w:trPr>
        <w:tc>
          <w:tcPr>
            <w:tcW w:w="1580"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填报单位：</w:t>
            </w:r>
          </w:p>
        </w:tc>
        <w:tc>
          <w:tcPr>
            <w:tcW w:w="1310"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高邑县教育局</w:t>
            </w:r>
          </w:p>
        </w:tc>
        <w:tc>
          <w:tcPr>
            <w:tcW w:w="901"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14"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33"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022"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60" w:type="dxa"/>
            <w:tcBorders>
              <w:top w:val="nil"/>
              <w:left w:val="nil"/>
              <w:bottom w:val="nil"/>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152" w:type="dxa"/>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tblPrEx>
          <w:tblCellMar>
            <w:top w:w="0" w:type="dxa"/>
            <w:left w:w="0" w:type="dxa"/>
            <w:bottom w:w="0" w:type="dxa"/>
            <w:right w:w="0" w:type="dxa"/>
          </w:tblCellMar>
        </w:tblPrEx>
        <w:trPr>
          <w:trHeight w:val="495" w:hRule="atLeast"/>
        </w:trPr>
        <w:tc>
          <w:tcPr>
            <w:tcW w:w="15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一、</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rPr>
              <w:t>基本情况</w:t>
            </w:r>
          </w:p>
        </w:tc>
        <w:tc>
          <w:tcPr>
            <w:tcW w:w="131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项目名称</w:t>
            </w:r>
          </w:p>
        </w:tc>
        <w:tc>
          <w:tcPr>
            <w:tcW w:w="1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高中公用经费</w:t>
            </w:r>
          </w:p>
        </w:tc>
        <w:tc>
          <w:tcPr>
            <w:tcW w:w="103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实施(主管）单位</w:t>
            </w:r>
          </w:p>
        </w:tc>
        <w:tc>
          <w:tcPr>
            <w:tcW w:w="3134"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高邑县教育局</w:t>
            </w:r>
          </w:p>
        </w:tc>
      </w:tr>
      <w:tr>
        <w:tblPrEx>
          <w:tblCellMar>
            <w:top w:w="0" w:type="dxa"/>
            <w:left w:w="0" w:type="dxa"/>
            <w:bottom w:w="0" w:type="dxa"/>
            <w:right w:w="0" w:type="dxa"/>
          </w:tblCellMar>
        </w:tblPrEx>
        <w:trPr>
          <w:trHeight w:val="439" w:hRule="atLeast"/>
        </w:trPr>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二、预算执行情况</w:t>
            </w:r>
          </w:p>
        </w:tc>
        <w:tc>
          <w:tcPr>
            <w:tcW w:w="22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预算安排情况（调整后）</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资金到位情况</w:t>
            </w:r>
          </w:p>
        </w:tc>
        <w:tc>
          <w:tcPr>
            <w:tcW w:w="1982"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资金执行情况</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预算执行进度</w:t>
            </w:r>
          </w:p>
        </w:tc>
      </w:tr>
      <w:tr>
        <w:tblPrEx>
          <w:tblCellMar>
            <w:top w:w="0" w:type="dxa"/>
            <w:left w:w="0" w:type="dxa"/>
            <w:bottom w:w="0" w:type="dxa"/>
            <w:right w:w="0" w:type="dxa"/>
          </w:tblCellMar>
        </w:tblPrEx>
        <w:trPr>
          <w:trHeight w:val="439" w:hRule="atLeast"/>
        </w:trPr>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预算数：</w:t>
            </w: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9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到位数：</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115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100%</w:t>
            </w:r>
          </w:p>
        </w:tc>
      </w:tr>
      <w:tr>
        <w:tblPrEx>
          <w:tblCellMar>
            <w:top w:w="0" w:type="dxa"/>
            <w:left w:w="0" w:type="dxa"/>
            <w:bottom w:w="0" w:type="dxa"/>
            <w:right w:w="0" w:type="dxa"/>
          </w:tblCellMar>
        </w:tblPrEx>
        <w:trPr>
          <w:trHeight w:val="439" w:hRule="atLeast"/>
        </w:trPr>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9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其中：财政资金</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166</w:t>
            </w:r>
          </w:p>
        </w:tc>
        <w:tc>
          <w:tcPr>
            <w:tcW w:w="11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439" w:hRule="atLeast"/>
        </w:trPr>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Calibri" w:hAnsi="Calibri" w:eastAsia="宋体" w:cs="Calibri"/>
                <w:color w:val="000000"/>
                <w:szCs w:val="21"/>
              </w:rPr>
            </w:pPr>
            <w:r>
              <w:rPr>
                <w:rFonts w:ascii="Calibri" w:hAnsi="Calibri" w:eastAsia="宋体" w:cs="Calibri"/>
                <w:color w:val="000000"/>
                <w:kern w:val="0"/>
                <w:szCs w:val="21"/>
              </w:rPr>
              <w:t>　</w:t>
            </w:r>
          </w:p>
        </w:tc>
        <w:tc>
          <w:tcPr>
            <w:tcW w:w="9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10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w:t>
            </w:r>
          </w:p>
        </w:tc>
        <w:tc>
          <w:tcPr>
            <w:tcW w:w="11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439" w:hRule="atLeast"/>
        </w:trPr>
        <w:tc>
          <w:tcPr>
            <w:tcW w:w="158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三、目标完成情况</w:t>
            </w:r>
          </w:p>
        </w:tc>
        <w:tc>
          <w:tcPr>
            <w:tcW w:w="312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年度预期目标</w:t>
            </w:r>
          </w:p>
        </w:tc>
        <w:tc>
          <w:tcPr>
            <w:tcW w:w="301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具体完成情况</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总体完成率</w:t>
            </w:r>
          </w:p>
        </w:tc>
      </w:tr>
      <w:tr>
        <w:tblPrEx>
          <w:tblCellMar>
            <w:top w:w="0" w:type="dxa"/>
            <w:left w:w="0" w:type="dxa"/>
            <w:bottom w:w="0" w:type="dxa"/>
            <w:right w:w="0" w:type="dxa"/>
          </w:tblCellMar>
        </w:tblPrEx>
        <w:trPr>
          <w:trHeight w:val="312" w:hRule="atLeast"/>
        </w:trPr>
        <w:tc>
          <w:tcPr>
            <w:tcW w:w="15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1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1、保证高中教育教学活动正常开展          2、高中教育教学质量逐年提升</w:t>
            </w:r>
          </w:p>
        </w:tc>
        <w:tc>
          <w:tcPr>
            <w:tcW w:w="30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1、保证高中教育教学活动正常开展            2、高中教育教学质量逐年提升</w:t>
            </w:r>
          </w:p>
        </w:tc>
        <w:tc>
          <w:tcPr>
            <w:tcW w:w="115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1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1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312" w:hRule="atLeast"/>
        </w:trPr>
        <w:tc>
          <w:tcPr>
            <w:tcW w:w="15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1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6"/>
                <w:szCs w:val="16"/>
              </w:rPr>
            </w:pPr>
          </w:p>
        </w:tc>
        <w:tc>
          <w:tcPr>
            <w:tcW w:w="115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480" w:hRule="atLeast"/>
        </w:trPr>
        <w:tc>
          <w:tcPr>
            <w:tcW w:w="1580" w:type="dxa"/>
            <w:vMerge w:val="restart"/>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四、</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rPr>
              <w:t>年度绩效指标完成情况</w:t>
            </w:r>
          </w:p>
        </w:tc>
        <w:tc>
          <w:tcPr>
            <w:tcW w:w="131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一级指标</w:t>
            </w: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二级指标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三级指标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预期指标值</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实际完成值</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自评得分</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产出指标（40）</w:t>
            </w:r>
          </w:p>
        </w:tc>
        <w:tc>
          <w:tcPr>
            <w:tcW w:w="901" w:type="dxa"/>
            <w:tcBorders>
              <w:top w:val="nil"/>
              <w:left w:val="nil"/>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数量指标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高中公用经费标准</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1000元/生/年</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1000元/生/年</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质量指标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升学率(％)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80%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98%</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专任教师合格率（%）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100%</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时效指标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经费按时拨付率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75%</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5</w:t>
            </w:r>
          </w:p>
        </w:tc>
      </w:tr>
      <w:tr>
        <w:tblPrEx>
          <w:tblCellMar>
            <w:top w:w="0" w:type="dxa"/>
            <w:left w:w="0" w:type="dxa"/>
            <w:bottom w:w="0" w:type="dxa"/>
            <w:right w:w="0" w:type="dxa"/>
          </w:tblCellMar>
        </w:tblPrEx>
        <w:trPr>
          <w:trHeight w:val="7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预算执行率指标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（10分）</w:t>
            </w:r>
          </w:p>
        </w:tc>
        <w:tc>
          <w:tcPr>
            <w:tcW w:w="9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预算执行率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预算执行率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100%</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效益指标（40）</w:t>
            </w:r>
          </w:p>
        </w:tc>
        <w:tc>
          <w:tcPr>
            <w:tcW w:w="9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社会效益指标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职普比</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4.5:5.5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4.5:5.5</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高中阶段课程开设率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100%</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可持续影响指标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高中学生毕业率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100%</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100%</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普通高中专任教师比例</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96%</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10</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满意度指标</w:t>
            </w:r>
            <w:r>
              <w:rPr>
                <w:rFonts w:hint="eastAsia" w:ascii="宋体" w:hAnsi="宋体" w:eastAsia="宋体" w:cs="宋体"/>
                <w:color w:val="000000"/>
                <w:kern w:val="0"/>
                <w:sz w:val="16"/>
                <w:szCs w:val="16"/>
              </w:rPr>
              <w:br w:type="textWrapping"/>
            </w:r>
            <w:r>
              <w:rPr>
                <w:rFonts w:hint="eastAsia" w:ascii="宋体" w:hAnsi="宋体" w:eastAsia="宋体" w:cs="宋体"/>
                <w:color w:val="000000"/>
                <w:kern w:val="0"/>
                <w:sz w:val="16"/>
                <w:szCs w:val="16"/>
              </w:rPr>
              <w:t>（10分）</w:t>
            </w:r>
          </w:p>
        </w:tc>
        <w:tc>
          <w:tcPr>
            <w:tcW w:w="90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满意度指标</w:t>
            </w: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学生满意率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96%</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5</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0"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0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947"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教师满意率</w:t>
            </w:r>
          </w:p>
        </w:tc>
        <w:tc>
          <w:tcPr>
            <w:tcW w:w="10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95%</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97%</w:t>
            </w:r>
          </w:p>
        </w:tc>
        <w:tc>
          <w:tcPr>
            <w:tcW w:w="11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 w:val="16"/>
                <w:szCs w:val="16"/>
              </w:rPr>
            </w:pPr>
            <w:r>
              <w:rPr>
                <w:rFonts w:ascii="Calibri" w:hAnsi="Calibri" w:eastAsia="宋体" w:cs="Calibri"/>
                <w:color w:val="000000"/>
                <w:kern w:val="0"/>
                <w:sz w:val="16"/>
                <w:szCs w:val="16"/>
              </w:rPr>
              <w:t>5</w:t>
            </w:r>
          </w:p>
        </w:tc>
      </w:tr>
      <w:tr>
        <w:tblPrEx>
          <w:tblCellMar>
            <w:top w:w="0" w:type="dxa"/>
            <w:left w:w="0" w:type="dxa"/>
            <w:bottom w:w="0" w:type="dxa"/>
            <w:right w:w="0" w:type="dxa"/>
          </w:tblCellMar>
        </w:tblPrEx>
        <w:trPr>
          <w:trHeight w:val="480" w:hRule="atLeast"/>
        </w:trPr>
        <w:tc>
          <w:tcPr>
            <w:tcW w:w="1580" w:type="dxa"/>
            <w:vMerge w:val="continue"/>
            <w:tcBorders>
              <w:top w:val="nil"/>
              <w:left w:val="single" w:color="auto"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6140" w:type="dxa"/>
            <w:gridSpan w:val="6"/>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总分</w:t>
            </w:r>
          </w:p>
        </w:tc>
        <w:tc>
          <w:tcPr>
            <w:tcW w:w="115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Calibri" w:hAnsi="Calibri" w:eastAsia="宋体" w:cs="Calibri"/>
                <w:color w:val="000000"/>
                <w:szCs w:val="21"/>
              </w:rPr>
            </w:pPr>
            <w:r>
              <w:rPr>
                <w:rFonts w:ascii="Calibri" w:hAnsi="Calibri" w:eastAsia="宋体" w:cs="Calibri"/>
                <w:color w:val="000000"/>
                <w:kern w:val="0"/>
                <w:szCs w:val="21"/>
              </w:rPr>
              <w:t>95</w:t>
            </w:r>
          </w:p>
        </w:tc>
      </w:tr>
      <w:tr>
        <w:tblPrEx>
          <w:tblCellMar>
            <w:top w:w="0" w:type="dxa"/>
            <w:left w:w="0" w:type="dxa"/>
            <w:bottom w:w="0" w:type="dxa"/>
            <w:right w:w="0" w:type="dxa"/>
          </w:tblCellMar>
        </w:tblPrEx>
        <w:trPr>
          <w:trHeight w:val="735" w:hRule="atLeast"/>
        </w:trPr>
        <w:tc>
          <w:tcPr>
            <w:tcW w:w="15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五、</w:t>
            </w:r>
            <w:r>
              <w:rPr>
                <w:rFonts w:ascii="Calibri" w:hAnsi="Calibri" w:eastAsia="宋体" w:cs="Calibri"/>
                <w:color w:val="000000"/>
                <w:kern w:val="0"/>
                <w:sz w:val="16"/>
                <w:szCs w:val="16"/>
              </w:rPr>
              <w:t> </w:t>
            </w:r>
            <w:r>
              <w:rPr>
                <w:rFonts w:hint="eastAsia" w:ascii="宋体" w:hAnsi="宋体" w:eastAsia="宋体" w:cs="宋体"/>
                <w:color w:val="000000"/>
                <w:kern w:val="0"/>
                <w:sz w:val="16"/>
                <w:szCs w:val="16"/>
              </w:rPr>
              <w:t>存在问题、原因及下一步整改措施</w:t>
            </w:r>
          </w:p>
        </w:tc>
        <w:tc>
          <w:tcPr>
            <w:tcW w:w="7292" w:type="dxa"/>
            <w:gridSpan w:val="7"/>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二季度经费由于未及时履行相关手续拨付存在滞后。以后年度提前完成相关手续。</w:t>
            </w:r>
          </w:p>
        </w:tc>
      </w:tr>
    </w:tbl>
    <w:p>
      <w:pPr>
        <w:adjustRightInd w:val="0"/>
        <w:snapToGrid w:val="0"/>
        <w:spacing w:line="600" w:lineRule="exact"/>
        <w:ind w:firstLine="640" w:firstLineChars="200"/>
        <w:rPr>
          <w:rFonts w:ascii="仿宋_GB2312" w:hAnsi="仿宋_GB2312" w:eastAsia="仿宋_GB2312" w:cs="仿宋_GB2312"/>
          <w:sz w:val="32"/>
          <w:szCs w:val="32"/>
        </w:rPr>
      </w:pP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（三）财政评价项目绩效评价结果</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 xml:space="preserve"> 我部门无财政评价项目</w:t>
      </w:r>
      <w:r>
        <w:rPr>
          <w:rFonts w:hint="eastAsia" w:ascii="仿宋_GB2312" w:hAnsi="仿宋_GB2312" w:eastAsia="仿宋_GB2312" w:cs="仿宋_GB2312"/>
          <w:b/>
          <w:bCs/>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本部门2020年度机关运行经费支出0万元，与2019年度持平。主要原因是</w:t>
      </w:r>
      <w:r>
        <w:rPr>
          <w:rFonts w:hint="eastAsia" w:ascii="仿宋_GB2312" w:hAnsi="Times New Roman" w:eastAsia="仿宋_GB2312" w:cs="DengXian-Regular"/>
          <w:sz w:val="32"/>
          <w:szCs w:val="32"/>
        </w:rPr>
        <w:t>我单位为事业单位，没有机关运行经费</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本部门2020年度政府采购支出总额0万元，从采购类型来看，</w:t>
      </w:r>
      <w:r>
        <w:rPr>
          <w:rFonts w:hint="eastAsia" w:ascii="仿宋_GB2312" w:hAnsi="仿宋_GB2312" w:eastAsia="仿宋_GB2312" w:cs="仿宋_GB2312"/>
          <w:color w:val="000000"/>
          <w:kern w:val="0"/>
          <w:sz w:val="32"/>
          <w:szCs w:val="32"/>
        </w:rPr>
        <w:t>政府采购货物支出0万元、政府采购工程支出0万元、政府采购服务支出 0万元。授予中小企业合同金0万元，占政府采购支出总额的0%，其中授予小微企业合同金额0万元，占政府采购支出总额的 0%。</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1辆，与上年持平，主要是未新购置车辆。其中，副部（省）级及以上领导用车0辆，主要领导干部用车0辆，机要通信用车1辆，应急保障用车0辆，执法执勤用车0辆，特种专业技术用车0辆，离退休干部用车0辆，其他用车0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单位价值50万元以上通用设备0台（套），与上年持平，单位价值100万元以上专用设备0台（套）与上年持平。</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本部门2020年度未发生国有资金经营预算收支及结转结余情况，故公开09表以空表列示。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w:pict>
          <v:shape id="文本框 188" o:spid="_x0000_s1039" o:spt="202" type="#_x0000_t202" style="position:absolute;left:0pt;margin-left:-81.9pt;margin-top:2.05pt;height:263.1pt;width:613.65pt;z-index:251665408;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">
            <v:path/>
            <v:fill type="pattern" on="t" color2="#FFFFFF" o:title="image2" focussize="0,0" r:id="rId11"/>
            <v:stroke weight="0.5pt" color="#7F7F7F" joinstyle="miter"/>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hint="eastAsia" w:ascii="仿宋_GB2312" w:hAnsi="Cambria" w:eastAsia="仿宋_GB2312" w:cs="Arial Black"/>
          <w:kern w:val="0"/>
          <w:sz w:val="32"/>
          <w:szCs w:val="32"/>
        </w:rPr>
      </w:pPr>
    </w:p>
    <w:p>
      <w:pPr>
        <w:tabs>
          <w:tab w:val="left" w:pos="235"/>
        </w:tabs>
        <w:spacing w:line="600" w:lineRule="exact"/>
        <w:ind w:firstLine="640" w:firstLineChars="200"/>
        <w:jc w:val="left"/>
        <w:rPr>
          <w:rFonts w:hint="eastAsia"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w:pict>
          <v:shape id="文本框 1" o:spid="_x0000_s1040" o:spt="202" type="#_x0000_t202" style="position:absolute;left:0pt;margin-left:-80.9pt;margin-top:90.65pt;height:263.1pt;width:613.65pt;z-index:251668480;v-text-anchor:middle;mso-width-relative:page;mso-height-relative:page;" fillcolor="#7F7F7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">
            <v:path/>
            <v:fill type="pattern" on="t" color2="#000000" o:title="image2" focussize="0,0" r:id="rId11"/>
            <v:stroke weight="1pt" color="#A6A6A6" joinstyle="miter"/>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2020年度部门决算报表</w:t>
                  </w:r>
                </w:p>
                <w:p/>
              </w:txbxContent>
            </v:textbox>
          </v:shape>
        </w:pict>
      </w:r>
    </w:p>
    <w:p>
      <w:pPr>
        <w:widowControl/>
        <w:ind w:left="640" w:firstLine="640" w:firstLineChars="200"/>
        <w:jc w:val="left"/>
        <w:rPr>
          <w:rFonts w:ascii="仿宋_GB2312" w:hAnsi="仿宋" w:eastAsia="仿宋_GB2312"/>
          <w:sz w:val="32"/>
          <w:szCs w:val="32"/>
        </w:rPr>
      </w:pPr>
      <w:r>
        <w:rPr>
          <w:rFonts w:hint="eastAsia" w:ascii="仿宋_GB2312" w:hAnsi="仿宋" w:eastAsia="仿宋_GB2312"/>
          <w:sz w:val="32"/>
          <w:szCs w:val="32"/>
        </w:rPr>
        <w:t>本部门应公开9张决算表格，即：</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一、收入支出决算总表</w:t>
      </w:r>
      <w:r>
        <w:rPr>
          <w:rFonts w:hint="eastAsia" w:ascii="仿宋_GB2312" w:hAnsi="仿宋" w:eastAsia="仿宋_GB2312" w:cs="宋体"/>
          <w:kern w:val="0"/>
          <w:sz w:val="32"/>
          <w:szCs w:val="32"/>
        </w:rPr>
        <w:t>（公开01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二、收入决算表</w:t>
      </w:r>
      <w:r>
        <w:rPr>
          <w:rFonts w:hint="eastAsia" w:ascii="仿宋_GB2312" w:hAnsi="仿宋" w:eastAsia="仿宋_GB2312" w:cs="宋体"/>
          <w:kern w:val="0"/>
          <w:sz w:val="32"/>
          <w:szCs w:val="32"/>
        </w:rPr>
        <w:t>（公开02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三、支出决算表</w:t>
      </w:r>
      <w:r>
        <w:rPr>
          <w:rFonts w:hint="eastAsia" w:ascii="仿宋_GB2312" w:hAnsi="仿宋" w:eastAsia="仿宋_GB2312" w:cs="宋体"/>
          <w:kern w:val="0"/>
          <w:sz w:val="32"/>
          <w:szCs w:val="32"/>
        </w:rPr>
        <w:t>（公开03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四、财政拨款收入支出决算总表</w:t>
      </w:r>
      <w:r>
        <w:rPr>
          <w:rFonts w:hint="eastAsia" w:ascii="仿宋_GB2312" w:hAnsi="仿宋" w:eastAsia="仿宋_GB2312" w:cs="宋体"/>
          <w:kern w:val="0"/>
          <w:sz w:val="32"/>
          <w:szCs w:val="32"/>
        </w:rPr>
        <w:t>（公开04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五、</w:t>
      </w:r>
      <w:r>
        <w:rPr>
          <w:rFonts w:hint="eastAsia" w:ascii="仿宋_GB2312" w:eastAsia="仿宋_GB2312"/>
          <w:sz w:val="32"/>
          <w:szCs w:val="32"/>
        </w:rPr>
        <w:t>一般公共预算财政拨款支出决算表</w:t>
      </w:r>
      <w:r>
        <w:rPr>
          <w:rFonts w:hint="eastAsia" w:ascii="仿宋_GB2312" w:hAnsi="仿宋" w:eastAsia="仿宋_GB2312" w:cs="宋体"/>
          <w:kern w:val="0"/>
          <w:sz w:val="32"/>
          <w:szCs w:val="32"/>
        </w:rPr>
        <w:t>（公开05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六、</w:t>
      </w:r>
      <w:r>
        <w:rPr>
          <w:rFonts w:hint="eastAsia" w:ascii="仿宋_GB2312" w:eastAsia="仿宋_GB2312"/>
          <w:sz w:val="32"/>
          <w:szCs w:val="32"/>
        </w:rPr>
        <w:t>一般公共预算财政拨款基本支出决算表</w:t>
      </w:r>
      <w:r>
        <w:rPr>
          <w:rFonts w:hint="eastAsia" w:ascii="仿宋_GB2312" w:hAnsi="仿宋" w:eastAsia="仿宋_GB2312" w:cs="宋体"/>
          <w:kern w:val="0"/>
          <w:sz w:val="32"/>
          <w:szCs w:val="32"/>
        </w:rPr>
        <w:t>（公开06 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七、</w:t>
      </w:r>
      <w:r>
        <w:rPr>
          <w:rFonts w:hint="eastAsia" w:ascii="仿宋_GB2312" w:eastAsia="仿宋_GB2312"/>
          <w:sz w:val="32"/>
          <w:szCs w:val="32"/>
        </w:rPr>
        <w:t>一般公共预算财政拨款“三公”经费支出决算表</w:t>
      </w:r>
      <w:r>
        <w:rPr>
          <w:rFonts w:hint="eastAsia" w:ascii="仿宋_GB2312" w:hAnsi="仿宋" w:eastAsia="仿宋_GB2312" w:cs="宋体"/>
          <w:kern w:val="0"/>
          <w:sz w:val="32"/>
          <w:szCs w:val="32"/>
        </w:rPr>
        <w:t>（公开07 表）</w:t>
      </w:r>
    </w:p>
    <w:p>
      <w:pPr>
        <w:widowControl/>
        <w:ind w:left="640" w:firstLine="640" w:firstLineChars="200"/>
        <w:rPr>
          <w:rFonts w:ascii="仿宋_GB2312" w:hAnsi="仿宋" w:eastAsia="仿宋_GB2312"/>
          <w:sz w:val="32"/>
          <w:szCs w:val="32"/>
          <w:highlight w:val="darkCyan"/>
        </w:rPr>
      </w:pPr>
      <w:r>
        <w:rPr>
          <w:rFonts w:hint="eastAsia" w:ascii="仿宋_GB2312" w:hAnsi="仿宋" w:eastAsia="仿宋_GB2312"/>
          <w:sz w:val="32"/>
          <w:szCs w:val="32"/>
        </w:rPr>
        <w:t>八、</w:t>
      </w:r>
      <w:r>
        <w:rPr>
          <w:rFonts w:hint="eastAsia" w:ascii="仿宋_GB2312" w:eastAsia="仿宋_GB2312"/>
          <w:sz w:val="32"/>
          <w:szCs w:val="32"/>
        </w:rPr>
        <w:t>政府性基金预算财政拨款收入支出决算表</w:t>
      </w:r>
      <w:r>
        <w:rPr>
          <w:rFonts w:hint="eastAsia" w:ascii="仿宋_GB2312" w:hAnsi="仿宋" w:eastAsia="仿宋_GB2312" w:cs="宋体"/>
          <w:kern w:val="0"/>
          <w:sz w:val="32"/>
          <w:szCs w:val="32"/>
        </w:rPr>
        <w:t>（公开08表）</w:t>
      </w:r>
    </w:p>
    <w:p>
      <w:pPr>
        <w:widowControl/>
        <w:ind w:left="640" w:firstLine="640" w:firstLineChars="200"/>
        <w:rPr>
          <w:rFonts w:ascii="仿宋_GB2312" w:hAnsi="仿宋" w:eastAsia="仿宋_GB2312"/>
          <w:sz w:val="32"/>
          <w:szCs w:val="32"/>
        </w:rPr>
      </w:pPr>
      <w:r>
        <w:rPr>
          <w:rFonts w:hint="eastAsia" w:ascii="仿宋_GB2312" w:hAnsi="仿宋" w:eastAsia="仿宋_GB2312"/>
          <w:sz w:val="32"/>
          <w:szCs w:val="32"/>
        </w:rPr>
        <w:t>九、</w:t>
      </w:r>
      <w:r>
        <w:rPr>
          <w:rFonts w:hint="eastAsia" w:ascii="仿宋_GB2312" w:eastAsia="仿宋_GB2312"/>
          <w:sz w:val="32"/>
          <w:szCs w:val="32"/>
        </w:rPr>
        <w:t>国有资本经营预算财政拨款支出决算表</w:t>
      </w:r>
      <w:r>
        <w:rPr>
          <w:rFonts w:hint="eastAsia" w:ascii="仿宋_GB2312" w:hAnsi="仿宋" w:eastAsia="仿宋_GB2312" w:cs="宋体"/>
          <w:kern w:val="0"/>
          <w:sz w:val="32"/>
          <w:szCs w:val="32"/>
        </w:rPr>
        <w:t>（公开09 表）</w:t>
      </w:r>
    </w:p>
    <w:p>
      <w:pPr>
        <w:autoSpaceDE w:val="0"/>
        <w:autoSpaceDN w:val="0"/>
        <w:ind w:firstLine="640" w:firstLineChars="200"/>
        <w:sectPr>
          <w:pgSz w:w="11906" w:h="16838"/>
          <w:pgMar w:top="2098" w:right="1531" w:bottom="1984" w:left="1531" w:header="851" w:footer="992" w:gutter="0"/>
          <w:cols w:space="425" w:num="1"/>
          <w:docGrid w:type="lines" w:linePitch="312" w:charSpace="0"/>
        </w:sectPr>
      </w:pPr>
      <w:r>
        <w:rPr>
          <w:rFonts w:hint="eastAsia" w:ascii="仿宋_GB2312" w:hAnsi="仿宋" w:eastAsia="仿宋_GB2312" w:cs="宋体"/>
          <w:kern w:val="0"/>
          <w:sz w:val="32"/>
          <w:szCs w:val="32"/>
        </w:rPr>
        <w:t>详见附表：《高邑县教育局2020年度部门决算公开表》</w:t>
      </w: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w:pict>
          <v:rect id="_x0000_s1041" o:spid="_x0000_s1041" o:spt="1" style="position:absolute;left:0pt;margin-left:-78.2pt;margin-top:-106.6pt;height:842.2pt;width:601pt;z-index:251667456;v-text-anchor:middle;mso-width-relative:page;mso-height-relative:page;" fillcolor="#BDD7EE"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rsids>
    <w:rsidRoot w:val="34C45458"/>
    <w:rsid w:val="00061A05"/>
    <w:rsid w:val="00061B93"/>
    <w:rsid w:val="00081631"/>
    <w:rsid w:val="000C595C"/>
    <w:rsid w:val="00116494"/>
    <w:rsid w:val="00147453"/>
    <w:rsid w:val="0018668E"/>
    <w:rsid w:val="001B73D2"/>
    <w:rsid w:val="001E62BF"/>
    <w:rsid w:val="0027064E"/>
    <w:rsid w:val="00293E7B"/>
    <w:rsid w:val="002D1F4F"/>
    <w:rsid w:val="002E167A"/>
    <w:rsid w:val="002F1DA9"/>
    <w:rsid w:val="00310EBF"/>
    <w:rsid w:val="00366D90"/>
    <w:rsid w:val="003D2226"/>
    <w:rsid w:val="003D678E"/>
    <w:rsid w:val="003F032A"/>
    <w:rsid w:val="00461FAF"/>
    <w:rsid w:val="004D1EA2"/>
    <w:rsid w:val="005D239B"/>
    <w:rsid w:val="005E0E86"/>
    <w:rsid w:val="006C01AE"/>
    <w:rsid w:val="007620A2"/>
    <w:rsid w:val="00791C72"/>
    <w:rsid w:val="007920FC"/>
    <w:rsid w:val="007B4876"/>
    <w:rsid w:val="007F5603"/>
    <w:rsid w:val="00801F66"/>
    <w:rsid w:val="00812C39"/>
    <w:rsid w:val="009334BF"/>
    <w:rsid w:val="00995AAE"/>
    <w:rsid w:val="009D1193"/>
    <w:rsid w:val="00A61E3E"/>
    <w:rsid w:val="00A90288"/>
    <w:rsid w:val="00AF2F22"/>
    <w:rsid w:val="00B0223F"/>
    <w:rsid w:val="00B344EC"/>
    <w:rsid w:val="00BA1219"/>
    <w:rsid w:val="00BB2584"/>
    <w:rsid w:val="00BE2400"/>
    <w:rsid w:val="00C672F3"/>
    <w:rsid w:val="00D20A54"/>
    <w:rsid w:val="00DF7AB8"/>
    <w:rsid w:val="00E54963"/>
    <w:rsid w:val="00EB3F98"/>
    <w:rsid w:val="00F217C2"/>
    <w:rsid w:val="00FD5E00"/>
    <w:rsid w:val="0EA325C9"/>
    <w:rsid w:val="0EE17C1A"/>
    <w:rsid w:val="181800A9"/>
    <w:rsid w:val="1FD2610B"/>
    <w:rsid w:val="22E46C89"/>
    <w:rsid w:val="34C45458"/>
    <w:rsid w:val="35C83C42"/>
    <w:rsid w:val="37445DC3"/>
    <w:rsid w:val="3F6977C8"/>
    <w:rsid w:val="4C204077"/>
    <w:rsid w:val="60154311"/>
    <w:rsid w:val="695B26FD"/>
    <w:rsid w:val="6AF77BA8"/>
    <w:rsid w:val="73D824BD"/>
    <w:rsid w:val="764B366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character" w:customStyle="1" w:styleId="11">
    <w:name w:val="font51"/>
    <w:basedOn w:val="8"/>
    <w:uiPriority w:val="0"/>
    <w:rPr>
      <w:rFonts w:hint="eastAsia" w:ascii="宋体" w:hAnsi="宋体" w:eastAsia="宋体" w:cs="宋体"/>
      <w:color w:val="000000"/>
      <w:sz w:val="16"/>
      <w:szCs w:val="16"/>
      <w:u w:val="none"/>
    </w:rPr>
  </w:style>
  <w:style w:type="character" w:customStyle="1" w:styleId="12">
    <w:name w:val="font61"/>
    <w:basedOn w:val="8"/>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GIF"/><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r>
              <a:rPr lang="en-US" altLang="zh-CN">
                <a:latin typeface="楷体_GB2312" pitchFamily="3" charset="-122"/>
                <a:ea typeface="楷体_GB2312" pitchFamily="3" charset="-122"/>
                <a:cs typeface="楷体_GB2312" pitchFamily="3" charset="-122"/>
                <a:sym typeface="楷体_GB2312" pitchFamily="3" charset="-122"/>
              </a:rPr>
              <a:t>2019-2020</a:t>
            </a:r>
            <a:r>
              <a:rPr lang="zh-CN" altLang="en-US">
                <a:latin typeface="楷体_GB2312" pitchFamily="3" charset="-122"/>
                <a:ea typeface="楷体_GB2312" pitchFamily="3" charset="-122"/>
                <a:cs typeface="楷体_GB2312" pitchFamily="3" charset="-122"/>
                <a:sym typeface="楷体_GB2312" pitchFamily="3" charset="-122"/>
              </a:rPr>
              <a:t>年收支总计对比情况（图</a:t>
            </a:r>
            <a:r>
              <a:rPr lang="en-US" altLang="zh-CN">
                <a:latin typeface="楷体_GB2312" pitchFamily="3" charset="-122"/>
                <a:ea typeface="楷体_GB2312" pitchFamily="3" charset="-122"/>
                <a:cs typeface="楷体_GB2312" pitchFamily="3" charset="-122"/>
                <a:sym typeface="楷体_GB2312" pitchFamily="3" charset="-122"/>
              </a:rPr>
              <a:t>1</a:t>
            </a:r>
            <a:r>
              <a:rPr lang="zh-CN" altLang="en-US">
                <a:latin typeface="楷体_GB2312" pitchFamily="3" charset="-122"/>
                <a:ea typeface="楷体_GB2312" pitchFamily="3" charset="-122"/>
                <a:cs typeface="楷体_GB2312" pitchFamily="3" charset="-122"/>
                <a:sym typeface="楷体_GB2312" pitchFamily="3" charset="-122"/>
              </a:rPr>
              <a:t>）</a:t>
            </a:r>
            <a:endParaRPr lang="zh-CN" altLang="en-US">
              <a:latin typeface="楷体_GB2312" pitchFamily="3" charset="-122"/>
              <a:ea typeface="楷体_GB2312" pitchFamily="3" charset="-122"/>
              <a:cs typeface="楷体_GB2312" pitchFamily="3" charset="-122"/>
              <a:sym typeface="楷体_GB2312"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itchFamily="3" charset="-122"/>
                        <a:ea typeface="楷体_GB2312" pitchFamily="3" charset="-122"/>
                        <a:cs typeface="楷体_GB2312" pitchFamily="3" charset="-122"/>
                        <a:sym typeface="楷体_GB2312" pitchFamily="3" charset="-122"/>
                      </a:defRPr>
                    </a:pPr>
                    <a:r>
                      <a:rPr lang="en-US" altLang="en-US"/>
                      <a:t>31740.03</a:t>
                    </a:r>
                    <a:endParaRPr alt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itchFamily="3" charset="-122"/>
                        <a:ea typeface="楷体_GB2312" pitchFamily="3" charset="-122"/>
                        <a:cs typeface="楷体_GB2312" pitchFamily="3" charset="-122"/>
                        <a:sym typeface="楷体_GB2312" pitchFamily="3" charset="-122"/>
                      </a:defRPr>
                    </a:pPr>
                    <a:r>
                      <a:rPr lang="en-US" altLang="en-US"/>
                      <a:t>32396.83</a:t>
                    </a:r>
                    <a:endParaRPr altLang="en-US"/>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itchFamily="3" charset="-122"/>
                    <a:ea typeface="楷体_GB2312" pitchFamily="3" charset="-122"/>
                    <a:cs typeface="楷体_GB2312" pitchFamily="3" charset="-122"/>
                    <a:sym typeface="楷体_GB2312"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6000</c:v>
                </c:pt>
                <c:pt idx="1">
                  <c:v>8000</c:v>
                </c:pt>
              </c:numCache>
            </c:numRef>
          </c:val>
        </c:ser>
        <c:dLbls>
          <c:showLegendKey val="0"/>
          <c:showVal val="1"/>
          <c:showCatName val="0"/>
          <c:showSerName val="0"/>
          <c:showPercent val="0"/>
          <c:showBubbleSize val="0"/>
        </c:dLbls>
        <c:gapWidth val="219"/>
        <c:overlap val="-27"/>
        <c:axId val="123679104"/>
        <c:axId val="128460288"/>
      </c:barChart>
      <c:catAx>
        <c:axId val="1236791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crossAx val="128460288"/>
        <c:crosses val="autoZero"/>
        <c:auto val="1"/>
        <c:lblAlgn val="ctr"/>
        <c:lblOffset val="100"/>
        <c:noMultiLvlLbl val="0"/>
      </c:catAx>
      <c:valAx>
        <c:axId val="12846028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crossAx val="1236791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itchFamily="3" charset="-122"/>
              <a:ea typeface="楷体_GB2312" pitchFamily="3" charset="-122"/>
              <a:cs typeface="楷体_GB2312" pitchFamily="3" charset="-122"/>
              <a:sym typeface="楷体_GB2312"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itchFamily="3" charset="-122"/>
          <a:ea typeface="楷体_GB2312" pitchFamily="3" charset="-122"/>
          <a:cs typeface="楷体_GB2312" pitchFamily="3" charset="-122"/>
          <a:sym typeface="楷体_GB2312"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elete val="1"/>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31519.67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0259903824135562"/>
          <c:y val="0.927085943372588"/>
          <c:w val="0.970574765285093"/>
          <c:h val="0.065397143573039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8"/>
    <customShpInfo spid="_x0000_s1029"/>
    <customShpInfo spid="_x0000_s1032"/>
    <customShpInfo spid="_x0000_s1039"/>
    <customShpInfo spid="_x0000_s1040"/>
    <customShpInfo spid="_x0000_s104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A9C6DD8-82D1-440C-A64B-E5754050EF44}">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26</Pages>
  <Words>1120</Words>
  <Characters>6385</Characters>
  <Lines>53</Lines>
  <Paragraphs>14</Paragraphs>
  <TotalTime>35</TotalTime>
  <ScaleCrop>false</ScaleCrop>
  <LinksUpToDate>false</LinksUpToDate>
  <CharactersWithSpaces>7491</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2024-09-12T00:47:17Z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65FA352BAB5146309CB066C800874C19</vt:lpwstr>
  </property>
</Properties>
</file>