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E10582">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14:paraId="29DE2966">
                            <w:pPr>
                              <w:jc w:val="center"/>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14:paraId="29DE2966">
                      <w:pPr>
                        <w:jc w:val="center"/>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188EDF9">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14:paraId="3188EDF9">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14:paraId="01569510">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14:paraId="01569510">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F2FDF46">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14:paraId="1F2FDF46">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14:paraId="5E735C5D">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14:paraId="5E735C5D">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14:paraId="7BA977D7"/>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14:paraId="7BA977D7"/>
                  </w:txbxContent>
                </v:textbox>
              </v:rect>
            </w:pict>
          </mc:Fallback>
        </mc:AlternateContent>
      </w:r>
    </w:p>
    <w:p w14:paraId="51CEBF06"/>
    <w:p w14:paraId="18BAA3C6">
      <w:pPr>
        <w:jc w:val="center"/>
        <w:rPr>
          <w:rFonts w:ascii="黑体" w:hAnsi="黑体" w:eastAsia="黑体" w:cs="黑体"/>
          <w:sz w:val="56"/>
          <w:szCs w:val="72"/>
        </w:rPr>
      </w:pPr>
    </w:p>
    <w:p w14:paraId="17D3A44C">
      <w:pPr>
        <w:jc w:val="center"/>
        <w:rPr>
          <w:rFonts w:ascii="黑体" w:hAnsi="黑体" w:eastAsia="黑体" w:cs="黑体"/>
          <w:sz w:val="56"/>
          <w:szCs w:val="72"/>
        </w:rPr>
      </w:pPr>
    </w:p>
    <w:p w14:paraId="48737A69">
      <w:pPr>
        <w:rPr>
          <w:rFonts w:ascii="黑体" w:hAnsi="Times New Roman" w:eastAsia="黑体" w:cs="Times New Roman"/>
          <w:sz w:val="48"/>
          <w:szCs w:val="48"/>
        </w:rPr>
      </w:pPr>
      <w:r>
        <w:rPr>
          <w:rFonts w:hint="eastAsia" w:ascii="黑体" w:hAnsi="Times New Roman" w:eastAsia="黑体" w:cs="Times New Roman"/>
          <w:sz w:val="48"/>
          <w:szCs w:val="48"/>
        </w:rPr>
        <w:br w:type="page"/>
      </w:r>
      <w:bookmarkStart w:id="0" w:name="_GoBack"/>
      <w:bookmarkEnd w:id="0"/>
    </w:p>
    <w:p w14:paraId="49B267A0">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14:paraId="15B748F4">
      <w:pPr>
        <w:rPr>
          <w:rFonts w:ascii="黑体" w:hAnsi="黑体" w:eastAsia="黑体" w:cs="黑体"/>
          <w:sz w:val="56"/>
          <w:szCs w:val="72"/>
        </w:rPr>
      </w:pPr>
    </w:p>
    <w:p w14:paraId="383642EE">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14:paraId="6C6001FE">
      <w:pPr>
        <w:spacing w:line="360" w:lineRule="auto"/>
        <w:jc w:val="center"/>
        <w:rPr>
          <w:rFonts w:ascii="黑体" w:hAnsi="黑体" w:eastAsia="黑体" w:cs="黑体"/>
          <w:sz w:val="56"/>
          <w:szCs w:val="72"/>
        </w:rPr>
      </w:pPr>
    </w:p>
    <w:p w14:paraId="75EA76EF">
      <w:pPr>
        <w:spacing w:line="600" w:lineRule="auto"/>
        <w:jc w:val="center"/>
        <w:rPr>
          <w:rFonts w:ascii="黑体" w:hAnsi="黑体" w:eastAsia="黑体" w:cs="黑体"/>
          <w:sz w:val="56"/>
          <w:szCs w:val="72"/>
        </w:rPr>
      </w:pPr>
    </w:p>
    <w:p w14:paraId="28E87CD0">
      <w:pPr>
        <w:spacing w:line="600" w:lineRule="auto"/>
        <w:jc w:val="center"/>
        <w:rPr>
          <w:rFonts w:ascii="黑体" w:hAnsi="黑体" w:eastAsia="黑体" w:cs="黑体"/>
          <w:sz w:val="56"/>
          <w:szCs w:val="72"/>
        </w:rPr>
      </w:pPr>
    </w:p>
    <w:p w14:paraId="022DF1C1">
      <w:pPr>
        <w:spacing w:line="600" w:lineRule="auto"/>
        <w:jc w:val="center"/>
        <w:rPr>
          <w:rFonts w:ascii="黑体" w:hAnsi="黑体" w:eastAsia="黑体" w:cs="黑体"/>
          <w:sz w:val="56"/>
          <w:szCs w:val="72"/>
        </w:rPr>
      </w:pPr>
    </w:p>
    <w:p w14:paraId="6A64EB29">
      <w:pPr>
        <w:spacing w:line="600" w:lineRule="auto"/>
        <w:jc w:val="center"/>
        <w:rPr>
          <w:rFonts w:ascii="黑体" w:hAnsi="黑体" w:eastAsia="黑体" w:cs="黑体"/>
          <w:sz w:val="56"/>
          <w:szCs w:val="72"/>
        </w:rPr>
      </w:pPr>
    </w:p>
    <w:p w14:paraId="3B330C3E">
      <w:pPr>
        <w:spacing w:line="480" w:lineRule="auto"/>
        <w:jc w:val="center"/>
        <w:rPr>
          <w:rFonts w:ascii="黑体" w:hAnsi="黑体" w:eastAsia="黑体" w:cs="黑体"/>
          <w:sz w:val="56"/>
          <w:szCs w:val="72"/>
        </w:rPr>
      </w:pPr>
    </w:p>
    <w:p w14:paraId="7C5A6B46">
      <w:pPr>
        <w:spacing w:line="480" w:lineRule="auto"/>
        <w:jc w:val="center"/>
        <w:rPr>
          <w:rFonts w:ascii="黑体" w:hAnsi="黑体" w:eastAsia="黑体" w:cs="黑体"/>
          <w:sz w:val="56"/>
          <w:szCs w:val="72"/>
        </w:rPr>
      </w:pPr>
    </w:p>
    <w:p w14:paraId="7D9D64C6">
      <w:pPr>
        <w:spacing w:line="480" w:lineRule="auto"/>
        <w:jc w:val="center"/>
        <w:rPr>
          <w:rFonts w:ascii="黑体" w:hAnsi="黑体" w:eastAsia="黑体" w:cs="黑体"/>
          <w:sz w:val="56"/>
          <w:szCs w:val="72"/>
        </w:rPr>
      </w:pPr>
    </w:p>
    <w:p w14:paraId="01A7A7B7">
      <w:pPr>
        <w:snapToGrid w:val="0"/>
        <w:spacing w:line="480" w:lineRule="auto"/>
        <w:jc w:val="center"/>
        <w:rPr>
          <w:rFonts w:ascii="黑体" w:hAnsi="黑体" w:eastAsia="黑体" w:cs="黑体"/>
          <w:sz w:val="56"/>
          <w:szCs w:val="72"/>
        </w:rPr>
      </w:pPr>
    </w:p>
    <w:p w14:paraId="6F828C8E">
      <w:pPr>
        <w:snapToGrid w:val="0"/>
        <w:jc w:val="cente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高邑县司法局</w:t>
      </w:r>
    </w:p>
    <w:p w14:paraId="25321820">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3704525D">
      <w:pPr>
        <w:widowControl/>
        <w:spacing w:line="600" w:lineRule="exact"/>
        <w:jc w:val="left"/>
        <w:rPr>
          <w:rFonts w:ascii="黑体" w:hAnsi="黑体" w:eastAsia="黑体" w:cs="黑体"/>
          <w:bCs/>
          <w:sz w:val="32"/>
          <w:szCs w:val="32"/>
          <w:highlight w:val="yellow"/>
        </w:rPr>
      </w:pPr>
    </w:p>
    <w:p w14:paraId="650CF6F7">
      <w:pPr>
        <w:rPr>
          <w:rFonts w:hint="eastAsia" w:ascii="黑体" w:hAnsi="Times New Roman" w:eastAsia="黑体" w:cs="Times New Roman"/>
          <w:sz w:val="48"/>
          <w:szCs w:val="48"/>
        </w:rPr>
      </w:pPr>
    </w:p>
    <w:p w14:paraId="305DD427">
      <w:pPr>
        <w:rPr>
          <w:rFonts w:ascii="黑体" w:hAnsi="Times New Roman" w:eastAsia="黑体" w:cs="Times New Roman"/>
          <w:sz w:val="48"/>
          <w:szCs w:val="48"/>
        </w:rPr>
      </w:pPr>
      <w:r>
        <w:rPr>
          <w:rFonts w:hint="eastAsia" w:ascii="黑体" w:hAnsi="Times New Roman" w:eastAsia="黑体" w:cs="Times New Roman"/>
          <w:sz w:val="48"/>
          <w:szCs w:val="48"/>
        </w:rPr>
        <w:br w:type="page"/>
      </w:r>
    </w:p>
    <w:p w14:paraId="04BD340A">
      <w:pPr>
        <w:tabs>
          <w:tab w:val="left" w:pos="2728"/>
        </w:tabs>
        <w:jc w:val="center"/>
        <w:rPr>
          <w:rFonts w:ascii="黑体" w:hAnsi="Times New Roman" w:eastAsia="黑体" w:cs="Times New Roman"/>
          <w:sz w:val="48"/>
          <w:szCs w:val="48"/>
        </w:rPr>
      </w:pPr>
    </w:p>
    <w:p w14:paraId="69C5C939">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4179FC43">
      <w:pPr>
        <w:widowControl/>
        <w:spacing w:after="160" w:line="580" w:lineRule="exact"/>
        <w:ind w:firstLine="640" w:firstLineChars="200"/>
        <w:rPr>
          <w:rFonts w:ascii="Times New Roman" w:hAnsi="Times New Roman" w:eastAsia="黑体" w:cs="Times New Roman"/>
          <w:sz w:val="32"/>
          <w:szCs w:val="32"/>
        </w:rPr>
      </w:pPr>
    </w:p>
    <w:p w14:paraId="4C917D30">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74555EE2">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6CFC5EF5">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4D4F4FE8">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14:paraId="3FC3EB6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3ACEFB60">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4B6CFEC8">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3D61803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5515FF7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14:paraId="6201506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14:paraId="38A9AB73">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14:paraId="4496DB75">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41B826DA">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14:paraId="2FF966B2">
      <w:pPr>
        <w:widowControl/>
        <w:spacing w:after="160" w:line="580" w:lineRule="exact"/>
        <w:ind w:firstLine="640" w:firstLineChars="200"/>
        <w:rPr>
          <w:rFonts w:ascii="Times New Roman" w:hAnsi="Times New Roman" w:eastAsia="黑体" w:cs="Times New Roman"/>
          <w:sz w:val="32"/>
          <w:szCs w:val="32"/>
        </w:rPr>
      </w:pPr>
    </w:p>
    <w:p w14:paraId="1D80C6DD">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14:paraId="568442F6">
      <w:pPr>
        <w:widowControl/>
        <w:spacing w:line="580" w:lineRule="exact"/>
        <w:ind w:firstLine="640" w:firstLineChars="200"/>
        <w:rPr>
          <w:rFonts w:eastAsia="黑体"/>
          <w:sz w:val="32"/>
          <w:szCs w:val="32"/>
        </w:rPr>
      </w:pPr>
    </w:p>
    <w:p w14:paraId="4554ED67">
      <w:pPr>
        <w:widowControl/>
        <w:spacing w:line="580" w:lineRule="exact"/>
        <w:ind w:firstLine="640" w:firstLineChars="200"/>
        <w:rPr>
          <w:rFonts w:eastAsia="黑体"/>
          <w:sz w:val="32"/>
          <w:szCs w:val="32"/>
        </w:rPr>
      </w:pPr>
    </w:p>
    <w:p w14:paraId="2A3B7668">
      <w:pPr>
        <w:widowControl/>
        <w:spacing w:line="580" w:lineRule="exact"/>
        <w:ind w:firstLine="640" w:firstLineChars="200"/>
        <w:rPr>
          <w:rFonts w:eastAsia="黑体"/>
          <w:sz w:val="32"/>
          <w:szCs w:val="32"/>
        </w:rPr>
      </w:pPr>
    </w:p>
    <w:p w14:paraId="541CBD75">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14:paraId="07BCF0E5">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848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7"/>
                <v:stroke weight="1pt" color="#FFD966 [3204]" joinstyle="round"/>
                <v:imagedata o:title=""/>
                <o:lock v:ext="edit" aspectratio="f"/>
                <v:textbox>
                  <w:txbxContent>
                    <w:p w14:paraId="07BCF0E5">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14:paraId="2CC1CB90">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30A08CEA">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(一)承担全面依法治县重大问题的政策研究。组织协调有关方面提出全面依法治县中长期规划建议,负责有关重大决策部署督察工作。</w:t>
      </w:r>
    </w:p>
    <w:p w14:paraId="5575CB5E">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(二)负责县政府各部门、各乡(镇)政府规范性文件的备</w:t>
      </w:r>
    </w:p>
    <w:p w14:paraId="49B276DB">
      <w:pPr>
        <w:snapToGrid w:val="0"/>
        <w:spacing w:line="520" w:lineRule="exact"/>
        <w:rPr>
          <w:rFonts w:hint="eastAsia" w:ascii="仿宋" w:hAnsi="仿宋" w:eastAsia="仿宋" w:cs="仿宋"/>
          <w:sz w:val="32"/>
          <w:szCs w:val="32"/>
          <w:lang w:eastAsia="zh-CN"/>
        </w:rPr>
      </w:pPr>
      <w:r>
        <w:rPr>
          <w:rFonts w:hint="eastAsia" w:ascii="仿宋" w:hAnsi="仿宋" w:eastAsia="仿宋" w:cs="仿宋"/>
          <w:sz w:val="32"/>
          <w:szCs w:val="32"/>
        </w:rPr>
        <w:t>案审查工作,负责对县政府政策措施、规范性文件和合同协议的合法性审核工作;承办县政府交办的涉法事务;承办县政府规定上报市政府和县人大常委会备案工作</w:t>
      </w:r>
      <w:r>
        <w:rPr>
          <w:rFonts w:hint="eastAsia" w:ascii="仿宋" w:hAnsi="仿宋" w:eastAsia="仿宋" w:cs="仿宋"/>
          <w:sz w:val="32"/>
          <w:szCs w:val="32"/>
          <w:lang w:eastAsia="zh-CN"/>
        </w:rPr>
        <w:t>。</w:t>
      </w:r>
    </w:p>
    <w:p w14:paraId="5C89FD94">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承担统筹推进高邑法治政府建设的责任。指导、监督县政府各部门、各乡(镇)政府依法行政工作;负责综合协调行政执法,推进行政执法体制改革有关工作,推进严格规范公正文明执法;依法承办有政复议案件;受县政府委托,代理行政诉讼案件的应诉;受县魂肩委代理由市政府审理的行政复议裁决案件;指导、监督全县有政复和行政应诉工作。</w:t>
      </w:r>
    </w:p>
    <w:p w14:paraId="28801E62">
      <w:pPr>
        <w:snapToGrid w:val="0"/>
        <w:spacing w:line="52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四)承担统筹规划全县法洽社会建设的责任。负责拟订全县法治宣传教育规划,组织实施普法宣传工作;负责全县依法治理和法洽创建工作,推动全县人民参与和促进法洽建设,负责全县调解工作,负责全县人民陪审员、人民监督员选任管理工作;指导全县司法所建设</w:t>
      </w:r>
      <w:r>
        <w:rPr>
          <w:rFonts w:hint="eastAsia" w:ascii="仿宋" w:hAnsi="仿宋" w:eastAsia="仿宋" w:cs="仿宋"/>
          <w:sz w:val="32"/>
          <w:szCs w:val="32"/>
          <w:lang w:eastAsia="zh-CN"/>
        </w:rPr>
        <w:t>。</w:t>
      </w:r>
    </w:p>
    <w:p w14:paraId="3AB679E8">
      <w:pPr>
        <w:snapToGrid w:val="0"/>
        <w:spacing w:line="52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rPr>
        <w:t>五)负责全县社区矫正工作,负责刑满释放人员帮教安置工作</w:t>
      </w:r>
      <w:r>
        <w:rPr>
          <w:rFonts w:hint="eastAsia" w:ascii="仿宋" w:hAnsi="仿宋" w:eastAsia="仿宋" w:cs="仿宋"/>
          <w:sz w:val="32"/>
          <w:szCs w:val="32"/>
          <w:lang w:eastAsia="zh-CN"/>
        </w:rPr>
        <w:t>。</w:t>
      </w:r>
    </w:p>
    <w:p w14:paraId="0D74783A">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(六)负责拟订公共法律服务体系建设规划并组织实施,统筹和布局全县法律服务资源;负责全县律师、公证、法律援助、司法鉴定、伸裁和基层法律服务管理工作。</w:t>
      </w:r>
    </w:p>
    <w:p w14:paraId="1E2ACDED">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(七)负责本系统警车等物资装备管理工作;指导、监督本系统财务、装备、设施、场所等保障工作。</w:t>
      </w:r>
    </w:p>
    <w:p w14:paraId="4EFDC940">
      <w:pPr>
        <w:snapToGrid w:val="0"/>
        <w:spacing w:line="52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(八)规划、协调、指导全县法治人才队伍建设相关工作</w:t>
      </w:r>
      <w:r>
        <w:rPr>
          <w:rFonts w:hint="eastAsia" w:ascii="仿宋" w:hAnsi="仿宋" w:eastAsia="仿宋" w:cs="仿宋"/>
          <w:sz w:val="32"/>
          <w:szCs w:val="32"/>
          <w:lang w:eastAsia="zh-CN"/>
        </w:rPr>
        <w:t>；</w:t>
      </w:r>
      <w:r>
        <w:rPr>
          <w:rFonts w:hint="eastAsia" w:ascii="仿宋" w:hAnsi="仿宋" w:eastAsia="仿宋" w:cs="仿宋"/>
          <w:sz w:val="32"/>
          <w:szCs w:val="32"/>
        </w:rPr>
        <w:t>负责本系统队伍建设,负责本系统人事管理工作;协同各乡(镇)管理司法所干部。</w:t>
      </w:r>
    </w:p>
    <w:p w14:paraId="1CD2D0E7">
      <w:pPr>
        <w:snapToGrid w:val="0"/>
        <w:spacing w:line="52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(九)完成县委、县政府交办的其他任务</w:t>
      </w:r>
      <w:r>
        <w:rPr>
          <w:rFonts w:hint="eastAsia" w:ascii="仿宋" w:hAnsi="仿宋" w:eastAsia="仿宋" w:cs="仿宋"/>
          <w:sz w:val="32"/>
          <w:szCs w:val="32"/>
          <w:lang w:eastAsia="zh-CN"/>
        </w:rPr>
        <w:t>。</w:t>
      </w:r>
    </w:p>
    <w:p w14:paraId="7CD28131">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49E41AD9">
      <w:pPr>
        <w:spacing w:after="0" w:line="56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从决算编报单位构成看，纳入201</w:t>
      </w:r>
      <w:r>
        <w:rPr>
          <w:rFonts w:hint="eastAsia" w:ascii="仿宋" w:hAnsi="仿宋" w:eastAsia="仿宋" w:cs="仿宋"/>
          <w:kern w:val="0"/>
          <w:sz w:val="32"/>
          <w:szCs w:val="32"/>
          <w:lang w:val="en-US" w:eastAsia="zh-CN"/>
        </w:rPr>
        <w:t>9</w:t>
      </w:r>
      <w:r>
        <w:rPr>
          <w:rFonts w:hint="eastAsia" w:ascii="仿宋" w:hAnsi="仿宋" w:eastAsia="仿宋" w:cs="仿宋"/>
          <w:kern w:val="0"/>
          <w:sz w:val="32"/>
          <w:szCs w:val="32"/>
        </w:rPr>
        <w:t>年度本部门决算汇编范围的独立核算单位（以下简称“单位”）共</w:t>
      </w:r>
      <w:r>
        <w:rPr>
          <w:rFonts w:hint="eastAsia" w:ascii="仿宋" w:hAnsi="仿宋" w:eastAsia="仿宋" w:cs="仿宋"/>
          <w:kern w:val="0"/>
          <w:sz w:val="32"/>
          <w:szCs w:val="32"/>
          <w:lang w:val="en-US" w:eastAsia="zh-CN"/>
        </w:rPr>
        <w:t>1</w:t>
      </w:r>
      <w:r>
        <w:rPr>
          <w:rFonts w:hint="eastAsia" w:ascii="仿宋" w:hAnsi="仿宋" w:eastAsia="仿宋" w:cs="仿宋"/>
          <w:kern w:val="0"/>
          <w:sz w:val="32"/>
          <w:szCs w:val="32"/>
        </w:rPr>
        <w:t>个，具体情况如下：</w:t>
      </w:r>
    </w:p>
    <w:p w14:paraId="1E897C79">
      <w:pPr>
        <w:spacing w:after="0" w:line="560" w:lineRule="exact"/>
        <w:rPr>
          <w:rFonts w:hint="eastAsia" w:ascii="仿宋" w:hAnsi="仿宋" w:eastAsia="仿宋" w:cs="仿宋"/>
          <w:kern w:val="0"/>
          <w:sz w:val="32"/>
          <w:szCs w:val="32"/>
        </w:rPr>
      </w:pPr>
    </w:p>
    <w:p w14:paraId="5EB56216">
      <w:pPr>
        <w:jc w:val="center"/>
        <w:outlineLvl w:val="0"/>
        <w:rPr>
          <w:rFonts w:hint="eastAsia" w:ascii="仿宋" w:hAnsi="仿宋" w:eastAsia="仿宋" w:cs="仿宋"/>
          <w:b/>
          <w:sz w:val="32"/>
          <w:szCs w:val="32"/>
        </w:rPr>
      </w:pPr>
      <w:r>
        <w:rPr>
          <w:rFonts w:hint="eastAsia" w:ascii="仿宋" w:hAnsi="仿宋" w:eastAsia="仿宋" w:cs="仿宋"/>
          <w:b/>
          <w:sz w:val="32"/>
          <w:szCs w:val="32"/>
        </w:rPr>
        <w:t>部门机构设置情况</w:t>
      </w:r>
    </w:p>
    <w:tbl>
      <w:tblPr>
        <w:tblStyle w:val="6"/>
        <w:tblpPr w:leftFromText="180" w:rightFromText="180" w:vertAnchor="text" w:horzAnchor="page" w:tblpX="1040" w:tblpY="135"/>
        <w:tblOverlap w:val="never"/>
        <w:tblW w:w="1054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39"/>
        <w:gridCol w:w="1929"/>
        <w:gridCol w:w="1620"/>
        <w:gridCol w:w="3060"/>
      </w:tblGrid>
      <w:tr w14:paraId="517C7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3939" w:type="dxa"/>
            <w:vMerge w:val="restart"/>
            <w:vAlign w:val="center"/>
          </w:tcPr>
          <w:p w14:paraId="11482640">
            <w:pPr>
              <w:spacing w:line="300" w:lineRule="exact"/>
              <w:jc w:val="center"/>
              <w:rPr>
                <w:rFonts w:hint="eastAsia" w:ascii="仿宋" w:hAnsi="仿宋" w:eastAsia="仿宋" w:cs="仿宋"/>
                <w:b/>
                <w:sz w:val="32"/>
                <w:szCs w:val="32"/>
              </w:rPr>
            </w:pPr>
            <w:r>
              <w:rPr>
                <w:rFonts w:hint="eastAsia" w:ascii="仿宋" w:hAnsi="仿宋" w:eastAsia="仿宋" w:cs="仿宋"/>
                <w:b/>
                <w:sz w:val="32"/>
                <w:szCs w:val="32"/>
              </w:rPr>
              <w:t>单位名称</w:t>
            </w:r>
          </w:p>
        </w:tc>
        <w:tc>
          <w:tcPr>
            <w:tcW w:w="1929" w:type="dxa"/>
            <w:vMerge w:val="restart"/>
            <w:vAlign w:val="center"/>
          </w:tcPr>
          <w:p w14:paraId="1BBD8C5B">
            <w:pPr>
              <w:spacing w:line="300" w:lineRule="exact"/>
              <w:jc w:val="center"/>
              <w:rPr>
                <w:rFonts w:hint="eastAsia" w:ascii="仿宋" w:hAnsi="仿宋" w:eastAsia="仿宋" w:cs="仿宋"/>
                <w:b/>
                <w:sz w:val="32"/>
                <w:szCs w:val="32"/>
              </w:rPr>
            </w:pPr>
            <w:r>
              <w:rPr>
                <w:rFonts w:hint="eastAsia" w:ascii="仿宋" w:hAnsi="仿宋" w:eastAsia="仿宋" w:cs="仿宋"/>
                <w:b/>
                <w:sz w:val="32"/>
                <w:szCs w:val="32"/>
              </w:rPr>
              <w:t>单位性质</w:t>
            </w:r>
          </w:p>
        </w:tc>
        <w:tc>
          <w:tcPr>
            <w:tcW w:w="1620" w:type="dxa"/>
            <w:vMerge w:val="restart"/>
            <w:vAlign w:val="center"/>
          </w:tcPr>
          <w:p w14:paraId="5EAA459C">
            <w:pPr>
              <w:spacing w:line="300" w:lineRule="exact"/>
              <w:jc w:val="center"/>
              <w:rPr>
                <w:rFonts w:hint="eastAsia" w:ascii="仿宋" w:hAnsi="仿宋" w:eastAsia="仿宋" w:cs="仿宋"/>
                <w:b/>
                <w:sz w:val="32"/>
                <w:szCs w:val="32"/>
              </w:rPr>
            </w:pPr>
            <w:r>
              <w:rPr>
                <w:rFonts w:hint="eastAsia" w:ascii="仿宋" w:hAnsi="仿宋" w:eastAsia="仿宋" w:cs="仿宋"/>
                <w:b/>
                <w:sz w:val="32"/>
                <w:szCs w:val="32"/>
              </w:rPr>
              <w:t>单位规格</w:t>
            </w:r>
          </w:p>
        </w:tc>
        <w:tc>
          <w:tcPr>
            <w:tcW w:w="3060" w:type="dxa"/>
            <w:vMerge w:val="restart"/>
            <w:vAlign w:val="center"/>
          </w:tcPr>
          <w:p w14:paraId="6392FC3F">
            <w:pPr>
              <w:spacing w:line="300" w:lineRule="exact"/>
              <w:jc w:val="center"/>
              <w:rPr>
                <w:rFonts w:hint="eastAsia" w:ascii="仿宋" w:hAnsi="仿宋" w:eastAsia="仿宋" w:cs="仿宋"/>
                <w:b/>
                <w:sz w:val="32"/>
                <w:szCs w:val="32"/>
              </w:rPr>
            </w:pPr>
            <w:r>
              <w:rPr>
                <w:rFonts w:hint="eastAsia" w:ascii="仿宋" w:hAnsi="仿宋" w:eastAsia="仿宋" w:cs="仿宋"/>
                <w:b/>
                <w:sz w:val="32"/>
                <w:szCs w:val="32"/>
              </w:rPr>
              <w:t>经费保障形式</w:t>
            </w:r>
          </w:p>
        </w:tc>
      </w:tr>
      <w:tr w14:paraId="51A86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3939" w:type="dxa"/>
            <w:vMerge w:val="continue"/>
            <w:vAlign w:val="center"/>
          </w:tcPr>
          <w:p w14:paraId="14FE598D">
            <w:pPr>
              <w:spacing w:line="300" w:lineRule="exact"/>
              <w:jc w:val="center"/>
              <w:outlineLvl w:val="0"/>
              <w:rPr>
                <w:rFonts w:hint="eastAsia" w:ascii="仿宋" w:hAnsi="仿宋" w:eastAsia="仿宋" w:cs="仿宋"/>
                <w:sz w:val="32"/>
                <w:szCs w:val="32"/>
              </w:rPr>
            </w:pPr>
          </w:p>
        </w:tc>
        <w:tc>
          <w:tcPr>
            <w:tcW w:w="1929" w:type="dxa"/>
            <w:vMerge w:val="continue"/>
            <w:vAlign w:val="center"/>
          </w:tcPr>
          <w:p w14:paraId="1A183FB1">
            <w:pPr>
              <w:spacing w:line="300" w:lineRule="exact"/>
              <w:jc w:val="center"/>
              <w:outlineLvl w:val="0"/>
              <w:rPr>
                <w:rFonts w:hint="eastAsia" w:ascii="仿宋" w:hAnsi="仿宋" w:eastAsia="仿宋" w:cs="仿宋"/>
                <w:sz w:val="32"/>
                <w:szCs w:val="32"/>
              </w:rPr>
            </w:pPr>
          </w:p>
        </w:tc>
        <w:tc>
          <w:tcPr>
            <w:tcW w:w="1620" w:type="dxa"/>
            <w:vMerge w:val="continue"/>
            <w:vAlign w:val="center"/>
          </w:tcPr>
          <w:p w14:paraId="162CEBAA">
            <w:pPr>
              <w:spacing w:line="300" w:lineRule="exact"/>
              <w:jc w:val="center"/>
              <w:outlineLvl w:val="0"/>
              <w:rPr>
                <w:rFonts w:hint="eastAsia" w:ascii="仿宋" w:hAnsi="仿宋" w:eastAsia="仿宋" w:cs="仿宋"/>
                <w:sz w:val="32"/>
                <w:szCs w:val="32"/>
              </w:rPr>
            </w:pPr>
          </w:p>
        </w:tc>
        <w:tc>
          <w:tcPr>
            <w:tcW w:w="3060" w:type="dxa"/>
            <w:vMerge w:val="continue"/>
            <w:vAlign w:val="center"/>
          </w:tcPr>
          <w:p w14:paraId="78332911">
            <w:pPr>
              <w:spacing w:line="300" w:lineRule="exact"/>
              <w:jc w:val="center"/>
              <w:outlineLvl w:val="0"/>
              <w:rPr>
                <w:rFonts w:hint="eastAsia" w:ascii="仿宋" w:hAnsi="仿宋" w:eastAsia="仿宋" w:cs="仿宋"/>
                <w:sz w:val="32"/>
                <w:szCs w:val="32"/>
              </w:rPr>
            </w:pPr>
          </w:p>
        </w:tc>
      </w:tr>
      <w:tr w14:paraId="60BEA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3939" w:type="dxa"/>
            <w:vAlign w:val="center"/>
          </w:tcPr>
          <w:p w14:paraId="361E0381">
            <w:pPr>
              <w:jc w:val="center"/>
              <w:rPr>
                <w:rFonts w:hint="eastAsia" w:ascii="仿宋" w:hAnsi="仿宋" w:eastAsia="仿宋" w:cs="仿宋"/>
                <w:sz w:val="32"/>
                <w:szCs w:val="32"/>
              </w:rPr>
            </w:pPr>
            <w:r>
              <w:rPr>
                <w:rFonts w:hint="eastAsia" w:ascii="仿宋" w:hAnsi="仿宋" w:eastAsia="仿宋" w:cs="仿宋"/>
                <w:sz w:val="32"/>
                <w:szCs w:val="32"/>
              </w:rPr>
              <w:t>高邑县司法局</w:t>
            </w:r>
          </w:p>
        </w:tc>
        <w:tc>
          <w:tcPr>
            <w:tcW w:w="1929" w:type="dxa"/>
            <w:vAlign w:val="center"/>
          </w:tcPr>
          <w:p w14:paraId="7CE896EB">
            <w:pPr>
              <w:jc w:val="center"/>
              <w:rPr>
                <w:rFonts w:hint="eastAsia" w:ascii="仿宋" w:hAnsi="仿宋" w:eastAsia="仿宋" w:cs="仿宋"/>
                <w:sz w:val="32"/>
                <w:szCs w:val="32"/>
              </w:rPr>
            </w:pPr>
            <w:r>
              <w:rPr>
                <w:rFonts w:hint="eastAsia" w:ascii="仿宋" w:hAnsi="仿宋" w:eastAsia="仿宋" w:cs="仿宋"/>
                <w:sz w:val="32"/>
                <w:szCs w:val="32"/>
              </w:rPr>
              <w:t>行政</w:t>
            </w:r>
          </w:p>
        </w:tc>
        <w:tc>
          <w:tcPr>
            <w:tcW w:w="1620" w:type="dxa"/>
            <w:vAlign w:val="center"/>
          </w:tcPr>
          <w:p w14:paraId="1C4E8E58">
            <w:pPr>
              <w:jc w:val="center"/>
              <w:rPr>
                <w:rFonts w:hint="eastAsia" w:ascii="仿宋" w:hAnsi="仿宋" w:eastAsia="仿宋" w:cs="仿宋"/>
                <w:sz w:val="32"/>
                <w:szCs w:val="32"/>
              </w:rPr>
            </w:pPr>
            <w:r>
              <w:rPr>
                <w:rFonts w:hint="eastAsia" w:ascii="仿宋" w:hAnsi="仿宋" w:eastAsia="仿宋" w:cs="仿宋"/>
                <w:sz w:val="32"/>
                <w:szCs w:val="32"/>
              </w:rPr>
              <w:t>正科级</w:t>
            </w:r>
          </w:p>
        </w:tc>
        <w:tc>
          <w:tcPr>
            <w:tcW w:w="3060" w:type="dxa"/>
            <w:vAlign w:val="center"/>
          </w:tcPr>
          <w:p w14:paraId="37BCF53E">
            <w:pPr>
              <w:jc w:val="center"/>
              <w:rPr>
                <w:rFonts w:hint="eastAsia" w:ascii="仿宋" w:hAnsi="仿宋" w:eastAsia="仿宋" w:cs="仿宋"/>
                <w:sz w:val="32"/>
                <w:szCs w:val="32"/>
              </w:rPr>
            </w:pPr>
            <w:r>
              <w:rPr>
                <w:rFonts w:hint="eastAsia" w:ascii="仿宋" w:hAnsi="仿宋" w:eastAsia="仿宋" w:cs="仿宋"/>
                <w:sz w:val="32"/>
                <w:szCs w:val="32"/>
              </w:rPr>
              <w:t>财政拨款</w:t>
            </w:r>
          </w:p>
        </w:tc>
      </w:tr>
    </w:tbl>
    <w:p w14:paraId="05BD8896">
      <w:pPr>
        <w:snapToGrid w:val="0"/>
        <w:spacing w:line="520" w:lineRule="exact"/>
        <w:ind w:firstLine="640" w:firstLineChars="200"/>
        <w:rPr>
          <w:rFonts w:hint="eastAsia" w:ascii="仿宋_GB2312" w:hAnsi="仿宋" w:eastAsia="仿宋_GB2312"/>
          <w:sz w:val="32"/>
          <w:szCs w:val="32"/>
        </w:rPr>
      </w:pPr>
    </w:p>
    <w:p w14:paraId="0BED53B7">
      <w:pPr>
        <w:widowControl/>
        <w:spacing w:after="160" w:line="580" w:lineRule="exact"/>
        <w:ind w:firstLine="640" w:firstLineChars="200"/>
        <w:rPr>
          <w:rFonts w:ascii="Times New Roman" w:hAnsi="Times New Roman" w:eastAsia="黑体" w:cs="Times New Roman"/>
          <w:sz w:val="32"/>
          <w:szCs w:val="32"/>
        </w:rPr>
      </w:pPr>
    </w:p>
    <w:p w14:paraId="456F0BA9">
      <w:pPr>
        <w:widowControl/>
        <w:spacing w:after="160" w:line="580" w:lineRule="exact"/>
        <w:ind w:firstLine="640" w:firstLineChars="200"/>
        <w:rPr>
          <w:rFonts w:ascii="Times New Roman" w:hAnsi="Times New Roman" w:eastAsia="黑体" w:cs="Times New Roman"/>
          <w:sz w:val="32"/>
          <w:szCs w:val="32"/>
        </w:rPr>
      </w:pPr>
    </w:p>
    <w:p w14:paraId="602AC0A1">
      <w:pPr>
        <w:widowControl/>
        <w:spacing w:after="160" w:line="580" w:lineRule="exact"/>
        <w:ind w:firstLine="640" w:firstLineChars="200"/>
        <w:rPr>
          <w:rFonts w:ascii="Times New Roman" w:hAnsi="Times New Roman" w:eastAsia="黑体" w:cs="Times New Roman"/>
          <w:sz w:val="32"/>
          <w:szCs w:val="32"/>
        </w:rPr>
      </w:pPr>
    </w:p>
    <w:p w14:paraId="184987B7">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14:paraId="6460E34B">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14:paraId="072B49E6">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4E2D82">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2E548FC1">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950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5D4E2D82">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2E548FC1">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625153A9">
      <w:pPr>
        <w:widowControl/>
        <w:spacing w:line="580" w:lineRule="exact"/>
        <w:ind w:firstLine="640" w:firstLineChars="200"/>
        <w:rPr>
          <w:rFonts w:eastAsia="黑体"/>
          <w:sz w:val="32"/>
          <w:szCs w:val="32"/>
        </w:rPr>
      </w:pPr>
    </w:p>
    <w:p w14:paraId="29BD1BC2">
      <w:pPr>
        <w:jc w:val="center"/>
        <w:rPr>
          <w:rFonts w:ascii="黑体" w:hAnsi="黑体" w:eastAsia="黑体" w:cs="黑体"/>
          <w:sz w:val="56"/>
          <w:szCs w:val="72"/>
        </w:rPr>
      </w:pPr>
    </w:p>
    <w:p w14:paraId="7895E64C">
      <w:pPr>
        <w:jc w:val="center"/>
        <w:rPr>
          <w:rFonts w:ascii="黑体" w:hAnsi="黑体" w:eastAsia="黑体" w:cs="黑体"/>
          <w:sz w:val="56"/>
          <w:szCs w:val="72"/>
        </w:rPr>
      </w:pPr>
    </w:p>
    <w:p w14:paraId="2DAD4DF8">
      <w:pPr>
        <w:jc w:val="center"/>
        <w:rPr>
          <w:rFonts w:ascii="黑体" w:hAnsi="黑体" w:eastAsia="黑体" w:cs="黑体"/>
          <w:sz w:val="56"/>
          <w:szCs w:val="72"/>
        </w:rPr>
      </w:pPr>
      <w:r>
        <w:rPr>
          <w:sz w:val="72"/>
        </w:rPr>
        <mc:AlternateContent>
          <mc:Choice Requires="wps">
            <w:drawing>
              <wp:anchor distT="0" distB="0" distL="114300" distR="114300" simplePos="0" relativeHeight="251672576"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7B5CF966">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1E4FC501">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6DFB6CFE">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2576;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7"/>
                <v:stroke weight="0.5pt" color="#FFD966 [3204]" joinstyle="round"/>
                <v:imagedata o:title=""/>
                <o:lock v:ext="edit" aspectratio="f"/>
                <v:textbox>
                  <w:txbxContent>
                    <w:p w14:paraId="7B5CF966">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1E4FC501">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6DFB6CFE">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14:paraId="36A3F971">
      <w:pPr>
        <w:jc w:val="center"/>
        <w:rPr>
          <w:rFonts w:ascii="黑体" w:hAnsi="黑体" w:eastAsia="黑体" w:cs="黑体"/>
          <w:sz w:val="56"/>
          <w:szCs w:val="72"/>
        </w:rPr>
      </w:pPr>
    </w:p>
    <w:p w14:paraId="18F661D7">
      <w:pPr>
        <w:jc w:val="center"/>
        <w:rPr>
          <w:rFonts w:ascii="黑体" w:hAnsi="黑体" w:eastAsia="黑体" w:cs="黑体"/>
          <w:sz w:val="56"/>
          <w:szCs w:val="72"/>
        </w:rPr>
      </w:pPr>
    </w:p>
    <w:p w14:paraId="1936FEC4">
      <w:pPr>
        <w:jc w:val="center"/>
        <w:rPr>
          <w:rFonts w:ascii="黑体" w:hAnsi="黑体" w:eastAsia="黑体" w:cs="黑体"/>
          <w:sz w:val="56"/>
          <w:szCs w:val="72"/>
        </w:rPr>
      </w:pPr>
    </w:p>
    <w:p w14:paraId="1DDDF675">
      <w:pPr>
        <w:jc w:val="center"/>
        <w:rPr>
          <w:rFonts w:ascii="黑体" w:hAnsi="黑体" w:eastAsia="黑体" w:cs="黑体"/>
          <w:sz w:val="56"/>
          <w:szCs w:val="72"/>
        </w:rPr>
      </w:pPr>
    </w:p>
    <w:p w14:paraId="45DC9338">
      <w:pPr>
        <w:jc w:val="center"/>
        <w:rPr>
          <w:rFonts w:ascii="黑体" w:hAnsi="黑体" w:eastAsia="黑体" w:cs="黑体"/>
          <w:sz w:val="56"/>
          <w:szCs w:val="72"/>
        </w:rPr>
      </w:pPr>
    </w:p>
    <w:p w14:paraId="280B4CEE">
      <w:pPr>
        <w:jc w:val="center"/>
        <w:rPr>
          <w:rFonts w:ascii="黑体" w:hAnsi="黑体" w:eastAsia="黑体" w:cs="黑体"/>
          <w:sz w:val="56"/>
          <w:szCs w:val="72"/>
        </w:rPr>
      </w:pPr>
    </w:p>
    <w:p w14:paraId="12F915B3">
      <w:pPr>
        <w:jc w:val="center"/>
        <w:rPr>
          <w:rFonts w:ascii="黑体" w:hAnsi="黑体" w:eastAsia="黑体" w:cs="黑体"/>
          <w:sz w:val="56"/>
          <w:szCs w:val="72"/>
        </w:rPr>
      </w:pPr>
    </w:p>
    <w:p w14:paraId="10C7DD15">
      <w:pPr>
        <w:jc w:val="center"/>
        <w:rPr>
          <w:rFonts w:ascii="黑体" w:hAnsi="黑体" w:eastAsia="黑体" w:cs="黑体"/>
          <w:sz w:val="56"/>
          <w:szCs w:val="72"/>
        </w:rPr>
      </w:pPr>
    </w:p>
    <w:p w14:paraId="6CBA2F5F">
      <w:pPr>
        <w:jc w:val="center"/>
        <w:rPr>
          <w:rFonts w:ascii="黑体" w:hAnsi="黑体" w:eastAsia="黑体" w:cs="黑体"/>
          <w:sz w:val="56"/>
          <w:szCs w:val="72"/>
        </w:rPr>
      </w:pPr>
    </w:p>
    <w:p w14:paraId="6E47DA46">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494B470D">
      <w:pPr>
        <w:adjustRightInd w:val="0"/>
        <w:snapToGrid w:val="0"/>
        <w:spacing w:after="0" w:line="56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本部门201</w:t>
      </w:r>
      <w:r>
        <w:rPr>
          <w:rFonts w:hint="eastAsia" w:ascii="仿宋" w:hAnsi="仿宋" w:eastAsia="仿宋" w:cs="仿宋"/>
          <w:sz w:val="32"/>
          <w:szCs w:val="32"/>
          <w:lang w:val="en-US" w:eastAsia="zh-CN"/>
        </w:rPr>
        <w:t>9</w:t>
      </w:r>
      <w:r>
        <w:rPr>
          <w:rFonts w:hint="eastAsia" w:ascii="仿宋" w:hAnsi="仿宋" w:eastAsia="仿宋" w:cs="仿宋"/>
          <w:sz w:val="32"/>
          <w:szCs w:val="32"/>
        </w:rPr>
        <w:t>年度年初结转和结余</w:t>
      </w:r>
      <w:r>
        <w:rPr>
          <w:rFonts w:hint="eastAsia" w:ascii="仿宋" w:hAnsi="仿宋" w:eastAsia="仿宋" w:cs="仿宋"/>
          <w:sz w:val="32"/>
          <w:szCs w:val="32"/>
          <w:lang w:val="en-US" w:eastAsia="zh-CN"/>
        </w:rPr>
        <w:t>80.87</w:t>
      </w:r>
      <w:r>
        <w:rPr>
          <w:rFonts w:hint="eastAsia" w:ascii="仿宋" w:hAnsi="仿宋" w:eastAsia="仿宋" w:cs="仿宋"/>
          <w:sz w:val="32"/>
          <w:szCs w:val="32"/>
        </w:rPr>
        <w:t>万元，本年收入</w:t>
      </w:r>
      <w:r>
        <w:rPr>
          <w:rFonts w:hint="eastAsia" w:ascii="仿宋" w:hAnsi="仿宋" w:eastAsia="仿宋" w:cs="仿宋"/>
          <w:sz w:val="32"/>
          <w:szCs w:val="32"/>
          <w:lang w:val="en-US" w:eastAsia="zh-CN"/>
        </w:rPr>
        <w:t>457.55</w:t>
      </w:r>
      <w:r>
        <w:rPr>
          <w:rFonts w:hint="eastAsia" w:ascii="仿宋" w:hAnsi="仿宋" w:eastAsia="仿宋" w:cs="仿宋"/>
          <w:sz w:val="32"/>
          <w:szCs w:val="32"/>
        </w:rPr>
        <w:t>万元；本年支出</w:t>
      </w:r>
      <w:r>
        <w:rPr>
          <w:rFonts w:hint="eastAsia" w:ascii="仿宋" w:hAnsi="仿宋" w:eastAsia="仿宋" w:cs="仿宋"/>
          <w:sz w:val="32"/>
          <w:szCs w:val="32"/>
          <w:lang w:val="en-US" w:eastAsia="zh-CN"/>
        </w:rPr>
        <w:t>440.58</w:t>
      </w:r>
      <w:r>
        <w:rPr>
          <w:rFonts w:hint="eastAsia" w:ascii="仿宋" w:hAnsi="仿宋" w:eastAsia="仿宋" w:cs="仿宋"/>
          <w:sz w:val="32"/>
          <w:szCs w:val="32"/>
        </w:rPr>
        <w:t>万元、年末结转和结余</w:t>
      </w:r>
      <w:r>
        <w:rPr>
          <w:rFonts w:hint="eastAsia" w:ascii="仿宋" w:hAnsi="仿宋" w:eastAsia="仿宋" w:cs="仿宋"/>
          <w:sz w:val="32"/>
          <w:szCs w:val="32"/>
          <w:lang w:val="en-US" w:eastAsia="zh-CN"/>
        </w:rPr>
        <w:t>97.84</w:t>
      </w:r>
      <w:r>
        <w:rPr>
          <w:rFonts w:hint="eastAsia" w:ascii="仿宋" w:hAnsi="仿宋" w:eastAsia="仿宋" w:cs="仿宋"/>
          <w:sz w:val="32"/>
          <w:szCs w:val="32"/>
        </w:rPr>
        <w:t>万元。与201</w:t>
      </w:r>
      <w:r>
        <w:rPr>
          <w:rFonts w:hint="eastAsia" w:ascii="仿宋" w:hAnsi="仿宋" w:eastAsia="仿宋" w:cs="仿宋"/>
          <w:sz w:val="32"/>
          <w:szCs w:val="32"/>
          <w:lang w:val="en-US" w:eastAsia="zh-CN"/>
        </w:rPr>
        <w:t>8</w:t>
      </w:r>
      <w:r>
        <w:rPr>
          <w:rFonts w:hint="eastAsia" w:ascii="仿宋" w:hAnsi="仿宋" w:eastAsia="仿宋" w:cs="仿宋"/>
          <w:sz w:val="32"/>
          <w:szCs w:val="32"/>
        </w:rPr>
        <w:t>年度决算相比，本年收入增加</w:t>
      </w:r>
      <w:r>
        <w:rPr>
          <w:rFonts w:hint="eastAsia" w:ascii="仿宋" w:hAnsi="仿宋" w:eastAsia="仿宋" w:cs="仿宋"/>
          <w:sz w:val="32"/>
          <w:szCs w:val="32"/>
          <w:lang w:val="en-US" w:eastAsia="zh-CN"/>
        </w:rPr>
        <w:t>141.02</w:t>
      </w:r>
      <w:r>
        <w:rPr>
          <w:rFonts w:hint="eastAsia" w:ascii="仿宋" w:hAnsi="仿宋" w:eastAsia="仿宋" w:cs="仿宋"/>
          <w:sz w:val="32"/>
          <w:szCs w:val="32"/>
        </w:rPr>
        <w:t>万元，增长</w:t>
      </w:r>
      <w:r>
        <w:rPr>
          <w:rFonts w:hint="eastAsia" w:ascii="仿宋" w:hAnsi="仿宋" w:eastAsia="仿宋" w:cs="仿宋"/>
          <w:sz w:val="32"/>
          <w:szCs w:val="32"/>
          <w:lang w:val="en-US" w:eastAsia="zh-CN"/>
        </w:rPr>
        <w:t>44.55</w:t>
      </w:r>
      <w:r>
        <w:rPr>
          <w:rFonts w:hint="eastAsia" w:ascii="仿宋" w:hAnsi="仿宋" w:eastAsia="仿宋" w:cs="仿宋"/>
          <w:sz w:val="32"/>
          <w:szCs w:val="32"/>
        </w:rPr>
        <w:t>%，主要是</w:t>
      </w:r>
      <w:r>
        <w:rPr>
          <w:rFonts w:hint="eastAsia" w:ascii="仿宋" w:hAnsi="仿宋" w:eastAsia="仿宋" w:cs="仿宋"/>
          <w:sz w:val="32"/>
          <w:szCs w:val="32"/>
          <w:lang w:eastAsia="zh-CN"/>
        </w:rPr>
        <w:t>人员经费、公用经费及项目经费增加</w:t>
      </w:r>
      <w:r>
        <w:rPr>
          <w:rFonts w:hint="eastAsia" w:ascii="仿宋" w:hAnsi="仿宋" w:eastAsia="仿宋" w:cs="仿宋"/>
          <w:sz w:val="32"/>
          <w:szCs w:val="32"/>
        </w:rPr>
        <w:t>；本年支出</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178.18</w:t>
      </w:r>
      <w:r>
        <w:rPr>
          <w:rFonts w:hint="eastAsia" w:ascii="仿宋" w:hAnsi="仿宋" w:eastAsia="仿宋" w:cs="仿宋"/>
          <w:sz w:val="32"/>
          <w:szCs w:val="32"/>
        </w:rPr>
        <w:t>万元，</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67.90</w:t>
      </w:r>
      <w:r>
        <w:rPr>
          <w:rFonts w:hint="eastAsia" w:ascii="仿宋" w:hAnsi="仿宋" w:eastAsia="仿宋" w:cs="仿宋"/>
          <w:sz w:val="32"/>
          <w:szCs w:val="32"/>
        </w:rPr>
        <w:t>%，主要是</w:t>
      </w:r>
      <w:r>
        <w:rPr>
          <w:rFonts w:hint="eastAsia" w:ascii="仿宋" w:hAnsi="仿宋" w:eastAsia="仿宋" w:cs="仿宋"/>
          <w:sz w:val="32"/>
          <w:szCs w:val="32"/>
          <w:lang w:eastAsia="zh-CN"/>
        </w:rPr>
        <w:t>人员经费、公用经费及项目经费增加。</w:t>
      </w:r>
    </w:p>
    <w:p w14:paraId="0BC5EC1C">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0EFC9A4A">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457.55</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451.23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98.62</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6.32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1.38</w:t>
      </w:r>
      <w:r>
        <w:rPr>
          <w:rFonts w:hint="eastAsia" w:ascii="仿宋_GB2312" w:hAnsi="Times New Roman" w:eastAsia="仿宋_GB2312" w:cs="DengXian-Regular"/>
          <w:sz w:val="32"/>
          <w:szCs w:val="32"/>
        </w:rPr>
        <w:t>%。如图所示</w:t>
      </w:r>
    </w:p>
    <w:p w14:paraId="5F62575E">
      <w:pPr>
        <w:adjustRightInd w:val="0"/>
        <w:snapToGrid w:val="0"/>
        <w:spacing w:line="580" w:lineRule="exact"/>
        <w:ind w:firstLine="1920" w:firstLineChars="600"/>
        <w:rPr>
          <w:rFonts w:ascii="仿宋_GB2312" w:hAnsi="Times New Roman" w:eastAsia="仿宋_GB2312" w:cs="DengXian-Regular"/>
          <w:sz w:val="32"/>
          <w:szCs w:val="32"/>
        </w:rPr>
      </w:pPr>
    </w:p>
    <w:p w14:paraId="5BD930CC">
      <w:pPr>
        <w:adjustRightInd w:val="0"/>
        <w:snapToGrid w:val="0"/>
        <w:spacing w:line="580" w:lineRule="exact"/>
        <w:ind w:firstLine="1920" w:firstLineChars="600"/>
        <w:rPr>
          <w:rFonts w:ascii="仿宋_GB2312" w:hAnsi="Times New Roman" w:eastAsia="仿宋_GB2312" w:cs="DengXian-Regular"/>
          <w:sz w:val="32"/>
          <w:szCs w:val="32"/>
        </w:rPr>
      </w:pPr>
    </w:p>
    <w:p w14:paraId="51FC04EB">
      <w:pPr>
        <w:adjustRightInd w:val="0"/>
        <w:snapToGrid w:val="0"/>
        <w:spacing w:line="580" w:lineRule="exact"/>
        <w:ind w:firstLine="1920" w:firstLineChars="600"/>
        <w:rPr>
          <w:rFonts w:hint="eastAsia" w:ascii="仿宋_GB2312" w:hAnsi="Times New Roman" w:eastAsia="仿宋_GB2312" w:cs="DengXian-Regular"/>
          <w:sz w:val="32"/>
          <w:szCs w:val="32"/>
          <w:lang w:eastAsia="zh-CN"/>
        </w:rPr>
      </w:pPr>
    </w:p>
    <w:p w14:paraId="3D76876F">
      <w:pPr>
        <w:adjustRightInd w:val="0"/>
        <w:snapToGrid w:val="0"/>
        <w:spacing w:line="580" w:lineRule="exact"/>
        <w:ind w:firstLine="1920" w:firstLineChars="600"/>
        <w:rPr>
          <w:rFonts w:ascii="仿宋_GB2312" w:hAnsi="Times New Roman" w:eastAsia="仿宋_GB2312" w:cs="DengXian-Regular"/>
          <w:sz w:val="32"/>
          <w:szCs w:val="32"/>
        </w:rPr>
      </w:pPr>
    </w:p>
    <w:p w14:paraId="626271CA">
      <w:pPr>
        <w:adjustRightInd w:val="0"/>
        <w:snapToGrid w:val="0"/>
        <w:spacing w:line="580" w:lineRule="exact"/>
        <w:ind w:firstLine="1920" w:firstLineChars="600"/>
        <w:rPr>
          <w:rFonts w:ascii="仿宋_GB2312" w:hAnsi="Times New Roman" w:eastAsia="仿宋_GB2312" w:cs="DengXian-Regular"/>
          <w:sz w:val="32"/>
          <w:szCs w:val="32"/>
        </w:rPr>
      </w:pPr>
    </w:p>
    <w:p w14:paraId="7BFAD57B">
      <w:pPr>
        <w:keepNext/>
        <w:keepLines/>
        <w:snapToGrid w:val="0"/>
        <w:spacing w:line="580" w:lineRule="exact"/>
        <w:ind w:firstLine="643" w:firstLineChars="200"/>
        <w:outlineLvl w:val="1"/>
        <w:rPr>
          <w:rFonts w:ascii="黑体" w:hAnsi="Calibri" w:eastAsia="黑体" w:cs="Times New Roman"/>
          <w:b/>
          <w:bCs/>
          <w:sz w:val="32"/>
          <w:szCs w:val="32"/>
        </w:rPr>
      </w:pPr>
    </w:p>
    <w:p w14:paraId="2011A2CB">
      <w:pPr>
        <w:keepNext/>
        <w:keepLines/>
        <w:snapToGrid w:val="0"/>
        <w:spacing w:line="580" w:lineRule="exact"/>
        <w:ind w:firstLine="643" w:firstLineChars="200"/>
        <w:outlineLvl w:val="1"/>
        <w:rPr>
          <w:rFonts w:ascii="黑体" w:hAnsi="Calibri" w:eastAsia="黑体" w:cs="Times New Roman"/>
          <w:b/>
          <w:bCs/>
          <w:sz w:val="32"/>
          <w:szCs w:val="32"/>
        </w:rPr>
      </w:pPr>
    </w:p>
    <w:p w14:paraId="6EA34ECC">
      <w:pPr>
        <w:keepNext/>
        <w:keepLines/>
        <w:snapToGrid w:val="0"/>
        <w:spacing w:line="580" w:lineRule="exact"/>
        <w:ind w:firstLine="640" w:firstLineChars="200"/>
        <w:outlineLvl w:val="1"/>
        <w:rPr>
          <w:rFonts w:ascii="黑体" w:hAnsi="Calibri" w:eastAsia="黑体" w:cs="Times New Roman"/>
          <w:b/>
          <w:bCs/>
          <w:sz w:val="32"/>
          <w:szCs w:val="32"/>
        </w:rPr>
      </w:pPr>
      <w:r>
        <w:rPr>
          <w:sz w:val="32"/>
        </w:rPr>
        <mc:AlternateContent>
          <mc:Choice Requires="wps">
            <w:drawing>
              <wp:anchor distT="0" distB="0" distL="114300" distR="114300" simplePos="0" relativeHeight="251670528" behindDoc="0" locked="0" layoutInCell="1" allowOverlap="1">
                <wp:simplePos x="0" y="0"/>
                <wp:positionH relativeFrom="column">
                  <wp:posOffset>-3805555</wp:posOffset>
                </wp:positionH>
                <wp:positionV relativeFrom="paragraph">
                  <wp:posOffset>304800</wp:posOffset>
                </wp:positionV>
                <wp:extent cx="2760345" cy="490220"/>
                <wp:effectExtent l="0" t="0" r="1905" b="5080"/>
                <wp:wrapNone/>
                <wp:docPr id="155" name="文本框 32"/>
                <wp:cNvGraphicFramePr/>
                <a:graphic xmlns:a="http://schemas.openxmlformats.org/drawingml/2006/main">
                  <a:graphicData uri="http://schemas.microsoft.com/office/word/2010/wordprocessingShape">
                    <wps:wsp>
                      <wps:cNvSpPr txBox="1"/>
                      <wps:spPr>
                        <a:xfrm>
                          <a:off x="2498725" y="7828280"/>
                          <a:ext cx="2760345" cy="490220"/>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29E6996">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：收入构成情况</w:t>
                            </w:r>
                          </w:p>
                          <w:p w14:paraId="086DA169">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299.65pt;margin-top:24pt;height:38.6pt;width:217.35pt;z-index:251670528;mso-width-relative:page;mso-height-relative:page;" fillcolor="#FFFFFF" filled="t" stroked="f" coordsize="21600,21600" o:gfxdata="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">
                <v:fill on="t" focussize="0,0"/>
                <v:stroke on="f" weight="0.5pt"/>
                <v:imagedata o:title=""/>
                <o:lock v:ext="edit" aspectratio="f"/>
                <v:textbox>
                  <w:txbxContent>
                    <w:p w14:paraId="629E6996">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：收入构成情况</w:t>
                      </w:r>
                    </w:p>
                    <w:p w14:paraId="086DA169">
                      <w:pPr>
                        <w:spacing w:after="160" w:line="480" w:lineRule="auto"/>
                        <w:rPr>
                          <w:rFonts w:ascii="Times New Roman" w:hAnsi="Times New Roman" w:eastAsia="宋体" w:cs="Times New Roman"/>
                          <w:sz w:val="20"/>
                        </w:rPr>
                      </w:pPr>
                    </w:p>
                  </w:txbxContent>
                </v:textbox>
              </v:shape>
            </w:pict>
          </mc:Fallback>
        </mc:AlternateContent>
      </w:r>
      <w:r>
        <w:drawing>
          <wp:anchor distT="0" distB="0" distL="114300" distR="114300" simplePos="0" relativeHeight="251675648" behindDoc="1" locked="0" layoutInCell="1" allowOverlap="1">
            <wp:simplePos x="0" y="0"/>
            <wp:positionH relativeFrom="column">
              <wp:posOffset>271145</wp:posOffset>
            </wp:positionH>
            <wp:positionV relativeFrom="paragraph">
              <wp:posOffset>-2463165</wp:posOffset>
            </wp:positionV>
            <wp:extent cx="4572000" cy="2743200"/>
            <wp:effectExtent l="4445" t="4445" r="14605" b="14605"/>
            <wp:wrapTight wrapText="bothSides">
              <wp:wrapPolygon>
                <wp:start x="-21" y="-35"/>
                <wp:lineTo x="-21" y="21565"/>
                <wp:lineTo x="21579" y="21565"/>
                <wp:lineTo x="21579" y="-35"/>
                <wp:lineTo x="-21" y="-35"/>
              </wp:wrapPolygon>
            </wp:wrapTight>
            <wp:docPr id="3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14:paraId="364FA667">
      <w:pPr>
        <w:keepNext/>
        <w:keepLines/>
        <w:snapToGrid w:val="0"/>
        <w:spacing w:line="580" w:lineRule="exact"/>
        <w:ind w:firstLine="643" w:firstLineChars="200"/>
        <w:outlineLvl w:val="1"/>
        <w:rPr>
          <w:rFonts w:ascii="黑体" w:hAnsi="Calibri" w:eastAsia="黑体" w:cs="Times New Roman"/>
          <w:b/>
          <w:bCs/>
          <w:sz w:val="32"/>
          <w:szCs w:val="32"/>
        </w:rPr>
      </w:pPr>
    </w:p>
    <w:p w14:paraId="59F0C4FB">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117D6965">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440.58</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373.39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84.75</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67.19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15.25</w:t>
      </w:r>
      <w:r>
        <w:rPr>
          <w:rFonts w:hint="eastAsia" w:ascii="仿宋_GB2312" w:hAnsi="Times New Roman" w:eastAsia="仿宋_GB2312" w:cs="DengXian-Regular"/>
          <w:sz w:val="32"/>
          <w:szCs w:val="32"/>
        </w:rPr>
        <w:t>%；如图所示：</w:t>
      </w:r>
    </w:p>
    <w:p w14:paraId="6B957D34">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251676672" behindDoc="1" locked="0" layoutInCell="1" allowOverlap="1">
            <wp:simplePos x="0" y="0"/>
            <wp:positionH relativeFrom="column">
              <wp:posOffset>337820</wp:posOffset>
            </wp:positionH>
            <wp:positionV relativeFrom="paragraph">
              <wp:posOffset>6985</wp:posOffset>
            </wp:positionV>
            <wp:extent cx="4572000" cy="2743200"/>
            <wp:effectExtent l="4445" t="4445" r="14605" b="14605"/>
            <wp:wrapTight wrapText="bothSides">
              <wp:wrapPolygon>
                <wp:start x="-21" y="-35"/>
                <wp:lineTo x="-21" y="21565"/>
                <wp:lineTo x="21579" y="21565"/>
                <wp:lineTo x="21579" y="-35"/>
                <wp:lineTo x="-21" y="-35"/>
              </wp:wrapPolygon>
            </wp:wrapTight>
            <wp:docPr id="3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14:paraId="5B82DE03">
      <w:pPr>
        <w:adjustRightInd w:val="0"/>
        <w:snapToGrid w:val="0"/>
        <w:spacing w:line="580" w:lineRule="exact"/>
        <w:ind w:firstLine="1920" w:firstLineChars="600"/>
        <w:rPr>
          <w:rFonts w:ascii="仿宋_GB2312" w:hAnsi="Times New Roman" w:eastAsia="仿宋_GB2312" w:cs="DengXian-Regular"/>
          <w:sz w:val="32"/>
          <w:szCs w:val="32"/>
        </w:rPr>
      </w:pPr>
    </w:p>
    <w:p w14:paraId="544394C7">
      <w:pPr>
        <w:adjustRightInd w:val="0"/>
        <w:snapToGrid w:val="0"/>
        <w:spacing w:line="580" w:lineRule="exact"/>
        <w:ind w:firstLine="1920" w:firstLineChars="600"/>
        <w:rPr>
          <w:rFonts w:ascii="仿宋_GB2312" w:hAnsi="Times New Roman" w:eastAsia="仿宋_GB2312" w:cs="DengXian-Regular"/>
          <w:sz w:val="32"/>
          <w:szCs w:val="32"/>
        </w:rPr>
      </w:pPr>
    </w:p>
    <w:p w14:paraId="52D0238F">
      <w:pPr>
        <w:keepNext/>
        <w:keepLines/>
        <w:snapToGrid w:val="0"/>
        <w:spacing w:line="580" w:lineRule="exact"/>
        <w:ind w:firstLine="643" w:firstLineChars="200"/>
        <w:outlineLvl w:val="1"/>
        <w:rPr>
          <w:rFonts w:ascii="黑体" w:hAnsi="Calibri" w:eastAsia="黑体" w:cs="Times New Roman"/>
          <w:b/>
          <w:bCs/>
          <w:sz w:val="32"/>
          <w:szCs w:val="32"/>
        </w:rPr>
      </w:pPr>
    </w:p>
    <w:p w14:paraId="1BFCB5E8">
      <w:pPr>
        <w:keepNext/>
        <w:keepLines/>
        <w:snapToGrid w:val="0"/>
        <w:spacing w:line="580" w:lineRule="exact"/>
        <w:ind w:firstLine="643" w:firstLineChars="200"/>
        <w:outlineLvl w:val="1"/>
        <w:rPr>
          <w:rFonts w:ascii="黑体" w:hAnsi="Calibri" w:eastAsia="黑体" w:cs="Times New Roman"/>
          <w:b/>
          <w:bCs/>
          <w:sz w:val="32"/>
          <w:szCs w:val="32"/>
        </w:rPr>
      </w:pPr>
    </w:p>
    <w:p w14:paraId="3399C582">
      <w:pPr>
        <w:keepNext/>
        <w:keepLines/>
        <w:snapToGrid w:val="0"/>
        <w:spacing w:line="580" w:lineRule="exact"/>
        <w:ind w:firstLine="643" w:firstLineChars="200"/>
        <w:outlineLvl w:val="1"/>
        <w:rPr>
          <w:rFonts w:ascii="黑体" w:hAnsi="Calibri" w:eastAsia="黑体" w:cs="Times New Roman"/>
          <w:b/>
          <w:bCs/>
          <w:sz w:val="32"/>
          <w:szCs w:val="32"/>
        </w:rPr>
      </w:pPr>
    </w:p>
    <w:p w14:paraId="24088C34">
      <w:pPr>
        <w:keepNext/>
        <w:keepLines/>
        <w:snapToGrid w:val="0"/>
        <w:spacing w:line="580" w:lineRule="exact"/>
        <w:ind w:firstLine="640" w:firstLineChars="200"/>
        <w:outlineLvl w:val="1"/>
        <w:rPr>
          <w:rFonts w:hint="eastAsia" w:ascii="黑体" w:hAnsi="Calibri" w:eastAsia="黑体" w:cs="Times New Roman"/>
          <w:sz w:val="32"/>
          <w:szCs w:val="32"/>
        </w:rPr>
      </w:pPr>
    </w:p>
    <w:p w14:paraId="771C339B">
      <w:pPr>
        <w:keepNext/>
        <w:keepLines/>
        <w:snapToGrid w:val="0"/>
        <w:spacing w:line="580" w:lineRule="exact"/>
        <w:ind w:firstLine="640" w:firstLineChars="200"/>
        <w:outlineLvl w:val="1"/>
        <w:rPr>
          <w:rFonts w:hint="eastAsia" w:ascii="黑体" w:hAnsi="Calibri" w:eastAsia="黑体" w:cs="Times New Roman"/>
          <w:sz w:val="32"/>
          <w:szCs w:val="32"/>
        </w:rPr>
      </w:pPr>
    </w:p>
    <w:p w14:paraId="15EC5688">
      <w:pPr>
        <w:adjustRightInd w:val="0"/>
        <w:snapToGrid w:val="0"/>
        <w:spacing w:after="160" w:line="560" w:lineRule="exact"/>
        <w:jc w:val="center"/>
        <w:rPr>
          <w:rFonts w:hint="eastAsia" w:ascii="仿宋_GB2312" w:hAnsi="Times New Roman" w:eastAsia="仿宋_GB2312" w:cs="DengXian-Regular"/>
          <w:sz w:val="28"/>
          <w:szCs w:val="28"/>
          <w:lang w:val="en-US" w:eastAsia="zh-CN"/>
        </w:rPr>
      </w:pPr>
      <w:r>
        <w:rPr>
          <w:rFonts w:hint="eastAsia" w:ascii="仿宋_GB2312" w:hAnsi="Times New Roman" w:eastAsia="仿宋_GB2312" w:cs="DengXian-Regular"/>
          <w:sz w:val="28"/>
          <w:szCs w:val="28"/>
          <w:lang w:eastAsia="zh-CN"/>
        </w:rPr>
        <w:t>图</w:t>
      </w:r>
      <w:r>
        <w:rPr>
          <w:rFonts w:hint="eastAsia" w:ascii="仿宋_GB2312" w:hAnsi="Times New Roman" w:eastAsia="仿宋_GB2312" w:cs="DengXian-Regular"/>
          <w:sz w:val="28"/>
          <w:szCs w:val="28"/>
          <w:lang w:val="en-US" w:eastAsia="zh-CN"/>
        </w:rPr>
        <w:t>2</w:t>
      </w:r>
      <w:r>
        <w:rPr>
          <w:rFonts w:hint="eastAsia" w:ascii="仿宋_GB2312" w:hAnsi="Times New Roman" w:eastAsia="仿宋_GB2312" w:cs="DengXian-Regular"/>
          <w:sz w:val="28"/>
          <w:szCs w:val="28"/>
        </w:rPr>
        <w:t>支出</w:t>
      </w:r>
      <w:r>
        <w:rPr>
          <w:rFonts w:hint="eastAsia" w:ascii="仿宋_GB2312" w:hAnsi="Times New Roman" w:eastAsia="仿宋_GB2312" w:cs="DengXian-Regular"/>
          <w:sz w:val="28"/>
          <w:szCs w:val="28"/>
          <w:lang w:val="en-US" w:eastAsia="zh-CN"/>
        </w:rPr>
        <w:t>构成情况（按支出性质）</w:t>
      </w:r>
    </w:p>
    <w:p w14:paraId="2D8EF7A8">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53177B5E">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14:paraId="555ACD9B">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451.23</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136.2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43.23</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人员经费增加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434.44</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173.54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66.52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人员经费增加</w:t>
      </w:r>
      <w:r>
        <w:rPr>
          <w:rFonts w:hint="eastAsia" w:ascii="仿宋_GB2312" w:hAnsi="Times New Roman" w:eastAsia="仿宋_GB2312" w:cs="DengXian-Regular"/>
          <w:sz w:val="32"/>
          <w:szCs w:val="32"/>
        </w:rPr>
        <w:t>。</w:t>
      </w:r>
    </w:p>
    <w:p w14:paraId="2B9D4570">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5C035738">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451.23</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118.66</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70.97</w:t>
      </w:r>
      <w:r>
        <w:rPr>
          <w:rFonts w:hint="eastAsia" w:ascii="仿宋_GB2312" w:hAnsi="Times New Roman" w:eastAsia="仿宋_GB2312" w:cs="DengXian-Regular"/>
          <w:sz w:val="32"/>
          <w:szCs w:val="32"/>
        </w:rPr>
        <w:t>万元，决算数大于预算数主要原因</w:t>
      </w:r>
      <w:r>
        <w:rPr>
          <w:rFonts w:hint="eastAsia" w:ascii="仿宋_GB2312" w:hAnsi="Times New Roman" w:eastAsia="仿宋_GB2312" w:cs="DengXian-Regular"/>
          <w:sz w:val="32"/>
          <w:szCs w:val="32"/>
          <w:lang w:eastAsia="zh-CN"/>
        </w:rPr>
        <w:t>是人员经费增加及上级</w:t>
      </w:r>
      <w:r>
        <w:rPr>
          <w:rFonts w:hint="eastAsia" w:ascii="仿宋_GB2312" w:hAnsi="Times New Roman" w:eastAsia="仿宋_GB2312" w:cs="DengXian-Regular"/>
          <w:sz w:val="32"/>
          <w:szCs w:val="32"/>
          <w:lang w:val="en-US" w:eastAsia="zh-CN"/>
        </w:rPr>
        <w:t>专</w:t>
      </w:r>
      <w:r>
        <w:rPr>
          <w:rFonts w:hint="eastAsia" w:ascii="仿宋_GB2312" w:hAnsi="Times New Roman" w:eastAsia="仿宋_GB2312" w:cs="DengXian-Regular"/>
          <w:sz w:val="32"/>
          <w:szCs w:val="32"/>
          <w:lang w:eastAsia="zh-CN"/>
        </w:rPr>
        <w:t>款追加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440.58</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115.85</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60.32</w:t>
      </w:r>
      <w:r>
        <w:rPr>
          <w:rFonts w:hint="eastAsia" w:ascii="仿宋_GB2312" w:hAnsi="Times New Roman" w:eastAsia="仿宋_GB2312" w:cs="DengXian-Regular"/>
          <w:sz w:val="32"/>
          <w:szCs w:val="32"/>
        </w:rPr>
        <w:t>万元，决算数</w:t>
      </w:r>
      <w:r>
        <w:rPr>
          <w:rFonts w:hint="eastAsia" w:ascii="仿宋_GB2312" w:hAnsi="Times New Roman" w:eastAsia="仿宋_GB2312" w:cs="DengXian-Regular"/>
          <w:sz w:val="32"/>
          <w:szCs w:val="32"/>
          <w:lang w:eastAsia="zh-CN"/>
        </w:rPr>
        <w:t>大于</w:t>
      </w:r>
      <w:r>
        <w:rPr>
          <w:rFonts w:hint="eastAsia" w:ascii="仿宋_GB2312" w:hAnsi="Times New Roman" w:eastAsia="仿宋_GB2312" w:cs="DengXian-Regular"/>
          <w:sz w:val="32"/>
          <w:szCs w:val="32"/>
        </w:rPr>
        <w:t>预算数主要原因是主要是</w:t>
      </w:r>
      <w:r>
        <w:rPr>
          <w:rFonts w:hint="eastAsia" w:ascii="仿宋_GB2312" w:hAnsi="Times New Roman" w:eastAsia="仿宋_GB2312" w:cs="DengXian-Regular"/>
          <w:sz w:val="32"/>
          <w:szCs w:val="32"/>
          <w:lang w:eastAsia="zh-CN"/>
        </w:rPr>
        <w:t>人员经费增加及上级</w:t>
      </w:r>
      <w:r>
        <w:rPr>
          <w:rFonts w:hint="eastAsia" w:ascii="仿宋_GB2312" w:hAnsi="Times New Roman" w:eastAsia="仿宋_GB2312" w:cs="DengXian-Regular"/>
          <w:sz w:val="32"/>
          <w:szCs w:val="32"/>
          <w:lang w:val="en-US" w:eastAsia="zh-CN"/>
        </w:rPr>
        <w:t>专</w:t>
      </w:r>
      <w:r>
        <w:rPr>
          <w:rFonts w:hint="eastAsia" w:ascii="仿宋_GB2312" w:hAnsi="Times New Roman" w:eastAsia="仿宋_GB2312" w:cs="DengXian-Regular"/>
          <w:sz w:val="32"/>
          <w:szCs w:val="32"/>
          <w:lang w:eastAsia="zh-CN"/>
        </w:rPr>
        <w:t>款追加</w:t>
      </w:r>
      <w:r>
        <w:rPr>
          <w:rFonts w:hint="eastAsia" w:ascii="仿宋_GB2312" w:hAnsi="Times New Roman" w:eastAsia="仿宋_GB2312" w:cs="DengXian-Regular"/>
          <w:sz w:val="32"/>
          <w:szCs w:val="32"/>
        </w:rPr>
        <w:t>。</w:t>
      </w:r>
    </w:p>
    <w:p w14:paraId="2C345AB1">
      <w:pPr>
        <w:numPr>
          <w:ilvl w:val="0"/>
          <w:numId w:val="0"/>
        </w:num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lang w:val="en-US" w:eastAsia="zh-CN"/>
        </w:rPr>
        <w:t>三</w:t>
      </w: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rPr>
        <w:t>财政拨款支出决算结构情况。</w:t>
      </w:r>
    </w:p>
    <w:p w14:paraId="76FAFDE6">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2019年度财政拨款支出</w:t>
      </w:r>
      <w:r>
        <w:rPr>
          <w:rFonts w:hint="eastAsia" w:ascii="仿宋_GB2312" w:hAnsi="Times New Roman" w:eastAsia="仿宋_GB2312" w:cs="DengXian-Regular"/>
          <w:sz w:val="32"/>
          <w:szCs w:val="32"/>
          <w:lang w:val="en-US" w:eastAsia="zh-CN"/>
        </w:rPr>
        <w:t>434.44</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公共安全类（类）支出</w:t>
      </w:r>
      <w:r>
        <w:rPr>
          <w:rFonts w:hint="eastAsia" w:ascii="仿宋_GB2312" w:hAnsi="Times New Roman" w:eastAsia="仿宋_GB2312" w:cs="DengXian-Regular"/>
          <w:sz w:val="32"/>
          <w:szCs w:val="32"/>
          <w:lang w:val="en-US" w:eastAsia="zh-CN"/>
        </w:rPr>
        <w:t>348.38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80.19</w:t>
      </w:r>
      <w:r>
        <w:rPr>
          <w:rFonts w:hint="eastAsia" w:ascii="仿宋_GB2312" w:hAnsi="Times New Roman" w:eastAsia="仿宋_GB2312" w:cs="DengXian-Regular"/>
          <w:sz w:val="32"/>
          <w:szCs w:val="32"/>
        </w:rPr>
        <w:t xml:space="preserve">%；社会保障和就业（类）支出 </w:t>
      </w:r>
      <w:r>
        <w:rPr>
          <w:rFonts w:hint="eastAsia" w:ascii="仿宋_GB2312" w:hAnsi="Times New Roman" w:eastAsia="仿宋_GB2312" w:cs="DengXian-Regular"/>
          <w:sz w:val="32"/>
          <w:szCs w:val="32"/>
          <w:lang w:val="en-US" w:eastAsia="zh-CN"/>
        </w:rPr>
        <w:t>41.84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9.63</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卫生健康支出</w:t>
      </w:r>
      <w:r>
        <w:rPr>
          <w:rFonts w:hint="eastAsia" w:ascii="仿宋_GB2312" w:hAnsi="Times New Roman" w:eastAsia="仿宋_GB2312" w:cs="DengXian-Regular"/>
          <w:sz w:val="32"/>
          <w:szCs w:val="32"/>
          <w:lang w:val="en-US" w:eastAsia="zh-CN"/>
        </w:rPr>
        <w:t>13.94万元，</w:t>
      </w:r>
      <w:r>
        <w:rPr>
          <w:rFonts w:hint="eastAsia" w:ascii="仿宋_GB2312" w:hAnsi="Times New Roman" w:eastAsia="仿宋_GB2312" w:cs="DengXian-Regular"/>
          <w:sz w:val="32"/>
          <w:szCs w:val="32"/>
        </w:rPr>
        <w:t>占</w:t>
      </w:r>
      <w:r>
        <w:rPr>
          <w:rFonts w:hint="eastAsia" w:ascii="仿宋_GB2312" w:hAnsi="Times New Roman" w:eastAsia="仿宋_GB2312" w:cs="DengXian-Regular"/>
          <w:sz w:val="32"/>
          <w:szCs w:val="32"/>
          <w:lang w:val="en-US" w:eastAsia="zh-CN"/>
        </w:rPr>
        <w:t>3.21</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30.27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6.97</w:t>
      </w:r>
      <w:r>
        <w:rPr>
          <w:rFonts w:hint="eastAsia" w:ascii="仿宋_GB2312" w:hAnsi="Times New Roman" w:eastAsia="仿宋_GB2312" w:cs="DengXian-Regular"/>
          <w:sz w:val="32"/>
          <w:szCs w:val="32"/>
        </w:rPr>
        <w:t>%。</w:t>
      </w:r>
    </w:p>
    <w:p w14:paraId="5684FF44">
      <w:pPr>
        <w:adjustRightInd w:val="0"/>
        <w:snapToGrid w:val="0"/>
        <w:spacing w:line="580" w:lineRule="exact"/>
        <w:rPr>
          <w:rFonts w:ascii="楷体_GB2312" w:hAnsi="Times New Roman" w:eastAsia="楷体_GB2312" w:cs="DengXian-Bold"/>
          <w:b/>
          <w:bCs/>
          <w:sz w:val="32"/>
          <w:szCs w:val="32"/>
        </w:rPr>
      </w:pPr>
    </w:p>
    <w:p w14:paraId="636247BD">
      <w:pPr>
        <w:adjustRightInd w:val="0"/>
        <w:snapToGrid w:val="0"/>
        <w:spacing w:line="580" w:lineRule="exact"/>
        <w:rPr>
          <w:rFonts w:ascii="楷体_GB2312" w:hAnsi="Times New Roman" w:eastAsia="楷体_GB2312" w:cs="DengXian-Bold"/>
          <w:b/>
          <w:bCs/>
          <w:sz w:val="32"/>
          <w:szCs w:val="32"/>
        </w:rPr>
      </w:pPr>
    </w:p>
    <w:p w14:paraId="52A68F32">
      <w:pPr>
        <w:adjustRightInd w:val="0"/>
        <w:snapToGrid w:val="0"/>
        <w:spacing w:line="580" w:lineRule="exact"/>
        <w:rPr>
          <w:rFonts w:ascii="楷体_GB2312" w:hAnsi="Times New Roman" w:eastAsia="楷体_GB2312" w:cs="DengXian-Bold"/>
          <w:b/>
          <w:bCs/>
          <w:sz w:val="32"/>
          <w:szCs w:val="32"/>
        </w:rPr>
      </w:pPr>
    </w:p>
    <w:p w14:paraId="4921F537">
      <w:pPr>
        <w:adjustRightInd w:val="0"/>
        <w:snapToGrid w:val="0"/>
        <w:spacing w:line="580" w:lineRule="exact"/>
        <w:rPr>
          <w:rFonts w:ascii="楷体_GB2312" w:hAnsi="Times New Roman" w:eastAsia="楷体_GB2312" w:cs="DengXian-Bold"/>
          <w:b/>
          <w:bCs/>
          <w:sz w:val="32"/>
          <w:szCs w:val="32"/>
        </w:rPr>
      </w:pPr>
    </w:p>
    <w:p w14:paraId="2FE28A4C">
      <w:pPr>
        <w:adjustRightInd w:val="0"/>
        <w:snapToGrid w:val="0"/>
        <w:spacing w:line="580" w:lineRule="exact"/>
        <w:rPr>
          <w:rFonts w:ascii="楷体_GB2312" w:hAnsi="Times New Roman" w:eastAsia="楷体_GB2312" w:cs="DengXian-Bold"/>
          <w:b/>
          <w:bCs/>
          <w:sz w:val="32"/>
          <w:szCs w:val="32"/>
        </w:rPr>
      </w:pPr>
    </w:p>
    <w:p w14:paraId="240454E5">
      <w:pPr>
        <w:adjustRightInd w:val="0"/>
        <w:snapToGrid w:val="0"/>
        <w:spacing w:line="580" w:lineRule="exact"/>
        <w:rPr>
          <w:rFonts w:ascii="楷体_GB2312" w:hAnsi="Times New Roman" w:eastAsia="楷体_GB2312" w:cs="DengXian-Bold"/>
          <w:b/>
          <w:bCs/>
          <w:sz w:val="32"/>
          <w:szCs w:val="32"/>
        </w:rPr>
      </w:pPr>
    </w:p>
    <w:p w14:paraId="7921AA03">
      <w:pPr>
        <w:adjustRightInd w:val="0"/>
        <w:snapToGrid w:val="0"/>
        <w:spacing w:line="580" w:lineRule="exact"/>
        <w:ind w:left="420" w:leftChars="200"/>
        <w:rPr>
          <w:rFonts w:ascii="楷体_GB2312" w:hAnsi="Times New Roman" w:eastAsia="楷体_GB2312" w:cs="DengXian-Bold"/>
          <w:b/>
          <w:bCs/>
          <w:sz w:val="32"/>
          <w:szCs w:val="32"/>
        </w:rPr>
      </w:pPr>
    </w:p>
    <w:p w14:paraId="625FF389">
      <w:pPr>
        <w:adjustRightInd w:val="0"/>
        <w:snapToGrid w:val="0"/>
        <w:spacing w:line="580" w:lineRule="exact"/>
        <w:ind w:left="420" w:leftChars="200"/>
        <w:rPr>
          <w:rFonts w:hint="eastAsia" w:ascii="楷体_GB2312" w:hAnsi="Times New Roman" w:eastAsia="楷体_GB2312" w:cs="DengXian-Bold"/>
          <w:b/>
          <w:bCs/>
          <w:sz w:val="32"/>
          <w:szCs w:val="32"/>
        </w:rPr>
      </w:pPr>
      <w:r>
        <w:drawing>
          <wp:anchor distT="0" distB="0" distL="114300" distR="114300" simplePos="0" relativeHeight="251677696" behindDoc="1" locked="0" layoutInCell="1" allowOverlap="1">
            <wp:simplePos x="0" y="0"/>
            <wp:positionH relativeFrom="column">
              <wp:posOffset>271145</wp:posOffset>
            </wp:positionH>
            <wp:positionV relativeFrom="paragraph">
              <wp:posOffset>-2463165</wp:posOffset>
            </wp:positionV>
            <wp:extent cx="4572000" cy="2743200"/>
            <wp:effectExtent l="4445" t="4445" r="14605" b="14605"/>
            <wp:wrapTight wrapText="bothSides">
              <wp:wrapPolygon>
                <wp:start x="-21" y="-35"/>
                <wp:lineTo x="-21" y="21565"/>
                <wp:lineTo x="21579" y="21565"/>
                <wp:lineTo x="21579" y="-35"/>
                <wp:lineTo x="-21" y="-35"/>
              </wp:wrapPolygon>
            </wp:wrapTight>
            <wp:docPr id="37"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14:paraId="48BF1245">
      <w:pPr>
        <w:adjustRightInd w:val="0"/>
        <w:snapToGrid w:val="0"/>
        <w:spacing w:line="580" w:lineRule="exact"/>
        <w:ind w:left="420" w:leftChars="200"/>
        <w:rPr>
          <w:rFonts w:hint="eastAsia" w:ascii="楷体_GB2312" w:hAnsi="Times New Roman" w:eastAsia="楷体_GB2312" w:cs="DengXian-Bold"/>
          <w:b/>
          <w:bCs/>
          <w:sz w:val="32"/>
          <w:szCs w:val="32"/>
        </w:rPr>
      </w:pPr>
      <w:r>
        <w:rPr>
          <w:sz w:val="32"/>
        </w:rPr>
        <mc:AlternateContent>
          <mc:Choice Requires="wps">
            <w:drawing>
              <wp:anchor distT="0" distB="0" distL="114300" distR="114300" simplePos="0" relativeHeight="251671552" behindDoc="1" locked="0" layoutInCell="1" allowOverlap="1">
                <wp:simplePos x="0" y="0"/>
                <wp:positionH relativeFrom="column">
                  <wp:posOffset>990600</wp:posOffset>
                </wp:positionH>
                <wp:positionV relativeFrom="paragraph">
                  <wp:posOffset>53340</wp:posOffset>
                </wp:positionV>
                <wp:extent cx="3576320" cy="391795"/>
                <wp:effectExtent l="0" t="0" r="5080" b="8255"/>
                <wp:wrapNone/>
                <wp:docPr id="164" name="文本框 32"/>
                <wp:cNvGraphicFramePr/>
                <a:graphic xmlns:a="http://schemas.openxmlformats.org/drawingml/2006/main">
                  <a:graphicData uri="http://schemas.microsoft.com/office/word/2010/wordprocessingShape">
                    <wps:wsp>
                      <wps:cNvSpPr txBox="1"/>
                      <wps:spPr>
                        <a:xfrm>
                          <a:off x="1989455" y="6675120"/>
                          <a:ext cx="3576320" cy="39179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E13F283">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3</w:t>
                            </w:r>
                            <w:r>
                              <w:rPr>
                                <w:rFonts w:hint="eastAsia" w:ascii="仿宋_GB2312" w:hAnsi="Times New Roman" w:eastAsia="仿宋_GB2312" w:cs="DengXian-Regular"/>
                                <w:sz w:val="28"/>
                                <w:szCs w:val="28"/>
                              </w:rPr>
                              <w:t>：财政拨款支出决算结构（按功能分类）</w:t>
                            </w:r>
                          </w:p>
                          <w:p w14:paraId="40BE32DA">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78pt;margin-top:4.2pt;height:30.85pt;width:281.6pt;z-index:-251644928;mso-width-relative:page;mso-height-relative:page;" fillcolor="#FFFFFF" filled="t" stroked="f" coordsize="21600,21600" o:gfxdata="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gcsZ0tQAAAAIAQAADwAAAAAAAAABACAAAAAiAAAAZHJzL2Rvd25yZXYueG1sUEsBAhQAFAAAAAgA&#10;h07iQLBUlbJiAgAArAQAAA4AAAAAAAAAAQAgAAAAIwEAAGRycy9lMm9Eb2MueG1sUEsFBgAAAAAG&#10;AAYAWQEAAPcFAAAAAA==&#10;">
                <v:fill on="t" focussize="0,0"/>
                <v:stroke on="f" weight="0.5pt"/>
                <v:imagedata o:title=""/>
                <o:lock v:ext="edit" aspectratio="f"/>
                <v:textbox>
                  <w:txbxContent>
                    <w:p w14:paraId="5E13F283">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3</w:t>
                      </w:r>
                      <w:r>
                        <w:rPr>
                          <w:rFonts w:hint="eastAsia" w:ascii="仿宋_GB2312" w:hAnsi="Times New Roman" w:eastAsia="仿宋_GB2312" w:cs="DengXian-Regular"/>
                          <w:sz w:val="28"/>
                          <w:szCs w:val="28"/>
                        </w:rPr>
                        <w:t>：财政拨款支出决算结构（按功能分类）</w:t>
                      </w:r>
                    </w:p>
                    <w:p w14:paraId="40BE32DA">
                      <w:pPr>
                        <w:spacing w:after="160" w:line="480" w:lineRule="auto"/>
                        <w:rPr>
                          <w:rFonts w:ascii="Times New Roman" w:hAnsi="Times New Roman" w:eastAsia="宋体" w:cs="Times New Roman"/>
                          <w:sz w:val="20"/>
                        </w:rPr>
                      </w:pPr>
                    </w:p>
                  </w:txbxContent>
                </v:textbox>
              </v:shape>
            </w:pict>
          </mc:Fallback>
        </mc:AlternateContent>
      </w:r>
    </w:p>
    <w:p w14:paraId="126340D4">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353BE014">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2019年度财政拨款基本支出</w:t>
      </w:r>
      <w:r>
        <w:rPr>
          <w:rFonts w:hint="eastAsia" w:ascii="仿宋_GB2312" w:hAnsi="Times New Roman" w:eastAsia="仿宋_GB2312" w:cs="DengXian-Regular"/>
          <w:sz w:val="32"/>
          <w:szCs w:val="32"/>
          <w:lang w:val="en-US" w:eastAsia="zh-CN"/>
        </w:rPr>
        <w:t>367.25</w:t>
      </w:r>
      <w:r>
        <w:rPr>
          <w:rFonts w:hint="eastAsia" w:ascii="仿宋_GB2312" w:hAnsi="Times New Roman" w:eastAsia="仿宋_GB2312" w:cs="DengXian-Regular"/>
          <w:sz w:val="32"/>
          <w:szCs w:val="32"/>
        </w:rPr>
        <w:t>万元，其中：人员经费</w:t>
      </w:r>
      <w:r>
        <w:rPr>
          <w:rFonts w:hint="eastAsia" w:ascii="仿宋_GB2312" w:hAnsi="Times New Roman" w:eastAsia="仿宋_GB2312" w:cs="DengXian-Regular"/>
          <w:sz w:val="32"/>
          <w:szCs w:val="32"/>
          <w:lang w:val="en-US" w:eastAsia="zh-CN"/>
        </w:rPr>
        <w:t>294.65</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72.60</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3EA4A975">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6F6D1E48">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4.11</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89.35</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0.49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10.65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严控公务用车使用</w:t>
      </w:r>
      <w:r>
        <w:rPr>
          <w:rFonts w:hint="eastAsia" w:ascii="仿宋_GB2312" w:hAnsi="Times New Roman" w:eastAsia="仿宋_GB2312" w:cs="DengXian-Regular"/>
          <w:sz w:val="32"/>
          <w:szCs w:val="32"/>
        </w:rPr>
        <w:t>；较2018年度增加</w:t>
      </w:r>
      <w:r>
        <w:rPr>
          <w:rFonts w:hint="eastAsia" w:ascii="仿宋_GB2312" w:hAnsi="Times New Roman" w:eastAsia="仿宋_GB2312" w:cs="DengXian-Regular"/>
          <w:sz w:val="32"/>
          <w:szCs w:val="32"/>
          <w:lang w:val="en-US" w:eastAsia="zh-CN"/>
        </w:rPr>
        <w:t>1.13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37.92</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增长的主要原因是社区矫正人员用车增加</w:t>
      </w:r>
      <w:r>
        <w:rPr>
          <w:rFonts w:hint="eastAsia" w:ascii="仿宋_GB2312" w:hAnsi="Times New Roman" w:eastAsia="仿宋_GB2312" w:cs="DengXian-Regular"/>
          <w:sz w:val="32"/>
          <w:szCs w:val="32"/>
        </w:rPr>
        <w:t>。具体情况如下：</w:t>
      </w:r>
    </w:p>
    <w:p w14:paraId="3B095B04">
      <w:pPr>
        <w:adjustRightInd w:val="0"/>
        <w:snapToGrid w:val="0"/>
        <w:spacing w:after="0" w:line="580" w:lineRule="exact"/>
        <w:ind w:firstLine="643" w:firstLineChars="200"/>
        <w:rPr>
          <w:rFonts w:hint="eastAsia" w:ascii="仿宋_GB2312" w:hAnsi="Times New Roman" w:eastAsia="仿宋_GB2312" w:cs="DengXian-Regular"/>
          <w:sz w:val="32"/>
          <w:szCs w:val="32"/>
        </w:rPr>
      </w:pP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lang w:val="en-US" w:eastAsia="zh-CN"/>
        </w:rPr>
        <w:t>一</w:t>
      </w: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rPr>
        <w:t>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个、无本单位组织的出国（境）团组。</w:t>
      </w:r>
      <w:r>
        <w:rPr>
          <w:rFonts w:hint="eastAsia" w:ascii="仿宋_GB2312" w:eastAsia="仿宋_GB2312" w:cs="DengXian-Regular"/>
          <w:sz w:val="32"/>
          <w:szCs w:val="32"/>
        </w:rPr>
        <w:t>因公出国（境）费支出较年初预算</w:t>
      </w:r>
      <w:r>
        <w:rPr>
          <w:rFonts w:hint="eastAsia" w:ascii="仿宋_GB2312" w:eastAsia="仿宋_GB2312" w:cs="DengXian-Regular"/>
          <w:sz w:val="32"/>
          <w:szCs w:val="32"/>
          <w:lang w:val="en-US" w:eastAsia="zh-CN"/>
        </w:rPr>
        <w:t>无变化，较上年无变化，本单位无因公出国（境）相关支出，故无增减变化。</w:t>
      </w:r>
    </w:p>
    <w:p w14:paraId="4C3AFD34">
      <w:pPr>
        <w:numPr>
          <w:ilvl w:val="0"/>
          <w:numId w:val="0"/>
        </w:num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4.11</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0.49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10.65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严控公务用车使用</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与上年相比</w:t>
      </w:r>
      <w:r>
        <w:rPr>
          <w:rFonts w:hint="eastAsia" w:ascii="仿宋_GB2312" w:hAnsi="Times New Roman" w:eastAsia="仿宋_GB2312" w:cs="DengXian-Regular"/>
          <w:sz w:val="32"/>
          <w:szCs w:val="32"/>
          <w:lang w:val="en-US" w:eastAsia="zh-CN"/>
        </w:rPr>
        <w:t>增加1.27万元，增长的主要原因是社区矫正人员用车增加</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Bold"/>
          <w:b/>
          <w:bCs/>
          <w:sz w:val="32"/>
          <w:szCs w:val="32"/>
        </w:rPr>
        <w:t>其中：</w:t>
      </w:r>
    </w:p>
    <w:p w14:paraId="58B4F004">
      <w:p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本部门2019年度未发生公务用车购置经费支出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与年初预算持平</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与2018年度决算支出持平</w:t>
      </w:r>
      <w:r>
        <w:rPr>
          <w:rFonts w:hint="eastAsia" w:ascii="仿宋_GB2312" w:hAnsi="Times New Roman" w:eastAsia="仿宋_GB2312" w:cs="DengXian-Regular"/>
          <w:sz w:val="32"/>
          <w:szCs w:val="32"/>
          <w:lang w:eastAsia="zh-CN"/>
        </w:rPr>
        <w:t>。</w:t>
      </w:r>
    </w:p>
    <w:p w14:paraId="3C0409E3">
      <w:p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0.49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10.65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严控公务用车使用。</w:t>
      </w:r>
    </w:p>
    <w:p w14:paraId="77DC2A96">
      <w:pPr>
        <w:adjustRightInd w:val="0"/>
        <w:snapToGrid w:val="0"/>
        <w:spacing w:line="580" w:lineRule="exact"/>
        <w:ind w:firstLine="643" w:firstLineChars="200"/>
        <w:rPr>
          <w:rFonts w:hint="eastAsia" w:ascii="仿宋_GB2312" w:hAnsi="Times New Roman" w:eastAsia="仿宋_GB2312" w:cs="DengXian-Regular"/>
          <w:sz w:val="32"/>
          <w:szCs w:val="32"/>
          <w:highlight w:val="yellow"/>
          <w:lang w:eastAsia="zh-CN"/>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0.14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仿宋" w:eastAsia="仿宋_GB2312" w:cs="仿宋"/>
          <w:color w:val="000000"/>
          <w:sz w:val="32"/>
          <w:szCs w:val="32"/>
          <w:lang w:val="en-US" w:eastAsia="zh-CN"/>
        </w:rPr>
        <w:t>主要是今年没有接待人员</w:t>
      </w:r>
      <w:r>
        <w:rPr>
          <w:rFonts w:hint="eastAsia" w:ascii="仿宋_GB2312" w:hAnsi="Times New Roman" w:eastAsia="仿宋_GB2312" w:cs="DengXian-Regular"/>
          <w:sz w:val="32"/>
          <w:szCs w:val="32"/>
          <w:lang w:eastAsia="zh-CN"/>
        </w:rPr>
        <w:t>。</w:t>
      </w:r>
    </w:p>
    <w:p w14:paraId="496780E7">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755789DA">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14:paraId="4B9D4CC0">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_GB2312" w:hAnsi="Times New Roman" w:eastAsia="仿宋_GB2312" w:cs="DengXian-Regular"/>
          <w:color w:val="auto"/>
          <w:sz w:val="32"/>
          <w:szCs w:val="32"/>
        </w:rPr>
        <w:t>根据预算绩效管理要求，</w:t>
      </w:r>
      <w:r>
        <w:rPr>
          <w:rFonts w:hint="eastAsia" w:ascii="仿宋_GB2312" w:hAnsi="仿宋_GB2312" w:eastAsia="仿宋_GB2312" w:cs="仿宋_GB2312"/>
          <w:sz w:val="32"/>
          <w:szCs w:val="32"/>
        </w:rPr>
        <w:t>本部门组织</w:t>
      </w:r>
      <w:r>
        <w:rPr>
          <w:rFonts w:hint="eastAsia" w:ascii="仿宋_GB2312" w:hAnsi="Times New Roman" w:eastAsia="仿宋_GB2312" w:cs="DengXian-Regular"/>
          <w:color w:val="auto"/>
          <w:sz w:val="32"/>
          <w:szCs w:val="32"/>
        </w:rPr>
        <w:t>对2019年度一般公共预算项目支出全面开展绩效自评，</w:t>
      </w:r>
      <w:r>
        <w:rPr>
          <w:rFonts w:hint="eastAsia" w:ascii="仿宋_GB2312" w:hAnsi="仿宋_GB2312" w:eastAsia="仿宋_GB2312" w:cs="仿宋_GB2312"/>
          <w:sz w:val="32"/>
          <w:szCs w:val="32"/>
        </w:rPr>
        <w:t>其中，一级项目</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个，共涉及资金</w:t>
      </w:r>
      <w:r>
        <w:rPr>
          <w:rFonts w:hint="eastAsia" w:ascii="仿宋" w:hAnsi="仿宋" w:eastAsia="仿宋" w:cs="仿宋"/>
          <w:sz w:val="32"/>
          <w:szCs w:val="32"/>
          <w:lang w:val="en-US" w:eastAsia="zh-CN"/>
        </w:rPr>
        <w:t>67.19</w:t>
      </w:r>
      <w:r>
        <w:rPr>
          <w:rFonts w:hint="eastAsia" w:ascii="仿宋_GB2312" w:hAnsi="仿宋_GB2312" w:eastAsia="仿宋_GB2312" w:cs="仿宋_GB2312"/>
          <w:sz w:val="32"/>
          <w:szCs w:val="32"/>
        </w:rPr>
        <w:t>万元，占一般公共预算项目支出总额的100%。</w:t>
      </w:r>
      <w:r>
        <w:rPr>
          <w:rFonts w:hint="eastAsia" w:ascii="仿宋" w:hAnsi="仿宋" w:eastAsia="仿宋" w:cs="仿宋"/>
          <w:sz w:val="32"/>
          <w:szCs w:val="32"/>
        </w:rPr>
        <w:t>组织对201</w:t>
      </w:r>
      <w:r>
        <w:rPr>
          <w:rFonts w:hint="eastAsia" w:ascii="仿宋" w:hAnsi="仿宋" w:eastAsia="仿宋" w:cs="仿宋"/>
          <w:sz w:val="32"/>
          <w:szCs w:val="32"/>
          <w:lang w:val="en-US" w:eastAsia="zh-CN"/>
        </w:rPr>
        <w:t>9</w:t>
      </w:r>
      <w:r>
        <w:rPr>
          <w:rFonts w:hint="eastAsia" w:ascii="仿宋" w:hAnsi="仿宋" w:eastAsia="仿宋" w:cs="仿宋"/>
          <w:sz w:val="32"/>
          <w:szCs w:val="32"/>
        </w:rPr>
        <w:t>年度一般公共预算项目支出全面开展绩效自评，涉及一般行政管理事务、基层司法业务、法律援助、社区矫正、其他司法</w:t>
      </w:r>
      <w:r>
        <w:rPr>
          <w:rFonts w:hint="eastAsia" w:ascii="仿宋" w:hAnsi="仿宋" w:eastAsia="仿宋" w:cs="仿宋"/>
          <w:sz w:val="32"/>
          <w:szCs w:val="32"/>
          <w:lang w:val="en-US" w:eastAsia="zh-CN"/>
        </w:rPr>
        <w:t>支出</w:t>
      </w:r>
      <w:r>
        <w:rPr>
          <w:rFonts w:hint="eastAsia" w:ascii="仿宋" w:hAnsi="仿宋" w:eastAsia="仿宋" w:cs="仿宋"/>
          <w:sz w:val="32"/>
          <w:szCs w:val="32"/>
        </w:rPr>
        <w:t>等5个项目，涉及资金</w:t>
      </w:r>
      <w:r>
        <w:rPr>
          <w:rFonts w:hint="eastAsia" w:ascii="仿宋" w:hAnsi="仿宋" w:eastAsia="仿宋" w:cs="仿宋"/>
          <w:sz w:val="32"/>
          <w:szCs w:val="32"/>
          <w:lang w:val="en-US" w:eastAsia="zh-CN"/>
        </w:rPr>
        <w:t>67.19</w:t>
      </w:r>
      <w:r>
        <w:rPr>
          <w:rFonts w:hint="eastAsia" w:ascii="仿宋" w:hAnsi="仿宋" w:eastAsia="仿宋" w:cs="仿宋"/>
          <w:sz w:val="32"/>
          <w:szCs w:val="32"/>
        </w:rPr>
        <w:t>万元。从评价情况看，评价结果为优秀的项目有</w:t>
      </w:r>
      <w:r>
        <w:rPr>
          <w:rFonts w:hint="eastAsia" w:ascii="仿宋" w:hAnsi="仿宋" w:eastAsia="仿宋" w:cs="仿宋"/>
          <w:sz w:val="32"/>
          <w:szCs w:val="32"/>
          <w:lang w:val="en-US" w:eastAsia="zh-CN"/>
        </w:rPr>
        <w:t>5</w:t>
      </w:r>
      <w:r>
        <w:rPr>
          <w:rFonts w:hint="eastAsia" w:ascii="仿宋" w:hAnsi="仿宋" w:eastAsia="仿宋" w:cs="仿宋"/>
          <w:sz w:val="32"/>
          <w:szCs w:val="32"/>
        </w:rPr>
        <w:t>个，良好的项目有</w:t>
      </w:r>
      <w:r>
        <w:rPr>
          <w:rFonts w:hint="eastAsia" w:ascii="仿宋" w:hAnsi="仿宋" w:eastAsia="仿宋" w:cs="仿宋"/>
          <w:sz w:val="32"/>
          <w:szCs w:val="32"/>
          <w:lang w:val="en-US" w:eastAsia="zh-CN"/>
        </w:rPr>
        <w:t>0</w:t>
      </w:r>
      <w:r>
        <w:rPr>
          <w:rFonts w:hint="eastAsia" w:ascii="仿宋" w:hAnsi="仿宋" w:eastAsia="仿宋" w:cs="仿宋"/>
          <w:sz w:val="32"/>
          <w:szCs w:val="32"/>
        </w:rPr>
        <w:t>个，一般的项目有0个。</w:t>
      </w:r>
    </w:p>
    <w:p w14:paraId="48217EDC">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14:paraId="157F4993">
      <w:pPr>
        <w:pageBreakBefore w:val="0"/>
        <w:kinsoku/>
        <w:wordWrap/>
        <w:overflowPunct/>
        <w:topLinePunct w:val="0"/>
        <w:bidi w:val="0"/>
        <w:adjustRightInd/>
        <w:snapToGrid/>
        <w:spacing w:line="240" w:lineRule="auto"/>
        <w:ind w:firstLine="640" w:firstLineChars="200"/>
        <w:textAlignment w:val="auto"/>
        <w:rPr>
          <w:rFonts w:hint="eastAsia" w:ascii="仿宋" w:hAnsi="仿宋" w:eastAsia="仿宋"/>
          <w:color w:val="auto"/>
          <w:sz w:val="32"/>
          <w:szCs w:val="32"/>
        </w:rPr>
      </w:pPr>
      <w:r>
        <w:rPr>
          <w:rFonts w:hint="eastAsia" w:ascii="仿宋" w:hAnsi="仿宋" w:eastAsia="仿宋"/>
          <w:color w:val="auto"/>
          <w:sz w:val="32"/>
          <w:szCs w:val="32"/>
        </w:rPr>
        <w:t>本部门</w:t>
      </w:r>
      <w:r>
        <w:rPr>
          <w:rFonts w:hint="eastAsia" w:ascii="仿宋" w:hAnsi="仿宋" w:eastAsia="仿宋"/>
          <w:color w:val="auto"/>
          <w:sz w:val="32"/>
          <w:szCs w:val="32"/>
          <w:lang w:eastAsia="zh-CN"/>
        </w:rPr>
        <w:t>本年无</w:t>
      </w:r>
      <w:r>
        <w:rPr>
          <w:rFonts w:hint="eastAsia" w:ascii="仿宋" w:hAnsi="仿宋" w:eastAsia="仿宋"/>
          <w:color w:val="auto"/>
          <w:sz w:val="32"/>
          <w:szCs w:val="32"/>
        </w:rPr>
        <w:t>财政评价项目。</w:t>
      </w:r>
    </w:p>
    <w:p w14:paraId="1AB7CCF0">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14:paraId="4D0C1AA4">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14:paraId="1B78F923">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234.75</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33.51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85.72</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人员增加，职能增加</w:t>
      </w:r>
      <w:r>
        <w:rPr>
          <w:rFonts w:hint="eastAsia" w:ascii="仿宋_GB2312" w:hAnsi="Times New Roman" w:eastAsia="仿宋_GB2312" w:cs="DengXian-Regular"/>
          <w:sz w:val="32"/>
          <w:szCs w:val="32"/>
        </w:rPr>
        <w:t>。</w:t>
      </w:r>
    </w:p>
    <w:p w14:paraId="65D880BC">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14:paraId="795DBB2A">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val="en-US" w:eastAsia="zh-CN"/>
        </w:rPr>
        <w:t>2019</w:t>
      </w:r>
      <w:r>
        <w:rPr>
          <w:rFonts w:hint="eastAsia" w:ascii="仿宋_GB2312" w:hAnsi="Times New Roman" w:eastAsia="仿宋_GB2312" w:cs="DengXian-Regular"/>
          <w:sz w:val="32"/>
          <w:szCs w:val="32"/>
        </w:rPr>
        <w:t>年度政府采购支出总额</w:t>
      </w:r>
      <w:r>
        <w:rPr>
          <w:rFonts w:hint="eastAsia" w:ascii="仿宋_GB2312" w:hAnsi="Times New Roman" w:eastAsia="仿宋_GB2312" w:cs="DengXian-Regular"/>
          <w:sz w:val="32"/>
          <w:szCs w:val="32"/>
          <w:lang w:val="en-US" w:eastAsia="zh-CN"/>
        </w:rPr>
        <w:t>17.92</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17.92</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14:paraId="1688D978">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14:paraId="0E986858">
      <w:pPr>
        <w:adjustRightInd w:val="0"/>
        <w:snapToGrid w:val="0"/>
        <w:spacing w:line="580" w:lineRule="exact"/>
        <w:ind w:firstLine="640" w:firstLineChars="200"/>
        <w:rPr>
          <w:rFonts w:hint="eastAsia" w:ascii="仿宋_GB2312"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val="en-US" w:eastAsia="zh-CN"/>
        </w:rPr>
        <w:t>与上年相比无变化</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其中，副部（省）级及以上领导用车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辆，主要领导干部用车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辆，机要通信用车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辆，应急保障用车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辆，一般公务用车</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辆、一般执法执勤用车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辆，离退休干部用车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w:t>
      </w:r>
    </w:p>
    <w:p w14:paraId="6172374C">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w:t>
      </w:r>
      <w:r>
        <w:rPr>
          <w:rFonts w:hint="eastAsia" w:ascii="仿宋_GB2312" w:eastAsia="仿宋_GB2312" w:cs="DengXian-Regular"/>
          <w:sz w:val="32"/>
          <w:szCs w:val="32"/>
          <w:lang w:val="en-US" w:eastAsia="zh-CN"/>
        </w:rPr>
        <w:t>与</w:t>
      </w:r>
      <w:r>
        <w:rPr>
          <w:rFonts w:hint="eastAsia" w:ascii="仿宋_GB2312" w:eastAsia="仿宋_GB2312" w:cs="DengXian-Regular"/>
          <w:sz w:val="32"/>
          <w:szCs w:val="32"/>
        </w:rPr>
        <w:t>上年</w:t>
      </w:r>
      <w:r>
        <w:rPr>
          <w:rFonts w:hint="eastAsia" w:ascii="仿宋_GB2312" w:eastAsia="仿宋_GB2312" w:cs="DengXian-Regular"/>
          <w:sz w:val="32"/>
          <w:szCs w:val="32"/>
          <w:lang w:val="en-US" w:eastAsia="zh-CN"/>
        </w:rPr>
        <w:t>无变化</w:t>
      </w:r>
      <w:r>
        <w:rPr>
          <w:rFonts w:hint="eastAsia" w:ascii="仿宋_GB2312" w:eastAsia="仿宋_GB2312" w:cs="DengXian-Regular"/>
          <w:sz w:val="32"/>
          <w:szCs w:val="32"/>
        </w:rPr>
        <w:t xml:space="preserve">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与</w:t>
      </w:r>
      <w:r>
        <w:rPr>
          <w:rFonts w:hint="eastAsia" w:ascii="仿宋_GB2312" w:eastAsia="仿宋_GB2312" w:cs="DengXian-Regular"/>
          <w:sz w:val="32"/>
          <w:szCs w:val="32"/>
        </w:rPr>
        <w:t>上年</w:t>
      </w:r>
      <w:r>
        <w:rPr>
          <w:rFonts w:hint="eastAsia" w:ascii="仿宋_GB2312" w:eastAsia="仿宋_GB2312" w:cs="DengXian-Regular"/>
          <w:sz w:val="32"/>
          <w:szCs w:val="32"/>
          <w:lang w:val="en-US" w:eastAsia="zh-CN"/>
        </w:rPr>
        <w:t>无变化</w:t>
      </w:r>
      <w:r>
        <w:rPr>
          <w:rFonts w:hint="eastAsia" w:ascii="仿宋_GB2312" w:eastAsia="仿宋_GB2312" w:cs="DengXian-Regular"/>
          <w:sz w:val="32"/>
          <w:szCs w:val="32"/>
        </w:rPr>
        <w:t>。</w:t>
      </w:r>
    </w:p>
    <w:p w14:paraId="52724471">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14:paraId="25CFD874">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本部门2019年度政府性基金预算财政拨款收入支出决算表</w:t>
      </w:r>
      <w:r>
        <w:rPr>
          <w:rFonts w:hint="eastAsia" w:ascii="仿宋_GB2312" w:hAnsi="Times New Roman" w:eastAsia="仿宋_GB2312" w:cs="DengXian-Regular"/>
          <w:sz w:val="32"/>
          <w:szCs w:val="32"/>
          <w:lang w:eastAsia="zh-CN"/>
        </w:rPr>
        <w:t>、国有资本经营预算财政拨款支出决算表</w:t>
      </w:r>
      <w:r>
        <w:rPr>
          <w:rFonts w:hint="eastAsia" w:ascii="仿宋_GB2312" w:hAnsi="Times New Roman" w:eastAsia="仿宋_GB2312" w:cs="DengXian-Regular"/>
          <w:sz w:val="32"/>
          <w:szCs w:val="32"/>
        </w:rPr>
        <w:t>无收支及结转结余情况，故表以空表列示。</w:t>
      </w:r>
    </w:p>
    <w:p w14:paraId="42A3E47A">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6B2327DB">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14:paraId="11A11A1A">
      <w:pPr>
        <w:jc w:val="center"/>
        <w:rPr>
          <w:rFonts w:ascii="黑体" w:hAnsi="黑体" w:eastAsia="黑体" w:cs="黑体"/>
          <w:sz w:val="56"/>
          <w:szCs w:val="72"/>
        </w:rPr>
      </w:pPr>
    </w:p>
    <w:p w14:paraId="1FC849A8">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14:paraId="3D684851">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14:paraId="5BBEE20F">
      <w:pPr>
        <w:rPr>
          <w:rFonts w:ascii="黑体" w:hAnsi="黑体" w:eastAsia="黑体" w:cs="黑体"/>
          <w:sz w:val="56"/>
          <w:szCs w:val="72"/>
        </w:rPr>
      </w:pPr>
    </w:p>
    <w:p w14:paraId="50F79ED0">
      <w:pPr>
        <w:jc w:val="center"/>
        <w:rPr>
          <w:rFonts w:ascii="黑体" w:hAnsi="黑体" w:eastAsia="黑体" w:cs="黑体"/>
          <w:sz w:val="56"/>
          <w:szCs w:val="72"/>
        </w:rPr>
      </w:pPr>
    </w:p>
    <w:p w14:paraId="63E06F5E">
      <w:pPr>
        <w:jc w:val="center"/>
        <w:rPr>
          <w:rFonts w:ascii="黑体" w:hAnsi="黑体" w:eastAsia="黑体" w:cs="黑体"/>
          <w:sz w:val="56"/>
          <w:szCs w:val="72"/>
        </w:rPr>
      </w:pPr>
    </w:p>
    <w:p w14:paraId="48E3E529">
      <w:pPr>
        <w:jc w:val="center"/>
        <w:rPr>
          <w:sz w:val="72"/>
        </w:rPr>
      </w:pPr>
      <w:r>
        <w:rPr>
          <w:sz w:val="72"/>
        </w:rPr>
        <mc:AlternateContent>
          <mc:Choice Requires="wps">
            <w:drawing>
              <wp:anchor distT="0" distB="0" distL="114300" distR="114300" simplePos="0" relativeHeight="251673600"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5744A99E">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3600;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7"/>
                <v:stroke weight="0.5pt" color="#FFD966 [3204]" joinstyle="round"/>
                <v:imagedata o:title=""/>
                <o:lock v:ext="edit" aspectratio="f"/>
                <v:textbox>
                  <w:txbxContent>
                    <w:p w14:paraId="5744A99E">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14:paraId="624566E1"/>
    <w:p w14:paraId="6116A716"/>
    <w:p w14:paraId="2D0DC1CA"/>
    <w:p w14:paraId="448E476E"/>
    <w:p w14:paraId="41DA353C"/>
    <w:p w14:paraId="26F57704"/>
    <w:p w14:paraId="4DDBA827"/>
    <w:p w14:paraId="4BFC0E3B"/>
    <w:p w14:paraId="55734B79"/>
    <w:p w14:paraId="4D0BF34B"/>
    <w:p w14:paraId="17C2A535"/>
    <w:p w14:paraId="57E1F080">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14:paraId="79F460D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4E0EAA1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615AA47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592A5FD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1DDA048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46E7146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2A6925C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1E3EFE3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73D0F06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2B14CE64">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3959A8E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3E0F2FBA">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499F926">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67DC9DA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2D77C59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48C68473">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7621F609">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079D61BF"/>
    <w:p w14:paraId="2A2B5559"/>
    <w:p w14:paraId="2418BD31"/>
    <w:p w14:paraId="2D73AE5D"/>
    <w:p w14:paraId="6A121B0C">
      <w:pPr>
        <w:tabs>
          <w:tab w:val="left" w:pos="235"/>
        </w:tabs>
        <w:jc w:val="left"/>
      </w:pPr>
    </w:p>
    <w:p w14:paraId="4F2CB93C">
      <w:pPr>
        <w:tabs>
          <w:tab w:val="left" w:pos="235"/>
        </w:tabs>
        <w:jc w:val="left"/>
      </w:pPr>
    </w:p>
    <w:p w14:paraId="5BCE645F">
      <w:pPr>
        <w:tabs>
          <w:tab w:val="left" w:pos="235"/>
        </w:tabs>
        <w:jc w:val="left"/>
      </w:pPr>
    </w:p>
    <w:p w14:paraId="523AE01D">
      <w:pPr>
        <w:tabs>
          <w:tab w:val="left" w:pos="235"/>
        </w:tabs>
        <w:jc w:val="left"/>
      </w:pPr>
    </w:p>
    <w:p w14:paraId="6C3B0204">
      <w:pPr>
        <w:tabs>
          <w:tab w:val="left" w:pos="235"/>
        </w:tabs>
        <w:jc w:val="left"/>
      </w:pPr>
    </w:p>
    <w:p w14:paraId="3C357DB1">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14:paraId="38D56643"/>
    <w:p w14:paraId="21549FFA">
      <w:pPr>
        <w:tabs>
          <w:tab w:val="left" w:pos="235"/>
        </w:tabs>
        <w:jc w:val="left"/>
      </w:pPr>
    </w:p>
    <w:p w14:paraId="0462359F">
      <w:pPr>
        <w:tabs>
          <w:tab w:val="left" w:pos="235"/>
        </w:tabs>
        <w:jc w:val="left"/>
        <w:rPr>
          <w:sz w:val="72"/>
        </w:rPr>
      </w:pPr>
      <w:r>
        <w:rPr>
          <w:sz w:val="72"/>
        </w:rPr>
        <mc:AlternateContent>
          <mc:Choice Requires="wps">
            <w:drawing>
              <wp:anchor distT="0" distB="0" distL="114300" distR="114300" simplePos="0" relativeHeight="251674624"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534FB309">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7B8D5841">
                            <w:pPr>
                              <w:widowControl/>
                              <w:jc w:val="cente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p w14:paraId="15C56506">
                            <w:pPr>
                              <w:widowControl/>
                              <w:jc w:val="cente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4624;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7"/>
                <v:stroke weight="0.5pt" color="#FFD966 [3204]" joinstyle="round"/>
                <v:imagedata o:title=""/>
                <o:lock v:ext="edit" aspectratio="f"/>
                <v:textbox>
                  <w:txbxContent>
                    <w:p w14:paraId="534FB309">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7B8D5841">
                      <w:pPr>
                        <w:widowControl/>
                        <w:jc w:val="cente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p w14:paraId="15C56506">
                      <w:pPr>
                        <w:widowControl/>
                        <w:jc w:val="cente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62A06676">
      <w:pPr>
        <w:bidi w:val="0"/>
        <w:rPr>
          <w:rFonts w:asciiTheme="minorHAnsi" w:hAnsiTheme="minorHAnsi" w:eastAsiaTheme="minorEastAsia" w:cstheme="minorBidi"/>
          <w:kern w:val="2"/>
          <w:sz w:val="21"/>
          <w:szCs w:val="22"/>
          <w:lang w:val="en-US" w:eastAsia="zh-CN" w:bidi="ar-SA"/>
        </w:rPr>
      </w:pPr>
    </w:p>
    <w:p w14:paraId="5230B36D">
      <w:pPr>
        <w:bidi w:val="0"/>
        <w:rPr>
          <w:lang w:val="en-US" w:eastAsia="zh-CN"/>
        </w:rPr>
      </w:pPr>
    </w:p>
    <w:p w14:paraId="077F502E">
      <w:pPr>
        <w:bidi w:val="0"/>
        <w:rPr>
          <w:lang w:val="en-US" w:eastAsia="zh-CN"/>
        </w:rPr>
      </w:pPr>
    </w:p>
    <w:p w14:paraId="5008B742">
      <w:pPr>
        <w:bidi w:val="0"/>
        <w:rPr>
          <w:lang w:val="en-US" w:eastAsia="zh-CN"/>
        </w:rPr>
      </w:pPr>
    </w:p>
    <w:p w14:paraId="54B52C55">
      <w:pPr>
        <w:bidi w:val="0"/>
        <w:rPr>
          <w:lang w:val="en-US" w:eastAsia="zh-CN"/>
        </w:rPr>
      </w:pPr>
    </w:p>
    <w:p w14:paraId="72B1B8AC">
      <w:pPr>
        <w:bidi w:val="0"/>
        <w:rPr>
          <w:lang w:val="en-US" w:eastAsia="zh-CN"/>
        </w:rPr>
      </w:pPr>
    </w:p>
    <w:p w14:paraId="3B36EE46">
      <w:pPr>
        <w:bidi w:val="0"/>
        <w:rPr>
          <w:lang w:val="en-US" w:eastAsia="zh-CN"/>
        </w:rPr>
      </w:pPr>
    </w:p>
    <w:p w14:paraId="1A8316ED">
      <w:pPr>
        <w:bidi w:val="0"/>
        <w:rPr>
          <w:lang w:val="en-US" w:eastAsia="zh-CN"/>
        </w:rPr>
      </w:pPr>
    </w:p>
    <w:p w14:paraId="15811A6C">
      <w:pPr>
        <w:bidi w:val="0"/>
        <w:rPr>
          <w:lang w:val="en-US" w:eastAsia="zh-CN"/>
        </w:rPr>
      </w:pPr>
    </w:p>
    <w:p w14:paraId="6F5EFE85">
      <w:pPr>
        <w:bidi w:val="0"/>
        <w:rPr>
          <w:lang w:val="en-US" w:eastAsia="zh-CN"/>
        </w:rPr>
      </w:pPr>
    </w:p>
    <w:p w14:paraId="0DA0720A">
      <w:pPr>
        <w:bidi w:val="0"/>
        <w:rPr>
          <w:lang w:val="en-US" w:eastAsia="zh-CN"/>
        </w:rPr>
      </w:pPr>
    </w:p>
    <w:p w14:paraId="60A7B48D">
      <w:pPr>
        <w:bidi w:val="0"/>
        <w:rPr>
          <w:lang w:val="en-US" w:eastAsia="zh-CN"/>
        </w:rPr>
      </w:pPr>
    </w:p>
    <w:p w14:paraId="5F10FB4A">
      <w:pPr>
        <w:bidi w:val="0"/>
        <w:rPr>
          <w:lang w:val="en-US" w:eastAsia="zh-CN"/>
        </w:rPr>
      </w:pPr>
    </w:p>
    <w:p w14:paraId="742FBE88">
      <w:pPr>
        <w:bidi w:val="0"/>
        <w:rPr>
          <w:lang w:val="en-US" w:eastAsia="zh-CN"/>
        </w:rPr>
      </w:pPr>
    </w:p>
    <w:p w14:paraId="6A820869">
      <w:pPr>
        <w:bidi w:val="0"/>
        <w:rPr>
          <w:lang w:val="en-US" w:eastAsia="zh-CN"/>
        </w:rPr>
      </w:pPr>
    </w:p>
    <w:p w14:paraId="22BBFD4B">
      <w:pPr>
        <w:bidi w:val="0"/>
        <w:rPr>
          <w:lang w:val="en-US" w:eastAsia="zh-CN"/>
        </w:rPr>
      </w:pPr>
    </w:p>
    <w:p w14:paraId="76F4CB95">
      <w:pPr>
        <w:bidi w:val="0"/>
        <w:rPr>
          <w:lang w:val="en-US" w:eastAsia="zh-CN"/>
        </w:rPr>
      </w:pPr>
    </w:p>
    <w:p w14:paraId="7F97D173">
      <w:pPr>
        <w:bidi w:val="0"/>
        <w:rPr>
          <w:lang w:val="en-US" w:eastAsia="zh-CN"/>
        </w:rPr>
      </w:pPr>
    </w:p>
    <w:p w14:paraId="519E7329">
      <w:pPr>
        <w:bidi w:val="0"/>
        <w:rPr>
          <w:lang w:val="en-US" w:eastAsia="zh-CN"/>
        </w:rPr>
      </w:pPr>
    </w:p>
    <w:p w14:paraId="69323DAD">
      <w:pPr>
        <w:bidi w:val="0"/>
        <w:rPr>
          <w:lang w:val="en-US" w:eastAsia="zh-CN"/>
        </w:rPr>
      </w:pPr>
    </w:p>
    <w:p w14:paraId="5D8585FC">
      <w:pPr>
        <w:bidi w:val="0"/>
        <w:rPr>
          <w:lang w:val="en-US" w:eastAsia="zh-CN"/>
        </w:rPr>
      </w:pPr>
    </w:p>
    <w:p w14:paraId="2F7E9B48">
      <w:pPr>
        <w:keepNext/>
        <w:keepLines/>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 w:hAnsi="仿宋" w:eastAsia="仿宋" w:cs="仿宋"/>
          <w:color w:val="000000"/>
          <w:kern w:val="0"/>
          <w:sz w:val="32"/>
          <w:szCs w:val="32"/>
          <w:lang w:eastAsia="zh-CN"/>
        </w:rPr>
      </w:pPr>
      <w:r>
        <w:rPr>
          <w:rFonts w:hint="eastAsia" w:ascii="仿宋" w:hAnsi="仿宋" w:eastAsia="仿宋" w:cs="仿宋"/>
          <w:color w:val="000000"/>
          <w:kern w:val="0"/>
          <w:sz w:val="32"/>
          <w:szCs w:val="32"/>
          <w:lang w:eastAsia="zh-CN"/>
        </w:rPr>
        <w:t>本部门应公开</w:t>
      </w:r>
      <w:r>
        <w:rPr>
          <w:rFonts w:hint="eastAsia" w:ascii="仿宋" w:hAnsi="仿宋" w:eastAsia="仿宋" w:cs="仿宋"/>
          <w:color w:val="000000"/>
          <w:kern w:val="0"/>
          <w:sz w:val="32"/>
          <w:szCs w:val="32"/>
          <w:lang w:val="en-US" w:eastAsia="zh-CN"/>
        </w:rPr>
        <w:t>9</w:t>
      </w:r>
      <w:r>
        <w:rPr>
          <w:rFonts w:hint="eastAsia" w:ascii="仿宋" w:hAnsi="仿宋" w:eastAsia="仿宋" w:cs="仿宋"/>
          <w:color w:val="000000"/>
          <w:kern w:val="0"/>
          <w:sz w:val="32"/>
          <w:szCs w:val="32"/>
          <w:lang w:eastAsia="zh-CN"/>
        </w:rPr>
        <w:t>张决算表格,即:</w:t>
      </w:r>
    </w:p>
    <w:p w14:paraId="3A8CD327">
      <w:pPr>
        <w:keepNext/>
        <w:keepLines/>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 w:hAnsi="仿宋" w:eastAsia="仿宋" w:cs="仿宋"/>
          <w:color w:val="000000"/>
          <w:kern w:val="0"/>
          <w:sz w:val="32"/>
          <w:szCs w:val="32"/>
          <w:lang w:eastAsia="zh-CN"/>
        </w:rPr>
      </w:pPr>
      <w:r>
        <w:rPr>
          <w:rFonts w:hint="eastAsia" w:ascii="仿宋" w:hAnsi="仿宋" w:eastAsia="仿宋" w:cs="仿宋"/>
          <w:color w:val="000000"/>
          <w:kern w:val="0"/>
          <w:sz w:val="32"/>
          <w:szCs w:val="32"/>
          <w:lang w:eastAsia="zh-CN"/>
        </w:rPr>
        <w:t>一、收入支出决算总表(公开0</w:t>
      </w:r>
      <w:r>
        <w:rPr>
          <w:rFonts w:hint="eastAsia" w:ascii="仿宋" w:hAnsi="仿宋" w:eastAsia="仿宋" w:cs="仿宋"/>
          <w:color w:val="000000"/>
          <w:kern w:val="0"/>
          <w:sz w:val="32"/>
          <w:szCs w:val="32"/>
          <w:lang w:val="en-US" w:eastAsia="zh-CN"/>
        </w:rPr>
        <w:t>1</w:t>
      </w:r>
      <w:r>
        <w:rPr>
          <w:rFonts w:hint="eastAsia" w:ascii="仿宋" w:hAnsi="仿宋" w:eastAsia="仿宋" w:cs="仿宋"/>
          <w:color w:val="000000"/>
          <w:kern w:val="0"/>
          <w:sz w:val="32"/>
          <w:szCs w:val="32"/>
          <w:lang w:eastAsia="zh-CN"/>
        </w:rPr>
        <w:t>表)</w:t>
      </w:r>
    </w:p>
    <w:p w14:paraId="2AFCB5C8">
      <w:pPr>
        <w:keepNext/>
        <w:keepLines/>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 w:hAnsi="仿宋" w:eastAsia="仿宋" w:cs="仿宋"/>
          <w:color w:val="000000"/>
          <w:kern w:val="0"/>
          <w:sz w:val="32"/>
          <w:szCs w:val="32"/>
          <w:lang w:eastAsia="zh-CN"/>
        </w:rPr>
      </w:pPr>
      <w:r>
        <w:rPr>
          <w:rFonts w:hint="eastAsia" w:ascii="仿宋" w:hAnsi="仿宋" w:eastAsia="仿宋" w:cs="仿宋"/>
          <w:color w:val="000000"/>
          <w:kern w:val="0"/>
          <w:sz w:val="32"/>
          <w:szCs w:val="32"/>
          <w:lang w:eastAsia="zh-CN"/>
        </w:rPr>
        <w:t>二、收入决算表(公开02表)</w:t>
      </w:r>
    </w:p>
    <w:p w14:paraId="7DCD27B4">
      <w:pPr>
        <w:keepNext/>
        <w:keepLines/>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 w:hAnsi="仿宋" w:eastAsia="仿宋" w:cs="仿宋"/>
          <w:color w:val="000000"/>
          <w:kern w:val="0"/>
          <w:sz w:val="32"/>
          <w:szCs w:val="32"/>
          <w:lang w:eastAsia="zh-CN"/>
        </w:rPr>
      </w:pPr>
      <w:r>
        <w:rPr>
          <w:rFonts w:hint="eastAsia" w:ascii="仿宋" w:hAnsi="仿宋" w:eastAsia="仿宋" w:cs="仿宋"/>
          <w:color w:val="000000"/>
          <w:kern w:val="0"/>
          <w:sz w:val="32"/>
          <w:szCs w:val="32"/>
          <w:lang w:eastAsia="zh-CN"/>
        </w:rPr>
        <w:t>三、支出决算表(公开03表)</w:t>
      </w:r>
    </w:p>
    <w:p w14:paraId="7FA6910E">
      <w:pPr>
        <w:keepNext/>
        <w:keepLines/>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 w:hAnsi="仿宋" w:eastAsia="仿宋" w:cs="仿宋"/>
          <w:color w:val="000000"/>
          <w:kern w:val="0"/>
          <w:sz w:val="32"/>
          <w:szCs w:val="32"/>
          <w:lang w:eastAsia="zh-CN"/>
        </w:rPr>
      </w:pPr>
      <w:r>
        <w:rPr>
          <w:rFonts w:hint="eastAsia" w:ascii="仿宋" w:hAnsi="仿宋" w:eastAsia="仿宋" w:cs="仿宋"/>
          <w:color w:val="000000"/>
          <w:kern w:val="0"/>
          <w:sz w:val="32"/>
          <w:szCs w:val="32"/>
          <w:lang w:eastAsia="zh-CN"/>
        </w:rPr>
        <w:t>四、财政</w:t>
      </w:r>
      <w:r>
        <w:rPr>
          <w:rFonts w:hint="eastAsia" w:ascii="仿宋" w:hAnsi="仿宋" w:eastAsia="仿宋" w:cs="仿宋"/>
          <w:color w:val="000000"/>
          <w:kern w:val="0"/>
          <w:sz w:val="32"/>
          <w:szCs w:val="32"/>
          <w:lang w:val="en-US" w:eastAsia="zh-CN"/>
        </w:rPr>
        <w:t>拨款</w:t>
      </w:r>
      <w:r>
        <w:rPr>
          <w:rFonts w:hint="eastAsia" w:ascii="仿宋" w:hAnsi="仿宋" w:eastAsia="仿宋" w:cs="仿宋"/>
          <w:color w:val="000000"/>
          <w:kern w:val="0"/>
          <w:sz w:val="32"/>
          <w:szCs w:val="32"/>
          <w:lang w:eastAsia="zh-CN"/>
        </w:rPr>
        <w:t>收入支出决算总表(公开04表)</w:t>
      </w:r>
    </w:p>
    <w:p w14:paraId="3B7E360F">
      <w:pPr>
        <w:keepNext/>
        <w:keepLines/>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 w:hAnsi="仿宋" w:eastAsia="仿宋" w:cs="仿宋"/>
          <w:color w:val="000000"/>
          <w:kern w:val="0"/>
          <w:sz w:val="32"/>
          <w:szCs w:val="32"/>
          <w:lang w:eastAsia="zh-CN"/>
        </w:rPr>
      </w:pPr>
      <w:r>
        <w:rPr>
          <w:rFonts w:hint="eastAsia" w:ascii="仿宋" w:hAnsi="仿宋" w:eastAsia="仿宋" w:cs="仿宋"/>
          <w:color w:val="000000"/>
          <w:kern w:val="0"/>
          <w:sz w:val="32"/>
          <w:szCs w:val="32"/>
          <w:lang w:eastAsia="zh-CN"/>
        </w:rPr>
        <w:t>五、一般公共预算财政拨款支出决算表(公开05表)</w:t>
      </w:r>
    </w:p>
    <w:p w14:paraId="50309793">
      <w:pPr>
        <w:keepNext/>
        <w:keepLines/>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 w:hAnsi="仿宋" w:eastAsia="仿宋" w:cs="仿宋"/>
          <w:color w:val="000000"/>
          <w:kern w:val="0"/>
          <w:sz w:val="32"/>
          <w:szCs w:val="32"/>
          <w:lang w:eastAsia="zh-CN"/>
        </w:rPr>
      </w:pPr>
      <w:r>
        <w:rPr>
          <w:rFonts w:hint="eastAsia" w:ascii="仿宋" w:hAnsi="仿宋" w:eastAsia="仿宋" w:cs="仿宋"/>
          <w:color w:val="000000"/>
          <w:kern w:val="0"/>
          <w:sz w:val="32"/>
          <w:szCs w:val="32"/>
          <w:lang w:eastAsia="zh-CN"/>
        </w:rPr>
        <w:t>六、一般公共预算财政拨款基本支出决算表(公开06表)</w:t>
      </w:r>
    </w:p>
    <w:p w14:paraId="6DC1BBE6">
      <w:pPr>
        <w:keepNext/>
        <w:keepLines/>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 w:hAnsi="仿宋" w:eastAsia="仿宋" w:cs="仿宋"/>
          <w:color w:val="000000"/>
          <w:kern w:val="0"/>
          <w:sz w:val="32"/>
          <w:szCs w:val="32"/>
          <w:lang w:eastAsia="zh-CN"/>
        </w:rPr>
      </w:pPr>
      <w:r>
        <w:rPr>
          <w:rFonts w:hint="eastAsia" w:ascii="仿宋" w:hAnsi="仿宋" w:eastAsia="仿宋" w:cs="仿宋"/>
          <w:color w:val="000000"/>
          <w:kern w:val="0"/>
          <w:sz w:val="32"/>
          <w:szCs w:val="32"/>
          <w:lang w:val="en-US" w:eastAsia="zh-CN"/>
        </w:rPr>
        <w:t>七、</w:t>
      </w:r>
      <w:r>
        <w:rPr>
          <w:rFonts w:hint="eastAsia" w:ascii="仿宋" w:hAnsi="仿宋" w:eastAsia="仿宋" w:cs="仿宋"/>
          <w:color w:val="000000"/>
          <w:kern w:val="0"/>
          <w:sz w:val="32"/>
          <w:szCs w:val="32"/>
          <w:lang w:eastAsia="zh-CN"/>
        </w:rPr>
        <w:t>一般公共预算财政拨款“三公”经费支出决算表(公</w:t>
      </w:r>
    </w:p>
    <w:p w14:paraId="047113AE">
      <w:pPr>
        <w:keepNext/>
        <w:keepLines/>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 w:hAnsi="仿宋" w:eastAsia="仿宋" w:cs="仿宋"/>
          <w:color w:val="000000"/>
          <w:kern w:val="0"/>
          <w:sz w:val="32"/>
          <w:szCs w:val="32"/>
          <w:lang w:eastAsia="zh-CN"/>
        </w:rPr>
      </w:pPr>
      <w:r>
        <w:rPr>
          <w:rFonts w:hint="eastAsia" w:ascii="仿宋" w:hAnsi="仿宋" w:eastAsia="仿宋" w:cs="仿宋"/>
          <w:color w:val="000000"/>
          <w:kern w:val="0"/>
          <w:sz w:val="32"/>
          <w:szCs w:val="32"/>
          <w:lang w:eastAsia="zh-CN"/>
        </w:rPr>
        <w:t>开07</w:t>
      </w:r>
      <w:r>
        <w:rPr>
          <w:rFonts w:hint="eastAsia" w:ascii="仿宋" w:hAnsi="仿宋" w:eastAsia="仿宋" w:cs="仿宋"/>
          <w:color w:val="000000"/>
          <w:kern w:val="0"/>
          <w:sz w:val="32"/>
          <w:szCs w:val="32"/>
          <w:lang w:val="en-US" w:eastAsia="zh-CN"/>
        </w:rPr>
        <w:t>表</w:t>
      </w:r>
      <w:r>
        <w:rPr>
          <w:rFonts w:hint="eastAsia" w:ascii="仿宋" w:hAnsi="仿宋" w:eastAsia="仿宋" w:cs="仿宋"/>
          <w:color w:val="000000"/>
          <w:kern w:val="0"/>
          <w:sz w:val="32"/>
          <w:szCs w:val="32"/>
          <w:lang w:eastAsia="zh-CN"/>
        </w:rPr>
        <w:t>)</w:t>
      </w:r>
    </w:p>
    <w:p w14:paraId="5F848C44">
      <w:pPr>
        <w:keepNext/>
        <w:keepLines/>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 w:hAnsi="仿宋" w:eastAsia="仿宋" w:cs="仿宋"/>
          <w:color w:val="000000"/>
          <w:kern w:val="0"/>
          <w:sz w:val="32"/>
          <w:szCs w:val="32"/>
          <w:lang w:eastAsia="zh-CN"/>
        </w:rPr>
      </w:pPr>
      <w:r>
        <w:rPr>
          <w:rFonts w:hint="eastAsia" w:ascii="仿宋" w:hAnsi="仿宋" w:eastAsia="仿宋" w:cs="仿宋"/>
          <w:color w:val="000000"/>
          <w:kern w:val="0"/>
          <w:sz w:val="32"/>
          <w:szCs w:val="32"/>
          <w:lang w:eastAsia="zh-CN"/>
        </w:rPr>
        <w:t>八、</w:t>
      </w:r>
      <w:r>
        <w:rPr>
          <w:rFonts w:hint="eastAsia" w:ascii="仿宋" w:hAnsi="仿宋" w:eastAsia="仿宋" w:cs="仿宋"/>
          <w:color w:val="000000"/>
          <w:kern w:val="0"/>
          <w:sz w:val="32"/>
          <w:szCs w:val="32"/>
          <w:lang w:val="en-US" w:eastAsia="zh-CN"/>
        </w:rPr>
        <w:t>政</w:t>
      </w:r>
      <w:r>
        <w:rPr>
          <w:rFonts w:hint="eastAsia" w:ascii="仿宋" w:hAnsi="仿宋" w:eastAsia="仿宋" w:cs="仿宋"/>
          <w:color w:val="000000"/>
          <w:kern w:val="0"/>
          <w:sz w:val="32"/>
          <w:szCs w:val="32"/>
          <w:lang w:eastAsia="zh-CN"/>
        </w:rPr>
        <w:t>府性基金预算财政投款收入支出决算表(公开08表)</w:t>
      </w:r>
    </w:p>
    <w:p w14:paraId="48856418">
      <w:pPr>
        <w:keepNext/>
        <w:keepLines/>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 w:hAnsi="仿宋" w:eastAsia="仿宋" w:cs="仿宋"/>
          <w:color w:val="000000"/>
          <w:kern w:val="0"/>
          <w:sz w:val="32"/>
          <w:szCs w:val="32"/>
          <w:lang w:eastAsia="zh-CN"/>
        </w:rPr>
      </w:pPr>
      <w:r>
        <w:rPr>
          <w:rFonts w:hint="eastAsia" w:ascii="仿宋" w:hAnsi="仿宋" w:eastAsia="仿宋" w:cs="仿宋"/>
          <w:color w:val="000000"/>
          <w:kern w:val="0"/>
          <w:sz w:val="32"/>
          <w:szCs w:val="32"/>
          <w:lang w:eastAsia="zh-CN"/>
        </w:rPr>
        <w:t>九、国有资本经营预算财政拨款支出决算表(公开09表)</w:t>
      </w:r>
    </w:p>
    <w:p w14:paraId="26461A25">
      <w:pPr>
        <w:keepNext/>
        <w:keepLines/>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outlineLvl w:val="9"/>
        <w:rPr>
          <w:rFonts w:hint="eastAsia" w:ascii="仿宋" w:hAnsi="仿宋" w:eastAsia="仿宋" w:cs="仿宋"/>
          <w:color w:val="000000"/>
          <w:kern w:val="0"/>
          <w:sz w:val="32"/>
          <w:szCs w:val="32"/>
          <w:lang w:val="en-US" w:eastAsia="zh-CN"/>
        </w:rPr>
      </w:pPr>
      <w:r>
        <w:rPr>
          <w:rFonts w:hint="eastAsia" w:ascii="仿宋" w:hAnsi="仿宋" w:eastAsia="仿宋" w:cs="仿宋"/>
          <w:color w:val="000000"/>
          <w:kern w:val="0"/>
          <w:sz w:val="32"/>
          <w:szCs w:val="32"/>
          <w:lang w:val="en-US" w:eastAsia="zh-CN"/>
        </w:rPr>
        <w:t>详</w:t>
      </w:r>
      <w:r>
        <w:rPr>
          <w:rFonts w:hint="eastAsia" w:ascii="仿宋" w:hAnsi="仿宋" w:eastAsia="仿宋" w:cs="仿宋"/>
          <w:color w:val="000000"/>
          <w:kern w:val="0"/>
          <w:sz w:val="32"/>
          <w:szCs w:val="32"/>
          <w:lang w:eastAsia="zh-CN"/>
        </w:rPr>
        <w:t>见附件</w:t>
      </w:r>
      <w:r>
        <w:rPr>
          <w:rFonts w:hint="eastAsia" w:ascii="仿宋" w:hAnsi="仿宋" w:eastAsia="仿宋" w:cs="仿宋"/>
          <w:color w:val="000000"/>
          <w:kern w:val="0"/>
          <w:sz w:val="32"/>
          <w:szCs w:val="32"/>
          <w:lang w:val="en-US" w:eastAsia="zh-CN"/>
        </w:rPr>
        <w:t>：高邑县司法局2019年度决算公开附表</w:t>
      </w:r>
    </w:p>
    <w:p w14:paraId="158CB5B2">
      <w:pPr>
        <w:pageBreakBefore w:val="0"/>
        <w:widowControl w:val="0"/>
        <w:kinsoku/>
        <w:wordWrap/>
        <w:overflowPunct/>
        <w:topLinePunct w:val="0"/>
        <w:autoSpaceDE/>
        <w:autoSpaceDN/>
        <w:bidi w:val="0"/>
        <w:adjustRightInd/>
        <w:snapToGrid/>
        <w:ind w:firstLine="420" w:firstLineChars="200"/>
        <w:textAlignment w:val="auto"/>
      </w:pPr>
    </w:p>
    <w:p w14:paraId="1D6B0FDF">
      <w:pPr>
        <w:pageBreakBefore w:val="0"/>
        <w:widowControl w:val="0"/>
        <w:kinsoku/>
        <w:wordWrap/>
        <w:overflowPunct/>
        <w:topLinePunct w:val="0"/>
        <w:autoSpaceDE/>
        <w:autoSpaceDN/>
        <w:bidi w:val="0"/>
        <w:adjustRightInd/>
        <w:snapToGrid/>
        <w:ind w:firstLine="420" w:firstLineChars="200"/>
        <w:textAlignment w:val="auto"/>
      </w:pPr>
    </w:p>
    <w:sectPr>
      <w:headerReference r:id="rId24" w:type="first"/>
      <w:headerReference r:id="rId23" w:type="default"/>
      <w:footerReference r:id="rId25"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00000" w:csb1="00000000"/>
  </w:font>
  <w:font w:name="楷体_GB2312">
    <w:altName w:val="楷体"/>
    <w:panose1 w:val="02010609030101010101"/>
    <w:charset w:val="86"/>
    <w:family w:val="modern"/>
    <w:pitch w:val="default"/>
    <w:sig w:usb0="00000000" w:usb1="00000000" w:usb2="00000000" w:usb3="00000000" w:csb0="0000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ArialUnicodeMS">
    <w:altName w:val="Malgun Gothic"/>
    <w:panose1 w:val="00000000000000000000"/>
    <w:charset w:val="81"/>
    <w:family w:val="auto"/>
    <w:pitch w:val="default"/>
    <w:sig w:usb0="00000000" w:usb1="00000000" w:usb2="00000010" w:usb3="00000000" w:csb0="00080001"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687D47">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ECEB82">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FE5711">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36DBA5">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540722">
    <w:pPr>
      <w:pStyle w:val="4"/>
    </w:pPr>
    <w:r>
      <mc:AlternateContent>
        <mc:Choice Requires="wps">
          <w:drawing>
            <wp:anchor distT="0" distB="0" distL="114300" distR="114300" simplePos="0" relativeHeight="251686912"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59596E">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86912;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14:paraId="7E59596E">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C2E771">
    <w:pPr>
      <w:pStyle w:val="4"/>
    </w:pPr>
    <w:r>
      <mc:AlternateContent>
        <mc:Choice Requires="wps">
          <w:drawing>
            <wp:anchor distT="0" distB="0" distL="114300" distR="114300" simplePos="0" relativeHeight="251687936"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D2681D">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87936;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14:paraId="19D2681D">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BCC237">
    <w:pPr>
      <w:pStyle w:val="4"/>
    </w:pPr>
    <w:r>
      <mc:AlternateContent>
        <mc:Choice Requires="wps">
          <w:drawing>
            <wp:anchor distT="0" distB="0" distL="114300" distR="114300" simplePos="0" relativeHeight="25168896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6AFBA48">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896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14:paraId="76AFBA48">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8D7464">
    <w:pPr>
      <w:pStyle w:val="4"/>
    </w:pPr>
    <w:r>
      <mc:AlternateContent>
        <mc:Choice Requires="wps">
          <w:drawing>
            <wp:anchor distT="0" distB="0" distL="114300" distR="114300" simplePos="0" relativeHeight="251689984"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A15556C">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9984;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14:paraId="5A15556C">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39753">
    <w:pPr>
      <w:pStyle w:val="4"/>
    </w:pPr>
    <w:r>
      <mc:AlternateContent>
        <mc:Choice Requires="wps">
          <w:drawing>
            <wp:anchor distT="0" distB="0" distL="114300" distR="114300" simplePos="0" relativeHeight="251693056"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991D333">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9305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14:paraId="4991D333">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22E6A2">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CA9DF0">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42CA9DF0">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9B6F80">
    <w:pPr>
      <w:pStyle w:val="5"/>
    </w:pPr>
    <w:r>
      <mc:AlternateContent>
        <mc:Choice Requires="wpg">
          <w:drawing>
            <wp:anchor distT="0" distB="0" distL="114300" distR="114300" simplePos="0" relativeHeight="25168384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F3A814">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8384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6CF3A814">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8281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FF7950">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786F6A">
    <w:pPr>
      <w:pStyle w:val="5"/>
    </w:pPr>
    <w:r>
      <mc:AlternateContent>
        <mc:Choice Requires="wpg">
          <w:drawing>
            <wp:anchor distT="0" distB="0" distL="114300" distR="114300" simplePos="0" relativeHeight="251696128"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96128;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97152"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42A72C">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0C45BCFE">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97152;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14:paraId="4242A72C">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0C45BCFE">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934DED">
    <w:pPr>
      <w:pStyle w:val="5"/>
    </w:pPr>
    <w:r>
      <mc:AlternateContent>
        <mc:Choice Requires="wpg">
          <w:drawing>
            <wp:anchor distT="0" distB="0" distL="114300" distR="114300" simplePos="0" relativeHeight="251694080"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94080;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5104"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95A0C9">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3C5ABF21"/>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95104;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3695A0C9">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3C5ABF21"/>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D5A248">
    <w:pPr>
      <w:pStyle w:val="5"/>
    </w:pPr>
    <w:r>
      <mc:AlternateContent>
        <mc:Choice Requires="wpg">
          <w:drawing>
            <wp:anchor distT="0" distB="0" distL="114300" distR="114300" simplePos="0" relativeHeight="251691008"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91008;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2032"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671685">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92032;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21671685">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F3C6D1">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BD027D">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38827">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D9F996">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6C7BFB">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8D2650">
    <w:pPr>
      <w:pStyle w:val="5"/>
    </w:pPr>
    <w:r>
      <mc:AlternateContent>
        <mc:Choice Requires="wpg">
          <w:drawing>
            <wp:anchor distT="0" distB="0" distL="114300" distR="114300" simplePos="0" relativeHeight="251684864"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84864;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635341">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5888;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2D635341">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C2A967">
    <w:pPr>
      <w:pStyle w:val="5"/>
    </w:pPr>
    <w:r>
      <mc:AlternateContent>
        <mc:Choice Requires="wpg">
          <w:drawing>
            <wp:anchor distT="0" distB="0" distL="114300" distR="114300" simplePos="0" relativeHeight="25167974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BAEBE6">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7974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51BAEBE6">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872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7872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D74BCC">
    <w:pPr>
      <w:pStyle w:val="5"/>
    </w:pPr>
    <w:r>
      <mc:AlternateContent>
        <mc:Choice Requires="wpg">
          <w:drawing>
            <wp:anchor distT="0" distB="0" distL="114300" distR="114300" simplePos="0" relativeHeight="25168076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8076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17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FB05CA3">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17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6FB05CA3">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attachedTemplate r:id="rId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10273CA"/>
    <w:rsid w:val="015B4FF8"/>
    <w:rsid w:val="01F21F8F"/>
    <w:rsid w:val="05B00A30"/>
    <w:rsid w:val="079A448B"/>
    <w:rsid w:val="08EC1F89"/>
    <w:rsid w:val="09764AD6"/>
    <w:rsid w:val="09EE20CB"/>
    <w:rsid w:val="0AA23F29"/>
    <w:rsid w:val="0B011416"/>
    <w:rsid w:val="0D4359A6"/>
    <w:rsid w:val="0D720CB8"/>
    <w:rsid w:val="0E4E04B2"/>
    <w:rsid w:val="0F731919"/>
    <w:rsid w:val="11760932"/>
    <w:rsid w:val="11BF1D96"/>
    <w:rsid w:val="13521E4B"/>
    <w:rsid w:val="162D4C09"/>
    <w:rsid w:val="16A03E5E"/>
    <w:rsid w:val="17133DFD"/>
    <w:rsid w:val="17397720"/>
    <w:rsid w:val="179E4614"/>
    <w:rsid w:val="189F3E0D"/>
    <w:rsid w:val="1D9E100E"/>
    <w:rsid w:val="1E0A11B9"/>
    <w:rsid w:val="1EC46507"/>
    <w:rsid w:val="1F2857BE"/>
    <w:rsid w:val="20082B73"/>
    <w:rsid w:val="22BA5ACC"/>
    <w:rsid w:val="22CB72BE"/>
    <w:rsid w:val="230C37A7"/>
    <w:rsid w:val="23E269CB"/>
    <w:rsid w:val="25CF7B13"/>
    <w:rsid w:val="25F4251F"/>
    <w:rsid w:val="294A5697"/>
    <w:rsid w:val="29B8260B"/>
    <w:rsid w:val="2A300288"/>
    <w:rsid w:val="2A5F14B1"/>
    <w:rsid w:val="2D037F1C"/>
    <w:rsid w:val="2D110554"/>
    <w:rsid w:val="2FA3703A"/>
    <w:rsid w:val="312F0613"/>
    <w:rsid w:val="31C2036A"/>
    <w:rsid w:val="320D02A5"/>
    <w:rsid w:val="32297293"/>
    <w:rsid w:val="324031A7"/>
    <w:rsid w:val="338711E4"/>
    <w:rsid w:val="348E566F"/>
    <w:rsid w:val="380E77DE"/>
    <w:rsid w:val="3A226944"/>
    <w:rsid w:val="3A3A7C31"/>
    <w:rsid w:val="3AEE6A48"/>
    <w:rsid w:val="3C1620AA"/>
    <w:rsid w:val="3C1870C1"/>
    <w:rsid w:val="3CF967F6"/>
    <w:rsid w:val="3D8F080F"/>
    <w:rsid w:val="3D976F52"/>
    <w:rsid w:val="3DBF38F8"/>
    <w:rsid w:val="3E0A22F8"/>
    <w:rsid w:val="3EBF5798"/>
    <w:rsid w:val="40616503"/>
    <w:rsid w:val="43357F5F"/>
    <w:rsid w:val="4352642B"/>
    <w:rsid w:val="44C0732E"/>
    <w:rsid w:val="44CE1FA4"/>
    <w:rsid w:val="44DF4642"/>
    <w:rsid w:val="45593EDD"/>
    <w:rsid w:val="487F73ED"/>
    <w:rsid w:val="4A347EAE"/>
    <w:rsid w:val="4BC76B60"/>
    <w:rsid w:val="4D886E64"/>
    <w:rsid w:val="4DB269BC"/>
    <w:rsid w:val="4EB11502"/>
    <w:rsid w:val="4F750C22"/>
    <w:rsid w:val="50670E70"/>
    <w:rsid w:val="509731DF"/>
    <w:rsid w:val="50AD3FAF"/>
    <w:rsid w:val="50EB4F67"/>
    <w:rsid w:val="510C6F6D"/>
    <w:rsid w:val="52600405"/>
    <w:rsid w:val="529B4319"/>
    <w:rsid w:val="53CD6286"/>
    <w:rsid w:val="54784804"/>
    <w:rsid w:val="548D2848"/>
    <w:rsid w:val="54BE3AB2"/>
    <w:rsid w:val="55BC47A3"/>
    <w:rsid w:val="568E4BCA"/>
    <w:rsid w:val="57773DD6"/>
    <w:rsid w:val="578B79AB"/>
    <w:rsid w:val="58A632F2"/>
    <w:rsid w:val="58FD6220"/>
    <w:rsid w:val="5B1C39E9"/>
    <w:rsid w:val="5CCD3FD5"/>
    <w:rsid w:val="5E641C0E"/>
    <w:rsid w:val="5F571C28"/>
    <w:rsid w:val="61FA5F9D"/>
    <w:rsid w:val="64711CB1"/>
    <w:rsid w:val="64CD6910"/>
    <w:rsid w:val="65F208E0"/>
    <w:rsid w:val="66DF5BF4"/>
    <w:rsid w:val="67393A28"/>
    <w:rsid w:val="6789158D"/>
    <w:rsid w:val="67D81BA4"/>
    <w:rsid w:val="68C81F03"/>
    <w:rsid w:val="6910104B"/>
    <w:rsid w:val="691D0E16"/>
    <w:rsid w:val="6987123C"/>
    <w:rsid w:val="6A346D23"/>
    <w:rsid w:val="6A552F34"/>
    <w:rsid w:val="6AAF1C96"/>
    <w:rsid w:val="6D596668"/>
    <w:rsid w:val="6F0D1229"/>
    <w:rsid w:val="6F673A1B"/>
    <w:rsid w:val="72B75E18"/>
    <w:rsid w:val="75681757"/>
    <w:rsid w:val="75A346A8"/>
    <w:rsid w:val="76F703D6"/>
    <w:rsid w:val="798D6101"/>
    <w:rsid w:val="79B9382C"/>
    <w:rsid w:val="79CC2278"/>
    <w:rsid w:val="79F457FF"/>
    <w:rsid w:val="7B043B76"/>
    <w:rsid w:val="7C041A6A"/>
    <w:rsid w:val="7DE474B0"/>
    <w:rsid w:val="7E327570"/>
    <w:rsid w:val="7FCD52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3" Type="http://schemas.openxmlformats.org/officeDocument/2006/relationships/fontTable" Target="fontTable.xml"/><Relationship Id="rId32" Type="http://schemas.openxmlformats.org/officeDocument/2006/relationships/customXml" Target="../customXml/item2.xml"/><Relationship Id="rId31" Type="http://schemas.openxmlformats.org/officeDocument/2006/relationships/customXml" Target="../customXml/item1.xml"/><Relationship Id="rId30" Type="http://schemas.openxmlformats.org/officeDocument/2006/relationships/chart" Target="charts/chart3.xml"/><Relationship Id="rId3" Type="http://schemas.openxmlformats.org/officeDocument/2006/relationships/header" Target="header1.xml"/><Relationship Id="rId29" Type="http://schemas.openxmlformats.org/officeDocument/2006/relationships/chart" Target="charts/chart2.xml"/><Relationship Id="rId28" Type="http://schemas.openxmlformats.org/officeDocument/2006/relationships/chart" Target="charts/chart1.xml"/><Relationship Id="rId27" Type="http://schemas.openxmlformats.org/officeDocument/2006/relationships/image" Target="media/image2.bmp"/><Relationship Id="rId26" Type="http://schemas.openxmlformats.org/officeDocument/2006/relationships/theme" Target="theme/theme1.xml"/><Relationship Id="rId25" Type="http://schemas.openxmlformats.org/officeDocument/2006/relationships/footer" Target="footer9.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24037;&#20316;&#31807;1"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24037;&#20316;&#31807;1"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24037;&#20316;&#31807;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[工作簿1]Sheet1!$A$1:$A$2</c:f>
              <c:strCache>
                <c:ptCount val="2"/>
                <c:pt idx="0">
                  <c:v>财政拨款收入</c:v>
                </c:pt>
                <c:pt idx="1">
                  <c:v>其他收入</c:v>
                </c:pt>
              </c:strCache>
            </c:strRef>
          </c:cat>
          <c:val>
            <c:numRef>
              <c:f>[工作簿1]Sheet1!$B$1:$B$2</c:f>
              <c:numCache>
                <c:formatCode>0.00%</c:formatCode>
                <c:ptCount val="2"/>
                <c:pt idx="0">
                  <c:v>0.9862</c:v>
                </c:pt>
                <c:pt idx="1">
                  <c:v>0.0138</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[工作簿1]Sheet1!$A$1:$A$2</c:f>
              <c:strCache>
                <c:ptCount val="2"/>
                <c:pt idx="0">
                  <c:v>基本支出</c:v>
                </c:pt>
                <c:pt idx="1">
                  <c:v>项目支出</c:v>
                </c:pt>
              </c:strCache>
            </c:strRef>
          </c:cat>
          <c:val>
            <c:numRef>
              <c:f>[工作簿1]Sheet1!$B$1:$B$2</c:f>
              <c:numCache>
                <c:formatCode>0.00%</c:formatCode>
                <c:ptCount val="2"/>
                <c:pt idx="0">
                  <c:v>0.8475</c:v>
                </c:pt>
                <c:pt idx="1">
                  <c:v>0.1525</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[工作簿1]Sheet1!$A$1:$A$4</c:f>
              <c:strCache>
                <c:ptCount val="4"/>
                <c:pt idx="0">
                  <c:v>公共安全类（类）支出</c:v>
                </c:pt>
                <c:pt idx="1">
                  <c:v>社会保障和就业（类）支出</c:v>
                </c:pt>
                <c:pt idx="2">
                  <c:v>卫生健康支出</c:v>
                </c:pt>
                <c:pt idx="3">
                  <c:v>住房保障（类）支出</c:v>
                </c:pt>
              </c:strCache>
            </c:strRef>
          </c:cat>
          <c:val>
            <c:numRef>
              <c:f>[工作簿1]Sheet1!$B$1:$B$4</c:f>
              <c:numCache>
                <c:formatCode>0.00%</c:formatCode>
                <c:ptCount val="4"/>
                <c:pt idx="0">
                  <c:v>0.8019</c:v>
                </c:pt>
                <c:pt idx="1">
                  <c:v>0.0963</c:v>
                </c:pt>
                <c:pt idx="2">
                  <c:v>0.0321</c:v>
                </c:pt>
                <c:pt idx="3">
                  <c:v>0.0697</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21</Pages>
  <Words>4727</Words>
  <Characters>5123</Characters>
  <Lines>78</Lines>
  <Paragraphs>22</Paragraphs>
  <TotalTime>11</TotalTime>
  <ScaleCrop>false</ScaleCrop>
  <LinksUpToDate>false</LinksUpToDate>
  <CharactersWithSpaces>5148</CharactersWithSpaces>
  <Application>WPS Office_12.1.0.17140_F1E327BC-269C-435d-A152-05C5408002CA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Lenovo</cp:lastModifiedBy>
  <cp:lastPrinted>2020-07-30T02:37:00Z</cp:lastPrinted>
  <dcterms:modified xsi:type="dcterms:W3CDTF">2024-09-27T01:39:03Z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2052-12.1.0.17140</vt:lpwstr>
  </property>
  <property fmtid="{D5CDD505-2E9C-101B-9397-08002B2CF9AE}" pid="3" name="ICV">
    <vt:lpwstr>4AD64CD1967143959C5FCF02FAB68EB9_13</vt:lpwstr>
  </property>
</Properties>
</file>