
<file path=[Content_Types].xml><?xml version="1.0" encoding="utf-8"?>
<Types xmlns="http://schemas.openxmlformats.org/package/2006/content-types">
  <Default Extension="xml" ContentType="application/xml"/>
  <Default Extension="jpeg" ContentType="image/jpeg"/>
  <Default Extension="JPG" ContentType="image/.jpg"/>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CBD2EF">
      <w:pP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mc:AlternateContent>
          <mc:Choice Requires="wps">
            <w:drawing>
              <wp:anchor distT="0" distB="0" distL="114300" distR="114300" simplePos="0" relativeHeight="251667456" behindDoc="0" locked="0" layoutInCell="1" allowOverlap="1">
                <wp:simplePos x="0" y="0"/>
                <wp:positionH relativeFrom="column">
                  <wp:posOffset>1572260</wp:posOffset>
                </wp:positionH>
                <wp:positionV relativeFrom="paragraph">
                  <wp:posOffset>7158355</wp:posOffset>
                </wp:positionV>
                <wp:extent cx="2188210" cy="1231900"/>
                <wp:effectExtent l="0" t="0" r="0" b="0"/>
                <wp:wrapNone/>
                <wp:docPr id="5" name="文本框 5"/>
                <wp:cNvGraphicFramePr/>
                <a:graphic xmlns:a="http://schemas.openxmlformats.org/drawingml/2006/main">
                  <a:graphicData uri="http://schemas.microsoft.com/office/word/2010/wordprocessingShape">
                    <wps:wsp>
                      <wps:cNvSpPr txBox="1"/>
                      <wps:spPr>
                        <a:xfrm>
                          <a:off x="2600960" y="9102725"/>
                          <a:ext cx="2188210" cy="12319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BD2A4B">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3.8pt;margin-top:563.65pt;height:97pt;width:172.3pt;z-index:251667456;mso-width-relative:page;mso-height-relative:page;" filled="f" stroked="f" coordsize="21600,21600" o:gfxdata="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BLeJV73AAAAA0BAAAPAAAA&#10;AAAAAAEAIAAAACIAAABkcnMvZG93bnJldi54bWxQSwECFAAUAAAACACHTuJAGnBtMUoCAABzBAAA&#10;DgAAAAAAAAABACAAAAArAQAAZHJzL2Uyb0RvYy54bWxQSwUGAAAAAAYABgBZAQAA5wUAAAAA&#10;">
                <v:fill on="f" focussize="0,0"/>
                <v:stroke on="f" weight="0.5pt"/>
                <v:imagedata o:title=""/>
                <o:lock v:ext="edit" aspectratio="f"/>
                <v:textbox>
                  <w:txbxContent>
                    <w:p w14:paraId="7BBD2A4B">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v:textbox>
              </v:shape>
            </w:pict>
          </mc:Fallback>
        </mc:AlternateContent>
      </w:r>
      <w:r>
        <w:drawing>
          <wp:anchor distT="0" distB="0" distL="114300" distR="114300" simplePos="0" relativeHeight="251668480"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13"/>
                    <a:stretch>
                      <a:fillRect/>
                    </a:stretch>
                  </pic:blipFill>
                  <pic:spPr>
                    <a:xfrm>
                      <a:off x="0" y="0"/>
                      <a:ext cx="7592060" cy="10739755"/>
                    </a:xfrm>
                    <a:prstGeom prst="rect">
                      <a:avLst/>
                    </a:prstGeom>
                  </pic:spPr>
                </pic:pic>
              </a:graphicData>
            </a:graphic>
          </wp:anchor>
        </w:drawing>
      </w:r>
      <w:r>
        <w:br w:type="page"/>
      </w:r>
    </w:p>
    <w:p w14:paraId="403FFAB3">
      <w:pP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09E26F17">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5FED35BB">
      <w:pPr>
        <w:ind w:firstLine="1440" w:firstLineChars="200"/>
        <w:rPr>
          <w:rFonts w:hint="eastAsia" w:ascii="黑体" w:hAnsi="黑体" w:eastAsia="黑体" w:cs="黑体"/>
          <w:sz w:val="72"/>
          <w:szCs w:val="96"/>
          <w:lang w:eastAsia="zh-CN"/>
        </w:rPr>
      </w:pPr>
    </w:p>
    <w:p w14:paraId="67DBB364">
      <w:pPr>
        <w:ind w:firstLine="1440" w:firstLineChars="200"/>
        <w:rPr>
          <w:rFonts w:hint="eastAsia" w:ascii="黑体" w:hAnsi="黑体" w:eastAsia="黑体" w:cs="黑体"/>
          <w:sz w:val="72"/>
          <w:szCs w:val="96"/>
          <w:lang w:eastAsia="zh-CN"/>
        </w:rPr>
      </w:pPr>
      <w:r>
        <w:rPr>
          <w:rFonts w:hint="eastAsia" w:ascii="黑体" w:hAnsi="黑体" w:eastAsia="黑体" w:cs="黑体"/>
          <w:sz w:val="72"/>
          <w:szCs w:val="96"/>
          <w:lang w:eastAsia="zh-CN"/>
        </w:rPr>
        <w:t>高邑县行政审批局</w:t>
      </w:r>
    </w:p>
    <w:p w14:paraId="46A57C1A">
      <w:pPr>
        <w:rPr>
          <w:rFonts w:ascii="黑体" w:hAnsi="黑体" w:eastAsia="黑体" w:cs="黑体"/>
          <w:sz w:val="72"/>
          <w:szCs w:val="96"/>
        </w:rPr>
      </w:pPr>
      <w:r>
        <w:rPr>
          <w:rFonts w:hint="eastAsia" w:ascii="黑体" w:hAnsi="黑体" w:eastAsia="黑体" w:cs="黑体"/>
          <w:sz w:val="72"/>
          <w:szCs w:val="96"/>
        </w:rPr>
        <w:t>2020年度部门决算公开文本</w:t>
      </w:r>
    </w:p>
    <w:p w14:paraId="19B3FAB9">
      <w:pPr>
        <w:spacing w:line="360" w:lineRule="auto"/>
        <w:jc w:val="center"/>
        <w:rPr>
          <w:rFonts w:ascii="黑体" w:hAnsi="黑体" w:eastAsia="黑体" w:cs="黑体"/>
          <w:sz w:val="56"/>
          <w:szCs w:val="72"/>
        </w:rPr>
      </w:pPr>
    </w:p>
    <w:p w14:paraId="0160A4F2">
      <w:pPr>
        <w:spacing w:line="600" w:lineRule="auto"/>
        <w:jc w:val="center"/>
        <w:rPr>
          <w:rFonts w:ascii="黑体" w:hAnsi="黑体" w:eastAsia="黑体" w:cs="黑体"/>
          <w:sz w:val="56"/>
          <w:szCs w:val="72"/>
        </w:rPr>
      </w:pPr>
    </w:p>
    <w:p w14:paraId="3F950FE8">
      <w:pPr>
        <w:spacing w:line="600" w:lineRule="auto"/>
        <w:jc w:val="center"/>
        <w:rPr>
          <w:rFonts w:ascii="黑体" w:hAnsi="黑体" w:eastAsia="黑体" w:cs="黑体"/>
          <w:sz w:val="56"/>
          <w:szCs w:val="72"/>
        </w:rPr>
      </w:pPr>
    </w:p>
    <w:p w14:paraId="3C9C2939">
      <w:pPr>
        <w:spacing w:line="600" w:lineRule="auto"/>
        <w:jc w:val="center"/>
        <w:rPr>
          <w:rFonts w:ascii="黑体" w:hAnsi="黑体" w:eastAsia="黑体" w:cs="黑体"/>
          <w:sz w:val="56"/>
          <w:szCs w:val="72"/>
        </w:rPr>
      </w:pPr>
    </w:p>
    <w:p w14:paraId="27C22D5B">
      <w:pPr>
        <w:spacing w:line="600" w:lineRule="auto"/>
        <w:jc w:val="center"/>
        <w:rPr>
          <w:rFonts w:ascii="黑体" w:hAnsi="黑体" w:eastAsia="黑体" w:cs="黑体"/>
          <w:sz w:val="56"/>
          <w:szCs w:val="72"/>
        </w:rPr>
      </w:pPr>
    </w:p>
    <w:p w14:paraId="20F4C81F">
      <w:pPr>
        <w:spacing w:line="480" w:lineRule="auto"/>
        <w:jc w:val="center"/>
        <w:rPr>
          <w:rFonts w:ascii="黑体" w:hAnsi="黑体" w:eastAsia="黑体" w:cs="黑体"/>
          <w:sz w:val="56"/>
          <w:szCs w:val="72"/>
        </w:rPr>
      </w:pPr>
    </w:p>
    <w:p w14:paraId="7509E291">
      <w:pPr>
        <w:snapToGrid w:val="0"/>
        <w:ind w:firstLine="3200" w:firstLineChars="800"/>
        <w:jc w:val="both"/>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二〇二一年九月</w:t>
      </w:r>
    </w:p>
    <w:p w14:paraId="2C6FE0D2">
      <w:pPr>
        <w:spacing w:line="480" w:lineRule="auto"/>
        <w:jc w:val="center"/>
        <w:rPr>
          <w:rFonts w:ascii="黑体" w:hAnsi="黑体" w:eastAsia="黑体" w:cs="黑体"/>
          <w:sz w:val="56"/>
          <w:szCs w:val="72"/>
        </w:rPr>
      </w:pPr>
    </w:p>
    <w:p w14:paraId="4F55267A">
      <w:pPr>
        <w:spacing w:line="480" w:lineRule="auto"/>
        <w:jc w:val="center"/>
        <w:rPr>
          <w:rFonts w:ascii="黑体" w:hAnsi="黑体" w:eastAsia="黑体" w:cs="黑体"/>
          <w:sz w:val="56"/>
          <w:szCs w:val="72"/>
        </w:rPr>
      </w:pPr>
    </w:p>
    <w:p w14:paraId="0A5D5FB3">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4" w:type="first"/>
          <w:footerReference r:id="rId5" w:type="first"/>
          <w:headerReference r:id="rId3" w:type="default"/>
          <w:pgSz w:w="11906" w:h="16838"/>
          <w:pgMar w:top="2098" w:right="1531" w:bottom="1984" w:left="1531" w:header="851" w:footer="992" w:gutter="0"/>
          <w:cols w:space="0" w:num="1"/>
          <w:titlePg/>
          <w:docGrid w:type="lines" w:linePitch="312" w:charSpace="0"/>
        </w:sectPr>
      </w:pPr>
    </w:p>
    <w:p w14:paraId="45FECB34">
      <w:pPr>
        <w:rPr>
          <w:rFonts w:ascii="黑体" w:hAnsi="Times New Roman" w:eastAsia="黑体" w:cs="Times New Roman"/>
          <w:sz w:val="48"/>
          <w:szCs w:val="48"/>
        </w:rPr>
      </w:pPr>
      <w:r>
        <w:rPr>
          <w:rFonts w:hint="eastAsia" w:ascii="黑体" w:hAnsi="Times New Roman" w:eastAsia="黑体" w:cs="Times New Roman"/>
          <w:sz w:val="48"/>
          <w:szCs w:val="48"/>
        </w:rPr>
        <w:br w:type="page"/>
      </w:r>
    </w:p>
    <w:p w14:paraId="777A5118">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5C34ABCE">
      <w:pPr>
        <w:widowControl/>
        <w:spacing w:after="160" w:line="580" w:lineRule="exact"/>
        <w:ind w:firstLine="640" w:firstLineChars="200"/>
        <w:rPr>
          <w:rFonts w:ascii="Times New Roman" w:hAnsi="Times New Roman" w:eastAsia="黑体" w:cs="Times New Roman"/>
          <w:sz w:val="32"/>
          <w:szCs w:val="32"/>
        </w:rPr>
      </w:pPr>
    </w:p>
    <w:p w14:paraId="34E4BE59">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7C6693C8">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01FA1D8C">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62CA7872">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14:paraId="04B3E0F9">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14:paraId="15924F8E">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14:paraId="44B5CED8">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14:paraId="31966971">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2506C773">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14:paraId="7B4F350F">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14:paraId="7DDDABD3">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14:paraId="5000033E">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14:paraId="6DB49D69">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14:paraId="2887DDEE">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21999D6A">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14:paraId="4B6255AA">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14:paraId="0FF26E4F">
      <w:pPr>
        <w:widowControl/>
        <w:spacing w:after="160" w:line="580" w:lineRule="exact"/>
        <w:ind w:firstLine="640" w:firstLineChars="200"/>
        <w:rPr>
          <w:rFonts w:ascii="Times New Roman" w:hAnsi="Times New Roman" w:eastAsia="黑体" w:cs="Times New Roman"/>
          <w:sz w:val="32"/>
          <w:szCs w:val="32"/>
        </w:rPr>
        <w:sectPr>
          <w:headerReference r:id="rId7" w:type="first"/>
          <w:footerReference r:id="rId9" w:type="first"/>
          <w:headerReference r:id="rId6" w:type="default"/>
          <w:footerReference r:id="rId8" w:type="default"/>
          <w:type w:val="continuous"/>
          <w:pgSz w:w="11906" w:h="16838"/>
          <w:pgMar w:top="2098" w:right="1531" w:bottom="1984" w:left="1531" w:header="851" w:footer="992" w:gutter="0"/>
          <w:cols w:space="0" w:num="1"/>
          <w:titlePg/>
          <w:docGrid w:type="lines" w:linePitch="312" w:charSpace="0"/>
        </w:sectPr>
      </w:pPr>
    </w:p>
    <w:p w14:paraId="5B46A76C">
      <w:pPr>
        <w:widowControl/>
        <w:spacing w:line="580" w:lineRule="exact"/>
        <w:ind w:firstLine="640" w:firstLineChars="200"/>
        <w:rPr>
          <w:rFonts w:eastAsia="黑体"/>
          <w:sz w:val="32"/>
          <w:szCs w:val="32"/>
        </w:rPr>
      </w:pPr>
    </w:p>
    <w:p w14:paraId="37D89CBD">
      <w:pPr>
        <w:widowControl/>
        <w:spacing w:line="580" w:lineRule="exact"/>
        <w:ind w:firstLine="640" w:firstLineChars="200"/>
        <w:rPr>
          <w:rFonts w:eastAsia="黑体"/>
          <w:sz w:val="32"/>
          <w:szCs w:val="32"/>
        </w:rPr>
      </w:pPr>
    </w:p>
    <w:p w14:paraId="6BCAD6A6">
      <w:pPr>
        <w:widowControl/>
        <w:spacing w:line="580" w:lineRule="exact"/>
        <w:ind w:firstLine="640" w:firstLineChars="200"/>
        <w:rPr>
          <w:rFonts w:eastAsia="黑体"/>
          <w:sz w:val="32"/>
          <w:szCs w:val="32"/>
        </w:rPr>
      </w:pPr>
    </w:p>
    <w:p w14:paraId="1A7A50D6">
      <w:r>
        <w:rPr>
          <w:sz w:val="72"/>
        </w:rPr>
        <mc:AlternateContent>
          <mc:Choice Requires="wps">
            <w:drawing>
              <wp:anchor distT="0" distB="0" distL="114300" distR="114300" simplePos="0" relativeHeight="251659264"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14:paraId="3F825159">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59264;v-text-anchor:middle;mso-width-relative:page;mso-height-relative:page;" fillcolor="#808080 [1612]" filled="t" stroked="t" coordsize="21600,21600" o:gfxdata="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DEHdsD1wAAAA0BAAAPAAAAAAAAAAEAIAAAACIAAABkcnMvZG93bnJldi54bWxQSwEC&#10;FAAUAAAACACHTuJAw/KOB6ACAABxBQAADgAAAAAAAAABACAAAAAmAQAAZHJzL2Uyb0RvYy54bWxQ&#10;SwUGAAAAAAYABgBZAQAAOAYAAAAA&#10;">
                <v:fill type="pattern" on="t" color2="#FFFFFF [3212]" o:title="5%" focussize="0,0" r:id="rId14"/>
                <v:stroke weight="1pt" color="#A6A6A6 [2092]" joinstyle="round"/>
                <v:imagedata o:title=""/>
                <o:lock v:ext="edit" aspectratio="f"/>
                <v:textbox>
                  <w:txbxContent>
                    <w:p w14:paraId="3F825159">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14:paraId="6A9E8C85">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3078DE12">
      <w:pPr>
        <w:pStyle w:val="11"/>
        <w:keepNext w:val="0"/>
        <w:keepLines w:val="0"/>
        <w:pageBreakBefore w:val="0"/>
        <w:widowControl w:val="0"/>
        <w:kinsoku/>
        <w:wordWrap/>
        <w:overflowPunct/>
        <w:topLinePunct w:val="0"/>
        <w:autoSpaceDE/>
        <w:autoSpaceDN/>
        <w:bidi w:val="0"/>
        <w:adjustRightInd/>
        <w:snapToGrid/>
        <w:spacing w:before="0" w:line="600" w:lineRule="exact"/>
        <w:ind w:left="0" w:leftChars="0" w:right="0" w:firstLine="640"/>
        <w:jc w:val="left"/>
        <w:textAlignment w:val="auto"/>
        <w:rPr>
          <w:rFonts w:ascii="仿宋_GB2312" w:hAnsi="仿宋" w:eastAsia="仿宋_GB2312"/>
          <w:sz w:val="32"/>
          <w:szCs w:val="32"/>
        </w:rPr>
      </w:pPr>
      <w:r>
        <w:rPr>
          <w:rFonts w:hint="eastAsia" w:ascii="仿宋_GB2312" w:hAnsi="仿宋" w:eastAsia="仿宋_GB2312"/>
          <w:sz w:val="32"/>
          <w:szCs w:val="32"/>
        </w:rPr>
        <w:t>1.行政审批、业务管理：负责项目投资、市场主体登记设立、建设交通、涉农事</w:t>
      </w:r>
      <w:r>
        <w:rPr>
          <w:rFonts w:hint="eastAsia" w:hAnsi="仿宋"/>
          <w:sz w:val="32"/>
          <w:szCs w:val="32"/>
          <w:lang w:eastAsia="zh-CN"/>
        </w:rPr>
        <w:t>务</w:t>
      </w:r>
      <w:r>
        <w:rPr>
          <w:rFonts w:hint="eastAsia" w:ascii="仿宋_GB2312" w:hAnsi="仿宋" w:eastAsia="仿宋_GB2312"/>
          <w:sz w:val="32"/>
          <w:szCs w:val="32"/>
        </w:rPr>
        <w:t>、社会事务等方面的行政审批相关事项，规范行政审批行为，管理有制度、考核有依据。</w:t>
      </w:r>
    </w:p>
    <w:p w14:paraId="4D16E1AB">
      <w:pPr>
        <w:keepNext w:val="0"/>
        <w:keepLines w:val="0"/>
        <w:pageBreakBefore w:val="0"/>
        <w:widowControl w:val="0"/>
        <w:kinsoku/>
        <w:wordWrap/>
        <w:overflowPunct/>
        <w:topLinePunct w:val="0"/>
        <w:autoSpaceDE/>
        <w:autoSpaceDN/>
        <w:bidi w:val="0"/>
        <w:adjustRightInd/>
        <w:snapToGrid/>
        <w:spacing w:line="600" w:lineRule="exact"/>
        <w:ind w:left="0" w:leftChars="0" w:right="0" w:firstLine="320" w:firstLineChars="10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1</w:t>
      </w:r>
      <w:r>
        <w:rPr>
          <w:rFonts w:hint="eastAsia" w:ascii="仿宋_GB2312" w:hAnsi="仿宋" w:eastAsia="仿宋_GB2312"/>
          <w:sz w:val="32"/>
          <w:szCs w:val="32"/>
        </w:rPr>
        <w:t>）项目投资：负责招投标核准；负责固定资产投资项目节能评估和审查；负责固定资产投资项目核准和备案；负责重大固定资产投资项目社会稳定风险评估等工作。</w:t>
      </w:r>
    </w:p>
    <w:p w14:paraId="14E4A249">
      <w:pPr>
        <w:keepNext w:val="0"/>
        <w:keepLines w:val="0"/>
        <w:pageBreakBefore w:val="0"/>
        <w:widowControl w:val="0"/>
        <w:kinsoku/>
        <w:wordWrap/>
        <w:overflowPunct/>
        <w:topLinePunct w:val="0"/>
        <w:autoSpaceDE/>
        <w:autoSpaceDN/>
        <w:bidi w:val="0"/>
        <w:adjustRightInd/>
        <w:snapToGrid/>
        <w:spacing w:line="600" w:lineRule="exact"/>
        <w:ind w:left="0" w:leftChars="0" w:right="0" w:firstLine="320" w:firstLineChars="10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2</w:t>
      </w:r>
      <w:r>
        <w:rPr>
          <w:rFonts w:hint="eastAsia" w:ascii="仿宋_GB2312" w:hAnsi="仿宋" w:eastAsia="仿宋_GB2312"/>
          <w:sz w:val="32"/>
          <w:szCs w:val="32"/>
        </w:rPr>
        <w:t>）市场主体登记设立：负责股权出质设立、变更、注销登记、负责有限责任公司设立、变更、注销登记（含分支机构）的行政许可等审批事项。</w:t>
      </w:r>
    </w:p>
    <w:p w14:paraId="25670D2F">
      <w:pPr>
        <w:keepNext w:val="0"/>
        <w:keepLines w:val="0"/>
        <w:pageBreakBefore w:val="0"/>
        <w:widowControl w:val="0"/>
        <w:kinsoku/>
        <w:wordWrap/>
        <w:overflowPunct/>
        <w:topLinePunct w:val="0"/>
        <w:autoSpaceDE/>
        <w:autoSpaceDN/>
        <w:bidi w:val="0"/>
        <w:adjustRightInd/>
        <w:snapToGrid/>
        <w:spacing w:line="600" w:lineRule="exact"/>
        <w:ind w:left="0" w:leftChars="0" w:right="0" w:firstLine="480" w:firstLineChars="15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3</w:t>
      </w:r>
      <w:r>
        <w:rPr>
          <w:rFonts w:hint="eastAsia" w:ascii="仿宋_GB2312" w:hAnsi="仿宋" w:eastAsia="仿宋_GB2312"/>
          <w:sz w:val="32"/>
          <w:szCs w:val="32"/>
        </w:rPr>
        <w:t>）建设交通：负责挖掘城市道路审批、负责在城市设置户外广告牌、指示牌、标语牌、画廊、橱窗、霓虹灯、灯箱、旗帜显示屏幕审批等工作。</w:t>
      </w:r>
    </w:p>
    <w:p w14:paraId="13B68844">
      <w:pPr>
        <w:keepNext w:val="0"/>
        <w:keepLines w:val="0"/>
        <w:pageBreakBefore w:val="0"/>
        <w:widowControl w:val="0"/>
        <w:kinsoku/>
        <w:wordWrap/>
        <w:overflowPunct/>
        <w:topLinePunct w:val="0"/>
        <w:autoSpaceDE/>
        <w:autoSpaceDN/>
        <w:bidi w:val="0"/>
        <w:adjustRightInd/>
        <w:snapToGrid/>
        <w:spacing w:line="600" w:lineRule="exact"/>
        <w:ind w:left="0" w:leftChars="0" w:right="0" w:firstLine="56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4</w:t>
      </w:r>
      <w:r>
        <w:rPr>
          <w:rFonts w:hint="eastAsia" w:ascii="仿宋_GB2312" w:hAnsi="仿宋" w:eastAsia="仿宋_GB2312"/>
          <w:sz w:val="32"/>
          <w:szCs w:val="32"/>
        </w:rPr>
        <w:t>）涉农事务：负责兽药经营许可证、负责动物防疫条件合格证、负责农作物种子生产经营许可证等审批业务。</w:t>
      </w:r>
    </w:p>
    <w:p w14:paraId="1211AF8F">
      <w:pPr>
        <w:keepNext w:val="0"/>
        <w:keepLines w:val="0"/>
        <w:pageBreakBefore w:val="0"/>
        <w:widowControl w:val="0"/>
        <w:kinsoku/>
        <w:wordWrap/>
        <w:overflowPunct/>
        <w:topLinePunct w:val="0"/>
        <w:autoSpaceDE/>
        <w:autoSpaceDN/>
        <w:bidi w:val="0"/>
        <w:adjustRightInd/>
        <w:snapToGrid/>
        <w:spacing w:line="600" w:lineRule="exact"/>
        <w:ind w:left="0" w:leftChars="0" w:right="0" w:firstLine="560"/>
        <w:textAlignment w:val="auto"/>
        <w:rPr>
          <w:rFonts w:ascii="仿宋_GB2312" w:hAnsi="仿宋" w:eastAsia="仿宋_GB2312"/>
          <w:sz w:val="32"/>
          <w:szCs w:val="32"/>
        </w:rPr>
      </w:pPr>
      <w:r>
        <w:rPr>
          <w:rFonts w:hint="eastAsia" w:ascii="仿宋_GB2312" w:hAnsi="仿宋" w:eastAsia="仿宋_GB2312"/>
          <w:sz w:val="32"/>
          <w:szCs w:val="32"/>
        </w:rPr>
        <w:t>（</w:t>
      </w:r>
      <w:r>
        <w:rPr>
          <w:rFonts w:ascii="仿宋_GB2312" w:hAnsi="仿宋" w:eastAsia="仿宋_GB2312"/>
          <w:sz w:val="32"/>
          <w:szCs w:val="32"/>
        </w:rPr>
        <w:t>5</w:t>
      </w:r>
      <w:r>
        <w:rPr>
          <w:rFonts w:hint="eastAsia" w:ascii="仿宋_GB2312" w:hAnsi="仿宋" w:eastAsia="仿宋_GB2312"/>
          <w:sz w:val="32"/>
          <w:szCs w:val="32"/>
        </w:rPr>
        <w:t>）社会事务：负责学校或者校车服务提供者申请取得校车使用许可、负责民办教育机构设立、负责社会养老服务机构的设立审批等业务。</w:t>
      </w:r>
    </w:p>
    <w:p w14:paraId="178C2886">
      <w:pPr>
        <w:keepNext w:val="0"/>
        <w:keepLines w:val="0"/>
        <w:pageBreakBefore w:val="0"/>
        <w:widowControl w:val="0"/>
        <w:kinsoku/>
        <w:wordWrap/>
        <w:overflowPunct/>
        <w:topLinePunct w:val="0"/>
        <w:autoSpaceDE/>
        <w:autoSpaceDN/>
        <w:bidi w:val="0"/>
        <w:adjustRightInd/>
        <w:snapToGrid/>
        <w:spacing w:line="600" w:lineRule="exact"/>
        <w:ind w:left="0" w:leftChars="0" w:right="0" w:firstLine="560"/>
        <w:textAlignment w:val="auto"/>
        <w:rPr>
          <w:rFonts w:hint="eastAsia" w:ascii="仿宋_GB2312" w:hAnsi="仿宋" w:eastAsia="仿宋_GB2312"/>
          <w:sz w:val="32"/>
          <w:szCs w:val="32"/>
        </w:rPr>
      </w:pPr>
      <w:r>
        <w:rPr>
          <w:rFonts w:hint="eastAsia" w:ascii="仿宋_GB2312" w:hAnsi="仿宋" w:eastAsia="仿宋_GB2312"/>
          <w:sz w:val="32"/>
          <w:szCs w:val="32"/>
        </w:rPr>
        <w:t>（6）现场勘验：负责所有勘验事项的现场踏勘；负责制定勘验事项的规范性文件；负责现场踏勘和联合踏勘的组织协调工作；负责勘验政策、法律、法规的解释和宣传。</w:t>
      </w:r>
    </w:p>
    <w:p w14:paraId="1C104A0E">
      <w:pPr>
        <w:keepNext w:val="0"/>
        <w:keepLines w:val="0"/>
        <w:pageBreakBefore w:val="0"/>
        <w:widowControl w:val="0"/>
        <w:kinsoku/>
        <w:wordWrap/>
        <w:overflowPunct/>
        <w:topLinePunct w:val="0"/>
        <w:autoSpaceDE/>
        <w:autoSpaceDN/>
        <w:bidi w:val="0"/>
        <w:adjustRightInd/>
        <w:snapToGrid/>
        <w:spacing w:line="600" w:lineRule="exact"/>
        <w:ind w:left="0" w:leftChars="0" w:right="0" w:firstLine="560"/>
        <w:textAlignment w:val="auto"/>
        <w:rPr>
          <w:rFonts w:hint="eastAsia" w:ascii="仿宋_GB2312" w:hAnsi="仿宋" w:eastAsia="仿宋_GB2312"/>
          <w:sz w:val="32"/>
          <w:szCs w:val="32"/>
        </w:rPr>
      </w:pPr>
      <w:r>
        <w:rPr>
          <w:rFonts w:hint="eastAsia" w:ascii="仿宋_GB2312" w:hAnsi="仿宋" w:eastAsia="仿宋_GB2312"/>
          <w:sz w:val="32"/>
          <w:szCs w:val="32"/>
        </w:rPr>
        <w:t>（7）政策法规：负责政务公开信息的制定与发布；推进“互联网+政务服务”；负责法律法规的宣传、教育、培训，行政法规类规范性文件的制定等工作。负责审批事项适用的法律法规条款和前置条件进行梳理、研究，优化环节，压缩时限，并依法进行审批；负责对接省市相关业务主管部门和联系县级相关部门，做好相关法律法规和政策的有效衔接；负责组织接受上级部门依法行政考核工作；负责行政应诉等工作。负责向有关部门推送审批事项信息工作。</w:t>
      </w:r>
      <w:r>
        <w:rPr>
          <w:rFonts w:hint="eastAsia" w:ascii="仿宋_GB2312" w:hAnsi="仿宋" w:eastAsia="仿宋_GB2312"/>
          <w:sz w:val="32"/>
          <w:szCs w:val="32"/>
        </w:rPr>
        <w:tab/>
      </w:r>
    </w:p>
    <w:p w14:paraId="45704729">
      <w:pPr>
        <w:keepNext w:val="0"/>
        <w:keepLines w:val="0"/>
        <w:pageBreakBefore w:val="0"/>
        <w:widowControl w:val="0"/>
        <w:kinsoku/>
        <w:wordWrap/>
        <w:overflowPunct/>
        <w:topLinePunct w:val="0"/>
        <w:autoSpaceDE/>
        <w:autoSpaceDN/>
        <w:bidi w:val="0"/>
        <w:adjustRightInd/>
        <w:snapToGrid/>
        <w:spacing w:line="600" w:lineRule="exact"/>
        <w:ind w:left="0" w:leftChars="0" w:right="0" w:firstLine="560"/>
        <w:textAlignment w:val="auto"/>
        <w:rPr>
          <w:rFonts w:hint="eastAsia" w:ascii="仿宋_GB2312" w:hAnsi="仿宋" w:eastAsia="仿宋_GB2312"/>
          <w:sz w:val="32"/>
          <w:szCs w:val="32"/>
        </w:rPr>
      </w:pPr>
      <w:r>
        <w:rPr>
          <w:rFonts w:hint="eastAsia" w:ascii="仿宋_GB2312" w:hAnsi="仿宋" w:eastAsia="仿宋_GB2312"/>
          <w:sz w:val="32"/>
          <w:szCs w:val="32"/>
        </w:rPr>
        <w:t>2、办公场所修缮、设备维护：负责对办公场所修缮，各项办公设备的正常运行，保证各进驻窗口正常办公，正常运转。</w:t>
      </w:r>
    </w:p>
    <w:p w14:paraId="382CC5A2">
      <w:pPr>
        <w:keepNext w:val="0"/>
        <w:keepLines w:val="0"/>
        <w:pageBreakBefore w:val="0"/>
        <w:widowControl w:val="0"/>
        <w:kinsoku/>
        <w:wordWrap/>
        <w:overflowPunct/>
        <w:topLinePunct w:val="0"/>
        <w:autoSpaceDE/>
        <w:autoSpaceDN/>
        <w:bidi w:val="0"/>
        <w:adjustRightInd/>
        <w:snapToGrid/>
        <w:spacing w:line="600" w:lineRule="exact"/>
        <w:ind w:left="0" w:leftChars="0" w:right="0" w:firstLine="560"/>
        <w:textAlignment w:val="auto"/>
        <w:rPr>
          <w:rFonts w:hint="eastAsia" w:ascii="仿宋_GB2312" w:hAnsi="仿宋" w:eastAsia="仿宋_GB2312"/>
          <w:sz w:val="32"/>
          <w:szCs w:val="32"/>
        </w:rPr>
      </w:pPr>
      <w:r>
        <w:rPr>
          <w:rFonts w:hint="eastAsia" w:ascii="仿宋_GB2312" w:hAnsi="仿宋" w:eastAsia="仿宋_GB2312"/>
          <w:sz w:val="32"/>
          <w:szCs w:val="32"/>
        </w:rPr>
        <w:t>3、审批平台、信息化、便民服务体系建设：负责搭建审批平台、建设各级便民服务体系。</w:t>
      </w:r>
    </w:p>
    <w:p w14:paraId="55C44FF4">
      <w:pPr>
        <w:keepNext w:val="0"/>
        <w:keepLines w:val="0"/>
        <w:pageBreakBefore w:val="0"/>
        <w:widowControl w:val="0"/>
        <w:kinsoku/>
        <w:wordWrap/>
        <w:overflowPunct/>
        <w:topLinePunct w:val="0"/>
        <w:autoSpaceDE/>
        <w:autoSpaceDN/>
        <w:bidi w:val="0"/>
        <w:adjustRightInd/>
        <w:snapToGrid/>
        <w:spacing w:line="600" w:lineRule="exact"/>
        <w:ind w:left="0" w:leftChars="0" w:right="0" w:firstLine="560"/>
        <w:textAlignment w:val="auto"/>
        <w:rPr>
          <w:rFonts w:hint="eastAsia" w:ascii="仿宋_GB2312" w:hAnsi="仿宋" w:eastAsia="仿宋_GB2312"/>
          <w:sz w:val="32"/>
          <w:szCs w:val="32"/>
        </w:rPr>
      </w:pPr>
      <w:r>
        <w:rPr>
          <w:rFonts w:hint="eastAsia" w:ascii="仿宋_GB2312" w:hAnsi="仿宋" w:eastAsia="仿宋_GB2312"/>
          <w:sz w:val="32"/>
          <w:szCs w:val="32"/>
        </w:rPr>
        <w:t>4、其他派驻部门人员及事项管理：负责垂直、双重管理及其他部门派驻政务中心的窗口人员及其行政审批事项的规范、管理和监督。</w:t>
      </w:r>
    </w:p>
    <w:p w14:paraId="05B36C24">
      <w:pPr>
        <w:keepNext w:val="0"/>
        <w:keepLines w:val="0"/>
        <w:pageBreakBefore w:val="0"/>
        <w:widowControl w:val="0"/>
        <w:kinsoku/>
        <w:wordWrap/>
        <w:overflowPunct/>
        <w:topLinePunct w:val="0"/>
        <w:autoSpaceDE/>
        <w:autoSpaceDN/>
        <w:bidi w:val="0"/>
        <w:adjustRightInd/>
        <w:snapToGrid/>
        <w:spacing w:line="600" w:lineRule="exact"/>
        <w:ind w:left="0" w:leftChars="0" w:right="0" w:firstLine="560"/>
        <w:textAlignment w:val="auto"/>
        <w:rPr>
          <w:rFonts w:hint="eastAsia" w:ascii="仿宋_GB2312" w:hAnsi="仿宋" w:eastAsia="仿宋_GB2312"/>
          <w:sz w:val="32"/>
          <w:szCs w:val="32"/>
        </w:rPr>
      </w:pPr>
      <w:r>
        <w:rPr>
          <w:rFonts w:hint="eastAsia" w:ascii="仿宋_GB2312" w:hAnsi="仿宋" w:eastAsia="仿宋_GB2312"/>
          <w:sz w:val="32"/>
          <w:szCs w:val="32"/>
        </w:rPr>
        <w:t>5、优化环境工作：协助对优化环境工作进行研究，协助县纪委监察局查办破坏发展环境工作案件。</w:t>
      </w:r>
    </w:p>
    <w:p w14:paraId="3FEDACA8">
      <w:pPr>
        <w:keepNext w:val="0"/>
        <w:keepLines w:val="0"/>
        <w:pageBreakBefore w:val="0"/>
        <w:widowControl w:val="0"/>
        <w:kinsoku/>
        <w:wordWrap/>
        <w:overflowPunct/>
        <w:topLinePunct w:val="0"/>
        <w:autoSpaceDE/>
        <w:autoSpaceDN/>
        <w:bidi w:val="0"/>
        <w:adjustRightInd/>
        <w:snapToGrid/>
        <w:spacing w:line="600" w:lineRule="exact"/>
        <w:ind w:left="0" w:leftChars="0" w:right="0" w:firstLine="560"/>
        <w:textAlignment w:val="auto"/>
        <w:rPr>
          <w:rFonts w:hint="eastAsia" w:ascii="仿宋_GB2312" w:hAnsi="仿宋" w:eastAsia="仿宋_GB2312"/>
          <w:sz w:val="32"/>
          <w:szCs w:val="32"/>
        </w:rPr>
      </w:pPr>
      <w:r>
        <w:rPr>
          <w:rFonts w:hint="eastAsia" w:ascii="仿宋_GB2312" w:hAnsi="仿宋" w:eastAsia="仿宋_GB2312"/>
          <w:sz w:val="32"/>
          <w:szCs w:val="32"/>
        </w:rPr>
        <w:t>6、教育培训管理：负责本部门工作人员的教育、培训、管理和绩效考核。</w:t>
      </w:r>
    </w:p>
    <w:p w14:paraId="629A7E35">
      <w:pPr>
        <w:keepNext w:val="0"/>
        <w:keepLines w:val="0"/>
        <w:pageBreakBefore w:val="0"/>
        <w:widowControl w:val="0"/>
        <w:kinsoku/>
        <w:wordWrap/>
        <w:overflowPunct/>
        <w:topLinePunct w:val="0"/>
        <w:autoSpaceDE/>
        <w:autoSpaceDN/>
        <w:bidi w:val="0"/>
        <w:adjustRightInd/>
        <w:snapToGrid/>
        <w:spacing w:line="600" w:lineRule="exact"/>
        <w:ind w:left="0" w:leftChars="0" w:right="0" w:firstLine="560"/>
        <w:textAlignment w:val="auto"/>
        <w:rPr>
          <w:rFonts w:hint="eastAsia" w:ascii="仿宋_GB2312" w:hAnsi="仿宋" w:eastAsia="仿宋_GB2312"/>
          <w:sz w:val="32"/>
          <w:szCs w:val="32"/>
        </w:rPr>
      </w:pPr>
      <w:r>
        <w:rPr>
          <w:rFonts w:hint="eastAsia" w:ascii="仿宋_GB2312" w:hAnsi="仿宋" w:eastAsia="仿宋_GB2312"/>
          <w:sz w:val="32"/>
          <w:szCs w:val="32"/>
        </w:rPr>
        <w:t>7、公共资源交易管理：为各类公共资源交易活动办理登记、发布信息、提供设施齐全、服务规范的场所。</w:t>
      </w:r>
      <w:r>
        <w:rPr>
          <w:rFonts w:hint="eastAsia" w:ascii="仿宋_GB2312" w:hAnsi="仿宋" w:eastAsia="仿宋_GB2312"/>
          <w:sz w:val="32"/>
          <w:szCs w:val="32"/>
        </w:rPr>
        <w:tab/>
      </w:r>
    </w:p>
    <w:p w14:paraId="7B5C8A27">
      <w:pPr>
        <w:keepNext/>
        <w:keepLines/>
        <w:spacing w:line="580" w:lineRule="exact"/>
        <w:ind w:firstLine="640" w:firstLineChars="200"/>
        <w:jc w:val="left"/>
        <w:outlineLvl w:val="0"/>
        <w:rPr>
          <w:rFonts w:hint="eastAsia" w:ascii="黑体" w:hAnsi="Calibri" w:eastAsia="黑体" w:cs="黑体"/>
          <w:kern w:val="0"/>
          <w:sz w:val="32"/>
          <w:szCs w:val="32"/>
        </w:rPr>
      </w:pPr>
    </w:p>
    <w:p w14:paraId="134C6A7C">
      <w:pPr>
        <w:keepNext/>
        <w:keepLines/>
        <w:spacing w:line="580" w:lineRule="exact"/>
        <w:ind w:firstLine="640" w:firstLineChars="200"/>
        <w:jc w:val="left"/>
        <w:outlineLvl w:val="0"/>
        <w:rPr>
          <w:rFonts w:hint="eastAsia" w:ascii="黑体" w:hAnsi="Calibri" w:eastAsia="黑体" w:cs="黑体"/>
          <w:kern w:val="0"/>
          <w:sz w:val="32"/>
          <w:szCs w:val="32"/>
        </w:rPr>
      </w:pPr>
    </w:p>
    <w:p w14:paraId="24DDA879">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35054B58">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 xml:space="preserve">年度本部门决算汇编范围的独立核算单位（以下简称“单位”）共 </w:t>
      </w:r>
      <w:r>
        <w:rPr>
          <w:rFonts w:hint="eastAsia" w:ascii="仿宋_GB2312" w:hAnsi="Calibri" w:eastAsia="仿宋_GB2312" w:cs="Arial Black"/>
          <w:kern w:val="0"/>
          <w:sz w:val="32"/>
          <w:szCs w:val="32"/>
          <w:lang w:val="en-US" w:eastAsia="zh-CN"/>
        </w:rPr>
        <w:t>1</w:t>
      </w:r>
      <w:r>
        <w:rPr>
          <w:rFonts w:hint="eastAsia" w:ascii="仿宋_GB2312" w:hAnsi="Calibri" w:eastAsia="仿宋_GB2312" w:cs="Arial Black"/>
          <w:kern w:val="0"/>
          <w:sz w:val="32"/>
          <w:szCs w:val="32"/>
        </w:rPr>
        <w:t xml:space="preserve"> 个，具体情况如下：</w:t>
      </w:r>
    </w:p>
    <w:tbl>
      <w:tblPr>
        <w:tblStyle w:val="7"/>
        <w:tblpPr w:leftFromText="180" w:rightFromText="180" w:vertAnchor="text" w:horzAnchor="page" w:tblpXSpec="center" w:tblpY="10"/>
        <w:tblOverlap w:val="never"/>
        <w:tblW w:w="9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426"/>
        <w:gridCol w:w="2404"/>
        <w:gridCol w:w="2622"/>
      </w:tblGrid>
      <w:tr w14:paraId="74E02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968" w:type="dxa"/>
            <w:vAlign w:val="center"/>
          </w:tcPr>
          <w:p w14:paraId="56DB4FF9">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426" w:type="dxa"/>
            <w:vAlign w:val="center"/>
          </w:tcPr>
          <w:p w14:paraId="02590283">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404" w:type="dxa"/>
            <w:vAlign w:val="center"/>
          </w:tcPr>
          <w:p w14:paraId="26C90C9A">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622" w:type="dxa"/>
            <w:vAlign w:val="center"/>
          </w:tcPr>
          <w:p w14:paraId="0B821920">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14:paraId="56D9D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tcPr>
          <w:p w14:paraId="7717EC67">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w:t>
            </w:r>
          </w:p>
        </w:tc>
        <w:tc>
          <w:tcPr>
            <w:tcW w:w="3426" w:type="dxa"/>
          </w:tcPr>
          <w:p w14:paraId="22E44A4D">
            <w:pPr>
              <w:spacing w:line="560" w:lineRule="exact"/>
              <w:rPr>
                <w:rFonts w:ascii="仿宋_GB2312" w:hAnsi="Calibri" w:eastAsia="仿宋_GB2312" w:cs="Arial Black"/>
                <w:kern w:val="0"/>
                <w:sz w:val="28"/>
                <w:szCs w:val="28"/>
              </w:rPr>
            </w:pPr>
            <w:r>
              <w:rPr>
                <w:rFonts w:hint="eastAsia" w:ascii="仿宋_GB2312" w:hAnsi="Calibri" w:eastAsia="仿宋_GB2312" w:cs="Arial Black"/>
                <w:kern w:val="0"/>
                <w:sz w:val="28"/>
                <w:szCs w:val="28"/>
                <w:lang w:eastAsia="zh-CN"/>
              </w:rPr>
              <w:t>高邑县行政审批局</w:t>
            </w:r>
            <w:r>
              <w:rPr>
                <w:rFonts w:hint="eastAsia" w:ascii="仿宋_GB2312" w:hAnsi="Calibri" w:eastAsia="仿宋_GB2312" w:cs="Arial Black"/>
                <w:kern w:val="0"/>
                <w:sz w:val="28"/>
                <w:szCs w:val="28"/>
              </w:rPr>
              <w:t>(本级)</w:t>
            </w:r>
          </w:p>
        </w:tc>
        <w:tc>
          <w:tcPr>
            <w:tcW w:w="2404" w:type="dxa"/>
          </w:tcPr>
          <w:p w14:paraId="1CA5A13A">
            <w:pPr>
              <w:spacing w:line="560" w:lineRule="exact"/>
              <w:jc w:val="center"/>
              <w:rPr>
                <w:rFonts w:hint="eastAsia" w:ascii="仿宋_GB2312" w:hAnsi="Calibri" w:eastAsia="仿宋_GB2312" w:cs="Arial Black"/>
                <w:kern w:val="0"/>
                <w:sz w:val="28"/>
                <w:szCs w:val="28"/>
                <w:lang w:eastAsia="zh-CN"/>
              </w:rPr>
            </w:pPr>
            <w:r>
              <w:rPr>
                <w:rFonts w:hint="eastAsia" w:ascii="仿宋_GB2312" w:hAnsi="Calibri" w:eastAsia="仿宋_GB2312" w:cs="Arial Black"/>
                <w:kern w:val="0"/>
                <w:sz w:val="28"/>
                <w:szCs w:val="28"/>
                <w:lang w:eastAsia="zh-CN"/>
              </w:rPr>
              <w:t>行政单位</w:t>
            </w:r>
          </w:p>
        </w:tc>
        <w:tc>
          <w:tcPr>
            <w:tcW w:w="2622" w:type="dxa"/>
          </w:tcPr>
          <w:p w14:paraId="0F50CBB7">
            <w:pPr>
              <w:spacing w:line="560" w:lineRule="exact"/>
              <w:jc w:val="center"/>
              <w:rPr>
                <w:rFonts w:hint="eastAsia" w:ascii="仿宋_GB2312" w:hAnsi="Calibri" w:eastAsia="仿宋_GB2312" w:cs="Arial Black"/>
                <w:kern w:val="0"/>
                <w:sz w:val="28"/>
                <w:szCs w:val="28"/>
                <w:lang w:eastAsia="zh-CN"/>
              </w:rPr>
            </w:pPr>
            <w:r>
              <w:rPr>
                <w:rFonts w:hint="eastAsia" w:ascii="仿宋_GB2312" w:hAnsi="Calibri" w:eastAsia="仿宋_GB2312" w:cs="Arial Black"/>
                <w:kern w:val="0"/>
                <w:sz w:val="28"/>
                <w:szCs w:val="28"/>
                <w:lang w:eastAsia="zh-CN"/>
              </w:rPr>
              <w:t>财政拨款</w:t>
            </w:r>
          </w:p>
        </w:tc>
      </w:tr>
      <w:tr w14:paraId="76E1B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420" w:type="dxa"/>
            <w:gridSpan w:val="4"/>
            <w:tcBorders>
              <w:top w:val="single" w:color="auto" w:sz="4" w:space="0"/>
              <w:left w:val="nil"/>
              <w:bottom w:val="nil"/>
              <w:right w:val="nil"/>
            </w:tcBorders>
          </w:tcPr>
          <w:p w14:paraId="718860FD">
            <w:pPr>
              <w:spacing w:line="560" w:lineRule="exact"/>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注：1、单位基本性质分为行政单位、参公事业单位、财政补助事业单位、经费自理事业单位四类。</w:t>
            </w:r>
          </w:p>
          <w:p w14:paraId="204BCE29">
            <w:pPr>
              <w:spacing w:line="560" w:lineRule="exact"/>
              <w:ind w:firstLine="560" w:firstLineChars="200"/>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2、经费形式分为财政拨款、财政性资金基本保证、财政性资金定额或定项补助、财政性资金零补助四类。</w:t>
            </w:r>
          </w:p>
        </w:tc>
      </w:tr>
    </w:tbl>
    <w:p w14:paraId="4909D3DC">
      <w:pPr>
        <w:widowControl/>
        <w:spacing w:after="160" w:line="580" w:lineRule="exact"/>
        <w:ind w:firstLine="640" w:firstLineChars="200"/>
        <w:rPr>
          <w:rFonts w:ascii="Times New Roman" w:hAnsi="Times New Roman" w:eastAsia="黑体" w:cs="Times New Roman"/>
          <w:sz w:val="32"/>
          <w:szCs w:val="32"/>
        </w:rPr>
      </w:pPr>
    </w:p>
    <w:p w14:paraId="47C97152">
      <w:pPr>
        <w:widowControl/>
        <w:spacing w:after="160" w:line="580" w:lineRule="exact"/>
        <w:ind w:firstLine="640" w:firstLineChars="200"/>
        <w:rPr>
          <w:rFonts w:ascii="Times New Roman" w:hAnsi="Times New Roman" w:eastAsia="黑体" w:cs="Times New Roman"/>
          <w:sz w:val="32"/>
          <w:szCs w:val="32"/>
        </w:rPr>
      </w:pPr>
    </w:p>
    <w:p w14:paraId="6B25D555"/>
    <w:p w14:paraId="1016682C">
      <w:pPr>
        <w:widowControl/>
        <w:spacing w:after="160" w:line="580" w:lineRule="exact"/>
        <w:ind w:firstLine="1440" w:firstLineChars="200"/>
        <w:rPr>
          <w:rFonts w:ascii="Times New Roman" w:hAnsi="Times New Roman" w:eastAsia="黑体" w:cs="Times New Roman"/>
          <w:sz w:val="32"/>
          <w:szCs w:val="32"/>
        </w:rPr>
        <w:sectPr>
          <w:headerReference r:id="rId10" w:type="default"/>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336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4A539C">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60CF24F1">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336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334A539C">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60CF24F1">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3CF120E7">
      <w:pPr>
        <w:widowControl/>
        <w:spacing w:line="580" w:lineRule="exact"/>
        <w:ind w:firstLine="640" w:firstLineChars="200"/>
        <w:rPr>
          <w:rFonts w:eastAsia="黑体"/>
          <w:sz w:val="32"/>
          <w:szCs w:val="32"/>
        </w:rPr>
      </w:pPr>
    </w:p>
    <w:p w14:paraId="7B73713F">
      <w:pPr>
        <w:jc w:val="center"/>
        <w:rPr>
          <w:rFonts w:ascii="黑体" w:hAnsi="黑体" w:eastAsia="黑体" w:cs="黑体"/>
          <w:sz w:val="56"/>
          <w:szCs w:val="72"/>
        </w:rPr>
      </w:pPr>
    </w:p>
    <w:p w14:paraId="4F1785B5">
      <w:pPr>
        <w:jc w:val="center"/>
        <w:rPr>
          <w:rFonts w:ascii="黑体" w:hAnsi="黑体" w:eastAsia="黑体" w:cs="黑体"/>
          <w:sz w:val="56"/>
          <w:szCs w:val="72"/>
        </w:rPr>
      </w:pPr>
    </w:p>
    <w:p w14:paraId="7AC5B687">
      <w:pPr>
        <w:jc w:val="center"/>
        <w:rPr>
          <w:rFonts w:ascii="黑体" w:hAnsi="黑体" w:eastAsia="黑体" w:cs="黑体"/>
          <w:sz w:val="56"/>
          <w:szCs w:val="72"/>
        </w:rPr>
      </w:pPr>
    </w:p>
    <w:p w14:paraId="145656DA">
      <w:pPr>
        <w:jc w:val="center"/>
        <w:rPr>
          <w:rFonts w:ascii="黑体" w:hAnsi="黑体" w:eastAsia="黑体" w:cs="黑体"/>
          <w:sz w:val="56"/>
          <w:szCs w:val="72"/>
        </w:rPr>
      </w:pPr>
    </w:p>
    <w:p w14:paraId="035CEA0A">
      <w:pPr>
        <w:jc w:val="center"/>
        <w:rPr>
          <w:rFonts w:ascii="黑体" w:hAnsi="黑体" w:eastAsia="黑体" w:cs="黑体"/>
          <w:sz w:val="56"/>
          <w:szCs w:val="72"/>
        </w:rPr>
      </w:pPr>
    </w:p>
    <w:p w14:paraId="6B8BCC06">
      <w:pPr>
        <w:jc w:val="center"/>
        <w:rPr>
          <w:rFonts w:ascii="黑体" w:hAnsi="黑体" w:eastAsia="黑体" w:cs="黑体"/>
          <w:sz w:val="56"/>
          <w:szCs w:val="72"/>
        </w:rPr>
      </w:pPr>
    </w:p>
    <w:p w14:paraId="1C373999">
      <w:pPr>
        <w:jc w:val="center"/>
        <w:rPr>
          <w:rFonts w:ascii="黑体" w:hAnsi="黑体" w:eastAsia="黑体" w:cs="黑体"/>
          <w:sz w:val="56"/>
          <w:szCs w:val="72"/>
        </w:rPr>
      </w:pPr>
    </w:p>
    <w:p w14:paraId="3C7AA3C9">
      <w:pPr>
        <w:jc w:val="center"/>
        <w:rPr>
          <w:rFonts w:ascii="黑体" w:hAnsi="黑体" w:eastAsia="黑体" w:cs="黑体"/>
          <w:sz w:val="56"/>
          <w:szCs w:val="72"/>
        </w:rPr>
      </w:pPr>
    </w:p>
    <w:p w14:paraId="294ED8DF">
      <w:pPr>
        <w:jc w:val="center"/>
        <w:rPr>
          <w:rFonts w:ascii="黑体" w:hAnsi="黑体" w:eastAsia="黑体" w:cs="黑体"/>
          <w:sz w:val="56"/>
          <w:szCs w:val="72"/>
        </w:rPr>
      </w:pPr>
      <w:r>
        <w:rPr>
          <w:sz w:val="72"/>
        </w:rPr>
        <mc:AlternateContent>
          <mc:Choice Requires="wps">
            <w:drawing>
              <wp:anchor distT="0" distB="0" distL="114300" distR="114300" simplePos="0" relativeHeight="251664384"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14:paraId="4E766AA5">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4F6303CC">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14:paraId="253AA497">
                            <w:pPr>
                              <w:widowControl/>
                              <w:jc w:val="center"/>
                              <w:rPr>
                                <w14:textOutline w14:w="9525" w14:cap="flat" w14:cmpd="sng" w14:algn="ctr">
                                  <w14:solidFill>
                                    <w14:schemeClr w14:val="tx1">
                                      <w14:lumMod w14:val="50000"/>
                                      <w14:lumOff w14:val="50000"/>
                                    </w14:schemeClr>
                                  </w14:solidFill>
                                  <w14:prstDash w14:val="solid"/>
                                  <w14:round/>
                                </w14:textOutline>
                              </w:rPr>
                            </w:pPr>
                          </w:p>
                          <w:p w14:paraId="59E0F871"/>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4384;v-text-anchor:middle;mso-width-relative:page;mso-height-relative:page;" fillcolor="#808080 [1612]" filled="t" stroked="t" coordsize="21600,21600" o:gfxdata="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D6ibH12QAAAA4BAAAPAAAAAAAAAAEAIAAAACIAAABkcnMvZG93bnJldi54bWxQSwEC&#10;FAAUAAAACACHTuJAFabkh54CAABtBQAADgAAAAAAAAABACAAAAAoAQAAZHJzL2Uyb0RvYy54bWxQ&#10;SwUGAAAAAAYABgBZAQAAOAYAAAAA&#10;">
                <v:fill type="pattern" on="t" color2="#FFFFFF [3212]" o:title="5%" focussize="0,0" r:id="rId14"/>
                <v:stroke weight="1pt" color="#A6A6A6 [2092]" joinstyle="round"/>
                <v:imagedata o:title=""/>
                <o:lock v:ext="edit" aspectratio="f"/>
                <v:textbox>
                  <w:txbxContent>
                    <w:p w14:paraId="4E766AA5">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4F6303CC">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14:paraId="253AA497">
                      <w:pPr>
                        <w:widowControl/>
                        <w:jc w:val="center"/>
                        <w:rPr>
                          <w14:textOutline w14:w="9525" w14:cap="flat" w14:cmpd="sng" w14:algn="ctr">
                            <w14:solidFill>
                              <w14:schemeClr w14:val="tx1">
                                <w14:lumMod w14:val="50000"/>
                                <w14:lumOff w14:val="50000"/>
                              </w14:schemeClr>
                            </w14:solidFill>
                            <w14:prstDash w14:val="solid"/>
                            <w14:round/>
                          </w14:textOutline>
                        </w:rPr>
                      </w:pPr>
                    </w:p>
                    <w:p w14:paraId="59E0F871"/>
                  </w:txbxContent>
                </v:textbox>
              </v:shape>
            </w:pict>
          </mc:Fallback>
        </mc:AlternateContent>
      </w:r>
    </w:p>
    <w:p w14:paraId="49B5B4A5">
      <w:pPr>
        <w:jc w:val="center"/>
        <w:rPr>
          <w:rFonts w:ascii="黑体" w:hAnsi="黑体" w:eastAsia="黑体" w:cs="黑体"/>
          <w:sz w:val="56"/>
          <w:szCs w:val="72"/>
        </w:rPr>
      </w:pPr>
    </w:p>
    <w:p w14:paraId="2F67C56A">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46A652B4">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本部门2020年度收、支总计（含结转和结余）</w:t>
      </w:r>
      <w:r>
        <w:rPr>
          <w:rFonts w:hint="eastAsia" w:ascii="仿宋_GB2312" w:hAnsi="Times New Roman" w:eastAsia="仿宋_GB2312" w:cs="Wingdings"/>
          <w:sz w:val="32"/>
          <w:szCs w:val="32"/>
          <w:lang w:val="en-US" w:eastAsia="zh-CN"/>
        </w:rPr>
        <w:t>510.93</w:t>
      </w:r>
      <w:r>
        <w:rPr>
          <w:rFonts w:hint="eastAsia" w:ascii="仿宋_GB2312" w:hAnsi="Times New Roman" w:eastAsia="仿宋_GB2312" w:cs="Wingdings"/>
          <w:sz w:val="32"/>
          <w:szCs w:val="32"/>
        </w:rPr>
        <w:t>万元。与2019年度决算相比，收支各增加</w:t>
      </w:r>
      <w:r>
        <w:rPr>
          <w:rFonts w:hint="eastAsia" w:ascii="仿宋_GB2312" w:hAnsi="Times New Roman" w:eastAsia="仿宋_GB2312" w:cs="Wingdings"/>
          <w:sz w:val="32"/>
          <w:szCs w:val="32"/>
          <w:lang w:val="en-US" w:eastAsia="zh-CN"/>
        </w:rPr>
        <w:t>148.8</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41.09</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eastAsia="zh-CN"/>
        </w:rPr>
        <w:t>单位人员增加，职能增加。</w:t>
      </w:r>
    </w:p>
    <w:p w14:paraId="68E6D3E6">
      <w:pPr>
        <w:adjustRightInd w:val="0"/>
        <w:snapToGrid w:val="0"/>
        <w:spacing w:line="600" w:lineRule="exact"/>
        <w:rPr>
          <w:rFonts w:ascii="仿宋_GB2312" w:hAnsi="Times New Roman" w:eastAsia="仿宋_GB2312" w:cs="Wingdings"/>
          <w:sz w:val="32"/>
          <w:szCs w:val="32"/>
        </w:rPr>
      </w:pPr>
      <w:r>
        <w:drawing>
          <wp:anchor distT="0" distB="0" distL="114300" distR="114300" simplePos="0" relativeHeight="251673600" behindDoc="0" locked="0" layoutInCell="1" allowOverlap="1">
            <wp:simplePos x="0" y="0"/>
            <wp:positionH relativeFrom="column">
              <wp:posOffset>1080770</wp:posOffset>
            </wp:positionH>
            <wp:positionV relativeFrom="paragraph">
              <wp:posOffset>147320</wp:posOffset>
            </wp:positionV>
            <wp:extent cx="3554095" cy="2152650"/>
            <wp:effectExtent l="4445" t="4445" r="22860" b="14605"/>
            <wp:wrapNone/>
            <wp:docPr id="102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56B4C524">
      <w:pPr>
        <w:adjustRightInd w:val="0"/>
        <w:snapToGrid w:val="0"/>
        <w:spacing w:line="600" w:lineRule="exact"/>
        <w:ind w:firstLine="640" w:firstLineChars="200"/>
        <w:rPr>
          <w:rFonts w:ascii="仿宋_GB2312" w:hAnsi="Times New Roman" w:eastAsia="仿宋_GB2312" w:cs="Wingdings"/>
          <w:sz w:val="32"/>
          <w:szCs w:val="32"/>
        </w:rPr>
      </w:pPr>
    </w:p>
    <w:p w14:paraId="4597D184">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14:paraId="7561C2FB">
      <w:pPr>
        <w:adjustRightInd w:val="0"/>
        <w:snapToGrid w:val="0"/>
        <w:spacing w:line="600" w:lineRule="exact"/>
        <w:ind w:firstLine="640" w:firstLineChars="200"/>
        <w:rPr>
          <w:rFonts w:ascii="仿宋_GB2312" w:hAnsi="Times New Roman" w:eastAsia="仿宋_GB2312" w:cs="Wingdings"/>
          <w:sz w:val="32"/>
          <w:szCs w:val="32"/>
        </w:rPr>
      </w:pPr>
    </w:p>
    <w:p w14:paraId="261A24A6">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14:paraId="3CE298CC">
      <w:pPr>
        <w:keepNext/>
        <w:keepLines/>
        <w:snapToGrid w:val="0"/>
        <w:spacing w:line="600" w:lineRule="exact"/>
        <w:ind w:firstLine="640" w:firstLineChars="200"/>
        <w:outlineLvl w:val="1"/>
        <w:rPr>
          <w:rFonts w:ascii="黑体" w:hAnsi="Calibri" w:eastAsia="黑体" w:cs="Times New Roman"/>
          <w:sz w:val="32"/>
          <w:szCs w:val="32"/>
        </w:rPr>
      </w:pPr>
    </w:p>
    <w:p w14:paraId="1C058CF6">
      <w:pPr>
        <w:keepNext/>
        <w:keepLines/>
        <w:snapToGrid w:val="0"/>
        <w:spacing w:line="600" w:lineRule="exact"/>
        <w:outlineLvl w:val="1"/>
        <w:rPr>
          <w:rFonts w:hint="eastAsia" w:ascii="仿宋" w:hAnsi="仿宋" w:eastAsia="仿宋" w:cs="仿宋"/>
          <w:sz w:val="32"/>
          <w:szCs w:val="32"/>
          <w:lang w:val="en-US" w:eastAsia="zh-CN"/>
        </w:rPr>
      </w:pPr>
      <w:r>
        <w:rPr>
          <w:rFonts w:hint="eastAsia" w:ascii="黑体" w:hAnsi="Calibri" w:eastAsia="黑体" w:cs="Times New Roman"/>
          <w:sz w:val="32"/>
          <w:szCs w:val="32"/>
          <w:lang w:val="en-US" w:eastAsia="zh-CN"/>
        </w:rPr>
        <w:t xml:space="preserve">           </w:t>
      </w:r>
      <w:r>
        <w:rPr>
          <w:rFonts w:hint="eastAsia" w:ascii="仿宋" w:hAnsi="仿宋" w:eastAsia="仿宋" w:cs="仿宋"/>
          <w:sz w:val="32"/>
          <w:szCs w:val="32"/>
          <w:lang w:val="en-US" w:eastAsia="zh-CN"/>
        </w:rPr>
        <w:t>图1：2019--2020年收支总计对比情况</w:t>
      </w:r>
    </w:p>
    <w:p w14:paraId="340BAEE4">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04DB47E2">
      <w:pPr>
        <w:adjustRightInd w:val="0"/>
        <w:snapToGrid w:val="0"/>
        <w:spacing w:line="600" w:lineRule="exact"/>
        <w:ind w:firstLine="640" w:firstLineChars="200"/>
        <w:rPr>
          <w:rFonts w:hint="eastAsia" w:ascii="仿宋_GB2312" w:hAnsi="Times New Roman" w:eastAsia="仿宋_GB2312" w:cs="Wingdings"/>
          <w:sz w:val="32"/>
          <w:szCs w:val="32"/>
          <w:highlight w:val="yellow"/>
          <w:lang w:eastAsia="zh-CN"/>
        </w:rPr>
      </w:pPr>
      <w:r>
        <w:rPr>
          <w:rFonts w:hint="eastAsia" w:ascii="仿宋_GB2312" w:hAnsi="Times New Roman" w:eastAsia="仿宋_GB2312" w:cs="Wingdings"/>
          <w:sz w:val="32"/>
          <w:szCs w:val="32"/>
        </w:rPr>
        <w:t>本</w:t>
      </w:r>
      <w:r>
        <w:rPr>
          <w:rFonts w:hint="eastAsia" w:ascii="仿宋_GB2312" w:hAnsi="Times New Roman" w:eastAsia="仿宋_GB2312" w:cs="Wingdings"/>
          <w:color w:val="000000" w:themeColor="text1"/>
          <w:sz w:val="32"/>
          <w:szCs w:val="32"/>
          <w14:textFill>
            <w14:solidFill>
              <w14:schemeClr w14:val="tx1"/>
            </w14:solidFill>
          </w14:textFill>
        </w:rPr>
        <w:t>部门2020年度本年收入合计</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510.65</w:t>
      </w:r>
      <w:r>
        <w:rPr>
          <w:rFonts w:hint="eastAsia" w:ascii="仿宋_GB2312" w:hAnsi="Times New Roman" w:eastAsia="仿宋_GB2312" w:cs="Wingdings"/>
          <w:color w:val="000000" w:themeColor="text1"/>
          <w:sz w:val="32"/>
          <w:szCs w:val="32"/>
          <w14:textFill>
            <w14:solidFill>
              <w14:schemeClr w14:val="tx1"/>
            </w14:solidFill>
          </w14:textFill>
        </w:rPr>
        <w:t>万元，其中：财政拨款收入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510.65</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100</w:t>
      </w:r>
      <w:r>
        <w:rPr>
          <w:rFonts w:hint="eastAsia" w:ascii="仿宋_GB2312" w:hAnsi="Times New Roman" w:eastAsia="仿宋_GB2312" w:cs="Wingdings"/>
          <w:color w:val="000000" w:themeColor="text1"/>
          <w:sz w:val="32"/>
          <w:szCs w:val="32"/>
          <w14:textFill>
            <w14:solidFill>
              <w14:schemeClr w14:val="tx1"/>
            </w14:solidFill>
          </w14:textFill>
        </w:rPr>
        <w:t>%；上级补助收入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%；事业收入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%；经营收入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%；附属单位上缴收入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%；其他收入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w:t>
      </w:r>
      <w:r>
        <w:rPr>
          <w:rFonts w:hint="eastAsia" w:ascii="仿宋_GB2312" w:hAnsi="Times New Roman" w:eastAsia="仿宋_GB2312" w:cs="Wingdings"/>
          <w:sz w:val="32"/>
          <w:szCs w:val="32"/>
        </w:rPr>
        <w:t>如图所示</w:t>
      </w:r>
      <w:r>
        <w:rPr>
          <w:rFonts w:hint="eastAsia" w:ascii="仿宋_GB2312" w:hAnsi="Times New Roman" w:eastAsia="仿宋_GB2312" w:cs="Wingdings"/>
          <w:sz w:val="32"/>
          <w:szCs w:val="32"/>
          <w:lang w:eastAsia="zh-CN"/>
        </w:rPr>
        <w:t>：</w:t>
      </w:r>
    </w:p>
    <w:p w14:paraId="037E4B33">
      <w:pPr>
        <w:adjustRightInd w:val="0"/>
        <w:snapToGrid w:val="0"/>
        <w:spacing w:line="600" w:lineRule="exact"/>
        <w:rPr>
          <w:rFonts w:ascii="仿宋_GB2312" w:hAnsi="Times New Roman" w:eastAsia="仿宋_GB2312" w:cs="Wingdings"/>
          <w:sz w:val="32"/>
          <w:szCs w:val="32"/>
        </w:rPr>
      </w:pPr>
      <w:r>
        <w:drawing>
          <wp:anchor distT="0" distB="0" distL="114300" distR="114300" simplePos="0" relativeHeight="251669504" behindDoc="0" locked="0" layoutInCell="1" allowOverlap="1">
            <wp:simplePos x="0" y="0"/>
            <wp:positionH relativeFrom="column">
              <wp:posOffset>852170</wp:posOffset>
            </wp:positionH>
            <wp:positionV relativeFrom="paragraph">
              <wp:posOffset>70485</wp:posOffset>
            </wp:positionV>
            <wp:extent cx="3612515" cy="2029460"/>
            <wp:effectExtent l="5080" t="4445" r="20955" b="23495"/>
            <wp:wrapNone/>
            <wp:docPr id="6"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57F45772">
      <w:pPr>
        <w:adjustRightInd w:val="0"/>
        <w:snapToGrid w:val="0"/>
        <w:spacing w:line="600" w:lineRule="exact"/>
        <w:ind w:firstLine="1920" w:firstLineChars="600"/>
        <w:rPr>
          <w:rFonts w:ascii="仿宋_GB2312" w:hAnsi="Times New Roman" w:eastAsia="仿宋_GB2312" w:cs="Wingdings"/>
          <w:sz w:val="32"/>
          <w:szCs w:val="32"/>
        </w:rPr>
      </w:pPr>
    </w:p>
    <w:p w14:paraId="5A9626D2">
      <w:pPr>
        <w:adjustRightInd w:val="0"/>
        <w:snapToGrid w:val="0"/>
        <w:spacing w:line="600" w:lineRule="exact"/>
        <w:ind w:firstLine="1920" w:firstLineChars="600"/>
        <w:rPr>
          <w:rFonts w:ascii="仿宋_GB2312" w:hAnsi="Times New Roman" w:eastAsia="仿宋_GB2312" w:cs="Wingdings"/>
          <w:sz w:val="32"/>
          <w:szCs w:val="32"/>
        </w:rPr>
      </w:pPr>
    </w:p>
    <w:p w14:paraId="5CDF46CD">
      <w:pPr>
        <w:snapToGrid w:val="0"/>
        <w:spacing w:line="600" w:lineRule="exact"/>
        <w:ind w:firstLine="640" w:firstLineChars="200"/>
        <w:outlineLvl w:val="1"/>
        <w:rPr>
          <w:rFonts w:ascii="黑体" w:hAnsi="Calibri" w:eastAsia="黑体" w:cs="Times New Roman"/>
          <w:sz w:val="32"/>
          <w:szCs w:val="32"/>
        </w:rPr>
      </w:pPr>
    </w:p>
    <w:p w14:paraId="2F56AD06">
      <w:pPr>
        <w:widowControl w:val="0"/>
        <w:snapToGrid w:val="0"/>
        <w:spacing w:before="0" w:beforeAutospacing="0" w:after="0" w:afterAutospacing="0" w:line="600" w:lineRule="exact"/>
        <w:jc w:val="center"/>
        <w:textAlignment w:val="baseline"/>
        <w:rPr>
          <w:rFonts w:ascii="黑体" w:hAnsi="Calibri" w:eastAsia="黑体" w:cs="Times New Roman"/>
          <w:b/>
          <w:bCs/>
          <w:i w:val="0"/>
          <w:caps w:val="0"/>
          <w:spacing w:val="0"/>
          <w:w w:val="100"/>
          <w:sz w:val="32"/>
          <w:szCs w:val="32"/>
        </w:rPr>
      </w:pPr>
      <w:r>
        <w:rPr>
          <w:rFonts w:hint="eastAsia" w:ascii="仿宋_GB2312" w:hAnsi="仿宋" w:eastAsia="仿宋_GB2312"/>
          <w:b w:val="0"/>
          <w:i w:val="0"/>
          <w:caps w:val="0"/>
          <w:spacing w:val="0"/>
          <w:w w:val="100"/>
          <w:sz w:val="32"/>
          <w:szCs w:val="32"/>
          <w:lang w:val="en-US" w:eastAsia="zh-CN"/>
        </w:rPr>
        <w:t>图1：收入构成情况</w:t>
      </w:r>
    </w:p>
    <w:p w14:paraId="65E32C69">
      <w:pPr>
        <w:keepLines/>
        <w:widowControl w:val="0"/>
        <w:snapToGrid w:val="0"/>
        <w:spacing w:before="0" w:beforeAutospacing="0" w:after="0" w:afterAutospacing="0" w:line="600" w:lineRule="exact"/>
        <w:jc w:val="both"/>
        <w:textAlignment w:val="baseline"/>
        <w:rPr>
          <w:rFonts w:hint="eastAsia" w:ascii="仿宋" w:hAnsi="仿宋" w:eastAsia="仿宋" w:cs="仿宋"/>
          <w:b w:val="0"/>
          <w:i w:val="0"/>
          <w:caps w:val="0"/>
          <w:spacing w:val="0"/>
          <w:w w:val="100"/>
          <w:sz w:val="32"/>
          <w:szCs w:val="32"/>
          <w:lang w:val="en-US" w:eastAsia="zh-CN"/>
        </w:rPr>
      </w:pPr>
      <w:r>
        <w:rPr>
          <w:rFonts w:hint="eastAsia" w:ascii="黑体" w:hAnsi="Calibri" w:eastAsia="黑体" w:cs="Times New Roman"/>
          <w:b w:val="0"/>
          <w:i w:val="0"/>
          <w:caps w:val="0"/>
          <w:spacing w:val="0"/>
          <w:w w:val="100"/>
          <w:sz w:val="32"/>
          <w:szCs w:val="32"/>
          <w:lang w:val="en-US" w:eastAsia="zh-CN"/>
        </w:rPr>
        <w:t xml:space="preserve">                </w:t>
      </w:r>
      <w:r>
        <w:rPr>
          <w:rFonts w:hint="eastAsia" w:ascii="仿宋" w:hAnsi="仿宋" w:eastAsia="仿宋" w:cs="仿宋"/>
          <w:b w:val="0"/>
          <w:i w:val="0"/>
          <w:caps w:val="0"/>
          <w:spacing w:val="0"/>
          <w:w w:val="100"/>
          <w:sz w:val="32"/>
          <w:szCs w:val="32"/>
          <w:lang w:val="en-US" w:eastAsia="zh-CN"/>
        </w:rPr>
        <w:t>图2：收入决算情况</w:t>
      </w:r>
    </w:p>
    <w:p w14:paraId="1DB773E8">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1A33823D">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本部门2020年度本年支出合计</w:t>
      </w:r>
      <w:r>
        <w:rPr>
          <w:rFonts w:hint="eastAsia" w:ascii="仿宋_GB2312" w:hAnsi="Times New Roman" w:eastAsia="仿宋_GB2312" w:cs="Wingdings"/>
          <w:sz w:val="32"/>
          <w:szCs w:val="32"/>
          <w:lang w:val="en-US" w:eastAsia="zh-CN"/>
        </w:rPr>
        <w:t>510.89</w:t>
      </w:r>
      <w:r>
        <w:rPr>
          <w:rFonts w:hint="eastAsia" w:ascii="仿宋_GB2312" w:hAnsi="Times New Roman" w:eastAsia="仿宋_GB2312" w:cs="Wingdings"/>
          <w:sz w:val="32"/>
          <w:szCs w:val="32"/>
        </w:rPr>
        <w:t>万元，其中：基本支出</w:t>
      </w:r>
      <w:r>
        <w:rPr>
          <w:rFonts w:hint="eastAsia" w:ascii="仿宋_GB2312" w:hAnsi="Times New Roman" w:eastAsia="仿宋_GB2312" w:cs="Wingdings"/>
          <w:sz w:val="32"/>
          <w:szCs w:val="32"/>
          <w:lang w:val="en-US" w:eastAsia="zh-CN"/>
        </w:rPr>
        <w:t>411.64</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80.57</w:t>
      </w: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99.24</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19.43</w:t>
      </w:r>
      <w:r>
        <w:rPr>
          <w:rFonts w:hint="eastAsia" w:ascii="仿宋_GB2312" w:hAnsi="Times New Roman" w:eastAsia="仿宋_GB2312" w:cs="Wingdings"/>
          <w:sz w:val="32"/>
          <w:szCs w:val="32"/>
        </w:rPr>
        <w:t>%；上缴上级支出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%；经营支出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x%；对附属单位补助支出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%。如图所示：</w:t>
      </w:r>
    </w:p>
    <w:p w14:paraId="7CADCBCE">
      <w:pPr>
        <w:adjustRightInd w:val="0"/>
        <w:snapToGrid w:val="0"/>
        <w:spacing w:line="600" w:lineRule="exact"/>
        <w:rPr>
          <w:rFonts w:ascii="仿宋_GB2312" w:hAnsi="Times New Roman" w:eastAsia="仿宋_GB2312" w:cs="Wingdings"/>
          <w:sz w:val="32"/>
          <w:szCs w:val="32"/>
        </w:rPr>
      </w:pPr>
      <w:r>
        <w:drawing>
          <wp:anchor distT="0" distB="0" distL="114300" distR="114300" simplePos="0" relativeHeight="251670528" behindDoc="0" locked="0" layoutInCell="1" allowOverlap="1">
            <wp:simplePos x="0" y="0"/>
            <wp:positionH relativeFrom="column">
              <wp:posOffset>1061720</wp:posOffset>
            </wp:positionH>
            <wp:positionV relativeFrom="paragraph">
              <wp:posOffset>259715</wp:posOffset>
            </wp:positionV>
            <wp:extent cx="3666490" cy="1504315"/>
            <wp:effectExtent l="4445" t="5080" r="5715" b="14605"/>
            <wp:wrapNone/>
            <wp:docPr id="9"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14:paraId="4A32CD2F">
      <w:pPr>
        <w:adjustRightInd w:val="0"/>
        <w:snapToGrid w:val="0"/>
        <w:spacing w:line="600" w:lineRule="exact"/>
        <w:ind w:firstLine="1920" w:firstLineChars="600"/>
        <w:rPr>
          <w:rFonts w:ascii="仿宋_GB2312" w:hAnsi="Times New Roman" w:eastAsia="仿宋_GB2312" w:cs="Wingdings"/>
          <w:sz w:val="32"/>
          <w:szCs w:val="32"/>
        </w:rPr>
      </w:pPr>
    </w:p>
    <w:p w14:paraId="78918F65">
      <w:pPr>
        <w:adjustRightInd w:val="0"/>
        <w:snapToGrid w:val="0"/>
        <w:spacing w:line="600" w:lineRule="exact"/>
        <w:ind w:firstLine="1920" w:firstLineChars="600"/>
        <w:rPr>
          <w:rFonts w:ascii="仿宋_GB2312" w:hAnsi="Times New Roman" w:eastAsia="仿宋_GB2312" w:cs="Wingdings"/>
          <w:sz w:val="32"/>
          <w:szCs w:val="32"/>
        </w:rPr>
      </w:pPr>
    </w:p>
    <w:p w14:paraId="3170C300">
      <w:pPr>
        <w:adjustRightInd w:val="0"/>
        <w:snapToGrid w:val="0"/>
        <w:spacing w:line="600" w:lineRule="exact"/>
        <w:ind w:firstLine="1920" w:firstLineChars="600"/>
        <w:rPr>
          <w:rFonts w:ascii="仿宋_GB2312" w:hAnsi="Times New Roman" w:eastAsia="仿宋_GB2312" w:cs="Wingdings"/>
          <w:sz w:val="32"/>
          <w:szCs w:val="32"/>
        </w:rPr>
      </w:pPr>
    </w:p>
    <w:p w14:paraId="2ED4F277">
      <w:pPr>
        <w:keepNext/>
        <w:keepLines/>
        <w:snapToGrid w:val="0"/>
        <w:spacing w:line="600" w:lineRule="exact"/>
        <w:ind w:firstLine="640" w:firstLineChars="200"/>
        <w:outlineLvl w:val="1"/>
        <w:rPr>
          <w:rFonts w:ascii="黑体" w:hAnsi="Calibri" w:eastAsia="黑体" w:cs="Times New Roman"/>
          <w:b/>
          <w:bCs/>
          <w:sz w:val="32"/>
          <w:szCs w:val="32"/>
        </w:rPr>
      </w:pPr>
      <w:r>
        <w:rPr>
          <w:sz w:val="32"/>
        </w:rPr>
        <mc:AlternateContent>
          <mc:Choice Requires="wps">
            <w:drawing>
              <wp:anchor distT="0" distB="0" distL="114300" distR="114300" simplePos="0" relativeHeight="251660288" behindDoc="1" locked="0" layoutInCell="1" allowOverlap="1">
                <wp:simplePos x="0" y="0"/>
                <wp:positionH relativeFrom="column">
                  <wp:posOffset>804545</wp:posOffset>
                </wp:positionH>
                <wp:positionV relativeFrom="paragraph">
                  <wp:posOffset>172085</wp:posOffset>
                </wp:positionV>
                <wp:extent cx="4360545" cy="483235"/>
                <wp:effectExtent l="0" t="0" r="1905" b="12065"/>
                <wp:wrapNone/>
                <wp:docPr id="30" name="文本框 30"/>
                <wp:cNvGraphicFramePr/>
                <a:graphic xmlns:a="http://schemas.openxmlformats.org/drawingml/2006/main">
                  <a:graphicData uri="http://schemas.microsoft.com/office/word/2010/wordprocessingShape">
                    <wps:wsp>
                      <wps:cNvSpPr txBox="1"/>
                      <wps:spPr>
                        <a:xfrm>
                          <a:off x="2242820" y="5695315"/>
                          <a:ext cx="4360545"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6F52AA8">
                            <w:pPr>
                              <w:adjustRightInd w:val="0"/>
                              <w:snapToGrid w:val="0"/>
                              <w:spacing w:after="160" w:line="560" w:lineRule="exact"/>
                              <w:jc w:val="both"/>
                              <w:rPr>
                                <w:rFonts w:ascii="仿宋_GB2312" w:hAnsi="Times New Roman" w:eastAsia="仿宋_GB2312" w:cs="Wingdings"/>
                                <w:sz w:val="32"/>
                                <w:szCs w:val="32"/>
                              </w:rPr>
                            </w:pPr>
                            <w:r>
                              <w:rPr>
                                <w:rFonts w:hint="eastAsia" w:ascii="仿宋_GB2312" w:hAnsi="Times New Roman" w:eastAsia="仿宋_GB2312" w:cs="Wingdings"/>
                                <w:sz w:val="32"/>
                                <w:szCs w:val="32"/>
                                <w:lang w:val="en-US" w:eastAsia="zh-CN"/>
                              </w:rPr>
                              <w:t xml:space="preserve">     </w:t>
                            </w:r>
                            <w:r>
                              <w:rPr>
                                <w:rFonts w:hint="eastAsia" w:ascii="仿宋_GB2312" w:hAnsi="Times New Roman" w:eastAsia="仿宋_GB2312" w:cs="Wingdings"/>
                                <w:sz w:val="32"/>
                                <w:szCs w:val="32"/>
                              </w:rPr>
                              <w:t>图</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：支出决算构成情况</w:t>
                            </w:r>
                          </w:p>
                          <w:p w14:paraId="1332E897">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3.35pt;margin-top:13.55pt;height:38.05pt;width:343.35pt;z-index:-251656192;mso-width-relative:page;mso-height-relative:page;" fillcolor="#FFFFFF" filled="t" stroked="f" coordsize="21600,21600" o:gfxdata="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K4Po5nVAAAACgEAAA8AAAAAAAAAAQAgAAAAIgAAAGRycy9kb3ducmV2LnhtbFBLAQIUABQA&#10;AAAIAIdO4kBaRVvgZQIAAKsEAAAOAAAAAAAAAAEAIAAAACQBAABkcnMvZTJvRG9jLnhtbFBLBQYA&#10;AAAABgAGAFkBAAD7BQAAAAA=&#10;">
                <v:fill on="t" focussize="0,0"/>
                <v:stroke on="f" weight="0.5pt"/>
                <v:imagedata o:title=""/>
                <o:lock v:ext="edit" aspectratio="f"/>
                <v:textbox>
                  <w:txbxContent>
                    <w:p w14:paraId="76F52AA8">
                      <w:pPr>
                        <w:adjustRightInd w:val="0"/>
                        <w:snapToGrid w:val="0"/>
                        <w:spacing w:after="160" w:line="560" w:lineRule="exact"/>
                        <w:jc w:val="both"/>
                        <w:rPr>
                          <w:rFonts w:ascii="仿宋_GB2312" w:hAnsi="Times New Roman" w:eastAsia="仿宋_GB2312" w:cs="Wingdings"/>
                          <w:sz w:val="32"/>
                          <w:szCs w:val="32"/>
                        </w:rPr>
                      </w:pPr>
                      <w:r>
                        <w:rPr>
                          <w:rFonts w:hint="eastAsia" w:ascii="仿宋_GB2312" w:hAnsi="Times New Roman" w:eastAsia="仿宋_GB2312" w:cs="Wingdings"/>
                          <w:sz w:val="32"/>
                          <w:szCs w:val="32"/>
                          <w:lang w:val="en-US" w:eastAsia="zh-CN"/>
                        </w:rPr>
                        <w:t xml:space="preserve">     </w:t>
                      </w:r>
                      <w:r>
                        <w:rPr>
                          <w:rFonts w:hint="eastAsia" w:ascii="仿宋_GB2312" w:hAnsi="Times New Roman" w:eastAsia="仿宋_GB2312" w:cs="Wingdings"/>
                          <w:sz w:val="32"/>
                          <w:szCs w:val="32"/>
                        </w:rPr>
                        <w:t>图</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：支出决算构成情况</w:t>
                      </w:r>
                    </w:p>
                    <w:p w14:paraId="1332E897">
                      <w:pPr>
                        <w:spacing w:after="160" w:line="480" w:lineRule="auto"/>
                        <w:rPr>
                          <w:rFonts w:ascii="Times New Roman" w:hAnsi="Times New Roman" w:eastAsia="宋体" w:cs="Times New Roman"/>
                          <w:sz w:val="20"/>
                        </w:rPr>
                      </w:pPr>
                    </w:p>
                  </w:txbxContent>
                </v:textbox>
              </v:shape>
            </w:pict>
          </mc:Fallback>
        </mc:AlternateContent>
      </w:r>
    </w:p>
    <w:p w14:paraId="778477EC">
      <w:pPr>
        <w:keepNext/>
        <w:keepLines/>
        <w:snapToGrid w:val="0"/>
        <w:spacing w:line="600" w:lineRule="exact"/>
        <w:ind w:firstLine="640" w:firstLineChars="200"/>
        <w:outlineLvl w:val="1"/>
        <w:rPr>
          <w:rFonts w:ascii="黑体" w:hAnsi="Calibri" w:eastAsia="黑体" w:cs="Times New Roman"/>
          <w:sz w:val="32"/>
          <w:szCs w:val="32"/>
        </w:rPr>
      </w:pPr>
    </w:p>
    <w:p w14:paraId="1435C46F">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3C9A2A96">
      <w:pPr>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（一）财政拨款收支与2019年度决算对比情况</w:t>
      </w:r>
    </w:p>
    <w:p w14:paraId="0532CBBC">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本部门2020年度财政拨款收支均为一般公共预算财政拨款，其中本年收入</w:t>
      </w:r>
      <w:r>
        <w:rPr>
          <w:rFonts w:hint="eastAsia" w:ascii="仿宋_GB2312" w:hAnsi="Times New Roman" w:eastAsia="仿宋_GB2312" w:cs="Wingdings"/>
          <w:sz w:val="32"/>
          <w:szCs w:val="32"/>
          <w:lang w:val="en-US" w:eastAsia="zh-CN"/>
        </w:rPr>
        <w:t>510.65</w:t>
      </w:r>
      <w:r>
        <w:rPr>
          <w:rFonts w:hint="eastAsia" w:ascii="仿宋_GB2312" w:hAnsi="Times New Roman" w:eastAsia="仿宋_GB2312" w:cs="Wingdings"/>
          <w:sz w:val="32"/>
          <w:szCs w:val="32"/>
        </w:rPr>
        <w:t>万元,比2019年度增加</w:t>
      </w:r>
      <w:r>
        <w:rPr>
          <w:rFonts w:hint="eastAsia" w:ascii="仿宋_GB2312" w:hAnsi="Times New Roman" w:eastAsia="仿宋_GB2312" w:cs="Wingdings"/>
          <w:sz w:val="32"/>
          <w:szCs w:val="32"/>
          <w:lang w:val="en-US" w:eastAsia="zh-CN"/>
        </w:rPr>
        <w:t>152.7</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42.66</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人员增加，职能增加</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510.89</w:t>
      </w:r>
      <w:r>
        <w:rPr>
          <w:rFonts w:hint="eastAsia" w:ascii="仿宋_GB2312" w:hAnsi="Times New Roman" w:eastAsia="仿宋_GB2312" w:cs="Wingdings"/>
          <w:sz w:val="32"/>
          <w:szCs w:val="32"/>
        </w:rPr>
        <w:t>万元，增加</w:t>
      </w:r>
      <w:r>
        <w:rPr>
          <w:rFonts w:hint="eastAsia" w:ascii="仿宋_GB2312" w:hAnsi="Times New Roman" w:eastAsia="仿宋_GB2312" w:cs="Wingdings"/>
          <w:sz w:val="32"/>
          <w:szCs w:val="32"/>
          <w:lang w:val="en-US" w:eastAsia="zh-CN"/>
        </w:rPr>
        <w:t>149.04</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41.19</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人员增加，职能增加</w:t>
      </w:r>
      <w:r>
        <w:rPr>
          <w:rFonts w:hint="eastAsia" w:ascii="仿宋_GB2312" w:hAnsi="Times New Roman" w:eastAsia="仿宋_GB2312" w:cs="Wingdings"/>
          <w:sz w:val="32"/>
          <w:szCs w:val="32"/>
        </w:rPr>
        <w:t>。</w:t>
      </w:r>
    </w:p>
    <w:p w14:paraId="326412BF">
      <w:pPr>
        <w:adjustRightInd w:val="0"/>
        <w:snapToGrid w:val="0"/>
        <w:spacing w:line="600" w:lineRule="exact"/>
        <w:ind w:firstLine="640" w:firstLineChars="200"/>
        <w:rPr>
          <w:rFonts w:hint="eastAsia" w:ascii="仿宋_GB2312" w:hAnsi="Times New Roman" w:eastAsia="仿宋_GB2312" w:cs="Wingdings"/>
          <w:sz w:val="32"/>
          <w:szCs w:val="32"/>
        </w:rPr>
      </w:pPr>
    </w:p>
    <w:p w14:paraId="1BF4C036">
      <w:pPr>
        <w:adjustRightInd w:val="0"/>
        <w:snapToGrid w:val="0"/>
        <w:spacing w:line="600" w:lineRule="exact"/>
        <w:ind w:firstLine="640" w:firstLineChars="200"/>
        <w:rPr>
          <w:rFonts w:hint="eastAsia" w:ascii="仿宋_GB2312" w:hAnsi="Times New Roman" w:eastAsia="仿宋_GB2312" w:cs="Wingdings"/>
          <w:sz w:val="32"/>
          <w:szCs w:val="32"/>
        </w:rPr>
      </w:pPr>
    </w:p>
    <w:p w14:paraId="763FE52B">
      <w:pPr>
        <w:adjustRightInd w:val="0"/>
        <w:snapToGrid w:val="0"/>
        <w:spacing w:line="600" w:lineRule="exact"/>
        <w:ind w:firstLine="640" w:firstLineChars="200"/>
        <w:rPr>
          <w:rFonts w:hint="eastAsia" w:ascii="仿宋_GB2312" w:hAnsi="Times New Roman" w:eastAsia="仿宋_GB2312" w:cs="Wingdings"/>
          <w:sz w:val="32"/>
          <w:szCs w:val="32"/>
        </w:rPr>
      </w:pPr>
    </w:p>
    <w:p w14:paraId="77B92426">
      <w:pPr>
        <w:adjustRightInd w:val="0"/>
        <w:snapToGrid w:val="0"/>
        <w:spacing w:line="600" w:lineRule="exact"/>
        <w:ind w:firstLine="640" w:firstLineChars="200"/>
        <w:rPr>
          <w:rFonts w:hint="eastAsia" w:ascii="仿宋_GB2312" w:hAnsi="Times New Roman" w:eastAsia="仿宋_GB2312" w:cs="Wingdings"/>
          <w:sz w:val="32"/>
          <w:szCs w:val="32"/>
        </w:rPr>
      </w:pPr>
    </w:p>
    <w:p w14:paraId="715B85A3">
      <w:pPr>
        <w:adjustRightInd w:val="0"/>
        <w:snapToGrid w:val="0"/>
        <w:spacing w:line="600" w:lineRule="exact"/>
        <w:ind w:firstLine="420" w:firstLineChars="200"/>
        <w:rPr>
          <w:rFonts w:hint="eastAsia" w:ascii="仿宋_GB2312" w:hAnsi="Times New Roman" w:eastAsia="仿宋_GB2312" w:cs="Wingdings"/>
          <w:sz w:val="32"/>
          <w:szCs w:val="32"/>
        </w:rPr>
      </w:pPr>
      <w:r>
        <w:drawing>
          <wp:anchor distT="0" distB="0" distL="114300" distR="114300" simplePos="0" relativeHeight="251671552" behindDoc="0" locked="0" layoutInCell="1" allowOverlap="1">
            <wp:simplePos x="0" y="0"/>
            <wp:positionH relativeFrom="column">
              <wp:posOffset>690880</wp:posOffset>
            </wp:positionH>
            <wp:positionV relativeFrom="paragraph">
              <wp:posOffset>372110</wp:posOffset>
            </wp:positionV>
            <wp:extent cx="4790440" cy="2809875"/>
            <wp:effectExtent l="4445" t="4445" r="5715" b="5080"/>
            <wp:wrapNone/>
            <wp:docPr id="11"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14:paraId="5FD78F4C">
      <w:pPr>
        <w:adjustRightInd w:val="0"/>
        <w:snapToGrid w:val="0"/>
        <w:spacing w:line="600" w:lineRule="exact"/>
        <w:ind w:firstLine="640" w:firstLineChars="200"/>
        <w:rPr>
          <w:rFonts w:hint="eastAsia" w:ascii="仿宋_GB2312" w:hAnsi="Times New Roman" w:eastAsia="仿宋_GB2312" w:cs="Wingdings"/>
          <w:sz w:val="32"/>
          <w:szCs w:val="32"/>
        </w:rPr>
      </w:pPr>
    </w:p>
    <w:p w14:paraId="092F6A3D">
      <w:pPr>
        <w:adjustRightInd w:val="0"/>
        <w:snapToGrid w:val="0"/>
        <w:spacing w:line="600" w:lineRule="exact"/>
        <w:ind w:firstLine="640" w:firstLineChars="200"/>
        <w:rPr>
          <w:rFonts w:hint="eastAsia" w:ascii="仿宋_GB2312" w:hAnsi="Times New Roman" w:eastAsia="仿宋_GB2312" w:cs="Wingdings"/>
          <w:sz w:val="32"/>
          <w:szCs w:val="32"/>
        </w:rPr>
      </w:pPr>
    </w:p>
    <w:p w14:paraId="18B67F4A">
      <w:pPr>
        <w:adjustRightInd w:val="0"/>
        <w:snapToGrid w:val="0"/>
        <w:spacing w:line="600" w:lineRule="exact"/>
        <w:ind w:firstLine="640" w:firstLineChars="200"/>
        <w:rPr>
          <w:rFonts w:hint="eastAsia" w:ascii="仿宋_GB2312" w:hAnsi="Times New Roman" w:eastAsia="仿宋_GB2312" w:cs="Wingdings"/>
          <w:sz w:val="32"/>
          <w:szCs w:val="32"/>
        </w:rPr>
      </w:pPr>
    </w:p>
    <w:p w14:paraId="2F326309">
      <w:pPr>
        <w:snapToGrid w:val="0"/>
        <w:spacing w:line="600" w:lineRule="exact"/>
        <w:ind w:firstLine="643" w:firstLineChars="200"/>
        <w:rPr>
          <w:rFonts w:hint="eastAsia" w:ascii="楷体_GB2312" w:hAnsi="Times New Roman" w:eastAsia="楷体_GB2312" w:cs="Mongolian Baiti"/>
          <w:b/>
          <w:bCs/>
          <w:sz w:val="32"/>
          <w:szCs w:val="32"/>
        </w:rPr>
      </w:pPr>
    </w:p>
    <w:p w14:paraId="759EC24E">
      <w:pPr>
        <w:snapToGrid w:val="0"/>
        <w:spacing w:line="600" w:lineRule="exact"/>
        <w:ind w:firstLine="643" w:firstLineChars="200"/>
        <w:rPr>
          <w:rFonts w:hint="eastAsia" w:ascii="楷体_GB2312" w:hAnsi="Times New Roman" w:eastAsia="楷体_GB2312" w:cs="Mongolian Baiti"/>
          <w:b/>
          <w:bCs/>
          <w:sz w:val="32"/>
          <w:szCs w:val="32"/>
        </w:rPr>
      </w:pPr>
    </w:p>
    <w:p w14:paraId="37200A9E">
      <w:pPr>
        <w:snapToGrid w:val="0"/>
        <w:spacing w:line="600" w:lineRule="exact"/>
        <w:ind w:firstLine="643" w:firstLineChars="200"/>
        <w:rPr>
          <w:rFonts w:hint="eastAsia" w:ascii="楷体_GB2312" w:hAnsi="Times New Roman" w:eastAsia="楷体_GB2312" w:cs="Mongolian Baiti"/>
          <w:b/>
          <w:bCs/>
          <w:sz w:val="32"/>
          <w:szCs w:val="32"/>
        </w:rPr>
      </w:pPr>
    </w:p>
    <w:p w14:paraId="3452821F">
      <w:pPr>
        <w:snapToGrid w:val="0"/>
        <w:spacing w:line="600" w:lineRule="exact"/>
        <w:ind w:firstLine="643" w:firstLineChars="200"/>
        <w:rPr>
          <w:rFonts w:hint="eastAsia" w:ascii="楷体_GB2312" w:hAnsi="Times New Roman" w:eastAsia="楷体_GB2312" w:cs="Mongolian Baiti"/>
          <w:b/>
          <w:bCs/>
          <w:sz w:val="32"/>
          <w:szCs w:val="32"/>
        </w:rPr>
      </w:pPr>
    </w:p>
    <w:p w14:paraId="0DA0B550">
      <w:pPr>
        <w:widowControl w:val="0"/>
        <w:snapToGrid w:val="0"/>
        <w:spacing w:before="0" w:beforeAutospacing="0" w:after="0" w:afterAutospacing="0" w:line="600" w:lineRule="exact"/>
        <w:ind w:firstLine="2240" w:firstLineChars="700"/>
        <w:jc w:val="both"/>
        <w:textAlignment w:val="baseline"/>
        <w:rPr>
          <w:rFonts w:hint="eastAsia" w:ascii="仿宋_GB2312" w:hAnsi="Times New Roman" w:eastAsia="仿宋_GB2312" w:cs="DengXian-Regular"/>
          <w:b w:val="0"/>
          <w:i w:val="0"/>
          <w:caps w:val="0"/>
          <w:spacing w:val="0"/>
          <w:w w:val="100"/>
          <w:sz w:val="32"/>
          <w:szCs w:val="32"/>
          <w:lang w:val="en-US" w:eastAsia="zh-CN"/>
        </w:rPr>
      </w:pPr>
    </w:p>
    <w:p w14:paraId="79281E80">
      <w:pPr>
        <w:widowControl w:val="0"/>
        <w:snapToGrid w:val="0"/>
        <w:spacing w:before="0" w:beforeAutospacing="0" w:after="0" w:afterAutospacing="0" w:line="600" w:lineRule="exact"/>
        <w:ind w:firstLine="1920" w:firstLineChars="600"/>
        <w:jc w:val="both"/>
        <w:textAlignment w:val="baseline"/>
        <w:rPr>
          <w:rFonts w:hint="default" w:ascii="仿宋_GB2312" w:hAnsi="Times New Roman" w:eastAsia="仿宋_GB2312" w:cs="DengXian-Regular"/>
          <w:b w:val="0"/>
          <w:i w:val="0"/>
          <w:caps w:val="0"/>
          <w:spacing w:val="0"/>
          <w:w w:val="100"/>
          <w:sz w:val="32"/>
          <w:szCs w:val="32"/>
          <w:lang w:val="en-US" w:eastAsia="zh-CN"/>
        </w:rPr>
      </w:pPr>
      <w:r>
        <w:rPr>
          <w:rFonts w:hint="eastAsia" w:ascii="仿宋_GB2312" w:hAnsi="Times New Roman" w:eastAsia="仿宋_GB2312" w:cs="DengXian-Regular"/>
          <w:b w:val="0"/>
          <w:i w:val="0"/>
          <w:caps w:val="0"/>
          <w:spacing w:val="0"/>
          <w:w w:val="100"/>
          <w:sz w:val="32"/>
          <w:szCs w:val="32"/>
          <w:lang w:val="en-US" w:eastAsia="zh-CN"/>
        </w:rPr>
        <w:t>图4:2019--2020年财政拨款收支情况</w:t>
      </w:r>
    </w:p>
    <w:p w14:paraId="0FD23BB8">
      <w:pPr>
        <w:snapToGrid w:val="0"/>
        <w:spacing w:line="600" w:lineRule="exact"/>
        <w:ind w:firstLine="643" w:firstLineChars="200"/>
        <w:rPr>
          <w:rFonts w:hint="eastAsia"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14:paraId="6BCB668E">
      <w:pPr>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本部门2020年度一般公共预算财政拨款收入</w:t>
      </w:r>
      <w:r>
        <w:rPr>
          <w:rFonts w:hint="eastAsia" w:ascii="仿宋_GB2312" w:hAnsi="Times New Roman" w:eastAsia="仿宋_GB2312" w:cs="Wingdings"/>
          <w:sz w:val="32"/>
          <w:szCs w:val="32"/>
          <w:lang w:val="en-US" w:eastAsia="zh-CN"/>
        </w:rPr>
        <w:t>510.65</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128.82</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114.23</w:t>
      </w:r>
      <w:r>
        <w:rPr>
          <w:rFonts w:hint="eastAsia" w:ascii="仿宋_GB2312" w:hAnsi="Times New Roman" w:eastAsia="仿宋_GB2312" w:cs="Wingdings"/>
          <w:sz w:val="32"/>
          <w:szCs w:val="32"/>
        </w:rPr>
        <w:t>万元，决算数大于预算数主要原因是</w:t>
      </w:r>
      <w:r>
        <w:rPr>
          <w:rFonts w:hint="eastAsia" w:ascii="仿宋_GB2312" w:hAnsi="Times New Roman" w:eastAsia="仿宋_GB2312" w:cs="Wingdings"/>
          <w:sz w:val="32"/>
          <w:szCs w:val="32"/>
          <w:lang w:eastAsia="zh-CN"/>
        </w:rPr>
        <w:t>单位人员增加，职能增加</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510.89</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128.88</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114.47</w:t>
      </w:r>
      <w:r>
        <w:rPr>
          <w:rFonts w:hint="eastAsia" w:ascii="仿宋_GB2312" w:hAnsi="Times New Roman" w:eastAsia="仿宋_GB2312" w:cs="Wingdings"/>
          <w:sz w:val="32"/>
          <w:szCs w:val="32"/>
        </w:rPr>
        <w:t>万元，决算数大于预算数主要原因是</w:t>
      </w:r>
      <w:r>
        <w:rPr>
          <w:rFonts w:hint="eastAsia" w:ascii="仿宋_GB2312" w:hAnsi="Times New Roman" w:eastAsia="仿宋_GB2312" w:cs="Wingdings"/>
          <w:sz w:val="32"/>
          <w:szCs w:val="32"/>
          <w:lang w:eastAsia="zh-CN"/>
        </w:rPr>
        <w:t>单位人员增加，职能增加</w:t>
      </w:r>
      <w:r>
        <w:rPr>
          <w:rFonts w:hint="eastAsia" w:ascii="仿宋_GB2312" w:hAnsi="Times New Roman" w:eastAsia="仿宋_GB2312" w:cs="Wingdings"/>
          <w:sz w:val="32"/>
          <w:szCs w:val="32"/>
        </w:rPr>
        <w:t>。</w:t>
      </w:r>
    </w:p>
    <w:p w14:paraId="1F9D12D5">
      <w:pPr>
        <w:snapToGrid w:val="0"/>
        <w:spacing w:line="600" w:lineRule="exact"/>
        <w:ind w:firstLine="640" w:firstLineChars="200"/>
        <w:rPr>
          <w:rFonts w:hint="eastAsia" w:ascii="仿宋_GB2312" w:hAnsi="Times New Roman" w:eastAsia="仿宋_GB2312" w:cs="Wingdings"/>
          <w:sz w:val="32"/>
          <w:szCs w:val="32"/>
        </w:rPr>
      </w:pPr>
    </w:p>
    <w:p w14:paraId="7F59D62B">
      <w:pPr>
        <w:snapToGrid w:val="0"/>
        <w:spacing w:line="600" w:lineRule="exact"/>
        <w:ind w:firstLine="640" w:firstLineChars="200"/>
        <w:rPr>
          <w:rFonts w:hint="eastAsia" w:ascii="仿宋_GB2312" w:hAnsi="Times New Roman" w:eastAsia="仿宋_GB2312" w:cs="Wingdings"/>
          <w:sz w:val="32"/>
          <w:szCs w:val="32"/>
        </w:rPr>
      </w:pPr>
    </w:p>
    <w:p w14:paraId="270EDFAE">
      <w:pPr>
        <w:snapToGrid w:val="0"/>
        <w:spacing w:line="600" w:lineRule="exact"/>
        <w:ind w:firstLine="640" w:firstLineChars="200"/>
        <w:rPr>
          <w:rFonts w:hint="eastAsia" w:ascii="仿宋_GB2312" w:hAnsi="Times New Roman" w:eastAsia="仿宋_GB2312" w:cs="Wingdings"/>
          <w:sz w:val="32"/>
          <w:szCs w:val="32"/>
        </w:rPr>
      </w:pPr>
    </w:p>
    <w:p w14:paraId="5C7BECC2">
      <w:pPr>
        <w:snapToGrid w:val="0"/>
        <w:spacing w:line="600" w:lineRule="exact"/>
        <w:ind w:firstLine="640" w:firstLineChars="200"/>
        <w:rPr>
          <w:rFonts w:hint="eastAsia" w:ascii="仿宋_GB2312" w:hAnsi="Times New Roman" w:eastAsia="仿宋_GB2312" w:cs="Wingdings"/>
          <w:sz w:val="32"/>
          <w:szCs w:val="32"/>
        </w:rPr>
      </w:pPr>
    </w:p>
    <w:p w14:paraId="503E3F53">
      <w:pPr>
        <w:snapToGrid w:val="0"/>
        <w:spacing w:line="600" w:lineRule="exact"/>
        <w:ind w:firstLine="420" w:firstLineChars="200"/>
        <w:rPr>
          <w:rFonts w:hint="eastAsia" w:ascii="仿宋_GB2312" w:hAnsi="Times New Roman" w:eastAsia="仿宋_GB2312" w:cs="Wingdings"/>
          <w:sz w:val="32"/>
          <w:szCs w:val="32"/>
        </w:rPr>
      </w:pPr>
      <w:r>
        <w:drawing>
          <wp:anchor distT="0" distB="0" distL="114300" distR="114300" simplePos="0" relativeHeight="251672576" behindDoc="0" locked="0" layoutInCell="1" allowOverlap="1">
            <wp:simplePos x="0" y="0"/>
            <wp:positionH relativeFrom="column">
              <wp:posOffset>852170</wp:posOffset>
            </wp:positionH>
            <wp:positionV relativeFrom="paragraph">
              <wp:posOffset>85725</wp:posOffset>
            </wp:positionV>
            <wp:extent cx="4782185" cy="2639060"/>
            <wp:effectExtent l="4445" t="4445" r="13970" b="23495"/>
            <wp:wrapNone/>
            <wp:docPr id="8"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14:paraId="015A0242">
      <w:pPr>
        <w:snapToGrid w:val="0"/>
        <w:spacing w:line="600" w:lineRule="exact"/>
        <w:ind w:firstLine="640" w:firstLineChars="200"/>
        <w:rPr>
          <w:rFonts w:hint="eastAsia" w:ascii="仿宋_GB2312" w:hAnsi="Times New Roman" w:eastAsia="仿宋_GB2312" w:cs="Wingdings"/>
          <w:sz w:val="32"/>
          <w:szCs w:val="32"/>
        </w:rPr>
      </w:pPr>
    </w:p>
    <w:p w14:paraId="12C2800C">
      <w:pPr>
        <w:snapToGrid w:val="0"/>
        <w:spacing w:line="600" w:lineRule="exact"/>
        <w:ind w:firstLine="640" w:firstLineChars="200"/>
        <w:rPr>
          <w:rFonts w:hint="eastAsia" w:ascii="仿宋_GB2312" w:hAnsi="Times New Roman" w:eastAsia="仿宋_GB2312" w:cs="Wingdings"/>
          <w:sz w:val="32"/>
          <w:szCs w:val="32"/>
        </w:rPr>
      </w:pPr>
    </w:p>
    <w:p w14:paraId="5F49AD61">
      <w:pPr>
        <w:snapToGrid w:val="0"/>
        <w:spacing w:line="600" w:lineRule="exact"/>
        <w:ind w:firstLine="640" w:firstLineChars="200"/>
        <w:rPr>
          <w:rFonts w:hint="eastAsia" w:ascii="仿宋_GB2312" w:hAnsi="Times New Roman" w:eastAsia="仿宋_GB2312" w:cs="Wingdings"/>
          <w:sz w:val="32"/>
          <w:szCs w:val="32"/>
        </w:rPr>
      </w:pPr>
    </w:p>
    <w:p w14:paraId="65603396">
      <w:pPr>
        <w:snapToGrid w:val="0"/>
        <w:spacing w:line="600" w:lineRule="exact"/>
        <w:ind w:firstLine="640" w:firstLineChars="200"/>
        <w:rPr>
          <w:rFonts w:hint="eastAsia" w:ascii="仿宋_GB2312" w:hAnsi="Times New Roman" w:eastAsia="仿宋_GB2312" w:cs="Wingdings"/>
          <w:sz w:val="32"/>
          <w:szCs w:val="32"/>
        </w:rPr>
      </w:pPr>
    </w:p>
    <w:p w14:paraId="105EC409">
      <w:pPr>
        <w:numPr>
          <w:ilvl w:val="0"/>
          <w:numId w:val="0"/>
        </w:numPr>
        <w:adjustRightInd w:val="0"/>
        <w:snapToGrid w:val="0"/>
        <w:spacing w:line="600" w:lineRule="exact"/>
        <w:rPr>
          <w:rFonts w:ascii="楷体_GB2312" w:hAnsi="Times New Roman" w:eastAsia="楷体_GB2312" w:cs="Mongolian Baiti"/>
          <w:b/>
          <w:bCs/>
          <w:sz w:val="32"/>
          <w:szCs w:val="32"/>
        </w:rPr>
      </w:pPr>
    </w:p>
    <w:p w14:paraId="59E4C89C">
      <w:pPr>
        <w:snapToGrid w:val="0"/>
        <w:spacing w:line="600" w:lineRule="exact"/>
        <w:ind w:firstLine="1928" w:firstLineChars="600"/>
        <w:rPr>
          <w:rFonts w:hint="default" w:ascii="楷体_GB2312" w:hAnsi="Times New Roman" w:eastAsia="楷体_GB2312" w:cs="Mongolian Baiti"/>
          <w:b/>
          <w:bCs/>
          <w:sz w:val="32"/>
          <w:szCs w:val="32"/>
          <w:lang w:val="en-US" w:eastAsia="zh-CN"/>
        </w:rPr>
      </w:pPr>
      <w:r>
        <w:rPr>
          <w:rFonts w:hint="eastAsia" w:ascii="楷体_GB2312" w:hAnsi="Times New Roman" w:eastAsia="楷体_GB2312" w:cs="Mongolian Baiti"/>
          <w:b/>
          <w:bCs/>
          <w:sz w:val="32"/>
          <w:szCs w:val="32"/>
          <w:lang w:eastAsia="zh-CN"/>
        </w:rPr>
        <w:t>图</w:t>
      </w:r>
      <w:r>
        <w:rPr>
          <w:rFonts w:hint="eastAsia" w:ascii="楷体_GB2312" w:hAnsi="Times New Roman" w:eastAsia="楷体_GB2312" w:cs="Mongolian Baiti"/>
          <w:b/>
          <w:bCs/>
          <w:sz w:val="32"/>
          <w:szCs w:val="32"/>
          <w:lang w:val="en-US" w:eastAsia="zh-CN"/>
        </w:rPr>
        <w:t>5 ：财政拨款收支预决算对比情况</w:t>
      </w:r>
    </w:p>
    <w:p w14:paraId="48D7F115">
      <w:pPr>
        <w:widowControl w:val="0"/>
        <w:snapToGrid w:val="0"/>
        <w:spacing w:before="0" w:beforeAutospacing="0" w:after="0" w:afterAutospacing="0" w:line="600" w:lineRule="exact"/>
        <w:ind w:firstLine="1960" w:firstLineChars="700"/>
        <w:jc w:val="both"/>
        <w:textAlignment w:val="baseline"/>
        <w:rPr>
          <w:rFonts w:hint="default" w:ascii="仿宋_GB2312" w:hAnsi="Times New Roman" w:eastAsia="仿宋_GB2312" w:cs="DengXian-Regular"/>
          <w:b w:val="0"/>
          <w:i w:val="0"/>
          <w:caps w:val="0"/>
          <w:spacing w:val="0"/>
          <w:w w:val="100"/>
          <w:sz w:val="32"/>
          <w:szCs w:val="32"/>
          <w:lang w:val="en-US" w:eastAsia="zh-CN"/>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5</w:t>
      </w:r>
      <w:r>
        <w:rPr>
          <w:rFonts w:hint="eastAsia" w:ascii="仿宋" w:hAnsi="仿宋" w:eastAsia="仿宋" w:cs="仿宋"/>
          <w:b/>
          <w:bCs/>
          <w:sz w:val="32"/>
          <w:szCs w:val="32"/>
          <w:lang w:val="en-US" w:eastAsia="zh-CN"/>
        </w:rPr>
        <w:t>：</w:t>
      </w:r>
      <w:r>
        <w:rPr>
          <w:rFonts w:hint="eastAsia" w:ascii="仿宋_GB2312" w:hAnsi="Times New Roman" w:eastAsia="仿宋_GB2312" w:cs="DengXian-Regular"/>
          <w:b w:val="0"/>
          <w:i w:val="0"/>
          <w:caps w:val="0"/>
          <w:spacing w:val="0"/>
          <w:w w:val="100"/>
          <w:sz w:val="32"/>
          <w:szCs w:val="32"/>
          <w:lang w:val="en-US" w:eastAsia="zh-CN"/>
        </w:rPr>
        <w:t>财政拨款收支预决算对比情况</w:t>
      </w:r>
    </w:p>
    <w:p w14:paraId="5D0D9040">
      <w:pPr>
        <w:numPr>
          <w:ilvl w:val="0"/>
          <w:numId w:val="0"/>
        </w:numPr>
        <w:adjustRightInd w:val="0"/>
        <w:snapToGrid w:val="0"/>
        <w:spacing w:line="600" w:lineRule="exact"/>
        <w:ind w:firstLine="321" w:firstLineChars="1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lang w:eastAsia="zh-CN"/>
        </w:rPr>
        <w:t>（三）</w:t>
      </w:r>
      <w:r>
        <w:rPr>
          <w:rFonts w:hint="eastAsia" w:ascii="楷体_GB2312" w:hAnsi="Times New Roman" w:eastAsia="楷体_GB2312" w:cs="Mongolian Baiti"/>
          <w:b/>
          <w:bCs/>
          <w:sz w:val="32"/>
          <w:szCs w:val="32"/>
        </w:rPr>
        <w:t>财政拨款支出决算结构情况。</w:t>
      </w:r>
    </w:p>
    <w:p w14:paraId="2A0AC81F">
      <w:pPr>
        <w:adjustRightInd w:val="0"/>
        <w:snapToGrid w:val="0"/>
        <w:spacing w:line="600" w:lineRule="exact"/>
        <w:ind w:firstLine="840" w:firstLineChars="400"/>
        <w:rPr>
          <w:rFonts w:ascii="仿宋_GB2312" w:hAnsi="Times New Roman" w:eastAsia="仿宋_GB2312" w:cs="Wingdings"/>
          <w:sz w:val="32"/>
          <w:szCs w:val="32"/>
        </w:rPr>
      </w:pPr>
      <w:r>
        <w:drawing>
          <wp:anchor distT="0" distB="0" distL="114300" distR="114300" simplePos="0" relativeHeight="251668480" behindDoc="0" locked="0" layoutInCell="1" allowOverlap="1">
            <wp:simplePos x="0" y="0"/>
            <wp:positionH relativeFrom="column">
              <wp:posOffset>490220</wp:posOffset>
            </wp:positionH>
            <wp:positionV relativeFrom="paragraph">
              <wp:posOffset>1510030</wp:posOffset>
            </wp:positionV>
            <wp:extent cx="4648200" cy="2066925"/>
            <wp:effectExtent l="4445" t="4445" r="14605" b="5080"/>
            <wp:wrapNone/>
            <wp:docPr id="7"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Pr>
          <w:rFonts w:hint="eastAsia" w:ascii="仿宋_GB2312" w:hAnsi="Times New Roman" w:eastAsia="仿宋_GB2312" w:cs="Wingdings"/>
          <w:sz w:val="32"/>
          <w:szCs w:val="32"/>
        </w:rPr>
        <w:t>2020 年度财政拨款支出</w:t>
      </w:r>
      <w:r>
        <w:rPr>
          <w:rFonts w:hint="eastAsia" w:ascii="仿宋_GB2312" w:hAnsi="Times New Roman" w:eastAsia="仿宋_GB2312" w:cs="Wingdings"/>
          <w:sz w:val="32"/>
          <w:szCs w:val="32"/>
          <w:lang w:val="en-US" w:eastAsia="zh-CN"/>
        </w:rPr>
        <w:t>510.89</w:t>
      </w:r>
      <w:r>
        <w:rPr>
          <w:rFonts w:hint="eastAsia" w:ascii="仿宋_GB2312" w:hAnsi="Times New Roman" w:eastAsia="仿宋_GB2312" w:cs="Wingdings"/>
          <w:sz w:val="32"/>
          <w:szCs w:val="32"/>
        </w:rPr>
        <w:t>万元，主要用于以下方面：一般公共服务（类）支出</w:t>
      </w:r>
      <w:r>
        <w:rPr>
          <w:rFonts w:hint="eastAsia" w:ascii="仿宋_GB2312" w:hAnsi="Times New Roman" w:eastAsia="仿宋_GB2312" w:cs="Wingdings"/>
          <w:sz w:val="32"/>
          <w:szCs w:val="32"/>
          <w:lang w:val="en-US" w:eastAsia="zh-CN"/>
        </w:rPr>
        <w:t>418.33</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81.88</w:t>
      </w:r>
      <w:r>
        <w:rPr>
          <w:rFonts w:hint="eastAsia" w:ascii="仿宋_GB2312" w:hAnsi="Times New Roman" w:eastAsia="仿宋_GB2312" w:cs="Wingdings"/>
          <w:sz w:val="32"/>
          <w:szCs w:val="32"/>
        </w:rPr>
        <w:t>%，；社会保障和就业（类）支出</w:t>
      </w:r>
      <w:r>
        <w:rPr>
          <w:rFonts w:hint="eastAsia" w:ascii="仿宋_GB2312" w:hAnsi="Times New Roman" w:eastAsia="仿宋_GB2312" w:cs="Wingdings"/>
          <w:sz w:val="32"/>
          <w:szCs w:val="32"/>
          <w:lang w:val="en-US" w:eastAsia="zh-CN"/>
        </w:rPr>
        <w:t>44.07</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8.63</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卫生健康支出</w:t>
      </w:r>
      <w:r>
        <w:rPr>
          <w:rFonts w:hint="eastAsia" w:ascii="仿宋_GB2312" w:hAnsi="Times New Roman" w:eastAsia="仿宋_GB2312" w:cs="Wingdings"/>
          <w:sz w:val="32"/>
          <w:szCs w:val="32"/>
          <w:lang w:val="en-US" w:eastAsia="zh-CN"/>
        </w:rPr>
        <w:t>15.76万元，占3.08%，</w:t>
      </w:r>
      <w:r>
        <w:rPr>
          <w:rFonts w:hint="eastAsia" w:ascii="仿宋_GB2312" w:hAnsi="Times New Roman" w:eastAsia="仿宋_GB2312" w:cs="Wingdings"/>
          <w:sz w:val="32"/>
          <w:szCs w:val="32"/>
        </w:rPr>
        <w:t>住房保障（类）支出</w:t>
      </w:r>
      <w:r>
        <w:rPr>
          <w:rFonts w:hint="eastAsia" w:ascii="仿宋_GB2312" w:hAnsi="Times New Roman" w:eastAsia="仿宋_GB2312" w:cs="Wingdings"/>
          <w:sz w:val="32"/>
          <w:szCs w:val="32"/>
          <w:lang w:val="en-US" w:eastAsia="zh-CN"/>
        </w:rPr>
        <w:t>32.72</w:t>
      </w:r>
      <w:r>
        <w:rPr>
          <w:rFonts w:hint="eastAsia" w:ascii="仿宋_GB2312" w:hAnsi="Times New Roman" w:eastAsia="仿宋_GB2312" w:cs="Wingdings"/>
          <w:sz w:val="32"/>
          <w:szCs w:val="32"/>
        </w:rPr>
        <w:t xml:space="preserve">万元，占 </w:t>
      </w:r>
      <w:r>
        <w:rPr>
          <w:rFonts w:hint="eastAsia" w:ascii="仿宋_GB2312" w:hAnsi="Times New Roman" w:eastAsia="仿宋_GB2312" w:cs="Wingdings"/>
          <w:sz w:val="32"/>
          <w:szCs w:val="32"/>
          <w:lang w:val="en-US" w:eastAsia="zh-CN"/>
        </w:rPr>
        <w:t>6.4</w:t>
      </w:r>
      <w:r>
        <w:rPr>
          <w:rFonts w:hint="eastAsia" w:ascii="仿宋_GB2312" w:hAnsi="Times New Roman" w:eastAsia="仿宋_GB2312" w:cs="Wingdings"/>
          <w:sz w:val="32"/>
          <w:szCs w:val="32"/>
        </w:rPr>
        <w:t>%。</w:t>
      </w:r>
    </w:p>
    <w:p w14:paraId="4A555FD8">
      <w:pPr>
        <w:adjustRightInd w:val="0"/>
        <w:snapToGrid w:val="0"/>
        <w:spacing w:line="600" w:lineRule="exact"/>
        <w:rPr>
          <w:rFonts w:ascii="楷体_GB2312" w:hAnsi="Times New Roman" w:eastAsia="楷体_GB2312" w:cs="Mongolian Baiti"/>
          <w:b/>
          <w:bCs/>
          <w:sz w:val="32"/>
          <w:szCs w:val="32"/>
        </w:rPr>
      </w:pPr>
    </w:p>
    <w:p w14:paraId="0FFDB3AF">
      <w:pPr>
        <w:adjustRightInd w:val="0"/>
        <w:snapToGrid w:val="0"/>
        <w:spacing w:line="600" w:lineRule="exact"/>
        <w:rPr>
          <w:rFonts w:ascii="楷体_GB2312" w:hAnsi="Times New Roman" w:eastAsia="楷体_GB2312" w:cs="Mongolian Baiti"/>
          <w:b/>
          <w:bCs/>
          <w:sz w:val="32"/>
          <w:szCs w:val="32"/>
        </w:rPr>
      </w:pPr>
    </w:p>
    <w:p w14:paraId="78073C75">
      <w:pPr>
        <w:adjustRightInd w:val="0"/>
        <w:snapToGrid w:val="0"/>
        <w:spacing w:line="600" w:lineRule="exact"/>
        <w:rPr>
          <w:rFonts w:ascii="楷体_GB2312" w:hAnsi="Times New Roman" w:eastAsia="楷体_GB2312" w:cs="Mongolian Baiti"/>
          <w:b/>
          <w:bCs/>
          <w:sz w:val="32"/>
          <w:szCs w:val="32"/>
        </w:rPr>
      </w:pPr>
    </w:p>
    <w:p w14:paraId="67C36576">
      <w:pPr>
        <w:adjustRightInd w:val="0"/>
        <w:snapToGrid w:val="0"/>
        <w:spacing w:line="600" w:lineRule="exact"/>
        <w:rPr>
          <w:rFonts w:ascii="楷体_GB2312" w:hAnsi="Times New Roman" w:eastAsia="楷体_GB2312" w:cs="Mongolian Baiti"/>
          <w:b/>
          <w:bCs/>
          <w:sz w:val="32"/>
          <w:szCs w:val="32"/>
        </w:rPr>
      </w:pPr>
    </w:p>
    <w:p w14:paraId="21F66237">
      <w:pPr>
        <w:adjustRightInd w:val="0"/>
        <w:snapToGrid w:val="0"/>
        <w:spacing w:line="600" w:lineRule="exact"/>
        <w:rPr>
          <w:rFonts w:ascii="楷体_GB2312" w:hAnsi="Times New Roman" w:eastAsia="楷体_GB2312" w:cs="Mongolian Baiti"/>
          <w:b/>
          <w:bCs/>
          <w:sz w:val="32"/>
          <w:szCs w:val="32"/>
        </w:rPr>
      </w:pPr>
    </w:p>
    <w:p w14:paraId="71312696">
      <w:pPr>
        <w:adjustRightInd w:val="0"/>
        <w:snapToGrid w:val="0"/>
        <w:spacing w:line="600" w:lineRule="exact"/>
        <w:rPr>
          <w:rFonts w:ascii="楷体_GB2312" w:hAnsi="Times New Roman" w:eastAsia="楷体_GB2312" w:cs="Mongolian Baiti"/>
          <w:b/>
          <w:bCs/>
          <w:sz w:val="32"/>
          <w:szCs w:val="32"/>
        </w:rPr>
      </w:pPr>
      <w:r>
        <w:rPr>
          <w:sz w:val="32"/>
        </w:rPr>
        <mc:AlternateContent>
          <mc:Choice Requires="wps">
            <w:drawing>
              <wp:anchor distT="0" distB="0" distL="114300" distR="114300" simplePos="0" relativeHeight="251662336" behindDoc="1" locked="0" layoutInCell="1" allowOverlap="1">
                <wp:simplePos x="0" y="0"/>
                <wp:positionH relativeFrom="column">
                  <wp:posOffset>981075</wp:posOffset>
                </wp:positionH>
                <wp:positionV relativeFrom="paragraph">
                  <wp:posOffset>123190</wp:posOffset>
                </wp:positionV>
                <wp:extent cx="3576320" cy="391795"/>
                <wp:effectExtent l="0" t="0" r="5080" b="8255"/>
                <wp:wrapNone/>
                <wp:docPr id="164" name="文本框 32"/>
                <wp:cNvGraphicFramePr/>
                <a:graphic xmlns:a="http://schemas.openxmlformats.org/drawingml/2006/main">
                  <a:graphicData uri="http://schemas.microsoft.com/office/word/2010/wordprocessingShape">
                    <wps:wsp>
                      <wps:cNvSpPr txBox="1"/>
                      <wps:spPr>
                        <a:xfrm>
                          <a:off x="1953260" y="8694420"/>
                          <a:ext cx="3576320" cy="39179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1146F22">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6</w:t>
                            </w:r>
                            <w:r>
                              <w:rPr>
                                <w:rFonts w:hint="eastAsia" w:ascii="仿宋_GB2312" w:hAnsi="Times New Roman" w:eastAsia="仿宋_GB2312" w:cs="Wingdings"/>
                                <w:sz w:val="28"/>
                                <w:szCs w:val="28"/>
                              </w:rPr>
                              <w:t>：财政拨款支出决算结构（按功能分类）</w:t>
                            </w:r>
                          </w:p>
                          <w:p w14:paraId="2C6BF654">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77.25pt;margin-top:9.7pt;height:30.85pt;width:281.6pt;z-index:-251654144;mso-width-relative:page;mso-height-relative:page;" fillcolor="#FFFFFF" filled="t" stroked="f" coordsize="21600,21600" o:gfxdata="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D4&#10;7n8w1AAAAAkBAAAPAAAAAAAAAAEAIAAAACIAAABkcnMvZG93bnJldi54bWxQSwECFAAUAAAACACH&#10;TuJAodWnd2ECAACsBAAADgAAAAAAAAABACAAAAAjAQAAZHJzL2Uyb0RvYy54bWxQSwUGAAAAAAYA&#10;BgBZAQAA9gUAAAAA&#10;">
                <v:fill on="t" focussize="0,0"/>
                <v:stroke on="f" weight="0.5pt"/>
                <v:imagedata o:title=""/>
                <o:lock v:ext="edit" aspectratio="f"/>
                <v:textbox>
                  <w:txbxContent>
                    <w:p w14:paraId="11146F22">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6</w:t>
                      </w:r>
                      <w:r>
                        <w:rPr>
                          <w:rFonts w:hint="eastAsia" w:ascii="仿宋_GB2312" w:hAnsi="Times New Roman" w:eastAsia="仿宋_GB2312" w:cs="Wingdings"/>
                          <w:sz w:val="28"/>
                          <w:szCs w:val="28"/>
                        </w:rPr>
                        <w:t>：财政拨款支出决算结构（按功能分类）</w:t>
                      </w:r>
                    </w:p>
                    <w:p w14:paraId="2C6BF654">
                      <w:pPr>
                        <w:spacing w:after="160" w:line="480" w:lineRule="auto"/>
                        <w:rPr>
                          <w:rFonts w:ascii="Times New Roman" w:hAnsi="Times New Roman" w:eastAsia="宋体" w:cs="Times New Roman"/>
                          <w:sz w:val="20"/>
                        </w:rPr>
                      </w:pPr>
                    </w:p>
                  </w:txbxContent>
                </v:textbox>
              </v:shape>
            </w:pict>
          </mc:Fallback>
        </mc:AlternateContent>
      </w:r>
    </w:p>
    <w:p w14:paraId="2E1B47C9">
      <w:pPr>
        <w:adjustRightInd w:val="0"/>
        <w:snapToGrid w:val="0"/>
        <w:spacing w:line="600" w:lineRule="exact"/>
        <w:ind w:firstLine="1285" w:firstLineChars="400"/>
        <w:rPr>
          <w:rFonts w:hint="default" w:ascii="楷体_GB2312" w:hAnsi="Times New Roman" w:eastAsia="楷体_GB2312" w:cs="Mongolian Baiti"/>
          <w:b/>
          <w:bCs/>
          <w:sz w:val="32"/>
          <w:szCs w:val="32"/>
          <w:lang w:val="en-US" w:eastAsia="zh-CN"/>
        </w:rPr>
      </w:pPr>
    </w:p>
    <w:p w14:paraId="37A41512">
      <w:pPr>
        <w:adjustRightInd w:val="0"/>
        <w:snapToGrid w:val="0"/>
        <w:spacing w:line="600" w:lineRule="exact"/>
        <w:ind w:left="420" w:leftChars="200"/>
        <w:rPr>
          <w:rFonts w:ascii="仿宋_GB2312" w:hAnsi="Times New Roman" w:eastAsia="仿宋_GB2312" w:cs="Wingdings"/>
          <w:sz w:val="32"/>
          <w:szCs w:val="32"/>
          <w:highlight w:val="yellow"/>
        </w:rPr>
      </w:pPr>
      <w:r>
        <w:rPr>
          <w:rFonts w:hint="eastAsia" w:ascii="楷体_GB2312" w:hAnsi="Times New Roman" w:eastAsia="楷体_GB2312" w:cs="Mongolian Baiti"/>
          <w:b/>
          <w:bCs/>
          <w:sz w:val="32"/>
          <w:szCs w:val="32"/>
        </w:rPr>
        <w:t>（四）一般公共预算基本支出决算情况说明</w:t>
      </w:r>
    </w:p>
    <w:p w14:paraId="4AD6E9F7">
      <w:pPr>
        <w:adjustRightInd w:val="0"/>
        <w:snapToGrid w:val="0"/>
        <w:spacing w:line="600" w:lineRule="exact"/>
        <w:ind w:firstLine="640" w:firstLineChars="200"/>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rPr>
        <w:t>2020 年度财政拨款基本支出</w:t>
      </w:r>
      <w:r>
        <w:rPr>
          <w:rFonts w:hint="eastAsia" w:ascii="仿宋_GB2312" w:hAnsi="Times New Roman" w:eastAsia="仿宋_GB2312" w:cs="Wingdings"/>
          <w:sz w:val="32"/>
          <w:szCs w:val="32"/>
          <w:lang w:val="en-US" w:eastAsia="zh-CN"/>
        </w:rPr>
        <w:t>411.64</w:t>
      </w:r>
      <w:r>
        <w:rPr>
          <w:rFonts w:hint="eastAsia" w:ascii="仿宋_GB2312" w:hAnsi="Times New Roman" w:eastAsia="仿宋_GB2312" w:cs="Wingdings"/>
          <w:sz w:val="32"/>
          <w:szCs w:val="32"/>
        </w:rPr>
        <w:t xml:space="preserve">万元，其中：人员经费 </w:t>
      </w:r>
      <w:r>
        <w:rPr>
          <w:rFonts w:hint="eastAsia" w:ascii="仿宋_GB2312" w:hAnsi="Times New Roman" w:eastAsia="仿宋_GB2312" w:cs="Wingdings"/>
          <w:sz w:val="32"/>
          <w:szCs w:val="32"/>
          <w:lang w:val="en-US" w:eastAsia="zh-CN"/>
        </w:rPr>
        <w:t>243.72</w:t>
      </w:r>
      <w:r>
        <w:rPr>
          <w:rFonts w:hint="eastAsia" w:ascii="仿宋_GB2312" w:hAnsi="Times New Roman" w:eastAsia="仿宋_GB2312" w:cs="Wingdings"/>
          <w:sz w:val="32"/>
          <w:szCs w:val="32"/>
        </w:rPr>
        <w:t xml:space="preserve">万元，主要包括基本工资、津贴补贴、奖金、绩效工资、机关事业单位基本养老保险缴费、职业年金缴费、职工基本医疗保险缴费、公务员医疗补助缴费、住房公积金、医疗费、其他社会保障缴费、其他工资福利支出、；公用经费 </w:t>
      </w:r>
      <w:r>
        <w:rPr>
          <w:rFonts w:hint="eastAsia" w:ascii="仿宋_GB2312" w:hAnsi="Times New Roman" w:eastAsia="仿宋_GB2312" w:cs="Wingdings"/>
          <w:sz w:val="32"/>
          <w:szCs w:val="32"/>
          <w:lang w:val="en-US" w:eastAsia="zh-CN"/>
        </w:rPr>
        <w:t>167.92</w:t>
      </w:r>
      <w:r>
        <w:rPr>
          <w:rFonts w:hint="eastAsia" w:ascii="仿宋_GB2312" w:hAnsi="Times New Roman" w:eastAsia="仿宋_GB2312" w:cs="Wingdings"/>
          <w:sz w:val="32"/>
          <w:szCs w:val="32"/>
        </w:rPr>
        <w:t>万元，主要包括办公费、印刷费、电费、邮电费、取暖费、差旅费、劳务费</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公务用车运行维护费、其他交通费用、办公设备购置</w:t>
      </w:r>
      <w:r>
        <w:rPr>
          <w:rFonts w:hint="eastAsia" w:ascii="仿宋_GB2312" w:hAnsi="Times New Roman" w:eastAsia="仿宋_GB2312" w:cs="Wingdings"/>
          <w:sz w:val="32"/>
          <w:szCs w:val="32"/>
          <w:lang w:eastAsia="zh-CN"/>
        </w:rPr>
        <w:t>。</w:t>
      </w:r>
    </w:p>
    <w:p w14:paraId="0A1D7765">
      <w:pPr>
        <w:keepNext/>
        <w:keepLines/>
        <w:snapToGrid w:val="0"/>
        <w:spacing w:line="600" w:lineRule="exact"/>
        <w:ind w:firstLine="640" w:firstLineChars="200"/>
        <w:outlineLvl w:val="1"/>
        <w:rPr>
          <w:rFonts w:ascii="仿宋_GB2312" w:hAnsi="Times New Roman" w:eastAsia="仿宋_GB2312" w:cs="Wingdings"/>
          <w:sz w:val="32"/>
          <w:szCs w:val="32"/>
          <w:highlight w:val="yellow"/>
        </w:rPr>
      </w:pPr>
      <w:r>
        <w:rPr>
          <w:rFonts w:hint="eastAsia" w:ascii="黑体" w:hAnsi="Calibri" w:eastAsia="黑体" w:cs="Times New Roman"/>
          <w:sz w:val="32"/>
          <w:szCs w:val="32"/>
        </w:rPr>
        <w:t>五、一般公共预算“三公” 经费支出决算情况说明</w:t>
      </w:r>
    </w:p>
    <w:p w14:paraId="7422EA82">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14:paraId="3BDA5927">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本部门2020年度“三公”经费财政拨款支出预算为</w:t>
      </w:r>
      <w:r>
        <w:rPr>
          <w:rFonts w:hint="eastAsia" w:ascii="仿宋_GB2312" w:hAnsi="Times New Roman" w:eastAsia="仿宋_GB2312" w:cs="Wingdings"/>
          <w:sz w:val="32"/>
          <w:szCs w:val="32"/>
          <w:lang w:val="en-US" w:eastAsia="zh-CN"/>
        </w:rPr>
        <w:t>1.64</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1.5万</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91.46</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0.14</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降低</w:t>
      </w:r>
      <w:r>
        <w:rPr>
          <w:rFonts w:hint="eastAsia" w:ascii="仿宋_GB2312" w:hAnsi="Times New Roman" w:eastAsia="仿宋_GB2312" w:cs="Wingdings"/>
          <w:sz w:val="32"/>
          <w:szCs w:val="32"/>
          <w:lang w:val="en-US" w:eastAsia="zh-CN"/>
        </w:rPr>
        <w:t>8.54</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公务接待费无</w:t>
      </w:r>
      <w:r>
        <w:rPr>
          <w:rFonts w:hint="eastAsia" w:ascii="仿宋_GB2312" w:hAnsi="Times New Roman" w:eastAsia="仿宋_GB2312" w:cs="Wingdings"/>
          <w:sz w:val="32"/>
          <w:szCs w:val="32"/>
        </w:rPr>
        <w:t>；较2019年度减少</w:t>
      </w:r>
      <w:r>
        <w:rPr>
          <w:rFonts w:hint="eastAsia" w:ascii="仿宋_GB2312" w:hAnsi="Times New Roman" w:eastAsia="仿宋_GB2312" w:cs="Wingdings"/>
          <w:sz w:val="32"/>
          <w:szCs w:val="32"/>
          <w:lang w:val="en-US" w:eastAsia="zh-CN"/>
        </w:rPr>
        <w:t>8.04</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66.67</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本年度未发生购置公务用车支出</w:t>
      </w:r>
      <w:r>
        <w:rPr>
          <w:rFonts w:hint="eastAsia" w:ascii="仿宋_GB2312" w:hAnsi="Times New Roman" w:eastAsia="仿宋_GB2312" w:cs="Wingdings"/>
          <w:sz w:val="32"/>
          <w:szCs w:val="32"/>
        </w:rPr>
        <w:t>。</w:t>
      </w:r>
    </w:p>
    <w:p w14:paraId="60F45457">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14:paraId="7113F6C1">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本部门2020年因公出国（境）费支出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人、参加其他单位组织的因公出国（境）团组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人/无本单位组织的出国（境）团组。因公出国（境）费支出较预算增加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lang w:eastAsia="zh-CN"/>
        </w:rPr>
        <w:t>本部门无因公出国（境）情况</w:t>
      </w:r>
      <w:r>
        <w:rPr>
          <w:rFonts w:hint="eastAsia" w:ascii="仿宋_GB2312" w:hAnsi="Times New Roman" w:eastAsia="仿宋_GB2312" w:cs="Wingdings"/>
          <w:sz w:val="32"/>
          <w:szCs w:val="32"/>
        </w:rPr>
        <w:t>；较上年增加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lang w:eastAsia="zh-CN"/>
        </w:rPr>
        <w:t>本部门无因公出国（境）情况</w:t>
      </w:r>
      <w:r>
        <w:rPr>
          <w:rFonts w:hint="eastAsia" w:ascii="仿宋_GB2312" w:hAnsi="Times New Roman" w:eastAsia="仿宋_GB2312" w:cs="Wingdings"/>
          <w:sz w:val="32"/>
          <w:szCs w:val="32"/>
        </w:rPr>
        <w:t>。</w:t>
      </w:r>
    </w:p>
    <w:p w14:paraId="2FFC9FF9">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本部门2020年公务用车购置及运行维护费支出</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较预算增加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hAnsi="仿宋" w:eastAsia="仿宋_GB2312" w:cs="仿宋_GB2312"/>
          <w:color w:val="000000"/>
          <w:sz w:val="32"/>
          <w:szCs w:val="32"/>
        </w:rPr>
        <w:t>严格执行中央、省、市、县压缩三公经费相关文件规定，</w:t>
      </w:r>
      <w:r>
        <w:rPr>
          <w:rFonts w:hint="eastAsia" w:ascii="仿宋_GB2312" w:eastAsia="仿宋_GB2312"/>
          <w:color w:val="000000"/>
          <w:sz w:val="32"/>
          <w:szCs w:val="32"/>
        </w:rPr>
        <w:t>严格控制支出</w:t>
      </w:r>
      <w:r>
        <w:rPr>
          <w:rFonts w:hint="eastAsia" w:ascii="仿宋_GB2312" w:hAnsi="Times New Roman" w:eastAsia="仿宋_GB2312" w:cs="DengXian-Regular"/>
          <w:sz w:val="32"/>
          <w:szCs w:val="32"/>
        </w:rPr>
        <w:t>；</w:t>
      </w:r>
      <w:r>
        <w:rPr>
          <w:rFonts w:hint="eastAsia" w:ascii="仿宋_GB2312" w:hAnsi="Times New Roman" w:eastAsia="仿宋_GB2312" w:cs="Wingdings"/>
          <w:sz w:val="32"/>
          <w:szCs w:val="32"/>
        </w:rPr>
        <w:t>；较上年减</w:t>
      </w:r>
      <w:r>
        <w:rPr>
          <w:rFonts w:hint="eastAsia" w:ascii="仿宋_GB2312" w:hAnsi="Times New Roman" w:eastAsia="仿宋_GB2312" w:cs="Wingdings"/>
          <w:sz w:val="32"/>
          <w:szCs w:val="32"/>
          <w:lang w:eastAsia="zh-CN"/>
        </w:rPr>
        <w:t>少</w:t>
      </w:r>
      <w:r>
        <w:rPr>
          <w:rFonts w:hint="eastAsia" w:ascii="仿宋_GB2312" w:hAnsi="Times New Roman" w:eastAsia="仿宋_GB2312" w:cs="Wingdings"/>
          <w:sz w:val="32"/>
          <w:szCs w:val="32"/>
          <w:lang w:val="en-US" w:eastAsia="zh-CN"/>
        </w:rPr>
        <w:t>8.04</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66.67</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本年度未发生购置公务用车支出</w:t>
      </w:r>
      <w:r>
        <w:rPr>
          <w:rFonts w:hint="eastAsia" w:ascii="仿宋_GB2312" w:hAnsi="Times New Roman" w:eastAsia="仿宋_GB2312" w:cs="Wingdings"/>
          <w:sz w:val="32"/>
          <w:szCs w:val="32"/>
        </w:rPr>
        <w:t>。</w:t>
      </w:r>
      <w:r>
        <w:rPr>
          <w:rFonts w:hint="eastAsia" w:ascii="仿宋_GB2312" w:hAnsi="Times New Roman" w:eastAsia="仿宋_GB2312" w:cs="Mongolian Baiti"/>
          <w:b/>
          <w:bCs/>
          <w:sz w:val="32"/>
          <w:szCs w:val="32"/>
        </w:rPr>
        <w:t>其中：</w:t>
      </w:r>
    </w:p>
    <w:p w14:paraId="3E912971">
      <w:pPr>
        <w:adjustRightInd w:val="0"/>
        <w:snapToGrid w:val="0"/>
        <w:spacing w:line="600" w:lineRule="exact"/>
        <w:ind w:firstLine="643" w:firstLineChars="200"/>
        <w:rPr>
          <w:rFonts w:ascii="仿宋_GB2312" w:hAnsi="Times New Roman" w:eastAsia="仿宋_GB2312" w:cs="Wingdings"/>
          <w:color w:val="000000"/>
          <w:sz w:val="32"/>
          <w:szCs w:val="32"/>
          <w:highlight w:val="yellow"/>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本部门2020年度公务用车购置量</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辆，发生“公务用车购置”经费支出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万元。公务用车购置费支出较预算增加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本年度无购置公务用车</w:t>
      </w:r>
      <w:r>
        <w:rPr>
          <w:rFonts w:hint="eastAsia" w:ascii="仿宋_GB2312" w:hAnsi="Times New Roman" w:eastAsia="仿宋_GB2312" w:cs="Wingdings"/>
          <w:sz w:val="32"/>
          <w:szCs w:val="32"/>
        </w:rPr>
        <w:t>；较上年减少</w:t>
      </w:r>
      <w:r>
        <w:rPr>
          <w:rFonts w:hint="eastAsia" w:ascii="仿宋_GB2312" w:hAnsi="Times New Roman" w:eastAsia="仿宋_GB2312" w:cs="Wingdings"/>
          <w:sz w:val="32"/>
          <w:szCs w:val="32"/>
          <w:lang w:val="en-US" w:eastAsia="zh-CN"/>
        </w:rPr>
        <w:t>9.95</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本年度未发生购置公务用车支出</w:t>
      </w:r>
      <w:r>
        <w:rPr>
          <w:rFonts w:hint="eastAsia" w:ascii="仿宋_GB2312" w:hAnsi="Times New Roman" w:eastAsia="仿宋_GB2312" w:cs="Wingdings"/>
          <w:sz w:val="32"/>
          <w:szCs w:val="32"/>
        </w:rPr>
        <w:t>。</w:t>
      </w:r>
    </w:p>
    <w:p w14:paraId="32E71235">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w:t>
      </w:r>
      <w:r>
        <w:rPr>
          <w:rFonts w:hint="eastAsia" w:ascii="仿宋_GB2312" w:hAnsi="Times New Roman" w:eastAsia="仿宋_GB2312" w:cs="Wingdings"/>
          <w:sz w:val="32"/>
          <w:szCs w:val="32"/>
          <w:lang w:val="en-US" w:eastAsia="zh-CN"/>
        </w:rPr>
        <w:t>1</w:t>
      </w:r>
      <w:r>
        <w:rPr>
          <w:rFonts w:hint="eastAsia" w:ascii="仿宋_GB2312" w:hAnsi="Times New Roman" w:eastAsia="仿宋_GB2312" w:cs="Wingdings"/>
          <w:sz w:val="32"/>
          <w:szCs w:val="32"/>
        </w:rPr>
        <w:t>辆,发生运行维护费支出</w:t>
      </w:r>
      <w:r>
        <w:rPr>
          <w:rFonts w:hint="eastAsia" w:ascii="仿宋_GB2312" w:hAnsi="Times New Roman" w:eastAsia="仿宋_GB2312" w:cs="Wingdings"/>
          <w:sz w:val="32"/>
          <w:szCs w:val="32"/>
          <w:lang w:val="en-US" w:eastAsia="zh-CN"/>
        </w:rPr>
        <w:t>1.5</w:t>
      </w:r>
      <w:r>
        <w:rPr>
          <w:rFonts w:hint="eastAsia" w:ascii="仿宋_GB2312" w:hAnsi="Times New Roman" w:eastAsia="仿宋_GB2312" w:cs="Wingdings"/>
          <w:sz w:val="32"/>
          <w:szCs w:val="32"/>
        </w:rPr>
        <w:t>万元。公车运行维护费支出较预算增加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hAnsi="仿宋" w:eastAsia="仿宋_GB2312" w:cs="仿宋_GB2312"/>
          <w:color w:val="000000"/>
          <w:sz w:val="32"/>
          <w:szCs w:val="32"/>
        </w:rPr>
        <w:t>严格执行中央、省、市、县压缩三公经费相关文件规定，</w:t>
      </w:r>
      <w:r>
        <w:rPr>
          <w:rFonts w:hint="eastAsia" w:ascii="仿宋_GB2312" w:eastAsia="仿宋_GB2312"/>
          <w:color w:val="000000"/>
          <w:sz w:val="32"/>
          <w:szCs w:val="32"/>
        </w:rPr>
        <w:t>严格控制支出</w:t>
      </w:r>
      <w:r>
        <w:rPr>
          <w:rFonts w:hint="eastAsia" w:ascii="仿宋_GB2312" w:hAnsi="Times New Roman" w:eastAsia="仿宋_GB2312" w:cs="Wingdings"/>
          <w:sz w:val="32"/>
          <w:szCs w:val="32"/>
        </w:rPr>
        <w:t>；较上年减少</w:t>
      </w:r>
      <w:r>
        <w:rPr>
          <w:rFonts w:hint="eastAsia" w:ascii="仿宋_GB2312" w:hAnsi="Times New Roman" w:eastAsia="仿宋_GB2312" w:cs="Wingdings"/>
          <w:sz w:val="32"/>
          <w:szCs w:val="32"/>
          <w:lang w:val="en-US" w:eastAsia="zh-CN"/>
        </w:rPr>
        <w:t>0.61</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28.91</w:t>
      </w:r>
      <w:r>
        <w:rPr>
          <w:rFonts w:hint="eastAsia" w:ascii="仿宋_GB2312" w:hAnsi="Times New Roman" w:eastAsia="仿宋_GB2312" w:cs="Wingdings"/>
          <w:sz w:val="32"/>
          <w:szCs w:val="32"/>
        </w:rPr>
        <w:t>%，主要是</w:t>
      </w:r>
      <w:r>
        <w:rPr>
          <w:rFonts w:hint="eastAsia" w:ascii="仿宋_GB2312" w:hAnsi="仿宋" w:eastAsia="仿宋_GB2312" w:cs="仿宋_GB2312"/>
          <w:color w:val="000000"/>
          <w:sz w:val="32"/>
          <w:szCs w:val="32"/>
        </w:rPr>
        <w:t>严格执行中央、省、市、县压缩三公经费相关文件规定，</w:t>
      </w:r>
      <w:r>
        <w:rPr>
          <w:rFonts w:hint="eastAsia" w:ascii="仿宋_GB2312" w:eastAsia="仿宋_GB2312"/>
          <w:color w:val="000000"/>
          <w:sz w:val="32"/>
          <w:szCs w:val="32"/>
        </w:rPr>
        <w:t>严格控制支出</w:t>
      </w:r>
      <w:r>
        <w:rPr>
          <w:rFonts w:hint="eastAsia" w:ascii="仿宋_GB2312" w:hAnsi="Times New Roman" w:eastAsia="仿宋_GB2312" w:cs="Wingdings"/>
          <w:sz w:val="32"/>
          <w:szCs w:val="32"/>
        </w:rPr>
        <w:t>。</w:t>
      </w:r>
    </w:p>
    <w:p w14:paraId="36D9FBCA">
      <w:pPr>
        <w:pageBreakBefore w:val="0"/>
        <w:kinsoku/>
        <w:wordWrap/>
        <w:overflowPunct/>
        <w:topLinePunct w:val="0"/>
        <w:autoSpaceDE/>
        <w:autoSpaceDN/>
        <w:bidi w:val="0"/>
        <w:adjustRightInd w:val="0"/>
        <w:snapToGrid w:val="0"/>
        <w:spacing w:line="600" w:lineRule="exact"/>
        <w:ind w:left="0" w:leftChars="0" w:firstLine="643" w:firstLineChars="200"/>
        <w:textAlignment w:val="auto"/>
        <w:rPr>
          <w:rFonts w:hint="eastAsia" w:ascii="仿宋_GB2312" w:hAnsi="Times New Roman" w:eastAsia="仿宋_GB2312" w:cs="DengXian-Regular"/>
          <w:sz w:val="32"/>
          <w:szCs w:val="32"/>
          <w:highlight w:val="yellow"/>
          <w:lang w:eastAsia="zh-CN"/>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本部门2020年公务接待费支出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%。发生</w:t>
      </w:r>
      <w:r>
        <w:rPr>
          <w:rFonts w:hint="eastAsia" w:ascii="仿宋_GB2312" w:hAnsi="Times New Roman" w:eastAsia="仿宋_GB2312" w:cs="Wingdings"/>
          <w:sz w:val="32"/>
          <w:szCs w:val="32"/>
        </w:rPr>
        <w:t>公务接待共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批次、</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人次。公务接待费支出较预算减少</w:t>
      </w:r>
      <w:r>
        <w:rPr>
          <w:rFonts w:hint="eastAsia" w:ascii="仿宋_GB2312" w:hAnsi="Times New Roman" w:eastAsia="仿宋_GB2312" w:cs="Wingdings"/>
          <w:sz w:val="32"/>
          <w:szCs w:val="32"/>
          <w:lang w:val="en-US" w:eastAsia="zh-CN"/>
        </w:rPr>
        <w:t>0.14</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lang w:eastAsia="zh-CN"/>
        </w:rPr>
        <w:t>本单位无公务接待</w:t>
      </w:r>
      <w:r>
        <w:rPr>
          <w:rFonts w:hint="eastAsia" w:ascii="仿宋_GB2312" w:hAnsi="Times New Roman" w:eastAsia="仿宋_GB2312" w:cs="Wingdings"/>
          <w:sz w:val="32"/>
          <w:szCs w:val="32"/>
        </w:rPr>
        <w:t>；较上年度增加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eastAsia="仿宋_GB2312" w:cs="DengXian-Regular"/>
          <w:sz w:val="32"/>
          <w:szCs w:val="32"/>
        </w:rPr>
        <w:t>我单位认真贯彻落实中央</w:t>
      </w:r>
      <w:bookmarkStart w:id="0" w:name="_GoBack"/>
      <w:bookmarkEnd w:id="0"/>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w:t>
      </w:r>
      <w:r>
        <w:rPr>
          <w:rFonts w:hint="eastAsia" w:ascii="仿宋_GB2312" w:eastAsia="仿宋_GB2312" w:cs="DengXian-Regular"/>
          <w:sz w:val="32"/>
          <w:szCs w:val="32"/>
          <w:lang w:eastAsia="zh-CN"/>
        </w:rPr>
        <w:t>。</w:t>
      </w:r>
    </w:p>
    <w:p w14:paraId="00D4BD00">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3F69EF6F">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14:paraId="1774B17E">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根据预算绩效管理要求，本部门组织对2020年度项目支出全面开展绩效自评，其中，一般公共预算项目</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267.16</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p>
    <w:p w14:paraId="17F9CF8C">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14:paraId="38B872A9">
      <w:pPr>
        <w:pageBreakBefore w:val="0"/>
        <w:kinsoku/>
        <w:wordWrap/>
        <w:overflowPunct/>
        <w:topLinePunct w:val="0"/>
        <w:autoSpaceDE/>
        <w:autoSpaceDN/>
        <w:bidi w:val="0"/>
        <w:adjustRightInd w:val="0"/>
        <w:snapToGrid w:val="0"/>
        <w:spacing w:line="600" w:lineRule="exact"/>
        <w:ind w:left="0" w:leftChars="0" w:firstLine="640" w:firstLineChars="200"/>
        <w:textAlignment w:val="auto"/>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关于追加评审费用的请示</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、电子评标室改造、个体工商户全程电子化登记相关服务等</w:t>
      </w:r>
      <w:r>
        <w:rPr>
          <w:rFonts w:hint="eastAsia" w:ascii="仿宋_GB2312" w:hAnsi="仿宋_GB2312" w:eastAsia="仿宋_GB2312" w:cs="仿宋_GB2312"/>
          <w:sz w:val="32"/>
          <w:szCs w:val="32"/>
        </w:rPr>
        <w:t>项目开展了部门重点评价，涉及一般公共预算支出</w:t>
      </w:r>
      <w:r>
        <w:rPr>
          <w:rFonts w:hint="eastAsia" w:ascii="仿宋_GB2312" w:hAnsi="仿宋_GB2312" w:eastAsia="仿宋_GB2312" w:cs="仿宋_GB2312"/>
          <w:sz w:val="32"/>
          <w:szCs w:val="32"/>
          <w:lang w:val="en-US" w:eastAsia="zh-CN"/>
        </w:rPr>
        <w:t>267.16</w:t>
      </w:r>
      <w:r>
        <w:rPr>
          <w:rFonts w:hint="eastAsia" w:ascii="仿宋_GB2312" w:hAnsi="仿宋_GB2312" w:eastAsia="仿宋_GB2312" w:cs="仿宋_GB2312"/>
          <w:sz w:val="32"/>
          <w:szCs w:val="32"/>
        </w:rPr>
        <w:t>万元，从评价情况来看，，</w:t>
      </w:r>
      <w:r>
        <w:rPr>
          <w:rFonts w:hint="eastAsia" w:ascii="仿宋_GB2312" w:hAnsi="仿宋_GB2312" w:eastAsia="仿宋_GB2312" w:cs="仿宋_GB2312"/>
          <w:sz w:val="32"/>
          <w:szCs w:val="32"/>
          <w:lang w:val="en-US" w:eastAsia="zh-CN"/>
        </w:rPr>
        <w:t>2020年我单位贯彻落实习近平新时代中国特色社会主义思想，全面深化“放管服”改革，打造便民高效的“互联网+政务服务”平台，实现行政审批提质提效提速，持续优化营商环境，擦亮“最优环境”名片：1.强化业务培训，提升服务质量；2.推动全程代办，项目快速落地，充分发挥职能作用，建立审批绿色通道，严格落实“两个代办，两个不见面”制度；3.强化“窗口意识”，塑造良好形象；4.提振工作作风，创优营商环境。2020年单位自评项目8个，预期绩效目标完成情况良好，自评8个项目为优，</w:t>
      </w:r>
    </w:p>
    <w:p w14:paraId="0FCBCF95">
      <w:pPr>
        <w:numPr>
          <w:ilvl w:val="0"/>
          <w:numId w:val="0"/>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绩效自评综述：</w:t>
      </w:r>
      <w:r>
        <w:rPr>
          <w:rFonts w:hint="eastAsia" w:ascii="仿宋_GB2312" w:hAnsi="仿宋_GB2312" w:eastAsia="仿宋_GB2312" w:cs="仿宋_GB2312"/>
          <w:sz w:val="32"/>
          <w:szCs w:val="32"/>
          <w:lang w:eastAsia="zh-CN"/>
        </w:rPr>
        <w:t>关于追加评审费用的请示</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根据年初设定的绩效目标，绩效自评得分为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40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完成我县部分项目评估工作</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降低社会风险，为项目审批提供保障</w:t>
      </w:r>
      <w:r>
        <w:rPr>
          <w:rFonts w:hint="eastAsia" w:ascii="仿宋_GB2312" w:hAnsi="仿宋_GB2312" w:eastAsia="仿宋_GB2312" w:cs="仿宋_GB2312"/>
          <w:sz w:val="32"/>
          <w:szCs w:val="32"/>
        </w:rPr>
        <w:t>。发现的主要问题及原因：一</w:t>
      </w:r>
      <w:r>
        <w:rPr>
          <w:rFonts w:hint="eastAsia" w:ascii="仿宋_GB2312" w:hAnsi="仿宋_GB2312" w:eastAsia="仿宋_GB2312" w:cs="仿宋_GB2312"/>
          <w:sz w:val="32"/>
          <w:szCs w:val="32"/>
          <w:lang w:eastAsia="zh-CN"/>
        </w:rPr>
        <w:t>是部分评审周期较长</w:t>
      </w: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eastAsia="zh-CN"/>
        </w:rPr>
        <w:t>是对项目的评审监管较少</w:t>
      </w:r>
      <w:r>
        <w:rPr>
          <w:rFonts w:hint="eastAsia" w:ascii="仿宋_GB2312" w:hAnsi="仿宋_GB2312" w:eastAsia="仿宋_GB2312" w:cs="仿宋_GB2312"/>
          <w:sz w:val="32"/>
          <w:szCs w:val="32"/>
        </w:rPr>
        <w:t>。下一步改进措施：一是</w:t>
      </w:r>
      <w:r>
        <w:rPr>
          <w:rFonts w:hint="eastAsia" w:ascii="仿宋_GB2312" w:hAnsi="仿宋_GB2312" w:eastAsia="仿宋_GB2312" w:cs="仿宋_GB2312"/>
          <w:sz w:val="32"/>
          <w:szCs w:val="32"/>
          <w:lang w:eastAsia="zh-CN"/>
        </w:rPr>
        <w:t>在组织评审中严格按照有关规定执行，</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加强评审工作的监管，保障项目审批工作有序开展</w:t>
      </w:r>
      <w:r>
        <w:rPr>
          <w:rFonts w:hint="eastAsia" w:ascii="仿宋_GB2312" w:hAnsi="仿宋_GB2312" w:eastAsia="仿宋_GB2312" w:cs="仿宋_GB2312"/>
          <w:sz w:val="32"/>
          <w:szCs w:val="32"/>
        </w:rPr>
        <w:t>。</w:t>
      </w:r>
    </w:p>
    <w:p w14:paraId="6FA36725">
      <w:pPr>
        <w:adjustRightInd w:val="0"/>
        <w:snapToGrid w:val="0"/>
        <w:spacing w:line="600" w:lineRule="exact"/>
        <w:ind w:left="420" w:leftChars="200" w:firstLine="960" w:firstLineChars="300"/>
        <w:rPr>
          <w:rFonts w:hint="eastAsia" w:ascii="仿宋_GB2312" w:hAnsi="仿宋_GB2312" w:eastAsia="仿宋_GB2312" w:cs="仿宋_GB2312"/>
          <w:sz w:val="32"/>
          <w:szCs w:val="32"/>
          <w:highlight w:val="yellow"/>
        </w:rPr>
      </w:pPr>
    </w:p>
    <w:tbl>
      <w:tblPr>
        <w:tblStyle w:val="6"/>
        <w:tblW w:w="96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40"/>
        <w:gridCol w:w="975"/>
        <w:gridCol w:w="450"/>
        <w:gridCol w:w="450"/>
        <w:gridCol w:w="501"/>
        <w:gridCol w:w="2616"/>
        <w:gridCol w:w="2616"/>
        <w:gridCol w:w="1027"/>
      </w:tblGrid>
      <w:tr w14:paraId="4945E4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5" w:hRule="atLeast"/>
        </w:trPr>
        <w:tc>
          <w:tcPr>
            <w:tcW w:w="1040" w:type="dxa"/>
            <w:tcBorders>
              <w:top w:val="nil"/>
              <w:left w:val="nil"/>
              <w:bottom w:val="nil"/>
              <w:right w:val="nil"/>
            </w:tcBorders>
            <w:shd w:val="clear" w:color="auto" w:fill="auto"/>
            <w:noWrap/>
            <w:vAlign w:val="bottom"/>
          </w:tcPr>
          <w:p w14:paraId="781E95C7">
            <w:pPr>
              <w:keepNext w:val="0"/>
              <w:keepLines w:val="0"/>
              <w:widowControl/>
              <w:suppressLineNumbers w:val="0"/>
              <w:jc w:val="left"/>
              <w:textAlignment w:val="bottom"/>
              <w:rPr>
                <w:rFonts w:ascii="仿宋_GB2312" w:hAnsi="宋体" w:eastAsia="仿宋_GB2312" w:cs="仿宋_GB2312"/>
                <w:i w:val="0"/>
                <w:iCs w:val="0"/>
                <w:color w:val="000000"/>
                <w:sz w:val="32"/>
                <w:szCs w:val="32"/>
                <w:u w:val="none"/>
              </w:rPr>
            </w:pPr>
          </w:p>
        </w:tc>
        <w:tc>
          <w:tcPr>
            <w:tcW w:w="975" w:type="dxa"/>
            <w:tcBorders>
              <w:top w:val="nil"/>
              <w:left w:val="nil"/>
              <w:bottom w:val="nil"/>
              <w:right w:val="nil"/>
            </w:tcBorders>
            <w:shd w:val="clear" w:color="auto" w:fill="auto"/>
            <w:noWrap/>
            <w:vAlign w:val="center"/>
          </w:tcPr>
          <w:p w14:paraId="2C576FDB">
            <w:pPr>
              <w:rPr>
                <w:rFonts w:hint="eastAsia" w:ascii="宋体" w:hAnsi="宋体" w:eastAsia="宋体" w:cs="宋体"/>
                <w:i w:val="0"/>
                <w:iCs w:val="0"/>
                <w:color w:val="000000"/>
                <w:sz w:val="22"/>
                <w:szCs w:val="22"/>
                <w:u w:val="none"/>
              </w:rPr>
            </w:pPr>
          </w:p>
        </w:tc>
        <w:tc>
          <w:tcPr>
            <w:tcW w:w="450" w:type="dxa"/>
            <w:tcBorders>
              <w:top w:val="nil"/>
              <w:left w:val="nil"/>
              <w:bottom w:val="nil"/>
              <w:right w:val="nil"/>
            </w:tcBorders>
            <w:shd w:val="clear" w:color="auto" w:fill="auto"/>
            <w:noWrap/>
            <w:vAlign w:val="center"/>
          </w:tcPr>
          <w:p w14:paraId="70FC1FEB">
            <w:pPr>
              <w:rPr>
                <w:rFonts w:hint="eastAsia" w:ascii="宋体" w:hAnsi="宋体" w:eastAsia="宋体" w:cs="宋体"/>
                <w:i w:val="0"/>
                <w:iCs w:val="0"/>
                <w:color w:val="000000"/>
                <w:sz w:val="22"/>
                <w:szCs w:val="22"/>
                <w:u w:val="none"/>
              </w:rPr>
            </w:pPr>
          </w:p>
        </w:tc>
        <w:tc>
          <w:tcPr>
            <w:tcW w:w="450" w:type="dxa"/>
            <w:tcBorders>
              <w:top w:val="nil"/>
              <w:left w:val="nil"/>
              <w:bottom w:val="nil"/>
              <w:right w:val="nil"/>
            </w:tcBorders>
            <w:shd w:val="clear" w:color="auto" w:fill="auto"/>
            <w:noWrap/>
            <w:vAlign w:val="center"/>
          </w:tcPr>
          <w:p w14:paraId="320043E0">
            <w:pPr>
              <w:rPr>
                <w:rFonts w:hint="eastAsia" w:ascii="宋体" w:hAnsi="宋体" w:eastAsia="宋体" w:cs="宋体"/>
                <w:i w:val="0"/>
                <w:iCs w:val="0"/>
                <w:color w:val="000000"/>
                <w:sz w:val="22"/>
                <w:szCs w:val="22"/>
                <w:u w:val="none"/>
              </w:rPr>
            </w:pPr>
          </w:p>
        </w:tc>
        <w:tc>
          <w:tcPr>
            <w:tcW w:w="501" w:type="dxa"/>
            <w:tcBorders>
              <w:top w:val="nil"/>
              <w:left w:val="nil"/>
              <w:bottom w:val="nil"/>
              <w:right w:val="nil"/>
            </w:tcBorders>
            <w:shd w:val="clear" w:color="auto" w:fill="auto"/>
            <w:noWrap/>
            <w:vAlign w:val="center"/>
          </w:tcPr>
          <w:p w14:paraId="3656F555">
            <w:pPr>
              <w:rPr>
                <w:rFonts w:hint="eastAsia" w:ascii="宋体" w:hAnsi="宋体" w:eastAsia="宋体" w:cs="宋体"/>
                <w:i w:val="0"/>
                <w:iCs w:val="0"/>
                <w:color w:val="000000"/>
                <w:sz w:val="22"/>
                <w:szCs w:val="22"/>
                <w:u w:val="none"/>
              </w:rPr>
            </w:pPr>
          </w:p>
        </w:tc>
        <w:tc>
          <w:tcPr>
            <w:tcW w:w="2616" w:type="dxa"/>
            <w:tcBorders>
              <w:top w:val="nil"/>
              <w:left w:val="nil"/>
              <w:bottom w:val="nil"/>
              <w:right w:val="nil"/>
            </w:tcBorders>
            <w:shd w:val="clear" w:color="auto" w:fill="auto"/>
            <w:noWrap/>
            <w:vAlign w:val="center"/>
          </w:tcPr>
          <w:p w14:paraId="049058A6">
            <w:pPr>
              <w:rPr>
                <w:rFonts w:hint="eastAsia" w:ascii="宋体" w:hAnsi="宋体" w:eastAsia="宋体" w:cs="宋体"/>
                <w:i w:val="0"/>
                <w:iCs w:val="0"/>
                <w:color w:val="000000"/>
                <w:sz w:val="22"/>
                <w:szCs w:val="22"/>
                <w:u w:val="none"/>
              </w:rPr>
            </w:pPr>
          </w:p>
        </w:tc>
        <w:tc>
          <w:tcPr>
            <w:tcW w:w="2616" w:type="dxa"/>
            <w:tcBorders>
              <w:top w:val="nil"/>
              <w:left w:val="nil"/>
              <w:bottom w:val="nil"/>
              <w:right w:val="nil"/>
            </w:tcBorders>
            <w:shd w:val="clear" w:color="auto" w:fill="auto"/>
            <w:noWrap/>
            <w:vAlign w:val="center"/>
          </w:tcPr>
          <w:p w14:paraId="5978E446">
            <w:pPr>
              <w:rPr>
                <w:rFonts w:hint="eastAsia" w:ascii="宋体" w:hAnsi="宋体" w:eastAsia="宋体" w:cs="宋体"/>
                <w:i w:val="0"/>
                <w:iCs w:val="0"/>
                <w:color w:val="000000"/>
                <w:sz w:val="22"/>
                <w:szCs w:val="22"/>
                <w:u w:val="none"/>
              </w:rPr>
            </w:pPr>
          </w:p>
        </w:tc>
        <w:tc>
          <w:tcPr>
            <w:tcW w:w="1027" w:type="dxa"/>
            <w:tcBorders>
              <w:top w:val="nil"/>
              <w:left w:val="nil"/>
              <w:bottom w:val="nil"/>
              <w:right w:val="nil"/>
            </w:tcBorders>
            <w:shd w:val="clear" w:color="auto" w:fill="auto"/>
            <w:noWrap/>
            <w:vAlign w:val="center"/>
          </w:tcPr>
          <w:p w14:paraId="0952AC23">
            <w:pPr>
              <w:rPr>
                <w:rFonts w:hint="eastAsia" w:ascii="宋体" w:hAnsi="宋体" w:eastAsia="宋体" w:cs="宋体"/>
                <w:i w:val="0"/>
                <w:iCs w:val="0"/>
                <w:color w:val="000000"/>
                <w:sz w:val="22"/>
                <w:szCs w:val="22"/>
                <w:u w:val="none"/>
              </w:rPr>
            </w:pPr>
          </w:p>
        </w:tc>
      </w:tr>
      <w:tr w14:paraId="71716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3" w:hRule="atLeast"/>
        </w:trPr>
        <w:tc>
          <w:tcPr>
            <w:tcW w:w="9675" w:type="dxa"/>
            <w:gridSpan w:val="8"/>
            <w:tcBorders>
              <w:top w:val="nil"/>
              <w:left w:val="nil"/>
              <w:bottom w:val="nil"/>
              <w:right w:val="nil"/>
            </w:tcBorders>
            <w:shd w:val="clear" w:color="auto" w:fill="auto"/>
            <w:noWrap/>
            <w:vAlign w:val="center"/>
          </w:tcPr>
          <w:p w14:paraId="15D1D3D8">
            <w:pPr>
              <w:keepNext w:val="0"/>
              <w:keepLines w:val="0"/>
              <w:widowControl/>
              <w:suppressLineNumbers w:val="0"/>
              <w:ind w:firstLine="2400" w:firstLineChars="600"/>
              <w:jc w:val="both"/>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县级部门预算项目绩效自评表</w:t>
            </w:r>
          </w:p>
        </w:tc>
      </w:tr>
      <w:tr w14:paraId="44EC18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9675" w:type="dxa"/>
            <w:gridSpan w:val="8"/>
            <w:tcBorders>
              <w:top w:val="nil"/>
              <w:left w:val="nil"/>
              <w:bottom w:val="nil"/>
              <w:right w:val="nil"/>
            </w:tcBorders>
            <w:shd w:val="clear" w:color="auto" w:fill="auto"/>
            <w:noWrap/>
            <w:vAlign w:val="bottom"/>
          </w:tcPr>
          <w:p w14:paraId="481FA97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2020  年度）</w:t>
            </w:r>
          </w:p>
        </w:tc>
      </w:tr>
      <w:tr w14:paraId="175CBA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5" w:hRule="atLeast"/>
        </w:trPr>
        <w:tc>
          <w:tcPr>
            <w:tcW w:w="1040" w:type="dxa"/>
            <w:tcBorders>
              <w:top w:val="nil"/>
              <w:left w:val="nil"/>
              <w:bottom w:val="nil"/>
              <w:right w:val="nil"/>
            </w:tcBorders>
            <w:shd w:val="clear" w:color="auto" w:fill="auto"/>
            <w:noWrap/>
            <w:vAlign w:val="center"/>
          </w:tcPr>
          <w:p w14:paraId="6999C8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425" w:type="dxa"/>
            <w:gridSpan w:val="2"/>
            <w:tcBorders>
              <w:top w:val="nil"/>
              <w:left w:val="nil"/>
              <w:bottom w:val="single" w:color="000000" w:sz="4" w:space="0"/>
              <w:right w:val="nil"/>
            </w:tcBorders>
            <w:shd w:val="clear" w:color="auto" w:fill="auto"/>
            <w:noWrap/>
            <w:vAlign w:val="center"/>
          </w:tcPr>
          <w:p w14:paraId="0CF13B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高邑县行政审批局</w:t>
            </w:r>
          </w:p>
        </w:tc>
        <w:tc>
          <w:tcPr>
            <w:tcW w:w="450" w:type="dxa"/>
            <w:tcBorders>
              <w:top w:val="nil"/>
              <w:left w:val="nil"/>
              <w:bottom w:val="nil"/>
              <w:right w:val="nil"/>
            </w:tcBorders>
            <w:shd w:val="clear" w:color="auto" w:fill="auto"/>
            <w:noWrap/>
            <w:vAlign w:val="center"/>
          </w:tcPr>
          <w:p w14:paraId="37BB67CB">
            <w:pPr>
              <w:jc w:val="center"/>
              <w:rPr>
                <w:rFonts w:hint="eastAsia" w:ascii="宋体" w:hAnsi="宋体" w:eastAsia="宋体" w:cs="宋体"/>
                <w:i w:val="0"/>
                <w:iCs w:val="0"/>
                <w:color w:val="000000"/>
                <w:sz w:val="20"/>
                <w:szCs w:val="20"/>
                <w:u w:val="none"/>
              </w:rPr>
            </w:pPr>
          </w:p>
        </w:tc>
        <w:tc>
          <w:tcPr>
            <w:tcW w:w="501" w:type="dxa"/>
            <w:tcBorders>
              <w:top w:val="nil"/>
              <w:left w:val="nil"/>
              <w:bottom w:val="nil"/>
              <w:right w:val="nil"/>
            </w:tcBorders>
            <w:shd w:val="clear" w:color="auto" w:fill="auto"/>
            <w:noWrap/>
            <w:vAlign w:val="center"/>
          </w:tcPr>
          <w:p w14:paraId="110BF959">
            <w:pPr>
              <w:jc w:val="center"/>
              <w:rPr>
                <w:rFonts w:hint="eastAsia" w:ascii="宋体" w:hAnsi="宋体" w:eastAsia="宋体" w:cs="宋体"/>
                <w:i w:val="0"/>
                <w:iCs w:val="0"/>
                <w:color w:val="000000"/>
                <w:sz w:val="20"/>
                <w:szCs w:val="20"/>
                <w:u w:val="none"/>
              </w:rPr>
            </w:pPr>
          </w:p>
        </w:tc>
        <w:tc>
          <w:tcPr>
            <w:tcW w:w="2616" w:type="dxa"/>
            <w:tcBorders>
              <w:top w:val="nil"/>
              <w:left w:val="nil"/>
              <w:bottom w:val="nil"/>
              <w:right w:val="nil"/>
            </w:tcBorders>
            <w:shd w:val="clear" w:color="auto" w:fill="auto"/>
            <w:noWrap/>
            <w:vAlign w:val="center"/>
          </w:tcPr>
          <w:p w14:paraId="598D158C">
            <w:pPr>
              <w:jc w:val="center"/>
              <w:rPr>
                <w:rFonts w:hint="eastAsia" w:ascii="宋体" w:hAnsi="宋体" w:eastAsia="宋体" w:cs="宋体"/>
                <w:i w:val="0"/>
                <w:iCs w:val="0"/>
                <w:color w:val="000000"/>
                <w:sz w:val="20"/>
                <w:szCs w:val="20"/>
                <w:u w:val="none"/>
              </w:rPr>
            </w:pPr>
          </w:p>
        </w:tc>
        <w:tc>
          <w:tcPr>
            <w:tcW w:w="2616" w:type="dxa"/>
            <w:tcBorders>
              <w:top w:val="nil"/>
              <w:left w:val="nil"/>
              <w:bottom w:val="nil"/>
              <w:right w:val="nil"/>
            </w:tcBorders>
            <w:shd w:val="clear" w:color="auto" w:fill="auto"/>
            <w:noWrap/>
            <w:vAlign w:val="center"/>
          </w:tcPr>
          <w:p w14:paraId="7D6D0919">
            <w:pPr>
              <w:jc w:val="center"/>
              <w:rPr>
                <w:rFonts w:hint="eastAsia" w:ascii="宋体" w:hAnsi="宋体" w:eastAsia="宋体" w:cs="宋体"/>
                <w:i w:val="0"/>
                <w:iCs w:val="0"/>
                <w:color w:val="000000"/>
                <w:sz w:val="20"/>
                <w:szCs w:val="20"/>
                <w:u w:val="none"/>
              </w:rPr>
            </w:pPr>
          </w:p>
        </w:tc>
        <w:tc>
          <w:tcPr>
            <w:tcW w:w="1027" w:type="dxa"/>
            <w:tcBorders>
              <w:top w:val="nil"/>
              <w:left w:val="nil"/>
              <w:bottom w:val="nil"/>
              <w:right w:val="nil"/>
            </w:tcBorders>
            <w:shd w:val="clear" w:color="auto" w:fill="auto"/>
            <w:noWrap/>
            <w:vAlign w:val="center"/>
          </w:tcPr>
          <w:p w14:paraId="56A57BA3">
            <w:pPr>
              <w:keepNext w:val="0"/>
              <w:keepLines w:val="0"/>
              <w:widowControl/>
              <w:suppressLineNumbers w:val="0"/>
              <w:jc w:val="both"/>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66170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42" w:hRule="atLeast"/>
        </w:trPr>
        <w:tc>
          <w:tcPr>
            <w:tcW w:w="1040" w:type="dxa"/>
            <w:tcBorders>
              <w:top w:val="single" w:color="000000" w:sz="4" w:space="0"/>
              <w:left w:val="single" w:color="000000" w:sz="4" w:space="0"/>
              <w:bottom w:val="nil"/>
              <w:right w:val="single" w:color="000000" w:sz="4" w:space="0"/>
            </w:tcBorders>
            <w:shd w:val="clear" w:color="auto" w:fill="auto"/>
            <w:vAlign w:val="center"/>
          </w:tcPr>
          <w:p w14:paraId="7455E9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Style w:val="12"/>
                <w:rFonts w:eastAsia="宋体"/>
                <w:lang w:val="en-US" w:eastAsia="zh-CN" w:bidi="ar"/>
              </w:rPr>
              <w:t xml:space="preserve"> </w:t>
            </w:r>
            <w:r>
              <w:rPr>
                <w:rStyle w:val="13"/>
                <w:lang w:val="en-US" w:eastAsia="zh-CN" w:bidi="ar"/>
              </w:rPr>
              <w:t>基本情况</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6E4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5A8B4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关于追加 评审费用的请示</w:t>
            </w: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DE8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625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9678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高邑县行政审批局</w:t>
            </w:r>
          </w:p>
        </w:tc>
      </w:tr>
      <w:tr w14:paraId="35570A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8" w:hRule="atLeast"/>
        </w:trPr>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3ED1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183A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9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7361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52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7C95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C27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1786B4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3" w:hRule="atLeast"/>
        </w:trPr>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659685">
            <w:pPr>
              <w:jc w:val="center"/>
              <w:rPr>
                <w:rFonts w:hint="eastAsia" w:ascii="宋体" w:hAnsi="宋体" w:eastAsia="宋体" w:cs="宋体"/>
                <w:i w:val="0"/>
                <w:iCs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873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743E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5FA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CE2B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2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142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2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D5E99">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c>
          <w:tcPr>
            <w:tcW w:w="102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43D3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52D91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3" w:hRule="atLeast"/>
        </w:trPr>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AB72E8">
            <w:pPr>
              <w:jc w:val="center"/>
              <w:rPr>
                <w:rFonts w:hint="eastAsia" w:ascii="宋体" w:hAnsi="宋体" w:eastAsia="宋体" w:cs="宋体"/>
                <w:i w:val="0"/>
                <w:iCs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DF7C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其中：财政资金</w:t>
            </w: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0F03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D731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其中：财政资金</w:t>
            </w: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EBAC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2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7B80D">
            <w:pPr>
              <w:keepNext w:val="0"/>
              <w:keepLines w:val="0"/>
              <w:widowControl/>
              <w:suppressLineNumbers w:val="0"/>
              <w:jc w:val="both"/>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其中：财政资金</w:t>
            </w:r>
          </w:p>
        </w:tc>
        <w:tc>
          <w:tcPr>
            <w:tcW w:w="2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DAEF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DECE4D">
            <w:pPr>
              <w:jc w:val="center"/>
              <w:rPr>
                <w:rFonts w:hint="eastAsia" w:ascii="宋体" w:hAnsi="宋体" w:eastAsia="宋体" w:cs="宋体"/>
                <w:i w:val="0"/>
                <w:iCs w:val="0"/>
                <w:color w:val="000000"/>
                <w:sz w:val="20"/>
                <w:szCs w:val="20"/>
                <w:u w:val="none"/>
              </w:rPr>
            </w:pPr>
          </w:p>
        </w:tc>
      </w:tr>
      <w:tr w14:paraId="37201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3" w:hRule="atLeast"/>
        </w:trPr>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1BEE44">
            <w:pPr>
              <w:jc w:val="center"/>
              <w:rPr>
                <w:rFonts w:hint="eastAsia" w:ascii="宋体" w:hAnsi="宋体" w:eastAsia="宋体" w:cs="宋体"/>
                <w:i w:val="0"/>
                <w:iCs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E972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42BD3">
            <w:pPr>
              <w:rPr>
                <w:rFonts w:hint="default" w:ascii="Calibri" w:hAnsi="Calibri" w:eastAsia="宋体" w:cs="Calibri"/>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AD3E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F7794">
            <w:pPr>
              <w:rPr>
                <w:rFonts w:hint="eastAsia" w:ascii="宋体" w:hAnsi="宋体" w:eastAsia="宋体" w:cs="宋体"/>
                <w:i w:val="0"/>
                <w:iCs w:val="0"/>
                <w:color w:val="000000"/>
                <w:sz w:val="20"/>
                <w:szCs w:val="20"/>
                <w:u w:val="none"/>
              </w:rPr>
            </w:pPr>
          </w:p>
        </w:tc>
        <w:tc>
          <w:tcPr>
            <w:tcW w:w="2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BD425">
            <w:pPr>
              <w:keepNext w:val="0"/>
              <w:keepLines w:val="0"/>
              <w:widowControl/>
              <w:suppressLineNumbers w:val="0"/>
              <w:jc w:val="both"/>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2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D41D6">
            <w:pPr>
              <w:rPr>
                <w:rFonts w:hint="eastAsia" w:ascii="宋体" w:hAnsi="宋体" w:eastAsia="宋体" w:cs="宋体"/>
                <w:i w:val="0"/>
                <w:iCs w:val="0"/>
                <w:color w:val="000000"/>
                <w:sz w:val="20"/>
                <w:szCs w:val="20"/>
                <w:u w:val="none"/>
              </w:rPr>
            </w:pPr>
          </w:p>
        </w:tc>
        <w:tc>
          <w:tcPr>
            <w:tcW w:w="102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ED8758">
            <w:pPr>
              <w:jc w:val="center"/>
              <w:rPr>
                <w:rFonts w:hint="eastAsia" w:ascii="宋体" w:hAnsi="宋体" w:eastAsia="宋体" w:cs="宋体"/>
                <w:i w:val="0"/>
                <w:iCs w:val="0"/>
                <w:color w:val="000000"/>
                <w:sz w:val="20"/>
                <w:szCs w:val="20"/>
                <w:u w:val="none"/>
              </w:rPr>
            </w:pPr>
          </w:p>
        </w:tc>
      </w:tr>
      <w:tr w14:paraId="036B7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1" w:hRule="atLeast"/>
        </w:trPr>
        <w:tc>
          <w:tcPr>
            <w:tcW w:w="1040" w:type="dxa"/>
            <w:vMerge w:val="restart"/>
            <w:tcBorders>
              <w:top w:val="single" w:color="000000" w:sz="4" w:space="0"/>
              <w:left w:val="single" w:color="000000" w:sz="4" w:space="0"/>
              <w:bottom w:val="nil"/>
              <w:right w:val="single" w:color="000000" w:sz="4" w:space="0"/>
            </w:tcBorders>
            <w:shd w:val="clear" w:color="auto" w:fill="auto"/>
            <w:vAlign w:val="center"/>
          </w:tcPr>
          <w:p w14:paraId="511C6A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8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7398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57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E32B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A4F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48CEE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040" w:type="dxa"/>
            <w:vMerge w:val="continue"/>
            <w:tcBorders>
              <w:top w:val="single" w:color="000000" w:sz="4" w:space="0"/>
              <w:left w:val="single" w:color="000000" w:sz="4" w:space="0"/>
              <w:bottom w:val="nil"/>
              <w:right w:val="single" w:color="000000" w:sz="4" w:space="0"/>
            </w:tcBorders>
            <w:shd w:val="clear" w:color="auto" w:fill="auto"/>
            <w:vAlign w:val="center"/>
          </w:tcPr>
          <w:p w14:paraId="70B440FB">
            <w:pPr>
              <w:jc w:val="center"/>
              <w:rPr>
                <w:rFonts w:hint="eastAsia" w:ascii="宋体" w:hAnsi="宋体" w:eastAsia="宋体" w:cs="宋体"/>
                <w:i w:val="0"/>
                <w:iCs w:val="0"/>
                <w:color w:val="000000"/>
                <w:sz w:val="20"/>
                <w:szCs w:val="20"/>
                <w:u w:val="none"/>
              </w:rPr>
            </w:pPr>
          </w:p>
        </w:tc>
        <w:tc>
          <w:tcPr>
            <w:tcW w:w="1875" w:type="dxa"/>
            <w:gridSpan w:val="3"/>
            <w:vMerge w:val="restart"/>
            <w:tcBorders>
              <w:top w:val="single" w:color="000000" w:sz="4" w:space="0"/>
              <w:left w:val="single" w:color="000000" w:sz="4" w:space="0"/>
              <w:bottom w:val="nil"/>
              <w:right w:val="single" w:color="000000" w:sz="4" w:space="0"/>
            </w:tcBorders>
            <w:shd w:val="clear" w:color="auto" w:fill="auto"/>
            <w:vAlign w:val="center"/>
          </w:tcPr>
          <w:p w14:paraId="60880D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完成我县部分项目评估工作，降低社会风险，提高社会效益</w:t>
            </w:r>
          </w:p>
        </w:tc>
        <w:tc>
          <w:tcPr>
            <w:tcW w:w="5733" w:type="dxa"/>
            <w:gridSpan w:val="3"/>
            <w:vMerge w:val="restart"/>
            <w:tcBorders>
              <w:top w:val="single" w:color="000000" w:sz="4" w:space="0"/>
              <w:left w:val="single" w:color="000000" w:sz="4" w:space="0"/>
              <w:bottom w:val="nil"/>
              <w:right w:val="single" w:color="000000" w:sz="4" w:space="0"/>
            </w:tcBorders>
            <w:shd w:val="clear" w:color="auto" w:fill="auto"/>
            <w:vAlign w:val="center"/>
          </w:tcPr>
          <w:p w14:paraId="44D624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完成良好</w:t>
            </w:r>
          </w:p>
        </w:tc>
        <w:tc>
          <w:tcPr>
            <w:tcW w:w="1027" w:type="dxa"/>
            <w:vMerge w:val="restart"/>
            <w:tcBorders>
              <w:top w:val="single" w:color="000000" w:sz="4" w:space="0"/>
              <w:left w:val="single" w:color="000000" w:sz="4" w:space="0"/>
              <w:bottom w:val="nil"/>
              <w:right w:val="single" w:color="000000" w:sz="4" w:space="0"/>
            </w:tcBorders>
            <w:shd w:val="clear" w:color="auto" w:fill="auto"/>
            <w:vAlign w:val="center"/>
          </w:tcPr>
          <w:p w14:paraId="228511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34D2E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1" w:hRule="atLeast"/>
        </w:trPr>
        <w:tc>
          <w:tcPr>
            <w:tcW w:w="1040" w:type="dxa"/>
            <w:vMerge w:val="continue"/>
            <w:tcBorders>
              <w:top w:val="single" w:color="000000" w:sz="4" w:space="0"/>
              <w:left w:val="single" w:color="000000" w:sz="4" w:space="0"/>
              <w:bottom w:val="nil"/>
              <w:right w:val="single" w:color="000000" w:sz="4" w:space="0"/>
            </w:tcBorders>
            <w:shd w:val="clear" w:color="auto" w:fill="auto"/>
            <w:vAlign w:val="center"/>
          </w:tcPr>
          <w:p w14:paraId="3B410D3C">
            <w:pPr>
              <w:jc w:val="center"/>
              <w:rPr>
                <w:rFonts w:hint="eastAsia" w:ascii="宋体" w:hAnsi="宋体" w:eastAsia="宋体" w:cs="宋体"/>
                <w:i w:val="0"/>
                <w:iCs w:val="0"/>
                <w:color w:val="000000"/>
                <w:sz w:val="20"/>
                <w:szCs w:val="20"/>
                <w:u w:val="none"/>
              </w:rPr>
            </w:pPr>
          </w:p>
        </w:tc>
        <w:tc>
          <w:tcPr>
            <w:tcW w:w="1875" w:type="dxa"/>
            <w:gridSpan w:val="3"/>
            <w:vMerge w:val="continue"/>
            <w:tcBorders>
              <w:top w:val="single" w:color="000000" w:sz="4" w:space="0"/>
              <w:left w:val="single" w:color="000000" w:sz="4" w:space="0"/>
              <w:bottom w:val="nil"/>
              <w:right w:val="single" w:color="000000" w:sz="4" w:space="0"/>
            </w:tcBorders>
            <w:shd w:val="clear" w:color="auto" w:fill="auto"/>
            <w:vAlign w:val="center"/>
          </w:tcPr>
          <w:p w14:paraId="34A3BF8F">
            <w:pPr>
              <w:jc w:val="center"/>
              <w:rPr>
                <w:rFonts w:hint="eastAsia" w:ascii="宋体" w:hAnsi="宋体" w:eastAsia="宋体" w:cs="宋体"/>
                <w:i w:val="0"/>
                <w:iCs w:val="0"/>
                <w:color w:val="000000"/>
                <w:sz w:val="20"/>
                <w:szCs w:val="20"/>
                <w:u w:val="none"/>
              </w:rPr>
            </w:pPr>
          </w:p>
        </w:tc>
        <w:tc>
          <w:tcPr>
            <w:tcW w:w="5733" w:type="dxa"/>
            <w:gridSpan w:val="3"/>
            <w:vMerge w:val="continue"/>
            <w:tcBorders>
              <w:top w:val="single" w:color="000000" w:sz="4" w:space="0"/>
              <w:left w:val="single" w:color="000000" w:sz="4" w:space="0"/>
              <w:bottom w:val="nil"/>
              <w:right w:val="single" w:color="000000" w:sz="4" w:space="0"/>
            </w:tcBorders>
            <w:shd w:val="clear" w:color="auto" w:fill="auto"/>
            <w:vAlign w:val="center"/>
          </w:tcPr>
          <w:p w14:paraId="23CF317F">
            <w:pPr>
              <w:jc w:val="center"/>
              <w:rPr>
                <w:rFonts w:hint="eastAsia" w:ascii="宋体" w:hAnsi="宋体" w:eastAsia="宋体" w:cs="宋体"/>
                <w:i w:val="0"/>
                <w:iCs w:val="0"/>
                <w:color w:val="000000"/>
                <w:sz w:val="20"/>
                <w:szCs w:val="20"/>
                <w:u w:val="none"/>
              </w:rPr>
            </w:pPr>
          </w:p>
        </w:tc>
        <w:tc>
          <w:tcPr>
            <w:tcW w:w="1027" w:type="dxa"/>
            <w:vMerge w:val="continue"/>
            <w:tcBorders>
              <w:top w:val="single" w:color="000000" w:sz="4" w:space="0"/>
              <w:left w:val="single" w:color="000000" w:sz="4" w:space="0"/>
              <w:bottom w:val="nil"/>
              <w:right w:val="single" w:color="000000" w:sz="4" w:space="0"/>
            </w:tcBorders>
            <w:shd w:val="clear" w:color="auto" w:fill="auto"/>
            <w:vAlign w:val="center"/>
          </w:tcPr>
          <w:p w14:paraId="0C71E852">
            <w:pPr>
              <w:jc w:val="center"/>
              <w:rPr>
                <w:rFonts w:hint="eastAsia" w:ascii="宋体" w:hAnsi="宋体" w:eastAsia="宋体" w:cs="宋体"/>
                <w:i w:val="0"/>
                <w:iCs w:val="0"/>
                <w:color w:val="000000"/>
                <w:sz w:val="20"/>
                <w:szCs w:val="20"/>
                <w:u w:val="none"/>
              </w:rPr>
            </w:pPr>
          </w:p>
        </w:tc>
      </w:tr>
      <w:tr w14:paraId="45F2A9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1" w:hRule="atLeast"/>
        </w:trPr>
        <w:tc>
          <w:tcPr>
            <w:tcW w:w="1040" w:type="dxa"/>
            <w:vMerge w:val="restart"/>
            <w:tcBorders>
              <w:top w:val="single" w:color="000000" w:sz="4" w:space="0"/>
              <w:left w:val="single" w:color="000000" w:sz="4" w:space="0"/>
              <w:bottom w:val="single" w:color="000000" w:sz="4" w:space="0"/>
              <w:right w:val="nil"/>
            </w:tcBorders>
            <w:shd w:val="clear" w:color="auto" w:fill="auto"/>
            <w:vAlign w:val="center"/>
          </w:tcPr>
          <w:p w14:paraId="7F8786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Style w:val="12"/>
                <w:rFonts w:eastAsia="宋体"/>
                <w:lang w:val="en-US" w:eastAsia="zh-CN" w:bidi="ar"/>
              </w:rPr>
              <w:t xml:space="preserve"> </w:t>
            </w:r>
            <w:r>
              <w:rPr>
                <w:rStyle w:val="13"/>
                <w:lang w:val="en-US" w:eastAsia="zh-CN" w:bidi="ar"/>
              </w:rPr>
              <w:t>年度绩效指标完成情况</w:t>
            </w: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624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56A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951" w:type="dxa"/>
            <w:gridSpan w:val="2"/>
            <w:tcBorders>
              <w:top w:val="single" w:color="000000" w:sz="4" w:space="0"/>
              <w:left w:val="single" w:color="000000" w:sz="4" w:space="0"/>
              <w:bottom w:val="nil"/>
              <w:right w:val="single" w:color="000000" w:sz="4" w:space="0"/>
            </w:tcBorders>
            <w:shd w:val="clear" w:color="auto" w:fill="auto"/>
            <w:vAlign w:val="center"/>
          </w:tcPr>
          <w:p w14:paraId="031377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2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803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2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44F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B23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30B2FA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1" w:hRule="atLeast"/>
        </w:trPr>
        <w:tc>
          <w:tcPr>
            <w:tcW w:w="1040" w:type="dxa"/>
            <w:vMerge w:val="continue"/>
            <w:tcBorders>
              <w:top w:val="single" w:color="000000" w:sz="4" w:space="0"/>
              <w:left w:val="single" w:color="000000" w:sz="4" w:space="0"/>
              <w:bottom w:val="single" w:color="000000" w:sz="4" w:space="0"/>
              <w:right w:val="nil"/>
            </w:tcBorders>
            <w:shd w:val="clear" w:color="auto" w:fill="auto"/>
            <w:vAlign w:val="center"/>
          </w:tcPr>
          <w:p w14:paraId="4B400C8A">
            <w:pPr>
              <w:jc w:val="center"/>
              <w:rPr>
                <w:rFonts w:hint="eastAsia" w:ascii="宋体" w:hAnsi="宋体" w:eastAsia="宋体" w:cs="宋体"/>
                <w:i w:val="0"/>
                <w:iCs w:val="0"/>
                <w:color w:val="000000"/>
                <w:sz w:val="20"/>
                <w:szCs w:val="20"/>
                <w:u w:val="none"/>
              </w:rPr>
            </w:pPr>
          </w:p>
        </w:tc>
        <w:tc>
          <w:tcPr>
            <w:tcW w:w="975" w:type="dxa"/>
            <w:vMerge w:val="restart"/>
            <w:tcBorders>
              <w:top w:val="nil"/>
              <w:left w:val="single" w:color="000000" w:sz="4" w:space="0"/>
              <w:bottom w:val="nil"/>
              <w:right w:val="single" w:color="000000" w:sz="4" w:space="0"/>
            </w:tcBorders>
            <w:shd w:val="clear" w:color="auto" w:fill="auto"/>
            <w:vAlign w:val="center"/>
          </w:tcPr>
          <w:p w14:paraId="675650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产出指标（40分</w:t>
            </w: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AC5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9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45C9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评审项目数</w:t>
            </w:r>
          </w:p>
        </w:tc>
        <w:tc>
          <w:tcPr>
            <w:tcW w:w="2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664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2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312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7B5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r>
      <w:tr w14:paraId="25E63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1" w:hRule="atLeast"/>
        </w:trPr>
        <w:tc>
          <w:tcPr>
            <w:tcW w:w="1040" w:type="dxa"/>
            <w:vMerge w:val="continue"/>
            <w:tcBorders>
              <w:top w:val="single" w:color="000000" w:sz="4" w:space="0"/>
              <w:left w:val="single" w:color="000000" w:sz="4" w:space="0"/>
              <w:bottom w:val="single" w:color="000000" w:sz="4" w:space="0"/>
              <w:right w:val="nil"/>
            </w:tcBorders>
            <w:shd w:val="clear" w:color="auto" w:fill="auto"/>
            <w:vAlign w:val="center"/>
          </w:tcPr>
          <w:p w14:paraId="24DE0FDF">
            <w:pPr>
              <w:jc w:val="center"/>
              <w:rPr>
                <w:rFonts w:hint="eastAsia" w:ascii="宋体" w:hAnsi="宋体" w:eastAsia="宋体" w:cs="宋体"/>
                <w:i w:val="0"/>
                <w:iCs w:val="0"/>
                <w:color w:val="000000"/>
                <w:sz w:val="20"/>
                <w:szCs w:val="20"/>
                <w:u w:val="none"/>
              </w:rPr>
            </w:pPr>
          </w:p>
        </w:tc>
        <w:tc>
          <w:tcPr>
            <w:tcW w:w="975" w:type="dxa"/>
            <w:vMerge w:val="continue"/>
            <w:tcBorders>
              <w:top w:val="nil"/>
              <w:left w:val="single" w:color="000000" w:sz="4" w:space="0"/>
              <w:bottom w:val="nil"/>
              <w:right w:val="single" w:color="000000" w:sz="4" w:space="0"/>
            </w:tcBorders>
            <w:shd w:val="clear" w:color="auto" w:fill="auto"/>
            <w:vAlign w:val="center"/>
          </w:tcPr>
          <w:p w14:paraId="71E2D722">
            <w:pPr>
              <w:jc w:val="center"/>
              <w:rPr>
                <w:rFonts w:hint="eastAsia" w:ascii="宋体" w:hAnsi="宋体" w:eastAsia="宋体" w:cs="宋体"/>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7A1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951" w:type="dxa"/>
            <w:gridSpan w:val="2"/>
            <w:tcBorders>
              <w:top w:val="nil"/>
              <w:left w:val="single" w:color="000000" w:sz="4" w:space="0"/>
              <w:bottom w:val="single" w:color="000000" w:sz="4" w:space="0"/>
              <w:right w:val="single" w:color="000000" w:sz="4" w:space="0"/>
            </w:tcBorders>
            <w:shd w:val="clear" w:color="auto" w:fill="auto"/>
            <w:noWrap/>
            <w:vAlign w:val="center"/>
          </w:tcPr>
          <w:p w14:paraId="26DD0F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专家意见采纳率</w:t>
            </w:r>
          </w:p>
        </w:tc>
        <w:tc>
          <w:tcPr>
            <w:tcW w:w="2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8AF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2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E8DB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925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D8C0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1" w:hRule="atLeast"/>
        </w:trPr>
        <w:tc>
          <w:tcPr>
            <w:tcW w:w="1040" w:type="dxa"/>
            <w:vMerge w:val="continue"/>
            <w:tcBorders>
              <w:top w:val="single" w:color="000000" w:sz="4" w:space="0"/>
              <w:left w:val="single" w:color="000000" w:sz="4" w:space="0"/>
              <w:bottom w:val="single" w:color="000000" w:sz="4" w:space="0"/>
              <w:right w:val="nil"/>
            </w:tcBorders>
            <w:shd w:val="clear" w:color="auto" w:fill="auto"/>
            <w:vAlign w:val="center"/>
          </w:tcPr>
          <w:p w14:paraId="6B15DC70">
            <w:pPr>
              <w:jc w:val="center"/>
              <w:rPr>
                <w:rFonts w:hint="eastAsia" w:ascii="宋体" w:hAnsi="宋体" w:eastAsia="宋体" w:cs="宋体"/>
                <w:i w:val="0"/>
                <w:iCs w:val="0"/>
                <w:color w:val="000000"/>
                <w:sz w:val="20"/>
                <w:szCs w:val="20"/>
                <w:u w:val="none"/>
              </w:rPr>
            </w:pPr>
          </w:p>
        </w:tc>
        <w:tc>
          <w:tcPr>
            <w:tcW w:w="975" w:type="dxa"/>
            <w:vMerge w:val="continue"/>
            <w:tcBorders>
              <w:top w:val="nil"/>
              <w:left w:val="single" w:color="000000" w:sz="4" w:space="0"/>
              <w:bottom w:val="nil"/>
              <w:right w:val="single" w:color="000000" w:sz="4" w:space="0"/>
            </w:tcBorders>
            <w:shd w:val="clear" w:color="auto" w:fill="auto"/>
            <w:vAlign w:val="center"/>
          </w:tcPr>
          <w:p w14:paraId="69326F76">
            <w:pPr>
              <w:jc w:val="center"/>
              <w:rPr>
                <w:rFonts w:hint="eastAsia" w:ascii="宋体" w:hAnsi="宋体" w:eastAsia="宋体" w:cs="宋体"/>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3B9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951" w:type="dxa"/>
            <w:gridSpan w:val="2"/>
            <w:tcBorders>
              <w:top w:val="nil"/>
              <w:left w:val="single" w:color="000000" w:sz="4" w:space="0"/>
              <w:bottom w:val="single" w:color="000000" w:sz="4" w:space="0"/>
              <w:right w:val="single" w:color="000000" w:sz="4" w:space="0"/>
            </w:tcBorders>
            <w:shd w:val="clear" w:color="auto" w:fill="auto"/>
            <w:noWrap/>
            <w:vAlign w:val="center"/>
          </w:tcPr>
          <w:p w14:paraId="1DC68F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规定时限内完成情况</w:t>
            </w:r>
          </w:p>
        </w:tc>
        <w:tc>
          <w:tcPr>
            <w:tcW w:w="2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C1158">
            <w:pPr>
              <w:keepNext w:val="0"/>
              <w:keepLines w:val="0"/>
              <w:widowControl/>
              <w:suppressLineNumbers w:val="0"/>
              <w:jc w:val="both"/>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依据约定</w:t>
            </w:r>
          </w:p>
        </w:tc>
        <w:tc>
          <w:tcPr>
            <w:tcW w:w="2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34B64">
            <w:pPr>
              <w:keepNext w:val="0"/>
              <w:keepLines w:val="0"/>
              <w:widowControl/>
              <w:suppressLineNumbers w:val="0"/>
              <w:jc w:val="both"/>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依据约定</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A86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0B9EF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1" w:hRule="atLeast"/>
        </w:trPr>
        <w:tc>
          <w:tcPr>
            <w:tcW w:w="1040" w:type="dxa"/>
            <w:vMerge w:val="continue"/>
            <w:tcBorders>
              <w:top w:val="single" w:color="000000" w:sz="4" w:space="0"/>
              <w:left w:val="single" w:color="000000" w:sz="4" w:space="0"/>
              <w:bottom w:val="single" w:color="000000" w:sz="4" w:space="0"/>
              <w:right w:val="nil"/>
            </w:tcBorders>
            <w:shd w:val="clear" w:color="auto" w:fill="auto"/>
            <w:vAlign w:val="center"/>
          </w:tcPr>
          <w:p w14:paraId="2791CF96">
            <w:pPr>
              <w:jc w:val="center"/>
              <w:rPr>
                <w:rFonts w:hint="eastAsia" w:ascii="宋体" w:hAnsi="宋体" w:eastAsia="宋体" w:cs="宋体"/>
                <w:i w:val="0"/>
                <w:iCs w:val="0"/>
                <w:color w:val="000000"/>
                <w:sz w:val="20"/>
                <w:szCs w:val="20"/>
                <w:u w:val="none"/>
              </w:rPr>
            </w:pPr>
          </w:p>
        </w:tc>
        <w:tc>
          <w:tcPr>
            <w:tcW w:w="975" w:type="dxa"/>
            <w:vMerge w:val="continue"/>
            <w:tcBorders>
              <w:top w:val="nil"/>
              <w:left w:val="single" w:color="000000" w:sz="4" w:space="0"/>
              <w:bottom w:val="nil"/>
              <w:right w:val="single" w:color="000000" w:sz="4" w:space="0"/>
            </w:tcBorders>
            <w:shd w:val="clear" w:color="auto" w:fill="auto"/>
            <w:vAlign w:val="center"/>
          </w:tcPr>
          <w:p w14:paraId="408AFD04">
            <w:pPr>
              <w:jc w:val="center"/>
              <w:rPr>
                <w:rFonts w:hint="eastAsia" w:ascii="宋体" w:hAnsi="宋体" w:eastAsia="宋体" w:cs="宋体"/>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C03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951" w:type="dxa"/>
            <w:gridSpan w:val="2"/>
            <w:tcBorders>
              <w:top w:val="nil"/>
              <w:left w:val="single" w:color="000000" w:sz="4" w:space="0"/>
              <w:bottom w:val="single" w:color="000000" w:sz="4" w:space="0"/>
              <w:right w:val="single" w:color="000000" w:sz="4" w:space="0"/>
            </w:tcBorders>
            <w:shd w:val="clear" w:color="auto" w:fill="auto"/>
            <w:noWrap/>
            <w:vAlign w:val="center"/>
          </w:tcPr>
          <w:p w14:paraId="766170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评审费用支付情况</w:t>
            </w:r>
          </w:p>
        </w:tc>
        <w:tc>
          <w:tcPr>
            <w:tcW w:w="2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97790">
            <w:pPr>
              <w:keepNext w:val="0"/>
              <w:keepLines w:val="0"/>
              <w:widowControl/>
              <w:suppressLineNumbers w:val="0"/>
              <w:jc w:val="both"/>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按照有关规定费用计算标准、费率，支付评审费</w:t>
            </w:r>
          </w:p>
        </w:tc>
        <w:tc>
          <w:tcPr>
            <w:tcW w:w="2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40B7C">
            <w:pPr>
              <w:keepNext w:val="0"/>
              <w:keepLines w:val="0"/>
              <w:widowControl/>
              <w:suppressLineNumbers w:val="0"/>
              <w:jc w:val="both"/>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按照有关规定费用计算标准、费率，支付评审费</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52C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7B47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77" w:hRule="atLeast"/>
        </w:trPr>
        <w:tc>
          <w:tcPr>
            <w:tcW w:w="1040" w:type="dxa"/>
            <w:vMerge w:val="continue"/>
            <w:tcBorders>
              <w:top w:val="single" w:color="000000" w:sz="4" w:space="0"/>
              <w:left w:val="single" w:color="000000" w:sz="4" w:space="0"/>
              <w:bottom w:val="single" w:color="000000" w:sz="4" w:space="0"/>
              <w:right w:val="nil"/>
            </w:tcBorders>
            <w:shd w:val="clear" w:color="auto" w:fill="auto"/>
            <w:vAlign w:val="center"/>
          </w:tcPr>
          <w:p w14:paraId="0D0626A1">
            <w:pPr>
              <w:jc w:val="center"/>
              <w:rPr>
                <w:rFonts w:hint="eastAsia" w:ascii="宋体" w:hAnsi="宋体" w:eastAsia="宋体" w:cs="宋体"/>
                <w:i w:val="0"/>
                <w:iCs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A63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50" w:type="dxa"/>
            <w:tcBorders>
              <w:top w:val="nil"/>
              <w:left w:val="nil"/>
              <w:bottom w:val="single" w:color="000000" w:sz="4" w:space="0"/>
              <w:right w:val="single" w:color="000000" w:sz="4" w:space="0"/>
            </w:tcBorders>
            <w:shd w:val="clear" w:color="auto" w:fill="auto"/>
            <w:vAlign w:val="center"/>
          </w:tcPr>
          <w:p w14:paraId="1F63E0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951" w:type="dxa"/>
            <w:gridSpan w:val="2"/>
            <w:tcBorders>
              <w:top w:val="nil"/>
              <w:left w:val="single" w:color="000000" w:sz="4" w:space="0"/>
              <w:bottom w:val="single" w:color="000000" w:sz="4" w:space="0"/>
              <w:right w:val="single" w:color="000000" w:sz="4" w:space="0"/>
            </w:tcBorders>
            <w:shd w:val="clear" w:color="auto" w:fill="auto"/>
            <w:vAlign w:val="center"/>
          </w:tcPr>
          <w:p w14:paraId="1768CC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8F05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2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B634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A14D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780C1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0" w:type="dxa"/>
            <w:vMerge w:val="continue"/>
            <w:tcBorders>
              <w:top w:val="single" w:color="000000" w:sz="4" w:space="0"/>
              <w:left w:val="single" w:color="000000" w:sz="4" w:space="0"/>
              <w:bottom w:val="single" w:color="000000" w:sz="4" w:space="0"/>
              <w:right w:val="nil"/>
            </w:tcBorders>
            <w:shd w:val="clear" w:color="auto" w:fill="auto"/>
            <w:vAlign w:val="center"/>
          </w:tcPr>
          <w:p w14:paraId="38532455">
            <w:pPr>
              <w:jc w:val="center"/>
              <w:rPr>
                <w:rFonts w:hint="eastAsia" w:ascii="宋体" w:hAnsi="宋体" w:eastAsia="宋体" w:cs="宋体"/>
                <w:i w:val="0"/>
                <w:iCs w:val="0"/>
                <w:color w:val="000000"/>
                <w:sz w:val="20"/>
                <w:szCs w:val="20"/>
                <w:u w:val="none"/>
              </w:rPr>
            </w:pPr>
          </w:p>
        </w:tc>
        <w:tc>
          <w:tcPr>
            <w:tcW w:w="975" w:type="dxa"/>
            <w:vMerge w:val="restart"/>
            <w:tcBorders>
              <w:top w:val="nil"/>
              <w:left w:val="single" w:color="000000" w:sz="4" w:space="0"/>
              <w:bottom w:val="nil"/>
              <w:right w:val="single" w:color="000000" w:sz="4" w:space="0"/>
            </w:tcBorders>
            <w:shd w:val="clear" w:color="auto" w:fill="auto"/>
            <w:vAlign w:val="center"/>
          </w:tcPr>
          <w:p w14:paraId="2267C3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450" w:type="dxa"/>
            <w:tcBorders>
              <w:top w:val="single" w:color="000000" w:sz="4" w:space="0"/>
              <w:left w:val="nil"/>
              <w:bottom w:val="single" w:color="000000" w:sz="4" w:space="0"/>
              <w:right w:val="single" w:color="000000" w:sz="4" w:space="0"/>
            </w:tcBorders>
            <w:shd w:val="clear" w:color="auto" w:fill="auto"/>
            <w:vAlign w:val="center"/>
          </w:tcPr>
          <w:p w14:paraId="61EA9D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9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731C9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提高审批效率</w:t>
            </w:r>
          </w:p>
        </w:tc>
        <w:tc>
          <w:tcPr>
            <w:tcW w:w="2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0D0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2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218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已完成</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1399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3F4A1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65" w:hRule="atLeast"/>
        </w:trPr>
        <w:tc>
          <w:tcPr>
            <w:tcW w:w="1040" w:type="dxa"/>
            <w:vMerge w:val="continue"/>
            <w:tcBorders>
              <w:top w:val="single" w:color="000000" w:sz="4" w:space="0"/>
              <w:left w:val="single" w:color="000000" w:sz="4" w:space="0"/>
              <w:bottom w:val="single" w:color="000000" w:sz="4" w:space="0"/>
              <w:right w:val="nil"/>
            </w:tcBorders>
            <w:shd w:val="clear" w:color="auto" w:fill="auto"/>
            <w:vAlign w:val="center"/>
          </w:tcPr>
          <w:p w14:paraId="72C36134">
            <w:pPr>
              <w:jc w:val="center"/>
              <w:rPr>
                <w:rFonts w:hint="eastAsia" w:ascii="宋体" w:hAnsi="宋体" w:eastAsia="宋体" w:cs="宋体"/>
                <w:i w:val="0"/>
                <w:iCs w:val="0"/>
                <w:color w:val="000000"/>
                <w:sz w:val="20"/>
                <w:szCs w:val="20"/>
                <w:u w:val="none"/>
              </w:rPr>
            </w:pPr>
          </w:p>
        </w:tc>
        <w:tc>
          <w:tcPr>
            <w:tcW w:w="975" w:type="dxa"/>
            <w:vMerge w:val="continue"/>
            <w:tcBorders>
              <w:top w:val="nil"/>
              <w:left w:val="single" w:color="000000" w:sz="4" w:space="0"/>
              <w:bottom w:val="nil"/>
              <w:right w:val="single" w:color="000000" w:sz="4" w:space="0"/>
            </w:tcBorders>
            <w:shd w:val="clear" w:color="auto" w:fill="auto"/>
            <w:vAlign w:val="center"/>
          </w:tcPr>
          <w:p w14:paraId="70BFD5A3">
            <w:pPr>
              <w:jc w:val="center"/>
              <w:rPr>
                <w:rFonts w:hint="eastAsia" w:ascii="宋体" w:hAnsi="宋体" w:eastAsia="宋体" w:cs="宋体"/>
                <w:i w:val="0"/>
                <w:iCs w:val="0"/>
                <w:color w:val="000000"/>
                <w:sz w:val="20"/>
                <w:szCs w:val="20"/>
                <w:u w:val="none"/>
              </w:rPr>
            </w:pPr>
          </w:p>
        </w:tc>
        <w:tc>
          <w:tcPr>
            <w:tcW w:w="450" w:type="dxa"/>
            <w:tcBorders>
              <w:top w:val="single" w:color="000000" w:sz="4" w:space="0"/>
              <w:left w:val="nil"/>
              <w:bottom w:val="single" w:color="000000" w:sz="4" w:space="0"/>
              <w:right w:val="single" w:color="000000" w:sz="4" w:space="0"/>
            </w:tcBorders>
            <w:shd w:val="clear" w:color="auto" w:fill="auto"/>
            <w:vAlign w:val="center"/>
          </w:tcPr>
          <w:p w14:paraId="03FABB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可持续影响效益指标</w:t>
            </w:r>
          </w:p>
        </w:tc>
        <w:tc>
          <w:tcPr>
            <w:tcW w:w="9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00569B">
            <w:pPr>
              <w:keepNext w:val="0"/>
              <w:keepLines w:val="0"/>
              <w:widowControl/>
              <w:suppressLineNumbers w:val="0"/>
              <w:jc w:val="left"/>
              <w:textAlignment w:val="center"/>
              <w:rPr>
                <w:rFonts w:ascii="Arial Unicode MS" w:hAnsi="Arial Unicode MS" w:eastAsia="Arial Unicode MS" w:cs="Arial Unicode MS"/>
                <w:i w:val="0"/>
                <w:iCs w:val="0"/>
                <w:color w:val="000000"/>
                <w:sz w:val="20"/>
                <w:szCs w:val="20"/>
                <w:u w:val="none"/>
              </w:rPr>
            </w:pPr>
            <w:r>
              <w:rPr>
                <w:rFonts w:hint="default" w:ascii="Arial Unicode MS" w:hAnsi="Arial Unicode MS" w:eastAsia="Arial Unicode MS" w:cs="Arial Unicode MS"/>
                <w:i w:val="0"/>
                <w:iCs w:val="0"/>
                <w:color w:val="000000"/>
                <w:kern w:val="0"/>
                <w:sz w:val="20"/>
                <w:szCs w:val="20"/>
                <w:u w:val="none"/>
                <w:lang w:val="en-US" w:eastAsia="zh-CN" w:bidi="ar"/>
              </w:rPr>
              <w:t>降低社会风险，提高社会效益情况</w:t>
            </w:r>
          </w:p>
        </w:tc>
        <w:tc>
          <w:tcPr>
            <w:tcW w:w="2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BF9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降低社会风险，提高社会效益</w:t>
            </w:r>
          </w:p>
        </w:tc>
        <w:tc>
          <w:tcPr>
            <w:tcW w:w="2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8DF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已完成</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3598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7F9A0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9" w:hRule="atLeast"/>
        </w:trPr>
        <w:tc>
          <w:tcPr>
            <w:tcW w:w="1040" w:type="dxa"/>
            <w:vMerge w:val="continue"/>
            <w:tcBorders>
              <w:top w:val="single" w:color="000000" w:sz="4" w:space="0"/>
              <w:left w:val="single" w:color="000000" w:sz="4" w:space="0"/>
              <w:bottom w:val="single" w:color="000000" w:sz="4" w:space="0"/>
              <w:right w:val="nil"/>
            </w:tcBorders>
            <w:shd w:val="clear" w:color="auto" w:fill="auto"/>
            <w:vAlign w:val="center"/>
          </w:tcPr>
          <w:p w14:paraId="5A2F79B0">
            <w:pPr>
              <w:jc w:val="center"/>
              <w:rPr>
                <w:rFonts w:hint="eastAsia" w:ascii="宋体" w:hAnsi="宋体" w:eastAsia="宋体" w:cs="宋体"/>
                <w:i w:val="0"/>
                <w:iCs w:val="0"/>
                <w:color w:val="000000"/>
                <w:sz w:val="20"/>
                <w:szCs w:val="20"/>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2E7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50" w:type="dxa"/>
            <w:tcBorders>
              <w:top w:val="single" w:color="000000" w:sz="4" w:space="0"/>
              <w:left w:val="nil"/>
              <w:bottom w:val="single" w:color="000000" w:sz="4" w:space="0"/>
              <w:right w:val="single" w:color="000000" w:sz="4" w:space="0"/>
            </w:tcBorders>
            <w:shd w:val="clear" w:color="auto" w:fill="auto"/>
            <w:vAlign w:val="center"/>
          </w:tcPr>
          <w:p w14:paraId="058FDB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9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97DB96">
            <w:pPr>
              <w:keepNext w:val="0"/>
              <w:keepLines w:val="0"/>
              <w:widowControl/>
              <w:suppressLineNumbers w:val="0"/>
              <w:jc w:val="left"/>
              <w:textAlignment w:val="center"/>
              <w:rPr>
                <w:rFonts w:hint="default" w:ascii="Arial Unicode MS" w:hAnsi="Arial Unicode MS" w:eastAsia="Arial Unicode MS" w:cs="Arial Unicode MS"/>
                <w:i w:val="0"/>
                <w:iCs w:val="0"/>
                <w:color w:val="000000"/>
                <w:sz w:val="20"/>
                <w:szCs w:val="20"/>
                <w:u w:val="none"/>
              </w:rPr>
            </w:pPr>
            <w:r>
              <w:rPr>
                <w:rFonts w:hint="default" w:ascii="Arial Unicode MS" w:hAnsi="Arial Unicode MS" w:eastAsia="Arial Unicode MS" w:cs="Arial Unicode MS"/>
                <w:i w:val="0"/>
                <w:iCs w:val="0"/>
                <w:color w:val="000000"/>
                <w:kern w:val="0"/>
                <w:sz w:val="20"/>
                <w:szCs w:val="20"/>
                <w:u w:val="none"/>
                <w:lang w:val="en-US" w:eastAsia="zh-CN" w:bidi="ar"/>
              </w:rPr>
              <w:t>服务对象满意度</w:t>
            </w:r>
          </w:p>
        </w:tc>
        <w:tc>
          <w:tcPr>
            <w:tcW w:w="2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8B8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2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40E6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80%</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C78E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w:t>
            </w:r>
          </w:p>
        </w:tc>
      </w:tr>
      <w:tr w14:paraId="690D2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4" w:hRule="atLeast"/>
        </w:trPr>
        <w:tc>
          <w:tcPr>
            <w:tcW w:w="1040" w:type="dxa"/>
            <w:vMerge w:val="continue"/>
            <w:tcBorders>
              <w:top w:val="single" w:color="000000" w:sz="4" w:space="0"/>
              <w:left w:val="single" w:color="000000" w:sz="4" w:space="0"/>
              <w:bottom w:val="single" w:color="000000" w:sz="4" w:space="0"/>
              <w:right w:val="nil"/>
            </w:tcBorders>
            <w:shd w:val="clear" w:color="auto" w:fill="auto"/>
            <w:vAlign w:val="center"/>
          </w:tcPr>
          <w:p w14:paraId="3B50618A">
            <w:pPr>
              <w:jc w:val="center"/>
              <w:rPr>
                <w:rFonts w:hint="eastAsia" w:ascii="宋体" w:hAnsi="宋体" w:eastAsia="宋体" w:cs="宋体"/>
                <w:i w:val="0"/>
                <w:iCs w:val="0"/>
                <w:color w:val="000000"/>
                <w:sz w:val="20"/>
                <w:szCs w:val="20"/>
                <w:u w:val="none"/>
              </w:rPr>
            </w:pPr>
          </w:p>
        </w:tc>
        <w:tc>
          <w:tcPr>
            <w:tcW w:w="760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E0CB2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0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37DF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r>
      <w:tr w14:paraId="192EA2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2" w:hRule="atLeast"/>
        </w:trPr>
        <w:tc>
          <w:tcPr>
            <w:tcW w:w="1040" w:type="dxa"/>
            <w:tcBorders>
              <w:top w:val="nil"/>
              <w:left w:val="single" w:color="000000" w:sz="4" w:space="0"/>
              <w:bottom w:val="single" w:color="000000" w:sz="4" w:space="0"/>
              <w:right w:val="single" w:color="000000" w:sz="4" w:space="0"/>
            </w:tcBorders>
            <w:shd w:val="clear" w:color="auto" w:fill="auto"/>
            <w:vAlign w:val="center"/>
          </w:tcPr>
          <w:p w14:paraId="3405CC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Style w:val="12"/>
                <w:rFonts w:eastAsia="宋体"/>
                <w:lang w:val="en-US" w:eastAsia="zh-CN" w:bidi="ar"/>
              </w:rPr>
              <w:t xml:space="preserve"> </w:t>
            </w:r>
            <w:r>
              <w:rPr>
                <w:rStyle w:val="13"/>
                <w:lang w:val="en-US" w:eastAsia="zh-CN" w:bidi="ar"/>
              </w:rPr>
              <w:t>存在问题、原因及下一步整改措施</w:t>
            </w:r>
          </w:p>
        </w:tc>
        <w:tc>
          <w:tcPr>
            <w:tcW w:w="863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DB57F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按照有关规定完成各项评审工作，提高审批效率。</w:t>
            </w:r>
          </w:p>
        </w:tc>
      </w:tr>
      <w:tr w14:paraId="46D56C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1040" w:type="dxa"/>
            <w:tcBorders>
              <w:top w:val="nil"/>
              <w:left w:val="nil"/>
              <w:bottom w:val="nil"/>
              <w:right w:val="nil"/>
            </w:tcBorders>
            <w:shd w:val="clear" w:color="auto" w:fill="auto"/>
            <w:noWrap/>
            <w:vAlign w:val="top"/>
          </w:tcPr>
          <w:p w14:paraId="0846C119">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p>
          <w:p w14:paraId="5C0BDCC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975" w:type="dxa"/>
            <w:tcBorders>
              <w:top w:val="nil"/>
              <w:left w:val="nil"/>
              <w:bottom w:val="nil"/>
              <w:right w:val="nil"/>
            </w:tcBorders>
            <w:shd w:val="clear" w:color="auto" w:fill="auto"/>
            <w:noWrap/>
            <w:vAlign w:val="top"/>
          </w:tcPr>
          <w:p w14:paraId="583D68E8">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p>
          <w:p w14:paraId="129880D2">
            <w:pPr>
              <w:keepNext w:val="0"/>
              <w:keepLines w:val="0"/>
              <w:widowControl/>
              <w:suppressLineNumbers w:val="0"/>
              <w:jc w:val="left"/>
              <w:textAlignment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lang w:eastAsia="zh-CN"/>
              </w:rPr>
              <w:t>任丽霞</w:t>
            </w:r>
          </w:p>
        </w:tc>
        <w:tc>
          <w:tcPr>
            <w:tcW w:w="450" w:type="dxa"/>
            <w:tcBorders>
              <w:top w:val="nil"/>
              <w:left w:val="nil"/>
              <w:bottom w:val="nil"/>
              <w:right w:val="nil"/>
            </w:tcBorders>
            <w:shd w:val="clear" w:color="auto" w:fill="auto"/>
            <w:noWrap/>
            <w:vAlign w:val="center"/>
          </w:tcPr>
          <w:p w14:paraId="4DF07109">
            <w:pPr>
              <w:jc w:val="center"/>
              <w:rPr>
                <w:rFonts w:hint="eastAsia" w:ascii="宋体" w:hAnsi="宋体" w:eastAsia="宋体" w:cs="宋体"/>
                <w:i w:val="0"/>
                <w:iCs w:val="0"/>
                <w:color w:val="000000"/>
                <w:sz w:val="20"/>
                <w:szCs w:val="20"/>
                <w:u w:val="none"/>
              </w:rPr>
            </w:pPr>
          </w:p>
        </w:tc>
        <w:tc>
          <w:tcPr>
            <w:tcW w:w="450" w:type="dxa"/>
            <w:tcBorders>
              <w:top w:val="nil"/>
              <w:left w:val="nil"/>
              <w:bottom w:val="nil"/>
              <w:right w:val="nil"/>
            </w:tcBorders>
            <w:shd w:val="clear" w:color="auto" w:fill="auto"/>
            <w:noWrap/>
            <w:vAlign w:val="center"/>
          </w:tcPr>
          <w:p w14:paraId="6CCE67DE">
            <w:pPr>
              <w:jc w:val="center"/>
              <w:rPr>
                <w:rFonts w:hint="eastAsia" w:ascii="宋体" w:hAnsi="宋体" w:eastAsia="宋体" w:cs="宋体"/>
                <w:i w:val="0"/>
                <w:iCs w:val="0"/>
                <w:color w:val="000000"/>
                <w:sz w:val="20"/>
                <w:szCs w:val="20"/>
                <w:u w:val="none"/>
              </w:rPr>
            </w:pPr>
          </w:p>
        </w:tc>
        <w:tc>
          <w:tcPr>
            <w:tcW w:w="501" w:type="dxa"/>
            <w:tcBorders>
              <w:top w:val="nil"/>
              <w:left w:val="nil"/>
              <w:bottom w:val="nil"/>
              <w:right w:val="nil"/>
            </w:tcBorders>
            <w:shd w:val="clear" w:color="auto" w:fill="auto"/>
            <w:noWrap/>
            <w:vAlign w:val="center"/>
          </w:tcPr>
          <w:p w14:paraId="58039D29">
            <w:pPr>
              <w:jc w:val="center"/>
              <w:rPr>
                <w:rFonts w:hint="eastAsia" w:ascii="宋体" w:hAnsi="宋体" w:eastAsia="宋体" w:cs="宋体"/>
                <w:i w:val="0"/>
                <w:iCs w:val="0"/>
                <w:color w:val="000000"/>
                <w:sz w:val="20"/>
                <w:szCs w:val="20"/>
                <w:u w:val="none"/>
              </w:rPr>
            </w:pPr>
          </w:p>
        </w:tc>
        <w:tc>
          <w:tcPr>
            <w:tcW w:w="2616" w:type="dxa"/>
            <w:tcBorders>
              <w:top w:val="nil"/>
              <w:left w:val="nil"/>
              <w:bottom w:val="nil"/>
              <w:right w:val="nil"/>
            </w:tcBorders>
            <w:shd w:val="clear" w:color="auto" w:fill="auto"/>
            <w:noWrap/>
            <w:vAlign w:val="center"/>
          </w:tcPr>
          <w:p w14:paraId="579BC52D">
            <w:pPr>
              <w:jc w:val="center"/>
              <w:rPr>
                <w:rFonts w:hint="eastAsia" w:ascii="宋体" w:hAnsi="宋体" w:eastAsia="宋体" w:cs="宋体"/>
                <w:i w:val="0"/>
                <w:iCs w:val="0"/>
                <w:color w:val="000000"/>
                <w:sz w:val="20"/>
                <w:szCs w:val="20"/>
                <w:u w:val="none"/>
              </w:rPr>
            </w:pPr>
          </w:p>
        </w:tc>
        <w:tc>
          <w:tcPr>
            <w:tcW w:w="2616" w:type="dxa"/>
            <w:tcBorders>
              <w:top w:val="nil"/>
              <w:left w:val="nil"/>
              <w:bottom w:val="nil"/>
              <w:right w:val="nil"/>
            </w:tcBorders>
            <w:shd w:val="clear" w:color="auto" w:fill="auto"/>
            <w:noWrap/>
            <w:vAlign w:val="center"/>
          </w:tcPr>
          <w:p w14:paraId="151F358F">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p>
          <w:p w14:paraId="590811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1027" w:type="dxa"/>
            <w:tcBorders>
              <w:top w:val="nil"/>
              <w:left w:val="nil"/>
              <w:bottom w:val="nil"/>
              <w:right w:val="nil"/>
            </w:tcBorders>
            <w:shd w:val="clear" w:color="auto" w:fill="auto"/>
            <w:noWrap/>
            <w:vAlign w:val="center"/>
          </w:tcPr>
          <w:p w14:paraId="7EC068C0">
            <w:pPr>
              <w:keepNext w:val="0"/>
              <w:keepLines w:val="0"/>
              <w:widowControl/>
              <w:suppressLineNumbers w:val="0"/>
              <w:jc w:val="both"/>
              <w:textAlignment w:val="center"/>
              <w:rPr>
                <w:rFonts w:hint="eastAsia" w:ascii="宋体" w:hAnsi="宋体" w:eastAsia="宋体" w:cs="宋体"/>
                <w:i w:val="0"/>
                <w:iCs w:val="0"/>
                <w:color w:val="000000"/>
                <w:sz w:val="20"/>
                <w:szCs w:val="20"/>
                <w:u w:val="none"/>
                <w:lang w:val="en-US" w:eastAsia="zh-CN"/>
              </w:rPr>
            </w:pPr>
          </w:p>
          <w:p w14:paraId="57EF2551">
            <w:pPr>
              <w:keepNext w:val="0"/>
              <w:keepLines w:val="0"/>
              <w:widowControl/>
              <w:suppressLineNumbers w:val="0"/>
              <w:jc w:val="both"/>
              <w:textAlignment w:val="center"/>
              <w:rPr>
                <w:rFonts w:hint="default" w:ascii="宋体" w:hAnsi="宋体" w:eastAsia="宋体" w:cs="宋体"/>
                <w:i w:val="0"/>
                <w:iCs w:val="0"/>
                <w:color w:val="000000"/>
                <w:sz w:val="20"/>
                <w:szCs w:val="20"/>
                <w:u w:val="none"/>
                <w:lang w:val="en-US" w:eastAsia="zh-CN"/>
              </w:rPr>
            </w:pPr>
            <w:r>
              <w:rPr>
                <w:rFonts w:hint="eastAsia" w:ascii="宋体" w:hAnsi="宋体" w:eastAsia="宋体" w:cs="宋体"/>
                <w:i w:val="0"/>
                <w:iCs w:val="0"/>
                <w:color w:val="000000"/>
                <w:sz w:val="20"/>
                <w:szCs w:val="20"/>
                <w:u w:val="none"/>
                <w:lang w:val="en-US" w:eastAsia="zh-CN"/>
              </w:rPr>
              <w:t>84038167</w:t>
            </w:r>
          </w:p>
        </w:tc>
      </w:tr>
    </w:tbl>
    <w:p w14:paraId="56E1105D">
      <w:pPr>
        <w:adjustRightInd w:val="0"/>
        <w:snapToGrid w:val="0"/>
        <w:spacing w:line="600" w:lineRule="exact"/>
        <w:ind w:left="420" w:leftChars="200" w:firstLine="960" w:firstLineChars="300"/>
        <w:rPr>
          <w:rFonts w:ascii="仿宋_GB2312" w:hAnsi="仿宋_GB2312" w:eastAsia="仿宋_GB2312" w:cs="仿宋_GB2312"/>
          <w:sz w:val="32"/>
          <w:szCs w:val="32"/>
        </w:rPr>
      </w:pPr>
    </w:p>
    <w:p w14:paraId="45FE1586">
      <w:pPr>
        <w:adjustRightInd w:val="0"/>
        <w:snapToGrid w:val="0"/>
        <w:spacing w:line="600" w:lineRule="exact"/>
        <w:ind w:firstLine="643" w:firstLineChars="200"/>
        <w:rPr>
          <w:rFonts w:ascii="仿宋_GB2312" w:hAnsi="仿宋_GB2312" w:eastAsia="仿宋_GB2312" w:cs="仿宋_GB2312"/>
          <w:b/>
          <w:bCs/>
          <w:sz w:val="32"/>
          <w:szCs w:val="32"/>
        </w:rPr>
      </w:pPr>
      <w:r>
        <w:rPr>
          <w:rFonts w:hint="eastAsia" w:ascii="楷体_GB2312" w:hAnsi="楷体_GB2312" w:eastAsia="楷体_GB2312" w:cs="楷体_GB2312"/>
          <w:b/>
          <w:bCs/>
          <w:sz w:val="32"/>
          <w:szCs w:val="32"/>
        </w:rPr>
        <w:t>（三）财政评价项目绩效评价结果</w:t>
      </w:r>
    </w:p>
    <w:p w14:paraId="7B0BAFA4">
      <w:pPr>
        <w:snapToGrid w:val="0"/>
        <w:spacing w:before="0" w:beforeAutospacing="0" w:after="0" w:afterAutospacing="0" w:line="600" w:lineRule="exact"/>
        <w:ind w:firstLine="960" w:firstLineChars="300"/>
        <w:jc w:val="left"/>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本部门本年无财政评价项目。</w:t>
      </w:r>
    </w:p>
    <w:p w14:paraId="78B53714">
      <w:pPr>
        <w:keepNext/>
        <w:keepLines/>
        <w:snapToGrid w:val="0"/>
        <w:spacing w:line="600" w:lineRule="exact"/>
        <w:ind w:firstLine="960" w:firstLineChars="300"/>
        <w:outlineLvl w:val="1"/>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sz w:val="32"/>
          <w:szCs w:val="32"/>
        </w:rPr>
        <w:t>没有财政评价项目绩效评价结果。</w:t>
      </w:r>
      <w:r>
        <w:rPr>
          <w:rFonts w:hint="eastAsia" w:ascii="仿宋_GB2312" w:hAnsi="仿宋_GB2312" w:eastAsia="仿宋_GB2312" w:cs="仿宋_GB2312"/>
          <w:b w:val="0"/>
          <w:i w:val="0"/>
          <w:caps w:val="0"/>
          <w:spacing w:val="0"/>
          <w:w w:val="100"/>
          <w:sz w:val="32"/>
          <w:szCs w:val="32"/>
          <w:lang w:val="en-US" w:eastAsia="zh-CN"/>
        </w:rPr>
        <w:t xml:space="preserve"> </w:t>
      </w:r>
    </w:p>
    <w:p w14:paraId="642CD5CE">
      <w:pPr>
        <w:keepNext/>
        <w:keepLines/>
        <w:snapToGrid w:val="0"/>
        <w:spacing w:line="600" w:lineRule="exact"/>
        <w:ind w:firstLine="640" w:firstLineChars="200"/>
        <w:outlineLvl w:val="1"/>
        <w:rPr>
          <w:rFonts w:ascii="仿宋_GB2312" w:hAnsi="仿宋_GB2312" w:eastAsia="仿宋_GB2312" w:cs="仿宋_GB2312"/>
          <w:sz w:val="32"/>
          <w:szCs w:val="32"/>
          <w:highlight w:val="yellow"/>
        </w:rPr>
      </w:pPr>
      <w:r>
        <w:rPr>
          <w:rFonts w:hint="eastAsia" w:ascii="黑体" w:hAnsi="黑体" w:eastAsia="黑体" w:cs="黑体"/>
          <w:sz w:val="32"/>
          <w:szCs w:val="32"/>
        </w:rPr>
        <w:t>七、机关运行经费情况</w:t>
      </w:r>
    </w:p>
    <w:p w14:paraId="58499C15">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本部门2020年度机关运行经费支出</w:t>
      </w:r>
      <w:r>
        <w:rPr>
          <w:rFonts w:hint="eastAsia" w:ascii="仿宋_GB2312" w:hAnsi="仿宋_GB2312" w:eastAsia="仿宋_GB2312" w:cs="仿宋_GB2312"/>
          <w:sz w:val="32"/>
          <w:szCs w:val="32"/>
          <w:lang w:val="en-US" w:eastAsia="zh-CN"/>
        </w:rPr>
        <w:t>167.92</w:t>
      </w:r>
      <w:r>
        <w:rPr>
          <w:rFonts w:hint="eastAsia" w:ascii="仿宋_GB2312" w:hAnsi="仿宋_GB2312" w:eastAsia="仿宋_GB2312" w:cs="仿宋_GB2312"/>
          <w:sz w:val="32"/>
          <w:szCs w:val="32"/>
        </w:rPr>
        <w:t>万元，比2019年度增加</w:t>
      </w:r>
      <w:r>
        <w:rPr>
          <w:rFonts w:hint="eastAsia" w:ascii="仿宋_GB2312" w:hAnsi="仿宋_GB2312" w:eastAsia="仿宋_GB2312" w:cs="仿宋_GB2312"/>
          <w:sz w:val="32"/>
          <w:szCs w:val="32"/>
          <w:lang w:val="en-US" w:eastAsia="zh-CN"/>
        </w:rPr>
        <w:t>153.69</w:t>
      </w:r>
      <w:r>
        <w:rPr>
          <w:rFonts w:hint="eastAsia" w:ascii="仿宋_GB2312" w:hAnsi="仿宋_GB2312" w:eastAsia="仿宋_GB2312" w:cs="仿宋_GB2312"/>
          <w:sz w:val="32"/>
          <w:szCs w:val="32"/>
        </w:rPr>
        <w:t>万元，增长</w:t>
      </w:r>
      <w:r>
        <w:rPr>
          <w:rFonts w:hint="eastAsia" w:ascii="仿宋_GB2312" w:hAnsi="仿宋_GB2312" w:eastAsia="仿宋_GB2312" w:cs="仿宋_GB2312"/>
          <w:sz w:val="32"/>
          <w:szCs w:val="32"/>
          <w:lang w:val="en-US" w:eastAsia="zh-CN"/>
        </w:rPr>
        <w:t>1080.04</w:t>
      </w:r>
      <w:r>
        <w:rPr>
          <w:rFonts w:hint="eastAsia" w:ascii="仿宋_GB2312" w:hAnsi="仿宋_GB2312" w:eastAsia="仿宋_GB2312" w:cs="仿宋_GB2312"/>
          <w:sz w:val="32"/>
          <w:szCs w:val="32"/>
        </w:rPr>
        <w:t>%。主要原因</w:t>
      </w:r>
      <w:r>
        <w:rPr>
          <w:rFonts w:hint="eastAsia" w:ascii="仿宋_GB2312" w:hAnsi="仿宋_GB2312" w:eastAsia="仿宋_GB2312" w:cs="仿宋_GB2312"/>
          <w:sz w:val="32"/>
          <w:szCs w:val="32"/>
          <w:lang w:eastAsia="zh-CN"/>
        </w:rPr>
        <w:t>是人员增加，职能增加。</w:t>
      </w:r>
    </w:p>
    <w:p w14:paraId="189B8C22">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八、政府采购情况</w:t>
      </w:r>
    </w:p>
    <w:p w14:paraId="668591DE">
      <w:pPr>
        <w:snapToGrid w:val="0"/>
        <w:spacing w:line="600" w:lineRule="exact"/>
        <w:ind w:firstLine="640" w:firstLineChars="200"/>
        <w:jc w:val="left"/>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本部门2020年度政府采购支出总额</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万元，从采购类型来看，</w:t>
      </w:r>
      <w:r>
        <w:rPr>
          <w:rFonts w:hint="eastAsia"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p>
    <w:p w14:paraId="005D0E38">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14:paraId="708B7AE9">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截至2020年12月31日，本部门共有车辆</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辆，比上年增加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辆，主要是</w:t>
      </w:r>
      <w:r>
        <w:rPr>
          <w:rFonts w:hint="eastAsia" w:ascii="仿宋_GB2312" w:hAnsi="仿宋_GB2312" w:eastAsia="仿宋_GB2312" w:cs="仿宋_GB2312"/>
          <w:sz w:val="32"/>
          <w:szCs w:val="32"/>
          <w:lang w:eastAsia="zh-CN"/>
        </w:rPr>
        <w:t>本单位无购置公务用车</w:t>
      </w:r>
      <w:r>
        <w:rPr>
          <w:rFonts w:hint="eastAsia" w:ascii="仿宋_GB2312" w:hAnsi="仿宋_GB2312" w:eastAsia="仿宋_GB2312" w:cs="仿宋_GB2312"/>
          <w:sz w:val="32"/>
          <w:szCs w:val="32"/>
        </w:rPr>
        <w:t>。其中，副部（省）级及以上领导用车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辆，主要领导干部用车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辆，机要通信用车</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辆，应急保障用车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辆，执法执勤用车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辆，特种专业技术用车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辆，离退休干部用车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辆，其他用车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w:t>
      </w:r>
    </w:p>
    <w:p w14:paraId="1651700F">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台（套），比上年增加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套，主要是</w:t>
      </w:r>
      <w:r>
        <w:rPr>
          <w:rFonts w:hint="eastAsia" w:ascii="仿宋_GB2312" w:eastAsia="仿宋_GB2312" w:cs="DengXian-Regular"/>
          <w:b w:val="0"/>
          <w:i w:val="0"/>
          <w:caps w:val="0"/>
          <w:spacing w:val="0"/>
          <w:w w:val="100"/>
          <w:sz w:val="32"/>
          <w:szCs w:val="32"/>
        </w:rPr>
        <w:t>本部门无此类资产</w:t>
      </w:r>
      <w:r>
        <w:rPr>
          <w:rFonts w:hint="eastAsia" w:ascii="仿宋_GB2312" w:hAnsi="仿宋_GB2312" w:eastAsia="仿宋_GB2312" w:cs="仿宋_GB2312"/>
          <w:sz w:val="32"/>
          <w:szCs w:val="32"/>
        </w:rPr>
        <w:t xml:space="preserve"> ，单位价值100万元以上专用设备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台（套）比上年减少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套，主要是</w:t>
      </w:r>
      <w:r>
        <w:rPr>
          <w:rFonts w:hint="eastAsia" w:ascii="仿宋_GB2312" w:eastAsia="仿宋_GB2312" w:cs="DengXian-Regular"/>
          <w:b w:val="0"/>
          <w:i w:val="0"/>
          <w:caps w:val="0"/>
          <w:spacing w:val="0"/>
          <w:w w:val="100"/>
          <w:sz w:val="32"/>
          <w:szCs w:val="32"/>
        </w:rPr>
        <w:t>本部门无此类资产</w:t>
      </w:r>
      <w:r>
        <w:rPr>
          <w:rFonts w:hint="eastAsia" w:ascii="仿宋_GB2312" w:hAnsi="仿宋_GB2312" w:eastAsia="仿宋_GB2312" w:cs="仿宋_GB2312"/>
          <w:sz w:val="32"/>
          <w:szCs w:val="32"/>
        </w:rPr>
        <w:t>。</w:t>
      </w:r>
    </w:p>
    <w:p w14:paraId="2B45E27E">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14:paraId="25DAEE00">
      <w:pPr>
        <w:snapToGrid w:val="0"/>
        <w:spacing w:before="0" w:beforeAutospacing="0" w:after="0" w:afterAutospacing="0" w:line="600" w:lineRule="exact"/>
        <w:ind w:left="0" w:leftChars="0" w:firstLine="640" w:firstLineChars="200"/>
        <w:jc w:val="both"/>
        <w:textAlignment w:val="baseline"/>
        <w:rPr>
          <w:rFonts w:ascii="仿宋_GB2312" w:hAnsi="Times New Roman" w:eastAsia="仿宋_GB2312" w:cs="DengXian-Regular"/>
          <w:b w:val="0"/>
          <w:i w:val="0"/>
          <w:caps w:val="0"/>
          <w:spacing w:val="0"/>
          <w:w w:val="100"/>
          <w:sz w:val="32"/>
          <w:szCs w:val="32"/>
        </w:rPr>
      </w:pPr>
      <w:r>
        <w:rPr>
          <w:rFonts w:hint="eastAsia" w:ascii="仿宋_GB2312" w:hAnsi="仿宋_GB2312" w:eastAsia="仿宋_GB2312" w:cs="仿宋_GB2312"/>
          <w:sz w:val="32"/>
          <w:szCs w:val="32"/>
        </w:rPr>
        <w:t>1. 本部门2020年度未发生</w:t>
      </w:r>
      <w:r>
        <w:rPr>
          <w:rFonts w:hint="eastAsia" w:ascii="仿宋_GB2312" w:eastAsia="仿宋_GB2312" w:cs="DengXian-Regular"/>
          <w:b w:val="0"/>
          <w:i w:val="0"/>
          <w:caps w:val="0"/>
          <w:spacing w:val="0"/>
          <w:w w:val="100"/>
          <w:sz w:val="32"/>
          <w:szCs w:val="32"/>
        </w:rPr>
        <w:t>政府性基金预算财政拨款、国有资本经营预算财政拨款无收支及结转结余情况，</w:t>
      </w:r>
      <w:r>
        <w:rPr>
          <w:rFonts w:hint="eastAsia" w:ascii="仿宋_GB2312" w:hAnsi="Times New Roman" w:eastAsia="仿宋_GB2312" w:cs="DengXian-Regular"/>
          <w:b w:val="0"/>
          <w:i w:val="0"/>
          <w:caps w:val="0"/>
          <w:spacing w:val="0"/>
          <w:w w:val="100"/>
          <w:sz w:val="32"/>
          <w:szCs w:val="32"/>
        </w:rPr>
        <w:t>故</w:t>
      </w:r>
      <w:r>
        <w:rPr>
          <w:rFonts w:hint="eastAsia" w:ascii="仿宋_GB2312" w:eastAsia="仿宋_GB2312" w:cs="DengXian-Regular"/>
          <w:b w:val="0"/>
          <w:i w:val="0"/>
          <w:caps w:val="0"/>
          <w:spacing w:val="0"/>
          <w:w w:val="100"/>
          <w:sz w:val="32"/>
          <w:szCs w:val="32"/>
        </w:rPr>
        <w:t>政府性基金预算财政拨款，国有资本经</w:t>
      </w:r>
      <w:r>
        <w:rPr>
          <w:rFonts w:hint="eastAsia" w:ascii="仿宋_GB2312" w:eastAsia="仿宋_GB2312" w:cs="DengXian-Regular"/>
          <w:b w:val="0"/>
          <w:i w:val="0"/>
          <w:caps w:val="0"/>
          <w:spacing w:val="0"/>
          <w:w w:val="100"/>
          <w:sz w:val="32"/>
          <w:szCs w:val="32"/>
          <w:lang w:eastAsia="zh-CN"/>
        </w:rPr>
        <w:t>营</w:t>
      </w:r>
      <w:r>
        <w:rPr>
          <w:rFonts w:hint="eastAsia" w:ascii="仿宋_GB2312" w:eastAsia="仿宋_GB2312" w:cs="DengXian-Regular"/>
          <w:b w:val="0"/>
          <w:i w:val="0"/>
          <w:caps w:val="0"/>
          <w:spacing w:val="0"/>
          <w:w w:val="100"/>
          <w:sz w:val="32"/>
          <w:szCs w:val="32"/>
        </w:rPr>
        <w:t>预算财政拨款表以空表列示。</w:t>
      </w:r>
    </w:p>
    <w:p w14:paraId="1B67181F">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14:paraId="3EAD0A1A">
      <w:pPr>
        <w:rPr>
          <w:rFonts w:ascii="仿宋_GB2312" w:hAnsi="宋体" w:eastAsia="仿宋_GB2312" w:cs="Arial Black"/>
          <w:sz w:val="32"/>
          <w:szCs w:val="32"/>
        </w:rPr>
      </w:pPr>
      <w:r>
        <w:rPr>
          <w:rFonts w:ascii="仿宋_GB2312" w:hAnsi="宋体" w:eastAsia="仿宋_GB2312" w:cs="Arial Black"/>
          <w:sz w:val="32"/>
          <w:szCs w:val="32"/>
        </w:rPr>
        <w:br w:type="page"/>
      </w:r>
    </w:p>
    <w:p w14:paraId="001B0220">
      <w:pPr>
        <w:rPr>
          <w:rFonts w:ascii="仿宋_GB2312" w:hAnsi="宋体" w:eastAsia="仿宋_GB2312" w:cs="Arial Black"/>
          <w:sz w:val="32"/>
          <w:szCs w:val="32"/>
        </w:rPr>
      </w:pPr>
    </w:p>
    <w:p w14:paraId="1B8C7D02">
      <w:pPr>
        <w:rPr>
          <w:rFonts w:ascii="仿宋_GB2312" w:hAnsi="宋体" w:eastAsia="仿宋_GB2312" w:cs="Arial Black"/>
          <w:sz w:val="32"/>
          <w:szCs w:val="32"/>
        </w:rPr>
      </w:pPr>
    </w:p>
    <w:p w14:paraId="04304449">
      <w:pPr>
        <w:rPr>
          <w:rFonts w:ascii="仿宋_GB2312" w:hAnsi="宋体" w:eastAsia="仿宋_GB2312" w:cs="Arial Black"/>
          <w:sz w:val="32"/>
          <w:szCs w:val="32"/>
        </w:rPr>
      </w:pPr>
    </w:p>
    <w:p w14:paraId="4E3E0272">
      <w:pPr>
        <w:rPr>
          <w:rFonts w:ascii="仿宋_GB2312" w:hAnsi="宋体" w:eastAsia="仿宋_GB2312" w:cs="Arial Black"/>
          <w:sz w:val="32"/>
          <w:szCs w:val="32"/>
        </w:rPr>
      </w:pPr>
    </w:p>
    <w:p w14:paraId="6CD6DE15">
      <w:pPr>
        <w:rPr>
          <w:rFonts w:ascii="仿宋_GB2312" w:hAnsi="宋体" w:eastAsia="仿宋_GB2312" w:cs="Arial Black"/>
          <w:sz w:val="32"/>
          <w:szCs w:val="32"/>
        </w:rPr>
      </w:pPr>
    </w:p>
    <w:p w14:paraId="75BB008A">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61312" behindDoc="0" locked="0" layoutInCell="1" allowOverlap="1">
                <wp:simplePos x="0" y="0"/>
                <wp:positionH relativeFrom="column">
                  <wp:posOffset>-1040130</wp:posOffset>
                </wp:positionH>
                <wp:positionV relativeFrom="paragraph">
                  <wp:posOffset>26035</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14:paraId="78A0DD7E">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1.9pt;margin-top:2.05pt;height:263.1pt;width:613.65pt;z-index:251661312;v-text-anchor:middle;mso-width-relative:page;mso-height-relative:page;" fillcolor="#808080 [1612]" filled="t" stroked="t" coordsize="21600,21600" o:gfxdata="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">
                <v:fill type="pattern" on="t" color2="#FFFFFF [3212]" o:title="5%" focussize="0,0" r:id="rId14"/>
                <v:stroke weight="0.5pt" color="#808080 [1612]" joinstyle="round"/>
                <v:imagedata o:title=""/>
                <o:lock v:ext="edit" aspectratio="f"/>
                <v:textbox>
                  <w:txbxContent>
                    <w:p w14:paraId="78A0DD7E">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r>
        <w:rPr>
          <w:rFonts w:hint="eastAsia" w:ascii="仿宋_GB2312" w:hAnsi="宋体" w:eastAsia="仿宋_GB2312" w:cs="Arial Black"/>
          <w:sz w:val="32"/>
          <w:szCs w:val="32"/>
          <w:highlight w:val="yellow"/>
        </w:rPr>
        <w:br w:type="page"/>
      </w:r>
    </w:p>
    <w:p w14:paraId="2BF401E4">
      <w:pPr>
        <w:rPr>
          <w:rFonts w:ascii="仿宋_GB2312" w:hAnsi="宋体" w:eastAsia="仿宋_GB2312" w:cs="MS UI Gothic"/>
          <w:bCs/>
          <w:sz w:val="32"/>
          <w:szCs w:val="32"/>
          <w:highlight w:val="yellow"/>
        </w:rPr>
      </w:pPr>
    </w:p>
    <w:p w14:paraId="64B409D6">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4A7F20A1">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1E77B4C7">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22588357">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03BBB752">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25E3356B">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5B2BBB12">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08CB62CA">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5FBF3719">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14:paraId="301ACFCD">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5944D440">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C4B9195">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07EC5EB0">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7569FCA9">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314C1968">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3BA9BE50">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14:paraId="0E5406A2">
      <w:pPr>
        <w:tabs>
          <w:tab w:val="left" w:pos="235"/>
        </w:tabs>
        <w:spacing w:line="600" w:lineRule="exact"/>
        <w:ind w:firstLine="640" w:firstLineChars="200"/>
        <w:jc w:val="left"/>
        <w:rPr>
          <w:rFonts w:ascii="仿宋_GB2312" w:hAnsi="Cambria" w:eastAsia="仿宋_GB2312" w:cs="Arial Black"/>
          <w:kern w:val="0"/>
          <w:sz w:val="32"/>
          <w:szCs w:val="32"/>
        </w:rPr>
      </w:pPr>
    </w:p>
    <w:p w14:paraId="364FAB14">
      <w:pPr>
        <w:tabs>
          <w:tab w:val="left" w:pos="235"/>
        </w:tabs>
        <w:spacing w:line="600" w:lineRule="exact"/>
        <w:ind w:firstLine="640" w:firstLineChars="200"/>
        <w:jc w:val="left"/>
        <w:rPr>
          <w:rFonts w:ascii="仿宋_GB2312" w:hAnsi="Cambria" w:eastAsia="仿宋_GB2312" w:cs="Arial Black"/>
          <w:kern w:val="0"/>
          <w:sz w:val="32"/>
          <w:szCs w:val="32"/>
        </w:rPr>
      </w:pPr>
    </w:p>
    <w:p w14:paraId="13F82579">
      <w:pPr>
        <w:tabs>
          <w:tab w:val="left" w:pos="235"/>
        </w:tabs>
        <w:spacing w:line="600" w:lineRule="exact"/>
        <w:ind w:firstLine="640" w:firstLineChars="200"/>
        <w:jc w:val="left"/>
        <w:rPr>
          <w:rFonts w:ascii="仿宋_GB2312" w:hAnsi="Cambria" w:eastAsia="仿宋_GB2312" w:cs="Arial Black"/>
          <w:kern w:val="0"/>
          <w:sz w:val="32"/>
          <w:szCs w:val="32"/>
        </w:rPr>
      </w:pPr>
    </w:p>
    <w:p w14:paraId="42B036F5">
      <w:pPr>
        <w:tabs>
          <w:tab w:val="left" w:pos="235"/>
        </w:tabs>
        <w:spacing w:line="600" w:lineRule="exact"/>
        <w:ind w:firstLine="640" w:firstLineChars="200"/>
        <w:jc w:val="left"/>
        <w:rPr>
          <w:rFonts w:ascii="仿宋_GB2312" w:hAnsi="Cambria" w:eastAsia="仿宋_GB2312" w:cs="Arial Black"/>
          <w:kern w:val="0"/>
          <w:sz w:val="32"/>
          <w:szCs w:val="32"/>
        </w:rPr>
      </w:pPr>
    </w:p>
    <w:p w14:paraId="7ACAD54A">
      <w:pPr>
        <w:tabs>
          <w:tab w:val="left" w:pos="235"/>
        </w:tabs>
        <w:spacing w:line="600" w:lineRule="exact"/>
        <w:ind w:firstLine="640" w:firstLineChars="200"/>
        <w:jc w:val="left"/>
        <w:rPr>
          <w:rFonts w:ascii="仿宋_GB2312" w:hAnsi="Cambria" w:eastAsia="仿宋_GB2312" w:cs="Arial Black"/>
          <w:kern w:val="0"/>
          <w:sz w:val="32"/>
          <w:szCs w:val="32"/>
        </w:rPr>
      </w:pPr>
    </w:p>
    <w:p w14:paraId="03CBE2BA">
      <w:pPr>
        <w:tabs>
          <w:tab w:val="left" w:pos="235"/>
        </w:tabs>
        <w:spacing w:line="600" w:lineRule="exact"/>
        <w:ind w:firstLine="640" w:firstLineChars="200"/>
        <w:jc w:val="left"/>
        <w:rPr>
          <w:rFonts w:ascii="仿宋_GB2312" w:hAnsi="Cambria" w:eastAsia="仿宋_GB2312" w:cs="Arial Black"/>
          <w:kern w:val="0"/>
          <w:sz w:val="32"/>
          <w:szCs w:val="32"/>
        </w:rPr>
      </w:pPr>
    </w:p>
    <w:p w14:paraId="3D0D043D">
      <w:pPr>
        <w:tabs>
          <w:tab w:val="left" w:pos="235"/>
        </w:tabs>
        <w:spacing w:line="600" w:lineRule="exact"/>
        <w:ind w:firstLine="640" w:firstLineChars="200"/>
        <w:jc w:val="left"/>
        <w:rPr>
          <w:rFonts w:ascii="仿宋_GB2312" w:hAnsi="Cambria" w:eastAsia="仿宋_GB2312" w:cs="Arial Black"/>
          <w:kern w:val="0"/>
          <w:sz w:val="32"/>
          <w:szCs w:val="32"/>
        </w:rPr>
      </w:pPr>
    </w:p>
    <w:p w14:paraId="7A4733A9">
      <w:pPr>
        <w:tabs>
          <w:tab w:val="left" w:pos="235"/>
        </w:tabs>
        <w:spacing w:line="600" w:lineRule="exact"/>
        <w:ind w:firstLine="640" w:firstLineChars="200"/>
        <w:jc w:val="left"/>
        <w:rPr>
          <w:rFonts w:ascii="仿宋_GB2312" w:hAnsi="Cambria" w:eastAsia="仿宋_GB2312" w:cs="Arial Black"/>
          <w:kern w:val="0"/>
          <w:sz w:val="32"/>
          <w:szCs w:val="32"/>
        </w:rPr>
      </w:pPr>
    </w:p>
    <w:p w14:paraId="4753592B">
      <w:pPr>
        <w:widowControl/>
        <w:spacing w:after="160" w:line="580" w:lineRule="exact"/>
        <w:rPr>
          <w:rFonts w:ascii="Times New Roman" w:hAnsi="Times New Roman" w:eastAsia="黑体" w:cs="Times New Roman"/>
          <w:sz w:val="32"/>
          <w:szCs w:val="32"/>
        </w:rPr>
        <w:sectPr>
          <w:headerReference r:id="rId11" w:type="default"/>
          <w:pgSz w:w="11906" w:h="16838"/>
          <w:pgMar w:top="2098" w:right="1531" w:bottom="1984" w:left="1531" w:header="851" w:footer="992" w:gutter="0"/>
          <w:pgNumType w:fmt="numberInDash"/>
          <w:cols w:space="0" w:num="1"/>
          <w:titlePg/>
          <w:docGrid w:type="lines" w:linePitch="312" w:charSpace="0"/>
        </w:sectPr>
      </w:pPr>
    </w:p>
    <w:p w14:paraId="3E155F5C">
      <w:pPr>
        <w:rPr>
          <w:rFonts w:ascii="黑体" w:hAnsi="黑体" w:eastAsia="黑体" w:cs="黑体"/>
          <w:sz w:val="56"/>
          <w:szCs w:val="72"/>
        </w:rPr>
        <w:sectPr>
          <w:type w:val="continuous"/>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6432" behindDoc="0" locked="0" layoutInCell="1" allowOverlap="1">
                <wp:simplePos x="0" y="0"/>
                <wp:positionH relativeFrom="column">
                  <wp:posOffset>-1027430</wp:posOffset>
                </wp:positionH>
                <wp:positionV relativeFrom="paragraph">
                  <wp:posOffset>1151255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14:paraId="0E517C9B">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53AD629B">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14:paraId="52641BAD"/>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66432;v-text-anchor:middle;mso-width-relative:page;mso-height-relative:page;" fillcolor="#808080" filled="t" stroked="t" coordsize="21600,21600" o:gfxdata="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">
                <v:fill type="pattern" on="t" color2="#FFFFFF" o:title="5%" focussize="0,0" r:id="rId14"/>
                <v:stroke weight="1pt" color="#A6A6A6" joinstyle="round"/>
                <v:imagedata o:title=""/>
                <o:lock v:ext="edit" aspectratio="f"/>
                <v:textbox>
                  <w:txbxContent>
                    <w:p w14:paraId="0E517C9B">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53AD629B">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14:paraId="52641BAD"/>
                  </w:txbxContent>
                </v:textbox>
              </v:shape>
            </w:pict>
          </mc:Fallback>
        </mc:AlternateContent>
      </w:r>
    </w:p>
    <w:p w14:paraId="4CA644A9">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5408" behindDoc="0" locked="0" layoutInCell="1" allowOverlap="1">
                <wp:simplePos x="0" y="0"/>
                <wp:positionH relativeFrom="column">
                  <wp:posOffset>-993140</wp:posOffset>
                </wp:positionH>
                <wp:positionV relativeFrom="paragraph">
                  <wp:posOffset>-1353820</wp:posOffset>
                </wp:positionV>
                <wp:extent cx="7632700" cy="10695940"/>
                <wp:effectExtent l="0" t="0" r="2540" b="2540"/>
                <wp:wrapNone/>
                <wp:docPr id="3" name="矩形 3"/>
                <wp:cNvGraphicFramePr/>
                <a:graphic xmlns:a="http://schemas.openxmlformats.org/drawingml/2006/main">
                  <a:graphicData uri="http://schemas.microsoft.com/office/word/2010/wordprocessingShape">
                    <wps:wsp>
                      <wps:cNvSpPr/>
                      <wps:spPr>
                        <a:xfrm>
                          <a:off x="697865" y="1375410"/>
                          <a:ext cx="7632700" cy="10695940"/>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8.2pt;margin-top:-106.6pt;height:842.2pt;width:601pt;z-index:251665408;v-text-anchor:middle;mso-width-relative:page;mso-height-relative:page;" fillcolor="#BDD7EE [1300]" filled="t" stroked="f" coordsize="21600,21600"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AaR&#10;7+fcAAAADwEAAA8AAAAAAAAAAQAgAAAAIgAAAGRycy9kb3ducmV2LnhtbFBLAQIUABQAAAAIAIdO&#10;4kBIxKP9kQIAABEFAAAOAAAAAAAAAAEAIAAAACsBAABkcnMvZTJvRG9jLnhtbFBLBQYAAAAABgAG&#10;AFkBAAAuBgAAAAA=&#10;">
                <v:fill on="t" focussize="0,0"/>
                <v:stroke on="f" weight="1pt" miterlimit="8" joinstyle="miter"/>
                <v:imagedata o:title=""/>
                <o:lock v:ext="edit" aspectratio="f"/>
              </v:rect>
            </w:pict>
          </mc:Fallback>
        </mc:AlternateConten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Arial Black">
    <w:panose1 w:val="020B0A04020102020204"/>
    <w:charset w:val="00"/>
    <w:family w:val="swiss"/>
    <w:pitch w:val="default"/>
    <w:sig w:usb0="00000287" w:usb1="00000000" w:usb2="00000000" w:usb3="00000000" w:csb0="2000009F" w:csb1="DFD70000"/>
  </w:font>
  <w:font w:name="Cambria">
    <w:panose1 w:val="02040503050406030204"/>
    <w:charset w:val="00"/>
    <w:family w:val="roman"/>
    <w:pitch w:val="default"/>
    <w:sig w:usb0="E00002FF" w:usb1="400004FF" w:usb2="00000000" w:usb3="00000000" w:csb0="2000019F" w:csb1="0000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Arial Unicode MS">
    <w:altName w:val="Arial"/>
    <w:panose1 w:val="00000000000000000000"/>
    <w:charset w:val="00"/>
    <w:family w:val="auto"/>
    <w:pitch w:val="default"/>
    <w:sig w:usb0="00000000" w:usb1="00000000" w:usb2="00000000" w:usb3="00000000" w:csb0="00000000" w:csb1="00000000"/>
  </w:font>
  <w:font w:name="MS UI Gothic">
    <w:panose1 w:val="020B0600070205080204"/>
    <w:charset w:val="80"/>
    <w:family w:val="swiss"/>
    <w:pitch w:val="default"/>
    <w:sig w:usb0="E00002FF" w:usb1="6AC7FDFB" w:usb2="00000012" w:usb3="00000000" w:csb0="4002009F" w:csb1="DFD7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110071">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CBD044">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64F082">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5E75A5">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AC18E4">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488751">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9B6EA1">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3BF949">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42CD17">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8"/>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2NTEzZmY1M2MxNmZkNDEwMWZmNDlkNzFhZWJjOWQifQ=="/>
  </w:docVars>
  <w:rsids>
    <w:rsidRoot w:val="34C45458"/>
    <w:rsid w:val="00061A05"/>
    <w:rsid w:val="00061B93"/>
    <w:rsid w:val="00147453"/>
    <w:rsid w:val="0018668E"/>
    <w:rsid w:val="001B73D2"/>
    <w:rsid w:val="001E62BF"/>
    <w:rsid w:val="0027064E"/>
    <w:rsid w:val="00293E7B"/>
    <w:rsid w:val="002D1F4F"/>
    <w:rsid w:val="002E167A"/>
    <w:rsid w:val="002F1DA9"/>
    <w:rsid w:val="00310EBF"/>
    <w:rsid w:val="00366D90"/>
    <w:rsid w:val="003D2226"/>
    <w:rsid w:val="003D678E"/>
    <w:rsid w:val="00461FAF"/>
    <w:rsid w:val="004D1EA2"/>
    <w:rsid w:val="005E0E86"/>
    <w:rsid w:val="006C01AE"/>
    <w:rsid w:val="007620A2"/>
    <w:rsid w:val="00791C72"/>
    <w:rsid w:val="007920FC"/>
    <w:rsid w:val="007B4876"/>
    <w:rsid w:val="00801F66"/>
    <w:rsid w:val="00812C39"/>
    <w:rsid w:val="009269A2"/>
    <w:rsid w:val="009334BF"/>
    <w:rsid w:val="00995AAE"/>
    <w:rsid w:val="009D1193"/>
    <w:rsid w:val="00A61E3E"/>
    <w:rsid w:val="00B0223F"/>
    <w:rsid w:val="00BA1219"/>
    <w:rsid w:val="00BB2584"/>
    <w:rsid w:val="00BE2400"/>
    <w:rsid w:val="00E54963"/>
    <w:rsid w:val="00EB3F98"/>
    <w:rsid w:val="00F217C2"/>
    <w:rsid w:val="00FD5E00"/>
    <w:rsid w:val="01AA0CB2"/>
    <w:rsid w:val="024632F6"/>
    <w:rsid w:val="025D2C0B"/>
    <w:rsid w:val="03604F54"/>
    <w:rsid w:val="05446785"/>
    <w:rsid w:val="061B6C68"/>
    <w:rsid w:val="064E5836"/>
    <w:rsid w:val="074E0606"/>
    <w:rsid w:val="0BE34C6E"/>
    <w:rsid w:val="0C8573BB"/>
    <w:rsid w:val="0CFD3505"/>
    <w:rsid w:val="0D18027B"/>
    <w:rsid w:val="0D7D62E4"/>
    <w:rsid w:val="0DC5584F"/>
    <w:rsid w:val="0E9C11C2"/>
    <w:rsid w:val="0EA325C9"/>
    <w:rsid w:val="0EE17C1A"/>
    <w:rsid w:val="10015291"/>
    <w:rsid w:val="10177604"/>
    <w:rsid w:val="116220BD"/>
    <w:rsid w:val="1571704C"/>
    <w:rsid w:val="16092E0B"/>
    <w:rsid w:val="17255A22"/>
    <w:rsid w:val="17937F70"/>
    <w:rsid w:val="181800A9"/>
    <w:rsid w:val="18D25736"/>
    <w:rsid w:val="19AF2F90"/>
    <w:rsid w:val="19C43139"/>
    <w:rsid w:val="1A7E5917"/>
    <w:rsid w:val="1A8707A2"/>
    <w:rsid w:val="200C1F5C"/>
    <w:rsid w:val="21354AB4"/>
    <w:rsid w:val="2287505A"/>
    <w:rsid w:val="22E46C89"/>
    <w:rsid w:val="2393640A"/>
    <w:rsid w:val="23A235B1"/>
    <w:rsid w:val="25076767"/>
    <w:rsid w:val="26946721"/>
    <w:rsid w:val="280B44BC"/>
    <w:rsid w:val="284E59A3"/>
    <w:rsid w:val="2A377BA1"/>
    <w:rsid w:val="2A842608"/>
    <w:rsid w:val="2B500845"/>
    <w:rsid w:val="2D624F61"/>
    <w:rsid w:val="2EE44E0D"/>
    <w:rsid w:val="31E77BD1"/>
    <w:rsid w:val="32484C1A"/>
    <w:rsid w:val="32531F25"/>
    <w:rsid w:val="32D63FB6"/>
    <w:rsid w:val="335F11F3"/>
    <w:rsid w:val="34B114FB"/>
    <w:rsid w:val="34C45458"/>
    <w:rsid w:val="35060026"/>
    <w:rsid w:val="35C83C42"/>
    <w:rsid w:val="367125DA"/>
    <w:rsid w:val="369B567B"/>
    <w:rsid w:val="37052D5C"/>
    <w:rsid w:val="37445DC3"/>
    <w:rsid w:val="394A2C6F"/>
    <w:rsid w:val="39B527DE"/>
    <w:rsid w:val="3A6B10EF"/>
    <w:rsid w:val="3C846F56"/>
    <w:rsid w:val="3F483BBC"/>
    <w:rsid w:val="3F89533D"/>
    <w:rsid w:val="400C798D"/>
    <w:rsid w:val="40645910"/>
    <w:rsid w:val="40A615C4"/>
    <w:rsid w:val="432B3260"/>
    <w:rsid w:val="43937533"/>
    <w:rsid w:val="446C41D2"/>
    <w:rsid w:val="462036D5"/>
    <w:rsid w:val="46583405"/>
    <w:rsid w:val="46A936CA"/>
    <w:rsid w:val="46D5626E"/>
    <w:rsid w:val="46E733AC"/>
    <w:rsid w:val="47613FA5"/>
    <w:rsid w:val="476C2C25"/>
    <w:rsid w:val="480E2E2C"/>
    <w:rsid w:val="485B637D"/>
    <w:rsid w:val="492E5123"/>
    <w:rsid w:val="49573886"/>
    <w:rsid w:val="498F105C"/>
    <w:rsid w:val="49CA7BE0"/>
    <w:rsid w:val="4A977911"/>
    <w:rsid w:val="4C4172EC"/>
    <w:rsid w:val="4C582666"/>
    <w:rsid w:val="4DB122BE"/>
    <w:rsid w:val="4DDC7B96"/>
    <w:rsid w:val="4E2E711E"/>
    <w:rsid w:val="4ED92533"/>
    <w:rsid w:val="501560F6"/>
    <w:rsid w:val="504F52E3"/>
    <w:rsid w:val="50946685"/>
    <w:rsid w:val="518D741E"/>
    <w:rsid w:val="51A33E68"/>
    <w:rsid w:val="53971BEC"/>
    <w:rsid w:val="55AE4859"/>
    <w:rsid w:val="569E667C"/>
    <w:rsid w:val="58693CBE"/>
    <w:rsid w:val="58E97C74"/>
    <w:rsid w:val="594D2DC3"/>
    <w:rsid w:val="5D2D075A"/>
    <w:rsid w:val="5D9541F5"/>
    <w:rsid w:val="5DDF6716"/>
    <w:rsid w:val="5E1A6B31"/>
    <w:rsid w:val="5F155949"/>
    <w:rsid w:val="5F3066F0"/>
    <w:rsid w:val="60154311"/>
    <w:rsid w:val="63490510"/>
    <w:rsid w:val="64141D09"/>
    <w:rsid w:val="6423411C"/>
    <w:rsid w:val="64264155"/>
    <w:rsid w:val="6615622F"/>
    <w:rsid w:val="66401FA8"/>
    <w:rsid w:val="66DA049A"/>
    <w:rsid w:val="672A1B16"/>
    <w:rsid w:val="679B4DA4"/>
    <w:rsid w:val="68F64907"/>
    <w:rsid w:val="68FD36D6"/>
    <w:rsid w:val="695B26FD"/>
    <w:rsid w:val="6AF77BA8"/>
    <w:rsid w:val="6B5A18FE"/>
    <w:rsid w:val="6C7D1D1F"/>
    <w:rsid w:val="6C847A9C"/>
    <w:rsid w:val="6EB554F0"/>
    <w:rsid w:val="6F3F51AB"/>
    <w:rsid w:val="6F7C10CD"/>
    <w:rsid w:val="715B31D5"/>
    <w:rsid w:val="72894C60"/>
    <w:rsid w:val="729C5DE0"/>
    <w:rsid w:val="73483158"/>
    <w:rsid w:val="73D824BD"/>
    <w:rsid w:val="759F5B15"/>
    <w:rsid w:val="76472B86"/>
    <w:rsid w:val="764B3663"/>
    <w:rsid w:val="766650FB"/>
    <w:rsid w:val="76D0668F"/>
    <w:rsid w:val="772B4920"/>
    <w:rsid w:val="776E25C6"/>
    <w:rsid w:val="777F0BBD"/>
    <w:rsid w:val="78B15398"/>
    <w:rsid w:val="7A0D6076"/>
    <w:rsid w:val="7A226220"/>
    <w:rsid w:val="7AD047D5"/>
    <w:rsid w:val="7BA55F72"/>
    <w:rsid w:val="7BB2025F"/>
    <w:rsid w:val="7CF04147"/>
    <w:rsid w:val="7DF13801"/>
    <w:rsid w:val="7E333984"/>
    <w:rsid w:val="7FE012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qFormat/>
    <w:uiPriority w:val="0"/>
    <w:rPr>
      <w:sz w:val="18"/>
      <w:szCs w:val="1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styleId="9">
    <w:name w:val="List Paragraph"/>
    <w:basedOn w:val="1"/>
    <w:unhideWhenUsed/>
    <w:qFormat/>
    <w:uiPriority w:val="99"/>
    <w:pPr>
      <w:ind w:firstLine="420" w:firstLineChars="200"/>
    </w:pPr>
  </w:style>
  <w:style w:type="character" w:customStyle="1" w:styleId="10">
    <w:name w:val="批注框文本 Char"/>
    <w:basedOn w:val="8"/>
    <w:link w:val="3"/>
    <w:qFormat/>
    <w:uiPriority w:val="0"/>
    <w:rPr>
      <w:rFonts w:asciiTheme="minorHAnsi" w:hAnsiTheme="minorHAnsi" w:eastAsiaTheme="minorEastAsia" w:cstheme="minorBidi"/>
      <w:kern w:val="2"/>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2">
    <w:name w:val="font71"/>
    <w:basedOn w:val="8"/>
    <w:qFormat/>
    <w:uiPriority w:val="0"/>
    <w:rPr>
      <w:rFonts w:ascii="Calibri" w:hAnsi="Calibri" w:cs="Calibri"/>
      <w:color w:val="000000"/>
      <w:sz w:val="20"/>
      <w:szCs w:val="20"/>
      <w:u w:val="none"/>
    </w:rPr>
  </w:style>
  <w:style w:type="character" w:customStyle="1" w:styleId="13">
    <w:name w:val="font51"/>
    <w:basedOn w:val="8"/>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customXml" Target="../customXml/item1.xml"/><Relationship Id="rId20" Type="http://schemas.openxmlformats.org/officeDocument/2006/relationships/chart" Target="charts/chart6.xml"/><Relationship Id="rId2" Type="http://schemas.openxmlformats.org/officeDocument/2006/relationships/settings" Target="settings.xml"/><Relationship Id="rId19" Type="http://schemas.openxmlformats.org/officeDocument/2006/relationships/chart" Target="charts/chart5.xml"/><Relationship Id="rId18" Type="http://schemas.openxmlformats.org/officeDocument/2006/relationships/chart" Target="charts/chart4.xml"/><Relationship Id="rId17" Type="http://schemas.openxmlformats.org/officeDocument/2006/relationships/chart" Target="charts/chart3.xml"/><Relationship Id="rId16" Type="http://schemas.openxmlformats.org/officeDocument/2006/relationships/chart" Target="charts/chart2.xml"/><Relationship Id="rId15" Type="http://schemas.openxmlformats.org/officeDocument/2006/relationships/chart" Target="charts/chart1.xml"/><Relationship Id="rId14" Type="http://schemas.openxmlformats.org/officeDocument/2006/relationships/image" Target="media/image2.bmp"/><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26032;&#24314;%20XLS%20&#24037;&#20316;&#34920;.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dministrator\Desktop\&#26032;&#24314;%20XLS%20&#24037;&#20316;&#34920;.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Administrator\Desktop\&#26032;&#24314;%20XLS%20&#24037;&#20316;&#34920;.xls"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Administrator\Desktop\&#26032;&#24314;%20XLS%20&#24037;&#20316;&#34920;.xls"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C:\Users\Administrator\Desktop\&#26032;&#24314;%20XLS%20&#24037;&#20316;&#34920;.xls" TargetMode="External"/></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C:\Users\Administrator\Desktop\&#26032;&#24314;%20XLS%20&#24037;&#20316;&#349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'[新建 XLS 工作表.xls]Sheet1'!$C$3</c:f>
              <c:strCache>
                <c:ptCount val="1"/>
                <c:pt idx="0">
                  <c:v>收支总计（万元）</c:v>
                </c:pt>
              </c:strCache>
            </c:strRef>
          </c:tx>
          <c:spPr>
            <a:solidFill>
              <a:schemeClr val="accent1"/>
            </a:solidFill>
            <a:ln>
              <a:noFill/>
            </a:ln>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'[新建 XLS 工作表.xls]Sheet1'!$B$4:$B$5</c:f>
              <c:numCache>
                <c:formatCode>General</c:formatCode>
                <c:ptCount val="2"/>
                <c:pt idx="0">
                  <c:v>2019</c:v>
                </c:pt>
                <c:pt idx="1">
                  <c:v>2020</c:v>
                </c:pt>
              </c:numCache>
            </c:numRef>
          </c:cat>
          <c:val>
            <c:numRef>
              <c:f>'[新建 XLS 工作表.xls]Sheet1'!$C$4:$C$5</c:f>
              <c:numCache>
                <c:formatCode>General</c:formatCode>
                <c:ptCount val="2"/>
                <c:pt idx="0">
                  <c:v>362.13</c:v>
                </c:pt>
                <c:pt idx="1">
                  <c:v>510.93</c:v>
                </c:pt>
              </c:numCache>
            </c:numRef>
          </c:val>
        </c:ser>
        <c:dLbls>
          <c:showLegendKey val="0"/>
          <c:showVal val="0"/>
          <c:showCatName val="0"/>
          <c:showSerName val="0"/>
          <c:showPercent val="0"/>
          <c:showBubbleSize val="0"/>
        </c:dLbls>
        <c:gapWidth val="150"/>
        <c:overlap val="100"/>
        <c:axId val="812923820"/>
        <c:axId val="335209259"/>
      </c:barChart>
      <c:catAx>
        <c:axId val="812923820"/>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35209259"/>
        <c:crosses val="autoZero"/>
        <c:auto val="1"/>
        <c:lblAlgn val="ctr"/>
        <c:lblOffset val="100"/>
        <c:noMultiLvlLbl val="0"/>
      </c:catAx>
      <c:valAx>
        <c:axId val="335209259"/>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2923820"/>
        <c:crosses val="autoZero"/>
        <c:crossBetween val="between"/>
      </c:valAx>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wrap="square"/>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Lbls>
            <c:delete val="1"/>
          </c:dLbls>
          <c:cat>
            <c:strRef>
              <c:f>'[新建 XLS 工作表.xls]Sheet1'!$B$5:$B$10</c:f>
              <c:strCache>
                <c:ptCount val="6"/>
                <c:pt idx="0">
                  <c:v>财政拨款收入</c:v>
                </c:pt>
                <c:pt idx="1">
                  <c:v>上级补助收入</c:v>
                </c:pt>
                <c:pt idx="2">
                  <c:v>事业收入</c:v>
                </c:pt>
                <c:pt idx="3">
                  <c:v>经营收入</c:v>
                </c:pt>
                <c:pt idx="4">
                  <c:v>附属单位上缴收入</c:v>
                </c:pt>
                <c:pt idx="5">
                  <c:v>其他收入</c:v>
                </c:pt>
              </c:strCache>
            </c:strRef>
          </c:cat>
          <c:val>
            <c:numRef>
              <c:f>'[新建 XLS 工作表.xls]Sheet1'!$C$5:$C$10</c:f>
              <c:numCache>
                <c:formatCode>0.00%</c:formatCode>
                <c:ptCount val="6"/>
                <c:pt idx="0">
                  <c:v>1</c:v>
                </c:pt>
                <c:pt idx="1" c:formatCode="0%">
                  <c:v>0</c:v>
                </c:pt>
                <c:pt idx="2" c:formatCode="0%">
                  <c:v>0</c:v>
                </c:pt>
                <c:pt idx="3" c:formatCode="0%">
                  <c:v>0</c:v>
                </c:pt>
                <c:pt idx="4" c:formatCode="0%">
                  <c:v>0</c:v>
                </c:pt>
                <c:pt idx="5" c:formatCode="0%">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pie3DChart>
        <c:varyColors val="1"/>
        <c:ser>
          <c:idx val="0"/>
          <c:order val="0"/>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Pt>
            <c:idx val="3"/>
            <c:bubble3D val="0"/>
            <c:spPr>
              <a:solidFill>
                <a:schemeClr val="accent4"/>
              </a:solidFill>
              <a:ln w="25400">
                <a:solidFill>
                  <a:schemeClr val="lt1"/>
                </a:solidFill>
              </a:ln>
              <a:effectLst/>
              <a:scene3d>
                <a:camera prst="orthographicFront"/>
                <a:lightRig rig="threePt" dir="t"/>
              </a:scene3d>
              <a:sp3d contourW="25400"/>
            </c:spPr>
          </c:dPt>
          <c:dPt>
            <c:idx val="4"/>
            <c:bubble3D val="0"/>
            <c:spPr>
              <a:solidFill>
                <a:schemeClr val="accent5"/>
              </a:solidFill>
              <a:ln w="25400">
                <a:solidFill>
                  <a:schemeClr val="lt1"/>
                </a:solidFill>
              </a:ln>
              <a:effectLst/>
              <a:scene3d>
                <a:camera prst="orthographicFront"/>
                <a:lightRig rig="threePt" dir="t"/>
              </a:scene3d>
              <a:sp3d contourW="25400"/>
            </c:spPr>
          </c:dPt>
          <c:dLbls>
            <c:delete val="1"/>
          </c:dLbls>
          <c:cat>
            <c:strRef>
              <c:f>'[新建 XLS 工作表.xls]Sheet1'!$B$5:$B$9</c:f>
              <c:strCache>
                <c:ptCount val="5"/>
                <c:pt idx="0">
                  <c:v>基本支出</c:v>
                </c:pt>
                <c:pt idx="1">
                  <c:v>项目支出</c:v>
                </c:pt>
                <c:pt idx="2">
                  <c:v>上缴上级支出</c:v>
                </c:pt>
                <c:pt idx="3">
                  <c:v>经营支出</c:v>
                </c:pt>
                <c:pt idx="4">
                  <c:v>对附属单位补助支出</c:v>
                </c:pt>
              </c:strCache>
            </c:strRef>
          </c:cat>
          <c:val>
            <c:numRef>
              <c:f>'[新建 XLS 工作表.xls]Sheet1'!$C$5:$C$9</c:f>
              <c:numCache>
                <c:formatCode>0.00%</c:formatCode>
                <c:ptCount val="5"/>
                <c:pt idx="0">
                  <c:v>0.8057</c:v>
                </c:pt>
                <c:pt idx="1" c:formatCode="0%">
                  <c:v>0.1943</c:v>
                </c:pt>
                <c:pt idx="2" c:formatCode="0%">
                  <c:v>0</c:v>
                </c:pt>
                <c:pt idx="3" c:formatCode="0%">
                  <c:v>0</c:v>
                </c:pt>
                <c:pt idx="4" c:formatCode="0%">
                  <c:v>0</c:v>
                </c:pt>
              </c:numCache>
            </c:numRef>
          </c:val>
        </c:ser>
        <c:dLbls>
          <c:showLegendKey val="0"/>
          <c:showVal val="0"/>
          <c:showCatName val="0"/>
          <c:showSerName val="0"/>
          <c:showPercent val="0"/>
          <c:showBubbleSize val="0"/>
        </c:dLbls>
      </c:pie3D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'[新建 XLS 工作表.xls]Sheet1'!$D$4</c:f>
              <c:strCache>
                <c:ptCount val="1"/>
                <c:pt idx="0">
                  <c:v>收支（万元）</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'[新建 XLS 工作表.xls]Sheet1'!$B$5:$C$8</c:f>
              <c:multiLvlStrCache>
                <c:ptCount val="4"/>
                <c:lvl>
                  <c:pt idx="0">
                    <c:v>收入</c:v>
                  </c:pt>
                  <c:pt idx="1">
                    <c:v>收入</c:v>
                  </c:pt>
                  <c:pt idx="2">
                    <c:v>支出</c:v>
                  </c:pt>
                  <c:pt idx="3">
                    <c:v>支出</c:v>
                  </c:pt>
                </c:lvl>
                <c:lvl>
                  <c:pt idx="0">
                    <c:v>2019</c:v>
                  </c:pt>
                  <c:pt idx="1">
                    <c:v>2020</c:v>
                  </c:pt>
                  <c:pt idx="2">
                    <c:v>2019</c:v>
                  </c:pt>
                  <c:pt idx="3">
                    <c:v>2020</c:v>
                  </c:pt>
                </c:lvl>
              </c:multiLvlStrCache>
            </c:multiLvlStrRef>
          </c:cat>
          <c:val>
            <c:numRef>
              <c:f>'[新建 XLS 工作表.xls]Sheet1'!$D$5:$D$8</c:f>
              <c:numCache>
                <c:formatCode>General</c:formatCode>
                <c:ptCount val="4"/>
                <c:pt idx="0">
                  <c:v>357.95</c:v>
                </c:pt>
                <c:pt idx="1">
                  <c:v>510.65</c:v>
                </c:pt>
                <c:pt idx="2">
                  <c:v>361.85</c:v>
                </c:pt>
                <c:pt idx="3">
                  <c:v>510.89</c:v>
                </c:pt>
              </c:numCache>
            </c:numRef>
          </c:val>
        </c:ser>
        <c:dLbls>
          <c:showLegendKey val="0"/>
          <c:showVal val="1"/>
          <c:showCatName val="0"/>
          <c:showSerName val="0"/>
          <c:showPercent val="0"/>
          <c:showBubbleSize val="0"/>
        </c:dLbls>
        <c:gapWidth val="150"/>
        <c:overlap val="100"/>
        <c:axId val="201803752"/>
        <c:axId val="912556665"/>
      </c:barChart>
      <c:catAx>
        <c:axId val="20180375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12556665"/>
        <c:crosses val="autoZero"/>
        <c:auto val="1"/>
        <c:lblAlgn val="ctr"/>
        <c:lblOffset val="100"/>
        <c:noMultiLvlLbl val="0"/>
      </c:catAx>
      <c:valAx>
        <c:axId val="91255666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1803752"/>
        <c:crosses val="autoZero"/>
        <c:crossBetween val="between"/>
      </c:valAx>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'[新建 XLS 工作表.xls]Sheet1'!$C$4</c:f>
              <c:strCache>
                <c:ptCount val="1"/>
                <c:pt idx="0">
                  <c:v>收支（万元）</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工作表.xls]Sheet1'!$B$5:$B$8</c:f>
              <c:strCache>
                <c:ptCount val="4"/>
                <c:pt idx="0">
                  <c:v>收入预算数</c:v>
                </c:pt>
                <c:pt idx="1">
                  <c:v>收入决算数</c:v>
                </c:pt>
                <c:pt idx="2">
                  <c:v>支出预算数</c:v>
                </c:pt>
                <c:pt idx="3">
                  <c:v>支出决算数</c:v>
                </c:pt>
              </c:strCache>
            </c:strRef>
          </c:cat>
          <c:val>
            <c:numRef>
              <c:f>'[新建 XLS 工作表.xls]Sheet1'!$C$5:$C$8</c:f>
              <c:numCache>
                <c:formatCode>General</c:formatCode>
                <c:ptCount val="4"/>
                <c:pt idx="0">
                  <c:v>396.42</c:v>
                </c:pt>
                <c:pt idx="1">
                  <c:v>510.65</c:v>
                </c:pt>
                <c:pt idx="2">
                  <c:v>396.42</c:v>
                </c:pt>
                <c:pt idx="3">
                  <c:v>510.89</c:v>
                </c:pt>
              </c:numCache>
            </c:numRef>
          </c:val>
        </c:ser>
        <c:dLbls>
          <c:showLegendKey val="0"/>
          <c:showVal val="1"/>
          <c:showCatName val="0"/>
          <c:showSerName val="0"/>
          <c:showPercent val="0"/>
          <c:showBubbleSize val="0"/>
        </c:dLbls>
        <c:gapWidth val="150"/>
        <c:overlap val="100"/>
        <c:axId val="335168486"/>
        <c:axId val="147606750"/>
      </c:barChart>
      <c:catAx>
        <c:axId val="33516848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47606750"/>
        <c:crosses val="autoZero"/>
        <c:auto val="1"/>
        <c:lblAlgn val="ctr"/>
        <c:lblOffset val="100"/>
        <c:noMultiLvlLbl val="0"/>
      </c:catAx>
      <c:valAx>
        <c:axId val="14760675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35168486"/>
        <c:crosses val="autoZero"/>
        <c:crossBetween val="between"/>
      </c:valAx>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pie3DChart>
        <c:varyColors val="1"/>
        <c:ser>
          <c:idx val="0"/>
          <c:order val="0"/>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Pt>
            <c:idx val="3"/>
            <c:bubble3D val="0"/>
            <c:spPr>
              <a:solidFill>
                <a:schemeClr val="accent4"/>
              </a:solidFill>
              <a:ln w="25400">
                <a:solidFill>
                  <a:schemeClr val="lt1"/>
                </a:solidFill>
              </a:ln>
              <a:effectLst/>
              <a:scene3d>
                <a:camera prst="orthographicFront"/>
                <a:lightRig rig="threePt" dir="t"/>
              </a:scene3d>
              <a:sp3d contourW="25400"/>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工作表.xls]Sheet1'!$B$5:$B$8</c:f>
              <c:strCache>
                <c:ptCount val="4"/>
                <c:pt idx="0">
                  <c:v>一般公共服务支出</c:v>
                </c:pt>
                <c:pt idx="1">
                  <c:v>社会保障和就业（类）支出</c:v>
                </c:pt>
                <c:pt idx="2">
                  <c:v>卫生健康支出</c:v>
                </c:pt>
                <c:pt idx="3">
                  <c:v>住房保障（类）支出</c:v>
                </c:pt>
              </c:strCache>
            </c:strRef>
          </c:cat>
          <c:val>
            <c:numRef>
              <c:f>'[新建 XLS 工作表.xls]Sheet1'!$C$5:$C$8</c:f>
              <c:numCache>
                <c:formatCode>0.00%</c:formatCode>
                <c:ptCount val="4"/>
                <c:pt idx="0">
                  <c:v>0.8188</c:v>
                </c:pt>
                <c:pt idx="1">
                  <c:v>0.0863</c:v>
                </c:pt>
                <c:pt idx="2">
                  <c:v>0.0308</c:v>
                </c:pt>
                <c:pt idx="3">
                  <c:v>0.064</c:v>
                </c:pt>
              </c:numCache>
            </c:numRef>
          </c:val>
        </c:ser>
        <c:dLbls>
          <c:showLegendKey val="0"/>
          <c:showVal val="1"/>
          <c:showCatName val="0"/>
          <c:showSerName val="0"/>
          <c:showPercent val="0"/>
          <c:showBubbleSize val="0"/>
        </c:dLbls>
      </c:pie3D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26</Pages>
  <Words>6002</Words>
  <Characters>6470</Characters>
  <Lines>83</Lines>
  <Paragraphs>23</Paragraphs>
  <TotalTime>12</TotalTime>
  <ScaleCrop>false</ScaleCrop>
  <LinksUpToDate>false</LinksUpToDate>
  <CharactersWithSpaces>6544</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Administrator</cp:lastModifiedBy>
  <cp:lastPrinted>2021-08-26T06:52:00Z</cp:lastPrinted>
  <dcterms:modified xsi:type="dcterms:W3CDTF">2024-09-12T01:46:59Z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58C4FEFF6A9A47A498B2E2D73A1FAA60</vt:lpwstr>
  </property>
</Properties>
</file>