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default" w:ascii="楷体_GB2312" w:hAnsi="楷体_GB2312" w:eastAsia="楷体_GB2312" w:cs="楷体_GB2312"/>
          <w:color w:val="000000" w:themeColor="text1"/>
          <w:kern w:val="0"/>
          <w:sz w:val="44"/>
          <w:szCs w:val="44"/>
          <w:highlight w:val="yellow"/>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高邑县教育局</w:t>
      </w:r>
    </w:p>
    <w:p>
      <w:pPr>
        <w:snapToGrid w:val="0"/>
        <w:jc w:val="center"/>
        <w:rPr>
          <w:rFonts w:ascii="黑体" w:hAnsi="黑体" w:eastAsia="黑体" w:cs="黑体"/>
          <w:sz w:val="56"/>
          <w:szCs w:val="72"/>
        </w:rPr>
        <w:sectPr>
          <w:headerReference r:id="rId7" w:type="first"/>
          <w:footerReference r:id="rId9" w:type="first"/>
          <w:headerReference r:id="rId6" w:type="default"/>
          <w:footerReference r:id="rId8"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1" w:type="first"/>
          <w:footerReference r:id="rId13" w:type="first"/>
          <w:headerReference r:id="rId10" w:type="default"/>
          <w:footerReference r:id="rId12"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9"/>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560" w:firstLineChars="200"/>
        <w:rPr>
          <w:rFonts w:ascii="仿宋" w:hAnsi="仿宋" w:eastAsia="仿宋"/>
          <w:sz w:val="28"/>
          <w:szCs w:val="28"/>
        </w:rPr>
      </w:pPr>
      <w:r>
        <w:rPr>
          <w:rFonts w:hint="eastAsia" w:ascii="仿宋" w:hAnsi="仿宋" w:eastAsia="仿宋"/>
          <w:sz w:val="28"/>
          <w:szCs w:val="28"/>
        </w:rPr>
        <w:t>（一）</w:t>
      </w:r>
      <w:r>
        <w:rPr>
          <w:rFonts w:hint="eastAsia" w:ascii="仿宋" w:hAnsi="仿宋" w:eastAsia="仿宋" w:cs="宋体"/>
          <w:sz w:val="28"/>
          <w:szCs w:val="28"/>
        </w:rPr>
        <w:t>学前教育，实施学前教育重点项目，支持和引导扩大学前教育资源，缓解当前存在的</w:t>
      </w:r>
      <w:r>
        <w:rPr>
          <w:rFonts w:hint="eastAsia" w:ascii="仿宋" w:hAnsi="仿宋" w:eastAsia="仿宋"/>
          <w:sz w:val="28"/>
          <w:szCs w:val="28"/>
        </w:rPr>
        <w:t>“</w:t>
      </w:r>
      <w:r>
        <w:rPr>
          <w:rFonts w:hint="eastAsia" w:ascii="仿宋" w:hAnsi="仿宋" w:eastAsia="仿宋" w:cs="宋体"/>
          <w:sz w:val="28"/>
          <w:szCs w:val="28"/>
        </w:rPr>
        <w:t>入园难</w:t>
      </w:r>
      <w:r>
        <w:rPr>
          <w:rFonts w:hint="eastAsia" w:ascii="仿宋" w:hAnsi="仿宋" w:eastAsia="仿宋"/>
          <w:sz w:val="28"/>
          <w:szCs w:val="28"/>
        </w:rPr>
        <w:t>”</w:t>
      </w:r>
      <w:r>
        <w:rPr>
          <w:rFonts w:hint="eastAsia" w:ascii="仿宋" w:hAnsi="仿宋" w:eastAsia="仿宋" w:cs="宋体"/>
          <w:sz w:val="28"/>
          <w:szCs w:val="28"/>
        </w:rPr>
        <w:t>、</w:t>
      </w:r>
      <w:r>
        <w:rPr>
          <w:rFonts w:hint="eastAsia" w:ascii="仿宋" w:hAnsi="仿宋" w:eastAsia="仿宋"/>
          <w:sz w:val="28"/>
          <w:szCs w:val="28"/>
        </w:rPr>
        <w:t>“</w:t>
      </w:r>
      <w:r>
        <w:rPr>
          <w:rFonts w:hint="eastAsia" w:ascii="仿宋" w:hAnsi="仿宋" w:eastAsia="仿宋" w:cs="宋体"/>
          <w:sz w:val="28"/>
          <w:szCs w:val="28"/>
        </w:rPr>
        <w:t>入园贵</w:t>
      </w:r>
      <w:r>
        <w:rPr>
          <w:rFonts w:hint="eastAsia" w:ascii="仿宋" w:hAnsi="仿宋" w:eastAsia="仿宋"/>
          <w:sz w:val="28"/>
          <w:szCs w:val="28"/>
        </w:rPr>
        <w:t>”</w:t>
      </w:r>
      <w:r>
        <w:rPr>
          <w:rFonts w:hint="eastAsia" w:ascii="仿宋" w:hAnsi="仿宋" w:eastAsia="仿宋" w:cs="宋体"/>
          <w:sz w:val="28"/>
          <w:szCs w:val="28"/>
        </w:rPr>
        <w:t>问题。调整完善财政支持政策，增强资金配置的科学性，提高幼儿园入园率和扩大在园幼儿数</w:t>
      </w:r>
      <w:r>
        <w:rPr>
          <w:rFonts w:ascii="仿宋" w:hAnsi="仿宋" w:eastAsia="仿宋"/>
          <w:sz w:val="28"/>
          <w:szCs w:val="28"/>
        </w:rPr>
        <w:t>,</w:t>
      </w:r>
      <w:r>
        <w:rPr>
          <w:rFonts w:hint="eastAsia" w:ascii="仿宋" w:hAnsi="仿宋" w:eastAsia="仿宋" w:cs="宋体"/>
          <w:sz w:val="28"/>
          <w:szCs w:val="28"/>
        </w:rPr>
        <w:t>有效缓解</w:t>
      </w:r>
      <w:r>
        <w:rPr>
          <w:rFonts w:hint="eastAsia" w:ascii="仿宋" w:hAnsi="仿宋" w:eastAsia="仿宋"/>
          <w:sz w:val="28"/>
          <w:szCs w:val="28"/>
        </w:rPr>
        <w:t>“</w:t>
      </w:r>
      <w:r>
        <w:rPr>
          <w:rFonts w:hint="eastAsia" w:ascii="仿宋" w:hAnsi="仿宋" w:eastAsia="仿宋" w:cs="宋体"/>
          <w:sz w:val="28"/>
          <w:szCs w:val="28"/>
        </w:rPr>
        <w:t>入园难</w:t>
      </w:r>
      <w:r>
        <w:rPr>
          <w:rFonts w:hint="eastAsia" w:ascii="仿宋" w:hAnsi="仿宋" w:eastAsia="仿宋"/>
          <w:sz w:val="28"/>
          <w:szCs w:val="28"/>
        </w:rPr>
        <w:t>”</w:t>
      </w:r>
      <w:r>
        <w:rPr>
          <w:rFonts w:hint="eastAsia" w:ascii="仿宋" w:hAnsi="仿宋" w:eastAsia="仿宋" w:cs="宋体"/>
          <w:sz w:val="28"/>
          <w:szCs w:val="28"/>
        </w:rPr>
        <w:t>、</w:t>
      </w:r>
      <w:r>
        <w:rPr>
          <w:rFonts w:hint="eastAsia" w:ascii="仿宋" w:hAnsi="仿宋" w:eastAsia="仿宋"/>
          <w:sz w:val="28"/>
          <w:szCs w:val="28"/>
        </w:rPr>
        <w:t>“</w:t>
      </w:r>
      <w:r>
        <w:rPr>
          <w:rFonts w:hint="eastAsia" w:ascii="仿宋" w:hAnsi="仿宋" w:eastAsia="仿宋" w:cs="宋体"/>
          <w:sz w:val="28"/>
          <w:szCs w:val="28"/>
        </w:rPr>
        <w:t>入园贵</w:t>
      </w:r>
      <w:r>
        <w:rPr>
          <w:rFonts w:hint="eastAsia" w:ascii="仿宋" w:hAnsi="仿宋" w:eastAsia="仿宋"/>
          <w:sz w:val="28"/>
          <w:szCs w:val="28"/>
        </w:rPr>
        <w:t>”</w:t>
      </w:r>
      <w:r>
        <w:rPr>
          <w:rFonts w:hint="eastAsia" w:ascii="仿宋" w:hAnsi="仿宋" w:eastAsia="仿宋" w:cs="宋体"/>
          <w:sz w:val="28"/>
          <w:szCs w:val="28"/>
        </w:rPr>
        <w:t>等问题。</w:t>
      </w:r>
    </w:p>
    <w:p>
      <w:pPr>
        <w:ind w:firstLine="420" w:firstLineChars="150"/>
        <w:rPr>
          <w:rFonts w:ascii="仿宋" w:hAnsi="仿宋" w:eastAsia="仿宋"/>
          <w:sz w:val="28"/>
          <w:szCs w:val="28"/>
        </w:rPr>
      </w:pPr>
      <w:r>
        <w:rPr>
          <w:rFonts w:hint="eastAsia" w:ascii="仿宋" w:hAnsi="仿宋" w:eastAsia="仿宋"/>
          <w:sz w:val="28"/>
          <w:szCs w:val="28"/>
        </w:rPr>
        <w:t>（二）</w:t>
      </w:r>
      <w:r>
        <w:rPr>
          <w:rFonts w:hint="eastAsia" w:ascii="仿宋" w:hAnsi="仿宋" w:eastAsia="仿宋" w:cs="宋体"/>
          <w:sz w:val="28"/>
          <w:szCs w:val="28"/>
        </w:rPr>
        <w:t>义务教育，以农村教育为重点，推进义务教育均衡发展，建立中小学校舍安全保障机制，改善薄弱学校办学条件，促进公共教育资源向农村和经济欠发达地区倾斜。提高义务教育公用经费保障水平，改善办学条件，均衡配置基础教育资源，缩小城乡、区域、校际之间办学差距，落实学生资助政策。</w:t>
      </w:r>
    </w:p>
    <w:p>
      <w:pPr>
        <w:ind w:firstLine="420" w:firstLineChars="150"/>
        <w:rPr>
          <w:rFonts w:ascii="仿宋" w:hAnsi="仿宋" w:eastAsia="仿宋"/>
          <w:sz w:val="28"/>
          <w:szCs w:val="28"/>
        </w:rPr>
      </w:pPr>
      <w:r>
        <w:rPr>
          <w:rFonts w:hint="eastAsia" w:ascii="仿宋" w:hAnsi="仿宋" w:eastAsia="仿宋"/>
          <w:sz w:val="28"/>
          <w:szCs w:val="28"/>
        </w:rPr>
        <w:t>（三）</w:t>
      </w:r>
      <w:r>
        <w:rPr>
          <w:rFonts w:hint="eastAsia" w:ascii="仿宋" w:hAnsi="仿宋" w:eastAsia="仿宋" w:cs="宋体"/>
          <w:sz w:val="28"/>
          <w:szCs w:val="28"/>
        </w:rPr>
        <w:t>高中教育，建立健全普通高中国家助学金制度，改善普通高中办学件。</w:t>
      </w:r>
    </w:p>
    <w:p>
      <w:pPr>
        <w:ind w:firstLine="420" w:firstLineChars="150"/>
        <w:rPr>
          <w:rFonts w:ascii="仿宋" w:hAnsi="仿宋" w:eastAsia="仿宋"/>
          <w:sz w:val="28"/>
          <w:szCs w:val="28"/>
        </w:rPr>
      </w:pPr>
      <w:r>
        <w:rPr>
          <w:rFonts w:hint="eastAsia" w:ascii="仿宋" w:hAnsi="仿宋" w:eastAsia="仿宋"/>
          <w:sz w:val="28"/>
          <w:szCs w:val="28"/>
        </w:rPr>
        <w:t>（四）</w:t>
      </w:r>
      <w:r>
        <w:rPr>
          <w:rFonts w:hint="eastAsia" w:ascii="仿宋" w:hAnsi="仿宋" w:eastAsia="仿宋" w:cs="宋体"/>
          <w:sz w:val="28"/>
          <w:szCs w:val="28"/>
        </w:rPr>
        <w:t>职业教育，大力发展职业教育，坚持以就业为导向，深化职业教育教学改革，增强职业教育发展活力。</w:t>
      </w:r>
    </w:p>
    <w:p>
      <w:pPr>
        <w:ind w:firstLine="420" w:firstLineChars="150"/>
        <w:rPr>
          <w:rFonts w:ascii="仿宋" w:hAnsi="仿宋" w:eastAsia="仿宋"/>
          <w:sz w:val="28"/>
          <w:szCs w:val="28"/>
        </w:rPr>
      </w:pPr>
      <w:r>
        <w:rPr>
          <w:rFonts w:hint="eastAsia" w:ascii="仿宋" w:hAnsi="仿宋" w:eastAsia="仿宋"/>
          <w:sz w:val="28"/>
          <w:szCs w:val="28"/>
        </w:rPr>
        <w:t>（五）</w:t>
      </w:r>
      <w:r>
        <w:rPr>
          <w:rFonts w:hint="eastAsia" w:ascii="仿宋" w:hAnsi="仿宋" w:eastAsia="仿宋" w:cs="宋体"/>
          <w:sz w:val="28"/>
          <w:szCs w:val="28"/>
        </w:rPr>
        <w:t>成人和民办教育</w:t>
      </w:r>
      <w:r>
        <w:rPr>
          <w:rFonts w:ascii="仿宋" w:hAnsi="仿宋" w:eastAsia="仿宋"/>
          <w:sz w:val="28"/>
          <w:szCs w:val="28"/>
        </w:rPr>
        <w:t>,</w:t>
      </w:r>
      <w:r>
        <w:rPr>
          <w:rFonts w:hint="eastAsia" w:ascii="仿宋" w:hAnsi="仿宋" w:eastAsia="仿宋" w:cs="宋体"/>
          <w:sz w:val="28"/>
          <w:szCs w:val="28"/>
        </w:rPr>
        <w:t>加强民办教育的统筹规划和管理，完善民办教育政策措施，规范办学秩序，促进民办教育事业发展。</w:t>
      </w:r>
    </w:p>
    <w:p>
      <w:pPr>
        <w:ind w:firstLine="420" w:firstLineChars="150"/>
        <w:rPr>
          <w:rFonts w:ascii="仿宋" w:hAnsi="仿宋" w:eastAsia="仿宋"/>
          <w:sz w:val="28"/>
          <w:szCs w:val="28"/>
        </w:rPr>
      </w:pPr>
      <w:r>
        <w:rPr>
          <w:rFonts w:hint="eastAsia" w:ascii="仿宋" w:hAnsi="仿宋" w:eastAsia="仿宋"/>
          <w:sz w:val="28"/>
          <w:szCs w:val="28"/>
        </w:rPr>
        <w:t>（六）</w:t>
      </w:r>
      <w:r>
        <w:rPr>
          <w:rFonts w:hint="eastAsia" w:ascii="仿宋" w:hAnsi="仿宋" w:eastAsia="仿宋" w:cs="宋体"/>
          <w:sz w:val="28"/>
          <w:szCs w:val="28"/>
        </w:rPr>
        <w:t>教师队伍建设</w:t>
      </w:r>
      <w:r>
        <w:rPr>
          <w:rFonts w:ascii="仿宋" w:hAnsi="仿宋" w:eastAsia="仿宋"/>
          <w:sz w:val="28"/>
          <w:szCs w:val="28"/>
        </w:rPr>
        <w:t>,</w:t>
      </w:r>
      <w:r>
        <w:rPr>
          <w:rFonts w:hint="eastAsia" w:ascii="仿宋" w:hAnsi="仿宋" w:eastAsia="仿宋" w:cs="宋体"/>
          <w:sz w:val="28"/>
          <w:szCs w:val="28"/>
        </w:rPr>
        <w:t>主管全县教师工作；负责全县中小学教师资格标准的实施；统筹规划和指导学校教师及管理人员队伍建设。</w:t>
      </w:r>
    </w:p>
    <w:p>
      <w:pPr>
        <w:ind w:firstLine="560"/>
        <w:rPr>
          <w:rFonts w:ascii="仿宋" w:hAnsi="仿宋" w:eastAsia="仿宋"/>
          <w:sz w:val="28"/>
        </w:rPr>
      </w:pPr>
      <w:r>
        <w:rPr>
          <w:rFonts w:hint="eastAsia" w:ascii="仿宋" w:hAnsi="仿宋" w:eastAsia="仿宋"/>
          <w:sz w:val="28"/>
          <w:szCs w:val="28"/>
        </w:rPr>
        <w:t>（七）</w:t>
      </w:r>
      <w:r>
        <w:rPr>
          <w:rFonts w:hint="eastAsia" w:ascii="仿宋" w:hAnsi="仿宋" w:eastAsia="仿宋" w:cs="宋体"/>
          <w:sz w:val="28"/>
          <w:szCs w:val="28"/>
        </w:rPr>
        <w:t>教育政务管理</w:t>
      </w:r>
      <w:r>
        <w:rPr>
          <w:rFonts w:ascii="仿宋" w:hAnsi="仿宋" w:eastAsia="仿宋"/>
          <w:sz w:val="28"/>
          <w:szCs w:val="28"/>
        </w:rPr>
        <w:t>,</w:t>
      </w:r>
      <w:r>
        <w:rPr>
          <w:rFonts w:hint="eastAsia" w:ascii="仿宋" w:hAnsi="仿宋" w:eastAsia="仿宋" w:cs="宋体"/>
          <w:sz w:val="28"/>
          <w:szCs w:val="28"/>
        </w:rPr>
        <w:t>负责教育系统综合业务管理和机关综合事务管理。</w:t>
      </w:r>
    </w:p>
    <w:p>
      <w:pPr>
        <w:widowControl/>
        <w:spacing w:line="580" w:lineRule="exact"/>
        <w:ind w:firstLine="640" w:firstLineChars="200"/>
        <w:rPr>
          <w:rFonts w:ascii="仿宋_GB2312" w:hAnsi="Calibri" w:eastAsia="仿宋_GB2312" w:cs="ArialUnicodeMS"/>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15</w:t>
      </w:r>
      <w:r>
        <w:rPr>
          <w:rFonts w:hint="eastAsia" w:ascii="仿宋_GB2312" w:hAnsi="Calibri"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高邑县教育局(本级)</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4"/>
              </w:rPr>
              <w:t>高邑县第一中学</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4"/>
              </w:rPr>
              <w:t>高邑县第二中学</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4</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4"/>
              </w:rPr>
              <w:t>高邑县第三中学</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5</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4"/>
              </w:rPr>
              <w:t>高邑县第四中学</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6</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高邑县音体美中学</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7</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高邑县教师进修学校</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8</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高邑县职教中心</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9</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高邑县特殊教育学校</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10</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高邑县职工子弟学校</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11</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高邑县大营学区</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12</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高邑县万城学区</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13</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高邑县富村学区</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14</w:t>
            </w:r>
          </w:p>
        </w:tc>
        <w:tc>
          <w:tcPr>
            <w:tcW w:w="348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高邑县中韩学区</w:t>
            </w:r>
          </w:p>
        </w:tc>
        <w:tc>
          <w:tcPr>
            <w:tcW w:w="2445"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vAlign w:val="center"/>
          </w:tcPr>
          <w:p>
            <w:pPr>
              <w:jc w:val="cente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15</w:t>
            </w:r>
          </w:p>
        </w:tc>
        <w:tc>
          <w:tcPr>
            <w:tcW w:w="3485"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高邑县高邑镇学区</w:t>
            </w:r>
          </w:p>
        </w:tc>
        <w:tc>
          <w:tcPr>
            <w:tcW w:w="2445"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65" w:type="dxa"/>
            <w:tcBorders>
              <w:bottom w:val="single" w:color="auto" w:sz="4" w:space="0"/>
            </w:tcBorders>
            <w:vAlign w:val="center"/>
          </w:tcPr>
          <w:p>
            <w:pPr>
              <w:jc w:val="center"/>
            </w:pPr>
            <w:r>
              <w:rPr>
                <w:rFonts w:hint="eastAsia" w:ascii="仿宋_GB2312" w:eastAsia="仿宋_GB2312" w:cs="ArialUnicodeMS"/>
                <w:kern w:val="0"/>
                <w:sz w:val="24"/>
              </w:rPr>
              <w:t>财政性资金基本保证</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6" w:type="first"/>
          <w:headerReference r:id="rId14" w:type="default"/>
          <w:footerReference r:id="rId15"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7"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9"/>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本部门2019年度收支总计（含结转和结余）31740.03万元。与2018年度决算27927.37相比，收支各增加3812.66万元，增长13.65%，主要原因是人员工资增长。</w:t>
      </w:r>
    </w:p>
    <w:p>
      <w:pPr>
        <w:adjustRightInd w:val="0"/>
        <w:snapToGrid w:val="0"/>
        <w:spacing w:line="580" w:lineRule="exact"/>
        <w:ind w:firstLine="640" w:firstLineChars="2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本部门2019年度本年收入合计29655万元，其中：财政拨款收入29655万元，占100%；事业收入0万元，占0%；经营收入0万元，占0%；其他收入0万元，占0%。如图所示：</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1260" w:firstLineChars="600"/>
        <w:rPr>
          <w:rFonts w:ascii="仿宋_GB2312" w:hAnsi="Times New Roman" w:eastAsia="仿宋_GB2312" w:cs="DengXian-Regular"/>
          <w:sz w:val="32"/>
          <w:szCs w:val="32"/>
        </w:rPr>
      </w:pPr>
      <w:r>
        <w:rPr>
          <w:rFonts w:hint="eastAsia"/>
        </w:rPr>
        <w:drawing>
          <wp:anchor distT="0" distB="0" distL="0" distR="0" simplePos="0" relativeHeight="251693056" behindDoc="0" locked="0" layoutInCell="1" allowOverlap="1">
            <wp:simplePos x="0" y="0"/>
            <wp:positionH relativeFrom="column">
              <wp:posOffset>59055</wp:posOffset>
            </wp:positionH>
            <wp:positionV relativeFrom="paragraph">
              <wp:posOffset>27940</wp:posOffset>
            </wp:positionV>
            <wp:extent cx="5486400" cy="3200400"/>
            <wp:effectExtent l="4445" t="4445" r="14605" b="14605"/>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ascii="仿宋_GB2312" w:hAnsi="Times New Roman" w:eastAsia="仿宋_GB2312" w:cs="DengXian-Regular"/>
          <w:sz w:val="32"/>
          <w:szCs w:val="32"/>
        </w:rPr>
        <w:t>29587.42</w:t>
      </w:r>
      <w:r>
        <w:rPr>
          <w:rFonts w:hint="eastAsia" w:ascii="仿宋_GB2312" w:hAnsi="Times New Roman" w:eastAsia="仿宋_GB2312" w:cs="DengXian-Regular"/>
          <w:sz w:val="32"/>
          <w:szCs w:val="32"/>
        </w:rPr>
        <w:t>万元，其中：基本支出</w:t>
      </w:r>
      <w:r>
        <w:rPr>
          <w:rFonts w:ascii="仿宋_GB2312" w:hAnsi="Times New Roman" w:eastAsia="仿宋_GB2312" w:cs="DengXian-Regular"/>
          <w:sz w:val="32"/>
          <w:szCs w:val="32"/>
        </w:rPr>
        <w:t>25833.74</w:t>
      </w:r>
      <w:r>
        <w:rPr>
          <w:rFonts w:hint="eastAsia" w:ascii="仿宋_GB2312" w:hAnsi="Times New Roman" w:eastAsia="仿宋_GB2312" w:cs="DengXian-Regular"/>
          <w:sz w:val="32"/>
          <w:szCs w:val="32"/>
        </w:rPr>
        <w:t>万元，占87.31%；项目支出</w:t>
      </w:r>
      <w:r>
        <w:rPr>
          <w:rFonts w:ascii="仿宋_GB2312" w:hAnsi="Times New Roman" w:eastAsia="仿宋_GB2312" w:cs="DengXian-Regular"/>
          <w:sz w:val="32"/>
          <w:szCs w:val="32"/>
        </w:rPr>
        <w:t>3753.68</w:t>
      </w:r>
      <w:r>
        <w:rPr>
          <w:rFonts w:hint="eastAsia" w:ascii="仿宋_GB2312" w:hAnsi="Times New Roman" w:eastAsia="仿宋_GB2312" w:cs="DengXian-Regular"/>
          <w:sz w:val="32"/>
          <w:szCs w:val="32"/>
        </w:rPr>
        <w:t>万元，占12.69%；经营支出0万元，占0%。如图所示：</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0" distR="0" simplePos="0" relativeHeight="251694080" behindDoc="0" locked="0" layoutInCell="1" allowOverlap="1">
            <wp:simplePos x="0" y="0"/>
            <wp:positionH relativeFrom="column">
              <wp:posOffset>190500</wp:posOffset>
            </wp:positionH>
            <wp:positionV relativeFrom="paragraph">
              <wp:posOffset>237490</wp:posOffset>
            </wp:positionV>
            <wp:extent cx="5486400" cy="3200400"/>
            <wp:effectExtent l="4445" t="4445" r="14605" b="14605"/>
            <wp:wrapSquare wrapText="bothSides"/>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本部门2019年度财政拨款本年收入29655万元,比2018年度增加1727.63万元，增长6.19%，主要是人员工资增长；本年支出29587.42万元，增加4719.95万元，增长18.98%，主要是人员工资的增长。具体情况如下：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ascii="仿宋_GB2312" w:hAnsi="Times New Roman" w:eastAsia="仿宋_GB2312" w:cs="DengXian-Regular"/>
          <w:sz w:val="32"/>
          <w:szCs w:val="32"/>
        </w:rPr>
        <w:t>295</w:t>
      </w:r>
      <w:r>
        <w:rPr>
          <w:rFonts w:hint="eastAsia" w:ascii="仿宋_GB2312" w:hAnsi="Times New Roman" w:eastAsia="仿宋_GB2312" w:cs="DengXian-Regular"/>
          <w:sz w:val="32"/>
          <w:szCs w:val="32"/>
        </w:rPr>
        <w:t>92.6万元，比上年增加1683.22万元；主要是人员工资的增长；本年支出29537.03万元，比上年增加4687.55万元，增长18.86%，主要是人员工资的增长。</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政府性基金预算财政拨款本年收入62.39万元，比上年增加44.4万元，增长246.8%，主要原因是增加职教占地补偿；本年支出50.39万元，比上年增加32.4万元，增长180.1%，主要是增加了职教占地补偿项目。</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0" distR="0" simplePos="0" relativeHeight="251695104" behindDoc="0" locked="0" layoutInCell="1" allowOverlap="1">
            <wp:simplePos x="0" y="0"/>
            <wp:positionH relativeFrom="column">
              <wp:posOffset>6985</wp:posOffset>
            </wp:positionH>
            <wp:positionV relativeFrom="paragraph">
              <wp:posOffset>191135</wp:posOffset>
            </wp:positionV>
            <wp:extent cx="5486400" cy="3200400"/>
            <wp:effectExtent l="4445" t="4445" r="14605" b="14605"/>
            <wp:wrapSquare wrapText="bothSides"/>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29655万元，完成年初预算的109.15%（如图4）,比年初预算增加2452.26万元，决算数大于预算数主要原因是人员工资的调整和增加项目支出；本年支出29587.42万元，完成年初预算的108.77%,比年初预算增加2384.68万元，决算数大于预算数主要原因是主要是人员经费增长和增加项目支出。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一般公共预算财政拨款本年收入完成年初预算108.86%，比年初预算增加2407.86万元，主要是人员经费增加；支出完成年初预算108.65%，比年初预算增加2352.29万元，主要是人员经费增加。</w:t>
      </w:r>
    </w:p>
    <w:p>
      <w:pPr>
        <w:numPr>
          <w:ilvl w:val="0"/>
          <w:numId w:val="2"/>
        </w:num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0" distR="0" simplePos="0" relativeHeight="251696128" behindDoc="0" locked="0" layoutInCell="1" allowOverlap="1">
            <wp:simplePos x="0" y="0"/>
            <wp:positionH relativeFrom="column">
              <wp:posOffset>131445</wp:posOffset>
            </wp:positionH>
            <wp:positionV relativeFrom="paragraph">
              <wp:posOffset>1546860</wp:posOffset>
            </wp:positionV>
            <wp:extent cx="5486400" cy="3200400"/>
            <wp:effectExtent l="4445" t="4445" r="14605" b="14605"/>
            <wp:wrapSquare wrapText="bothSides"/>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Pr>
          <w:rFonts w:hint="eastAsia" w:ascii="仿宋_GB2312" w:hAnsi="Times New Roman" w:eastAsia="仿宋_GB2312" w:cs="DengXian-Regular"/>
          <w:sz w:val="32"/>
          <w:szCs w:val="32"/>
        </w:rPr>
        <w:t>政府性基金预算财政拨款本年收入完成年初预算346.8%，比年初预算增加44.4万元，主要是职教占地补偿项目增加；支出完成年初预算280.1%，比年初预算增加32.4万元，主要是职教占地补偿项目增加。</w:t>
      </w:r>
    </w:p>
    <w:p>
      <w:pPr>
        <w:numPr>
          <w:ilvl w:val="0"/>
          <w:numId w:val="0"/>
        </w:numPr>
        <w:adjustRightInd w:val="0"/>
        <w:snapToGrid w:val="0"/>
        <w:spacing w:line="580" w:lineRule="exact"/>
        <w:rPr>
          <w:rFonts w:ascii="仿宋_GB2312" w:hAnsi="Times New Roman" w:eastAsia="仿宋_GB2312" w:cs="DengXian-Regular"/>
          <w:sz w:val="32"/>
          <w:szCs w:val="32"/>
          <w:highlight w:val="yellow"/>
        </w:rPr>
      </w:pP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pStyle w:val="14"/>
        <w:numPr>
          <w:ilvl w:val="0"/>
          <w:numId w:val="0"/>
        </w:num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97152" behindDoc="0" locked="0" layoutInCell="1" allowOverlap="1">
            <wp:simplePos x="0" y="0"/>
            <wp:positionH relativeFrom="column">
              <wp:posOffset>609600</wp:posOffset>
            </wp:positionH>
            <wp:positionV relativeFrom="paragraph">
              <wp:posOffset>1298575</wp:posOffset>
            </wp:positionV>
            <wp:extent cx="4572000" cy="2743200"/>
            <wp:effectExtent l="4445" t="4445" r="14605" b="14605"/>
            <wp:wrapSquare wrapText="bothSides"/>
            <wp:docPr id="3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Pr>
          <w:rFonts w:hint="eastAsia" w:ascii="仿宋_GB2312" w:hAnsi="Times New Roman" w:eastAsia="仿宋_GB2312" w:cs="DengXian-Regular"/>
          <w:sz w:val="32"/>
          <w:szCs w:val="32"/>
        </w:rPr>
        <w:t>2019 年度财政拨款支出</w:t>
      </w:r>
      <w:r>
        <w:rPr>
          <w:rFonts w:ascii="仿宋_GB2312" w:hAnsi="Times New Roman" w:eastAsia="仿宋_GB2312" w:cs="DengXian-Regular"/>
          <w:sz w:val="32"/>
          <w:szCs w:val="32"/>
        </w:rPr>
        <w:t>29587.42</w:t>
      </w:r>
      <w:r>
        <w:rPr>
          <w:rFonts w:hint="eastAsia" w:ascii="仿宋_GB2312" w:hAnsi="Times New Roman" w:eastAsia="仿宋_GB2312" w:cs="DengXian-Regular"/>
          <w:sz w:val="32"/>
          <w:szCs w:val="32"/>
        </w:rPr>
        <w:t>万元，主要用于以下方面：教育（类）支出</w:t>
      </w:r>
      <w:r>
        <w:rPr>
          <w:rFonts w:ascii="仿宋_GB2312" w:hAnsi="Times New Roman" w:eastAsia="仿宋_GB2312" w:cs="DengXian-Regular"/>
          <w:sz w:val="32"/>
          <w:szCs w:val="32"/>
        </w:rPr>
        <w:t>29058.62</w:t>
      </w:r>
      <w:r>
        <w:rPr>
          <w:rFonts w:hint="eastAsia" w:ascii="仿宋_GB2312" w:hAnsi="Times New Roman" w:eastAsia="仿宋_GB2312" w:cs="DengXian-Regular"/>
          <w:sz w:val="32"/>
          <w:szCs w:val="32"/>
        </w:rPr>
        <w:t>万元，占98.21%；文化（类）支出</w:t>
      </w:r>
      <w:r>
        <w:rPr>
          <w:rFonts w:ascii="仿宋_GB2312" w:hAnsi="Times New Roman" w:eastAsia="仿宋_GB2312" w:cs="DengXian-Regular"/>
          <w:sz w:val="32"/>
          <w:szCs w:val="32"/>
        </w:rPr>
        <w:t>478.41</w:t>
      </w:r>
      <w:r>
        <w:rPr>
          <w:rFonts w:hint="eastAsia" w:ascii="仿宋_GB2312" w:hAnsi="Times New Roman" w:eastAsia="仿宋_GB2312" w:cs="DengXian-Regular"/>
          <w:sz w:val="32"/>
          <w:szCs w:val="32"/>
        </w:rPr>
        <w:t>万元，占 1.62%；城乡和社区（类）支出 50.39万元，占0.17%。</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2019 年度财政拨款基本支出25833.74万元，其中：人员经费 </w:t>
      </w:r>
      <w:r>
        <w:rPr>
          <w:rFonts w:ascii="仿宋_GB2312" w:hAnsi="Times New Roman" w:eastAsia="仿宋_GB2312" w:cs="DengXian-Regular"/>
          <w:sz w:val="32"/>
          <w:szCs w:val="32"/>
        </w:rPr>
        <w:t>22300.57</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3533.17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adjustRightInd w:val="0"/>
        <w:snapToGrid w:val="0"/>
        <w:spacing w:line="580" w:lineRule="exact"/>
        <w:ind w:firstLine="640" w:firstLineChars="2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本部门2019年度“三公”经费支出共计1.8万元，完成预算的100%,较预算没有增减变化；较2018年度减少2万元，降低52.63%，主要是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增加0万元，增长0%,主要是我部门未组织人员出国；较上年增加0万元，增长0%,主要是我部门未组织人员出国。</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（二）公务用车购置及运行维护费支出1.5万元。</w:t>
      </w:r>
      <w:r>
        <w:rPr>
          <w:rFonts w:hint="eastAsia" w:ascii="仿宋_GB2312" w:hAnsi="Times New Roman" w:eastAsia="仿宋_GB2312" w:cs="DengXian-Regular"/>
          <w:sz w:val="32"/>
          <w:szCs w:val="32"/>
        </w:rPr>
        <w:t>本部门2019年度公务用车购置及运行维护费较预算减少0万元，降低0%,主要是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；较上年减少2万元，降低57.14%,</w:t>
      </w:r>
      <w:bookmarkStart w:id="0" w:name="_GoBack"/>
      <w:bookmarkEnd w:id="0"/>
      <w:r>
        <w:rPr>
          <w:rFonts w:hint="eastAsia" w:ascii="仿宋_GB2312" w:hAnsi="Times New Roman" w:eastAsia="仿宋_GB2312" w:cs="DengXian-Regular"/>
          <w:sz w:val="32"/>
          <w:szCs w:val="32"/>
          <w:lang w:eastAsia="zh-CN"/>
        </w:rPr>
        <w:t>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本部门2019年度公务用车购置量0辆，发生“公务用车购置”经费支出0万元。公务用车购置费支出较预算增加0万元，增长0%,主要是</w:t>
      </w:r>
      <w:r>
        <w:rPr>
          <w:rFonts w:hint="eastAsia" w:ascii="仿宋_GB2312" w:hAnsi="Times New Roman" w:eastAsia="仿宋_GB2312" w:cs="DengXian-Regular"/>
          <w:color w:val="000000"/>
          <w:sz w:val="32"/>
          <w:szCs w:val="32"/>
        </w:rPr>
        <w:t>“未发生“公务用车购置”经费支出</w:t>
      </w:r>
      <w:r>
        <w:rPr>
          <w:rFonts w:hint="eastAsia" w:ascii="仿宋_GB2312" w:hAnsi="Times New Roman" w:eastAsia="仿宋_GB2312" w:cs="DengXian-Regular"/>
          <w:sz w:val="32"/>
          <w:szCs w:val="32"/>
        </w:rPr>
        <w:t>；较上年增加0万元，增长0%,主要是</w:t>
      </w:r>
      <w:r>
        <w:rPr>
          <w:rFonts w:hint="eastAsia" w:ascii="仿宋_GB2312" w:hAnsi="Times New Roman" w:eastAsia="仿宋_GB2312" w:cs="DengXian-Regular"/>
          <w:color w:val="000000"/>
          <w:sz w:val="32"/>
          <w:szCs w:val="32"/>
        </w:rPr>
        <w:t>未发生“公务用车购置”经费支出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本部门2019年度单位公务用车保有量1辆。公车运行维护费支出与年初预算持平,主要是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；较上年减少2万元，降低57.14%，主要是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（三）公务接待费支出0.3万元。</w:t>
      </w:r>
      <w:r>
        <w:rPr>
          <w:rFonts w:hint="eastAsia" w:ascii="仿宋_GB2312" w:hAnsi="Times New Roman" w:eastAsia="仿宋_GB2312" w:cs="DengXian-Regular"/>
          <w:sz w:val="32"/>
          <w:szCs w:val="32"/>
        </w:rPr>
        <w:t>本部门2019年度公务接待共4批次、70人次。公务接待费支出</w:t>
      </w:r>
      <w:r>
        <w:rPr>
          <w:rFonts w:hint="eastAsia" w:ascii="仿宋_GB2312" w:eastAsia="仿宋_GB2312" w:cs="DengXian-Regular"/>
          <w:sz w:val="32"/>
          <w:szCs w:val="32"/>
        </w:rPr>
        <w:t>与年初预算持平</w:t>
      </w:r>
      <w:r>
        <w:rPr>
          <w:rFonts w:hint="eastAsia" w:ascii="仿宋_GB2312" w:hAnsi="Times New Roman" w:eastAsia="仿宋_GB2312" w:cs="DengXian-Regular"/>
          <w:sz w:val="32"/>
          <w:szCs w:val="32"/>
        </w:rPr>
        <w:t>,主要是中、高考等各类考试支出；</w:t>
      </w:r>
      <w:r>
        <w:rPr>
          <w:rFonts w:hint="eastAsia" w:ascii="仿宋_GB2312" w:eastAsia="仿宋_GB2312" w:cs="DengXian-Regular"/>
          <w:color w:val="000000"/>
          <w:sz w:val="32"/>
          <w:szCs w:val="32"/>
        </w:rPr>
        <w:t>较</w:t>
      </w:r>
      <w:r>
        <w:rPr>
          <w:rFonts w:ascii="仿宋_GB2312" w:eastAsia="仿宋_GB2312" w:cs="DengXian-Regular"/>
          <w:color w:val="000000"/>
          <w:sz w:val="32"/>
          <w:szCs w:val="32"/>
        </w:rPr>
        <w:t>201</w:t>
      </w:r>
      <w:r>
        <w:rPr>
          <w:rFonts w:hint="eastAsia" w:ascii="仿宋_GB2312" w:eastAsia="仿宋_GB2312" w:cs="DengXian-Regular"/>
          <w:color w:val="000000"/>
          <w:sz w:val="32"/>
          <w:szCs w:val="32"/>
        </w:rPr>
        <w:t>8年度决算无增减变化</w:t>
      </w:r>
      <w:r>
        <w:rPr>
          <w:rFonts w:hint="eastAsia" w:ascii="仿宋_GB2312" w:hAnsi="Times New Roman" w:eastAsia="仿宋_GB2312" w:cs="DengXian-Regular"/>
          <w:sz w:val="32"/>
          <w:szCs w:val="32"/>
        </w:rPr>
        <w:t>,主要是中、高考等各类考试支出。</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为进一步提高</w:t>
      </w:r>
      <w:r>
        <w:rPr>
          <w:rFonts w:ascii="仿宋_GB2312" w:hAnsi="仿宋_GB2312" w:eastAsia="仿宋_GB2312" w:cs="仿宋_GB2312"/>
          <w:sz w:val="32"/>
          <w:szCs w:val="32"/>
        </w:rPr>
        <w:t>我</w:t>
      </w:r>
      <w:r>
        <w:rPr>
          <w:rFonts w:hint="eastAsia" w:ascii="仿宋_GB2312" w:hAnsi="仿宋_GB2312" w:eastAsia="仿宋_GB2312" w:cs="仿宋_GB2312"/>
          <w:sz w:val="32"/>
          <w:szCs w:val="32"/>
        </w:rPr>
        <w:t>县教育局</w:t>
      </w:r>
      <w:r>
        <w:rPr>
          <w:rFonts w:ascii="仿宋_GB2312" w:hAnsi="仿宋_GB2312" w:eastAsia="仿宋_GB2312" w:cs="仿宋_GB2312"/>
          <w:sz w:val="32"/>
          <w:szCs w:val="32"/>
        </w:rPr>
        <w:t>绩效预算管理工作</w:t>
      </w:r>
      <w:r>
        <w:rPr>
          <w:rFonts w:hint="eastAsia" w:ascii="仿宋_GB2312" w:hAnsi="仿宋_GB2312" w:eastAsia="仿宋_GB2312" w:cs="仿宋_GB2312"/>
          <w:sz w:val="32"/>
          <w:szCs w:val="32"/>
        </w:rPr>
        <w:t>，根据《石家庄市市级部门预算项目绩效自评管理办法》（石财绩〔</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〕5号）要求，成立绩效评价工作组，对教育局所有的预算项目，</w:t>
      </w:r>
      <w:r>
        <w:rPr>
          <w:rFonts w:ascii="仿宋_GB2312" w:hAnsi="仿宋_GB2312" w:eastAsia="仿宋_GB2312" w:cs="仿宋_GB2312"/>
          <w:sz w:val="32"/>
          <w:szCs w:val="32"/>
        </w:rPr>
        <w:t>开展</w:t>
      </w:r>
      <w:r>
        <w:rPr>
          <w:rFonts w:hint="eastAsia" w:ascii="仿宋_GB2312" w:hAnsi="仿宋_GB2312" w:eastAsia="仿宋_GB2312" w:cs="仿宋_GB2312"/>
          <w:sz w:val="32"/>
          <w:szCs w:val="32"/>
        </w:rPr>
        <w:t>2019年度</w:t>
      </w:r>
      <w:r>
        <w:rPr>
          <w:rFonts w:ascii="仿宋_GB2312" w:hAnsi="仿宋_GB2312" w:eastAsia="仿宋_GB2312" w:cs="仿宋_GB2312"/>
          <w:sz w:val="32"/>
          <w:szCs w:val="32"/>
        </w:rPr>
        <w:t>财政专项资金</w:t>
      </w:r>
      <w:r>
        <w:rPr>
          <w:rFonts w:hint="eastAsia" w:ascii="仿宋_GB2312" w:hAnsi="仿宋_GB2312" w:eastAsia="仿宋_GB2312" w:cs="仿宋_GB2312"/>
          <w:sz w:val="32"/>
          <w:szCs w:val="32"/>
        </w:rPr>
        <w:t>部门</w:t>
      </w:r>
      <w:r>
        <w:rPr>
          <w:rFonts w:ascii="仿宋_GB2312" w:hAnsi="仿宋_GB2312" w:eastAsia="仿宋_GB2312" w:cs="仿宋_GB2312"/>
          <w:sz w:val="32"/>
          <w:szCs w:val="32"/>
        </w:rPr>
        <w:t>绩效</w:t>
      </w:r>
      <w:r>
        <w:rPr>
          <w:rFonts w:hint="eastAsia" w:ascii="仿宋_GB2312" w:hAnsi="仿宋_GB2312" w:eastAsia="仿宋_GB2312" w:cs="仿宋_GB2312"/>
          <w:sz w:val="32"/>
          <w:szCs w:val="32"/>
        </w:rPr>
        <w:t>自评</w:t>
      </w:r>
      <w:r>
        <w:rPr>
          <w:rFonts w:ascii="仿宋_GB2312" w:hAnsi="仿宋_GB2312" w:eastAsia="仿宋_GB2312" w:cs="仿宋_GB2312"/>
          <w:sz w:val="32"/>
          <w:szCs w:val="32"/>
        </w:rPr>
        <w:t>工作</w:t>
      </w:r>
      <w:r>
        <w:rPr>
          <w:rFonts w:hint="eastAsia" w:ascii="仿宋_GB2312" w:hAnsi="仿宋_GB2312" w:eastAsia="仿宋_GB2312" w:cs="仿宋_GB2312"/>
          <w:sz w:val="32"/>
          <w:szCs w:val="32"/>
        </w:rPr>
        <w:t>。其中，一级项目36个，共涉及资金</w:t>
      </w:r>
      <w:r>
        <w:rPr>
          <w:rFonts w:hint="eastAsia" w:ascii="仿宋_GB2312" w:hAnsi="仿宋_GB2312" w:eastAsia="仿宋_GB2312" w:cs="宋体"/>
          <w:sz w:val="32"/>
          <w:szCs w:val="32"/>
        </w:rPr>
        <w:t>6676.42</w:t>
      </w:r>
      <w:r>
        <w:rPr>
          <w:rFonts w:hint="eastAsia" w:ascii="仿宋_GB2312" w:hAnsi="仿宋_GB2312" w:eastAsia="仿宋_GB2312" w:cs="仿宋_GB2312"/>
          <w:sz w:val="32"/>
          <w:szCs w:val="32"/>
        </w:rPr>
        <w:t>万元，占一般公共预算项目支出总额的100%。组织对2019年度 “经费保障机制”“营养餐”等36个项目开展了部门评价，涉及一般公共预算支出6676.42万元，从评价情况来看，我局高度重视预算绩效管理工作，组织召开相关会议，明确各科室和人员，制定预算绩效管理工作内部机制和实施细则，建立评价个性指标体系和整体支出绩效指标体系；同时，组织各部门培训学习预算绩效管理业务。严格按照相关规定编制绩效目标，开展</w:t>
      </w:r>
      <w:r>
        <w:rPr>
          <w:rFonts w:ascii="仿宋_GB2312" w:hAnsi="仿宋_GB2312" w:eastAsia="仿宋_GB2312" w:cs="仿宋_GB2312"/>
          <w:sz w:val="32"/>
          <w:szCs w:val="32"/>
        </w:rPr>
        <w:t>201</w:t>
      </w:r>
      <w:r>
        <w:rPr>
          <w:rFonts w:hint="eastAsia" w:ascii="仿宋_GB2312" w:hAnsi="仿宋_GB2312" w:eastAsia="仿宋_GB2312" w:cs="仿宋_GB2312"/>
          <w:sz w:val="32"/>
          <w:szCs w:val="32"/>
        </w:rPr>
        <w:t>9年度财政预算资金支出绩效运行跟踪监控，并在规定时间内报送资金运行跟踪监控情况报告。根据相关要求开展预算绩效跟踪监控，确保项目支出绩效目标和财政资金支出绩效目标如期实现。按照相关规定开展项目支出绩效自评，全面分析问题，提出建议。根据预算绩效管理工作的开展，实时监控管理各项目资金支出，提高各项目资金的使用效益。</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本部门在今年部门决算公开中反映一中图书楼项目绩效自评结果。</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中图书楼项目自评综述：根据年初设定的绩效目标，一中图书楼项目绩效自评得分为92分（绩效自评表附后）。全年预算数为100万元，执行数为100万元，完成预算的100%。项目绩效目标完成情况：一是预算执行情况（10分）2019年度安排资金100万元，支出100万元，完成率100%。得分为10分；二是项目产出（40分）该项目建成后新增图书大楼面积5400平方米，新增生均面积27平方米，通过验收的新建面积占比100%，平均成本1700元/平方米，均达到预定目标。但由于环保原因不能</w:t>
      </w:r>
      <w:r>
        <w:rPr>
          <w:rFonts w:hint="eastAsia" w:ascii="仿宋_GB2312" w:hAnsi="仿宋_GB2312" w:eastAsia="仿宋_GB2312" w:cs="仿宋_GB2312"/>
          <w:sz w:val="32"/>
          <w:szCs w:val="32"/>
          <w:lang w:eastAsia="zh-CN"/>
        </w:rPr>
        <w:t>全天候</w:t>
      </w:r>
      <w:r>
        <w:rPr>
          <w:rFonts w:hint="eastAsia" w:ascii="仿宋_GB2312" w:hAnsi="仿宋_GB2312" w:eastAsia="仿宋_GB2312" w:cs="仿宋_GB2312"/>
          <w:sz w:val="32"/>
          <w:szCs w:val="32"/>
        </w:rPr>
        <w:t>施工导致施工进度慢未能按期完工。得分为32分；三是项目效益（40分）</w:t>
      </w:r>
      <w:r>
        <w:rPr>
          <w:rFonts w:ascii="仿宋_GB2312" w:hAnsi="仿宋_GB2312" w:eastAsia="仿宋_GB2312" w:cs="仿宋_GB2312"/>
          <w:sz w:val="32"/>
          <w:szCs w:val="32"/>
        </w:rPr>
        <w:tab/>
      </w:r>
      <w:r>
        <w:rPr>
          <w:rFonts w:hint="eastAsia" w:ascii="仿宋_GB2312" w:hAnsi="仿宋_GB2312" w:eastAsia="仿宋_GB2312" w:cs="仿宋_GB2312"/>
          <w:sz w:val="32"/>
          <w:szCs w:val="32"/>
        </w:rPr>
        <w:t>图书大楼建成后可满足容纳2500学生同时进行阅读，合用年限可在达50年等标准。得分为40分；四是项目满意度（10分）通过问卷调查学生满意度为99.4%，教师满意度99.5%。得分为10分。发现的主要问题及原因：该项目存在的主要问题是施工进度慢，不能按预期进度完工。主要原因是环保大力大，不能全天候施工。下一步改进措施：想尽一切办法在不影响环保保证质量的前提下，加快施工进度。</w:t>
      </w:r>
    </w:p>
    <w:p>
      <w:pPr>
        <w:keepNext/>
        <w:keepLines/>
        <w:numPr>
          <w:ilvl w:val="0"/>
          <w:numId w:val="2"/>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numPr>
          <w:ilvl w:val="0"/>
          <w:numId w:val="0"/>
        </w:numPr>
        <w:snapToGrid w:val="0"/>
        <w:spacing w:line="580" w:lineRule="exact"/>
        <w:ind w:firstLine="640"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sz w:val="32"/>
          <w:szCs w:val="32"/>
        </w:rPr>
        <w:t>我单位2019年度没有财政评价项目绩效评价</w:t>
      </w:r>
      <w:r>
        <w:rPr>
          <w:rFonts w:hint="eastAsia" w:ascii="仿宋_GB2312" w:hAnsi="仿宋_GB2312" w:eastAsia="仿宋_GB2312" w:cs="仿宋_GB2312"/>
          <w:b/>
          <w:bCs/>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本部门2019年度机关运行经费支出0万元，与2018年度持平。主要原因是我单位为事业单位，没有机关运行经费</w:t>
      </w:r>
      <w:r>
        <w:rPr>
          <w:rFonts w:hint="eastAsia" w:ascii="仿宋_GB2312" w:hAnsi="Times New Roman" w:eastAsia="仿宋_GB2312" w:cs="DengXian-Regular"/>
          <w:sz w:val="32"/>
          <w:szCs w:val="32"/>
          <w:lang w:eastAsia="zh-CN"/>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1辆，比上年减少1辆，主要是学校公务车辆已拍卖。其中，副部（省）级及以上领导用车0辆，主要领导干部用车0辆，机要通信用车1辆，应急保障用车0辆，执法执勤用车0辆，特种专业技术用车0辆，离退休干部用车0辆，其他用车0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万元以上通用设备0台（套），与上年持平，单位价值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9年度国有资产经营无收支及结转结余情况，故公开</w:t>
      </w:r>
      <w:r>
        <w:rPr>
          <w:rFonts w:ascii="仿宋_GB2312" w:eastAsia="仿宋_GB2312" w:cs="DengXian-Regular"/>
          <w:sz w:val="32"/>
          <w:szCs w:val="32"/>
        </w:rPr>
        <w:t>0</w:t>
      </w:r>
      <w:r>
        <w:rPr>
          <w:rFonts w:hint="eastAsia" w:ascii="仿宋_GB2312" w:eastAsia="仿宋_GB2312" w:cs="DengXian-Regular"/>
          <w:sz w:val="32"/>
          <w:szCs w:val="32"/>
        </w:rPr>
        <w:t>9表以空表列示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9" w:type="first"/>
          <w:footerReference r:id="rId21" w:type="first"/>
          <w:headerReference r:id="rId18" w:type="default"/>
          <w:footerReference r:id="rId20"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9"/>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2"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4"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9"/>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p>
      <w:pPr>
        <w:widowControl/>
        <w:ind w:left="640" w:firstLine="640" w:firstLineChars="200"/>
        <w:rPr>
          <w:rFonts w:hint="eastAsia" w:ascii="仿宋_GB2312" w:hAnsi="仿宋" w:eastAsia="仿宋_GB2312"/>
          <w:sz w:val="32"/>
          <w:szCs w:val="32"/>
        </w:rPr>
      </w:pPr>
      <w:r>
        <w:rPr>
          <w:rFonts w:hint="eastAsia" w:ascii="仿宋_GB2312" w:hAnsi="仿宋" w:eastAsia="仿宋_GB2312"/>
          <w:sz w:val="32"/>
          <w:szCs w:val="32"/>
        </w:rPr>
        <w:t>本部门应公开9张决算表格，即：</w:t>
      </w:r>
    </w:p>
    <w:p>
      <w:pPr>
        <w:widowControl/>
        <w:ind w:left="640" w:firstLine="640" w:firstLineChars="200"/>
        <w:rPr>
          <w:rFonts w:hint="eastAsia" w:ascii="仿宋_GB2312" w:hAnsi="仿宋" w:eastAsia="仿宋_GB2312"/>
          <w:sz w:val="32"/>
          <w:szCs w:val="32"/>
        </w:rPr>
      </w:pPr>
      <w:r>
        <w:rPr>
          <w:rFonts w:hint="eastAsia" w:ascii="仿宋_GB2312" w:hAnsi="仿宋" w:eastAsia="仿宋_GB2312"/>
          <w:sz w:val="32"/>
          <w:szCs w:val="32"/>
        </w:rPr>
        <w:t>一、收入支出决算总表</w:t>
      </w:r>
      <w:r>
        <w:rPr>
          <w:rFonts w:hint="eastAsia" w:ascii="仿宋_GB2312" w:hAnsi="仿宋" w:eastAsia="仿宋_GB2312" w:cs="宋体"/>
          <w:kern w:val="0"/>
          <w:sz w:val="32"/>
          <w:szCs w:val="32"/>
        </w:rPr>
        <w:t>（公开01 表）</w:t>
      </w:r>
    </w:p>
    <w:p>
      <w:pPr>
        <w:widowControl/>
        <w:ind w:left="640" w:firstLine="640" w:firstLineChars="200"/>
        <w:rPr>
          <w:rFonts w:hint="eastAsia" w:ascii="仿宋_GB2312" w:hAnsi="仿宋" w:eastAsia="仿宋_GB2312"/>
          <w:sz w:val="32"/>
          <w:szCs w:val="32"/>
        </w:rPr>
      </w:pPr>
      <w:r>
        <w:rPr>
          <w:rFonts w:hint="eastAsia" w:ascii="仿宋_GB2312" w:hAnsi="仿宋" w:eastAsia="仿宋_GB2312"/>
          <w:sz w:val="32"/>
          <w:szCs w:val="32"/>
        </w:rPr>
        <w:t>二、收入决算表</w:t>
      </w:r>
      <w:r>
        <w:rPr>
          <w:rFonts w:hint="eastAsia" w:ascii="仿宋_GB2312" w:hAnsi="仿宋" w:eastAsia="仿宋_GB2312" w:cs="宋体"/>
          <w:kern w:val="0"/>
          <w:sz w:val="32"/>
          <w:szCs w:val="32"/>
        </w:rPr>
        <w:t>（公开02 表）</w:t>
      </w:r>
    </w:p>
    <w:p>
      <w:pPr>
        <w:widowControl/>
        <w:ind w:left="640" w:firstLine="640" w:firstLineChars="200"/>
        <w:rPr>
          <w:rFonts w:hint="eastAsia" w:ascii="仿宋_GB2312" w:hAnsi="仿宋" w:eastAsia="仿宋_GB2312"/>
          <w:sz w:val="32"/>
          <w:szCs w:val="32"/>
        </w:rPr>
      </w:pPr>
      <w:r>
        <w:rPr>
          <w:rFonts w:hint="eastAsia" w:ascii="仿宋_GB2312" w:hAnsi="仿宋" w:eastAsia="仿宋_GB2312"/>
          <w:sz w:val="32"/>
          <w:szCs w:val="32"/>
        </w:rPr>
        <w:t>三、支出决算表</w:t>
      </w:r>
      <w:r>
        <w:rPr>
          <w:rFonts w:hint="eastAsia" w:ascii="仿宋_GB2312" w:hAnsi="仿宋" w:eastAsia="仿宋_GB2312" w:cs="宋体"/>
          <w:kern w:val="0"/>
          <w:sz w:val="32"/>
          <w:szCs w:val="32"/>
        </w:rPr>
        <w:t>（公开03 表）</w:t>
      </w:r>
    </w:p>
    <w:p>
      <w:pPr>
        <w:widowControl/>
        <w:ind w:left="640" w:firstLine="640" w:firstLineChars="200"/>
        <w:rPr>
          <w:rFonts w:hint="eastAsia" w:ascii="仿宋_GB2312" w:hAnsi="仿宋" w:eastAsia="仿宋_GB2312"/>
          <w:sz w:val="32"/>
          <w:szCs w:val="32"/>
        </w:rPr>
      </w:pPr>
      <w:r>
        <w:rPr>
          <w:rFonts w:hint="eastAsia" w:ascii="仿宋_GB2312" w:hAnsi="仿宋" w:eastAsia="仿宋_GB2312"/>
          <w:sz w:val="32"/>
          <w:szCs w:val="32"/>
        </w:rPr>
        <w:t>四、财政拨款收入支出决算总表</w:t>
      </w:r>
      <w:r>
        <w:rPr>
          <w:rFonts w:hint="eastAsia" w:ascii="仿宋_GB2312" w:hAnsi="仿宋" w:eastAsia="仿宋_GB2312" w:cs="宋体"/>
          <w:kern w:val="0"/>
          <w:sz w:val="32"/>
          <w:szCs w:val="32"/>
        </w:rPr>
        <w:t>（公开04 表）</w:t>
      </w:r>
    </w:p>
    <w:p>
      <w:pPr>
        <w:widowControl/>
        <w:ind w:left="640" w:firstLine="640" w:firstLineChars="200"/>
        <w:rPr>
          <w:rFonts w:hint="eastAsia" w:ascii="仿宋_GB2312" w:hAnsi="仿宋" w:eastAsia="仿宋_GB2312"/>
          <w:sz w:val="32"/>
          <w:szCs w:val="32"/>
        </w:rPr>
      </w:pPr>
      <w:r>
        <w:rPr>
          <w:rFonts w:hint="eastAsia" w:ascii="仿宋_GB2312" w:hAnsi="仿宋" w:eastAsia="仿宋_GB2312"/>
          <w:sz w:val="32"/>
          <w:szCs w:val="32"/>
        </w:rPr>
        <w:t>五、</w:t>
      </w:r>
      <w:r>
        <w:rPr>
          <w:rFonts w:hint="eastAsia" w:ascii="仿宋_GB2312" w:eastAsia="仿宋_GB2312"/>
          <w:sz w:val="32"/>
          <w:szCs w:val="32"/>
        </w:rPr>
        <w:t>一般公共预算财政拨款支出决算表</w:t>
      </w:r>
      <w:r>
        <w:rPr>
          <w:rFonts w:hint="eastAsia" w:ascii="仿宋_GB2312" w:hAnsi="仿宋" w:eastAsia="仿宋_GB2312" w:cs="宋体"/>
          <w:kern w:val="0"/>
          <w:sz w:val="32"/>
          <w:szCs w:val="32"/>
        </w:rPr>
        <w:t>（公开05 表）</w:t>
      </w:r>
    </w:p>
    <w:p>
      <w:pPr>
        <w:widowControl/>
        <w:ind w:left="640" w:firstLine="640" w:firstLineChars="200"/>
        <w:rPr>
          <w:rFonts w:hint="eastAsia" w:ascii="仿宋_GB2312" w:hAnsi="仿宋" w:eastAsia="仿宋_GB2312"/>
          <w:sz w:val="32"/>
          <w:szCs w:val="32"/>
        </w:rPr>
      </w:pPr>
      <w:r>
        <w:rPr>
          <w:rFonts w:hint="eastAsia" w:ascii="仿宋_GB2312" w:hAnsi="仿宋" w:eastAsia="仿宋_GB2312"/>
          <w:sz w:val="32"/>
          <w:szCs w:val="32"/>
        </w:rPr>
        <w:t>六、</w:t>
      </w:r>
      <w:r>
        <w:rPr>
          <w:rFonts w:hint="eastAsia" w:ascii="仿宋_GB2312" w:eastAsia="仿宋_GB2312"/>
          <w:sz w:val="32"/>
          <w:szCs w:val="32"/>
        </w:rPr>
        <w:t>一般公共预算财政拨款基本支出决算表</w:t>
      </w:r>
      <w:r>
        <w:rPr>
          <w:rFonts w:hint="eastAsia" w:ascii="仿宋_GB2312" w:hAnsi="仿宋" w:eastAsia="仿宋_GB2312" w:cs="宋体"/>
          <w:kern w:val="0"/>
          <w:sz w:val="32"/>
          <w:szCs w:val="32"/>
        </w:rPr>
        <w:t>（公开06 表）</w:t>
      </w:r>
    </w:p>
    <w:p>
      <w:pPr>
        <w:widowControl/>
        <w:ind w:left="640" w:firstLine="640" w:firstLineChars="200"/>
        <w:rPr>
          <w:rFonts w:hint="eastAsia" w:ascii="仿宋_GB2312" w:hAnsi="仿宋" w:eastAsia="仿宋_GB2312"/>
          <w:sz w:val="32"/>
          <w:szCs w:val="32"/>
        </w:rPr>
      </w:pPr>
      <w:r>
        <w:rPr>
          <w:rFonts w:hint="eastAsia" w:ascii="仿宋_GB2312" w:hAnsi="仿宋" w:eastAsia="仿宋_GB2312"/>
          <w:sz w:val="32"/>
          <w:szCs w:val="32"/>
        </w:rPr>
        <w:t>七、</w:t>
      </w:r>
      <w:r>
        <w:rPr>
          <w:rFonts w:hint="eastAsia" w:ascii="仿宋_GB2312" w:eastAsia="仿宋_GB2312"/>
          <w:sz w:val="32"/>
          <w:szCs w:val="32"/>
        </w:rPr>
        <w:t>一般公共预算财政拨款“三公”经费支出决算表</w:t>
      </w:r>
      <w:r>
        <w:rPr>
          <w:rFonts w:hint="eastAsia" w:ascii="仿宋_GB2312" w:hAnsi="仿宋" w:eastAsia="仿宋_GB2312" w:cs="宋体"/>
          <w:kern w:val="0"/>
          <w:sz w:val="32"/>
          <w:szCs w:val="32"/>
        </w:rPr>
        <w:t>（公开07 表）</w:t>
      </w:r>
    </w:p>
    <w:p>
      <w:pPr>
        <w:widowControl/>
        <w:ind w:left="640" w:firstLine="640" w:firstLineChars="200"/>
        <w:rPr>
          <w:rFonts w:hint="eastAsia" w:ascii="仿宋_GB2312" w:hAnsi="仿宋" w:eastAsia="仿宋_GB2312"/>
          <w:sz w:val="32"/>
          <w:szCs w:val="32"/>
          <w:highlight w:val="darkCyan"/>
        </w:rPr>
      </w:pPr>
      <w:r>
        <w:rPr>
          <w:rFonts w:hint="eastAsia" w:ascii="仿宋_GB2312" w:hAnsi="仿宋" w:eastAsia="仿宋_GB2312"/>
          <w:sz w:val="32"/>
          <w:szCs w:val="32"/>
        </w:rPr>
        <w:t>八、</w:t>
      </w:r>
      <w:r>
        <w:rPr>
          <w:rFonts w:hint="eastAsia" w:ascii="仿宋_GB2312" w:eastAsia="仿宋_GB2312"/>
          <w:sz w:val="32"/>
          <w:szCs w:val="32"/>
        </w:rPr>
        <w:t>政府性基金预算财政拨款收入支出决算表</w:t>
      </w:r>
      <w:r>
        <w:rPr>
          <w:rFonts w:hint="eastAsia" w:ascii="仿宋_GB2312" w:hAnsi="仿宋" w:eastAsia="仿宋_GB2312" w:cs="宋体"/>
          <w:kern w:val="0"/>
          <w:sz w:val="32"/>
          <w:szCs w:val="32"/>
        </w:rPr>
        <w:t>（公开08表）</w:t>
      </w:r>
    </w:p>
    <w:p>
      <w:pPr>
        <w:widowControl/>
        <w:ind w:left="640" w:firstLine="640" w:firstLineChars="200"/>
        <w:rPr>
          <w:rFonts w:hint="eastAsia" w:ascii="仿宋_GB2312" w:hAnsi="仿宋" w:eastAsia="仿宋_GB2312"/>
          <w:sz w:val="32"/>
          <w:szCs w:val="32"/>
        </w:rPr>
      </w:pPr>
      <w:r>
        <w:rPr>
          <w:rFonts w:hint="eastAsia" w:ascii="仿宋_GB2312" w:hAnsi="仿宋" w:eastAsia="仿宋_GB2312"/>
          <w:sz w:val="32"/>
          <w:szCs w:val="32"/>
        </w:rPr>
        <w:t>九、</w:t>
      </w:r>
      <w:r>
        <w:rPr>
          <w:rFonts w:hint="eastAsia" w:ascii="仿宋_GB2312" w:eastAsia="仿宋_GB2312"/>
          <w:sz w:val="32"/>
          <w:szCs w:val="32"/>
        </w:rPr>
        <w:t>国有资本经营预算财政拨款支出决算表</w:t>
      </w:r>
      <w:r>
        <w:rPr>
          <w:rFonts w:hint="eastAsia" w:ascii="仿宋_GB2312" w:hAnsi="仿宋" w:eastAsia="仿宋_GB2312" w:cs="宋体"/>
          <w:kern w:val="0"/>
          <w:sz w:val="32"/>
          <w:szCs w:val="32"/>
        </w:rPr>
        <w:t>（公开09 表）</w:t>
      </w:r>
    </w:p>
    <w:p>
      <w:pPr>
        <w:autoSpaceDE w:val="0"/>
        <w:autoSpaceDN w:val="0"/>
        <w:ind w:firstLine="640" w:firstLineChars="200"/>
      </w:pPr>
      <w:r>
        <w:rPr>
          <w:rFonts w:hint="eastAsia" w:ascii="仿宋_GB2312" w:hAnsi="仿宋" w:eastAsia="仿宋_GB2312" w:cs="宋体"/>
          <w:kern w:val="0"/>
          <w:sz w:val="32"/>
          <w:szCs w:val="32"/>
        </w:rPr>
        <w:t>详见附表：《高邑县</w:t>
      </w:r>
      <w:r>
        <w:rPr>
          <w:rFonts w:hint="eastAsia" w:ascii="仿宋_GB2312" w:hAnsi="仿宋" w:eastAsia="仿宋_GB2312" w:cs="宋体"/>
          <w:kern w:val="0"/>
          <w:sz w:val="32"/>
          <w:szCs w:val="32"/>
          <w:lang w:val="en-US" w:eastAsia="zh-CN"/>
        </w:rPr>
        <w:t>教育局</w:t>
      </w:r>
      <w:r>
        <w:rPr>
          <w:rFonts w:hint="eastAsia" w:ascii="仿宋_GB2312" w:hAnsi="仿宋" w:eastAsia="仿宋_GB2312" w:cs="宋体"/>
          <w:kern w:val="0"/>
          <w:sz w:val="32"/>
          <w:szCs w:val="32"/>
        </w:rPr>
        <w:t>2019年度部门决算公开表》</w:t>
      </w:r>
    </w:p>
    <w:p>
      <w:r>
        <w:tab/>
      </w:r>
      <w:r>
        <w:tab/>
      </w:r>
      <w:r>
        <w:tab/>
      </w:r>
      <w:r>
        <w:br w:type="page"/>
      </w:r>
    </w:p>
    <w:p/>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6" w:type="first"/>
      <w:headerReference r:id="rId25" w:type="default"/>
      <w:footerReference r:id="rId27"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altName w:val="Meiryo UI"/>
    <w:panose1 w:val="020B0700000000000000"/>
    <w:charset w:val="80"/>
    <w:family w:val="swiss"/>
    <w:pitch w:val="default"/>
    <w:sig w:usb0="00000000" w:usb1="00000000" w:usb2="00000016" w:usb3="00000000" w:csb0="2002009F" w:csb1="00000000"/>
  </w:font>
  <w:font w:name="Meiryo UI">
    <w:panose1 w:val="020B0604030504040204"/>
    <w:charset w:val="80"/>
    <w:family w:val="auto"/>
    <w:pitch w:val="default"/>
    <w:sig w:usb0="E10102FF" w:usb1="EAC7FFFF" w:usb2="00010012" w:usb3="00000000" w:csb0="6002009F" w:csb1="DFD7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59"/>
    <w:rsid w:val="00442CC2"/>
    <w:rsid w:val="00446244"/>
    <w:rsid w:val="00473C20"/>
    <w:rsid w:val="004D61CB"/>
    <w:rsid w:val="005011D6"/>
    <w:rsid w:val="00503F2E"/>
    <w:rsid w:val="00552226"/>
    <w:rsid w:val="00566120"/>
    <w:rsid w:val="00582E6D"/>
    <w:rsid w:val="005954D5"/>
    <w:rsid w:val="005A53FA"/>
    <w:rsid w:val="005D1293"/>
    <w:rsid w:val="0064312D"/>
    <w:rsid w:val="00644D5F"/>
    <w:rsid w:val="00657F86"/>
    <w:rsid w:val="006727AD"/>
    <w:rsid w:val="00691425"/>
    <w:rsid w:val="006A516E"/>
    <w:rsid w:val="006B0830"/>
    <w:rsid w:val="006F3F58"/>
    <w:rsid w:val="00716E2B"/>
    <w:rsid w:val="00770F18"/>
    <w:rsid w:val="00773B74"/>
    <w:rsid w:val="0078290C"/>
    <w:rsid w:val="007C06CA"/>
    <w:rsid w:val="008163FB"/>
    <w:rsid w:val="00820A70"/>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13FE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FE7417"/>
    <w:rsid w:val="05B00A30"/>
    <w:rsid w:val="0B011416"/>
    <w:rsid w:val="1587438F"/>
    <w:rsid w:val="31C2036A"/>
    <w:rsid w:val="320D02A5"/>
    <w:rsid w:val="348E566F"/>
    <w:rsid w:val="3A226944"/>
    <w:rsid w:val="3AEE6A48"/>
    <w:rsid w:val="3C1620AA"/>
    <w:rsid w:val="3D8F080F"/>
    <w:rsid w:val="44CE1FA4"/>
    <w:rsid w:val="487F73ED"/>
    <w:rsid w:val="4A347EAE"/>
    <w:rsid w:val="52600405"/>
    <w:rsid w:val="529B4319"/>
    <w:rsid w:val="57773DD6"/>
    <w:rsid w:val="578B79AB"/>
    <w:rsid w:val="5B0716B3"/>
    <w:rsid w:val="5CCD3FD5"/>
    <w:rsid w:val="61FA5F9D"/>
    <w:rsid w:val="64BF0912"/>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uiPriority w:val="99"/>
    <w:rPr>
      <w:rFonts w:asciiTheme="minorHAnsi" w:hAnsiTheme="minorHAnsi" w:eastAsiaTheme="minorEastAsia" w:cstheme="minorBidi"/>
      <w:kern w:val="2"/>
      <w:sz w:val="18"/>
      <w:szCs w:val="18"/>
    </w:rPr>
  </w:style>
  <w:style w:type="paragraph" w:styleId="14">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8" Type="http://schemas.openxmlformats.org/officeDocument/2006/relationships/fontTable" Target="fontTable.xml"/><Relationship Id="rId37" Type="http://schemas.openxmlformats.org/officeDocument/2006/relationships/customXml" Target="../customXml/item2.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chart" Target="charts/chart5.xml"/><Relationship Id="rId33" Type="http://schemas.openxmlformats.org/officeDocument/2006/relationships/chart" Target="charts/chart4.xml"/><Relationship Id="rId32" Type="http://schemas.openxmlformats.org/officeDocument/2006/relationships/chart" Target="charts/chart3.xml"/><Relationship Id="rId31" Type="http://schemas.openxmlformats.org/officeDocument/2006/relationships/chart" Target="charts/chart2.xml"/><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2.bmp"/><Relationship Id="rId28" Type="http://schemas.openxmlformats.org/officeDocument/2006/relationships/theme" Target="theme/theme1.xml"/><Relationship Id="rId27" Type="http://schemas.openxmlformats.org/officeDocument/2006/relationships/footer" Target="footer10.xml"/><Relationship Id="rId26" Type="http://schemas.openxmlformats.org/officeDocument/2006/relationships/header" Target="header15.xml"/><Relationship Id="rId25" Type="http://schemas.openxmlformats.org/officeDocument/2006/relationships/header" Target="header14.xml"/><Relationship Id="rId24" Type="http://schemas.openxmlformats.org/officeDocument/2006/relationships/header" Target="header13.xml"/><Relationship Id="rId23" Type="http://schemas.openxmlformats.org/officeDocument/2006/relationships/header" Target="header12.xml"/><Relationship Id="rId22" Type="http://schemas.openxmlformats.org/officeDocument/2006/relationships/header" Target="header11.xml"/><Relationship Id="rId21" Type="http://schemas.openxmlformats.org/officeDocument/2006/relationships/footer" Target="footer9.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Lenovo\Desktop\&#20915;&#31639;.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06365740740741"/>
          <c:y val="0.0206349206349206"/>
        </c:manualLayout>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manualLayout>
          <c:layoutTarget val="inner"/>
          <c:xMode val="edge"/>
          <c:yMode val="edge"/>
          <c:x val="0.175347222222222"/>
          <c:y val="0.18015873015873"/>
          <c:w val="0.458564814814815"/>
          <c:h val="0.786111111111111"/>
        </c:manualLayout>
      </c:layout>
      <c:pieChart>
        <c:varyColors val="1"/>
        <c:ser>
          <c:idx val="0"/>
          <c:order val="0"/>
          <c:tx>
            <c:strRef>
              <c:f>Sheet1!$B$1</c:f>
              <c:strCache>
                <c:ptCount val="1"/>
                <c:pt idx="0">
                  <c:v>收入结构</c:v>
                </c:pt>
              </c:strCache>
            </c:strRef>
          </c:tx>
          <c:explosion val="0"/>
          <c:dPt>
            <c:idx val="0"/>
            <c:bubble3D val="0"/>
          </c:dPt>
          <c:dPt>
            <c:idx val="1"/>
            <c:bubble3D val="0"/>
          </c:dPt>
          <c:dPt>
            <c:idx val="2"/>
            <c:bubble3D val="0"/>
          </c:dPt>
          <c:dPt>
            <c:idx val="3"/>
            <c:bubble3D val="0"/>
          </c:dPt>
          <c:dLbls>
            <c:delete val="1"/>
          </c:dLbls>
          <c:cat>
            <c:strRef>
              <c:f>Sheet1!$A$2:$A$5</c:f>
              <c:strCache>
                <c:ptCount val="4"/>
                <c:pt idx="0">
                  <c:v>财政拨款收入</c:v>
                </c:pt>
                <c:pt idx="1">
                  <c:v>事业收入</c:v>
                </c:pt>
                <c:pt idx="2">
                  <c:v>经营收入</c:v>
                </c:pt>
                <c:pt idx="3">
                  <c:v>其他收入</c:v>
                </c:pt>
              </c:strCache>
            </c:strRef>
          </c:cat>
          <c:val>
            <c:numRef>
              <c:f>Sheet1!$B$2:$B$5</c:f>
              <c:numCache>
                <c:formatCode>General</c:formatCode>
                <c:ptCount val="4"/>
                <c:pt idx="0">
                  <c:v>29655</c:v>
                </c:pt>
                <c:pt idx="1">
                  <c:v>0</c:v>
                </c:pt>
                <c:pt idx="2">
                  <c:v>0</c:v>
                </c:pt>
                <c:pt idx="3">
                  <c:v>0</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支出结构图</c:v>
                </c:pt>
              </c:strCache>
            </c:strRef>
          </c:tx>
          <c:explosion val="0"/>
          <c:dPt>
            <c:idx val="0"/>
            <c:bubble3D val="0"/>
          </c:dPt>
          <c:dPt>
            <c:idx val="1"/>
            <c:bubble3D val="0"/>
          </c:dPt>
          <c:dPt>
            <c:idx val="2"/>
            <c:bubble3D val="0"/>
          </c:dPt>
          <c:dLbls>
            <c:delete val="1"/>
          </c:dLbls>
          <c:cat>
            <c:strRef>
              <c:f>Sheet1!$A$2:$A$4</c:f>
              <c:strCache>
                <c:ptCount val="3"/>
                <c:pt idx="0">
                  <c:v>基本支出</c:v>
                </c:pt>
                <c:pt idx="1">
                  <c:v>项目支出</c:v>
                </c:pt>
                <c:pt idx="2">
                  <c:v>经营支出</c:v>
                </c:pt>
              </c:strCache>
            </c:strRef>
          </c:cat>
          <c:val>
            <c:numRef>
              <c:f>Sheet1!$B$2:$B$4</c:f>
              <c:numCache>
                <c:formatCode>General</c:formatCode>
                <c:ptCount val="3"/>
                <c:pt idx="0">
                  <c:v>25833.74</c:v>
                </c:pt>
                <c:pt idx="1">
                  <c:v>3753.68</c:v>
                </c:pt>
                <c:pt idx="2">
                  <c:v>0</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财政拨款</c:v>
                </c:pt>
              </c:strCache>
            </c:strRef>
          </c:tx>
          <c:invertIfNegative val="0"/>
          <c:dLbls>
            <c:delete val="1"/>
          </c:dLbls>
          <c:cat>
            <c:strRef>
              <c:f>Sheet1!$A$2:$A$5</c:f>
              <c:strCache>
                <c:ptCount val="4"/>
                <c:pt idx="0">
                  <c:v>2019年度收入</c:v>
                </c:pt>
                <c:pt idx="1">
                  <c:v>2018年度收入</c:v>
                </c:pt>
                <c:pt idx="2">
                  <c:v>2019年度支出</c:v>
                </c:pt>
                <c:pt idx="3">
                  <c:v>2018年度支出</c:v>
                </c:pt>
              </c:strCache>
            </c:strRef>
          </c:cat>
          <c:val>
            <c:numRef>
              <c:f>Sheet1!$B$2:$B$5</c:f>
              <c:numCache>
                <c:formatCode>General</c:formatCode>
                <c:ptCount val="4"/>
                <c:pt idx="0">
                  <c:v>29655</c:v>
                </c:pt>
                <c:pt idx="1">
                  <c:v>27927.37</c:v>
                </c:pt>
                <c:pt idx="2">
                  <c:v>29587.42</c:v>
                </c:pt>
                <c:pt idx="3">
                  <c:v>24847.47</c:v>
                </c:pt>
              </c:numCache>
            </c:numRef>
          </c:val>
        </c:ser>
        <c:ser>
          <c:idx val="1"/>
          <c:order val="1"/>
          <c:tx>
            <c:strRef>
              <c:f>Sheet1!$C$1</c:f>
              <c:strCache>
                <c:ptCount val="1"/>
                <c:pt idx="0">
                  <c:v>其中：一般公共预算拨款</c:v>
                </c:pt>
              </c:strCache>
            </c:strRef>
          </c:tx>
          <c:invertIfNegative val="0"/>
          <c:dLbls>
            <c:delete val="1"/>
          </c:dLbls>
          <c:cat>
            <c:strRef>
              <c:f>Sheet1!$A$2:$A$5</c:f>
              <c:strCache>
                <c:ptCount val="4"/>
                <c:pt idx="0">
                  <c:v>2019年度收入</c:v>
                </c:pt>
                <c:pt idx="1">
                  <c:v>2018年度收入</c:v>
                </c:pt>
                <c:pt idx="2">
                  <c:v>2019年度支出</c:v>
                </c:pt>
                <c:pt idx="3">
                  <c:v>2018年度支出</c:v>
                </c:pt>
              </c:strCache>
            </c:strRef>
          </c:cat>
          <c:val>
            <c:numRef>
              <c:f>Sheet1!$C$2:$C$5</c:f>
              <c:numCache>
                <c:formatCode>General</c:formatCode>
                <c:ptCount val="4"/>
                <c:pt idx="0">
                  <c:v>29592.6</c:v>
                </c:pt>
                <c:pt idx="1">
                  <c:v>27909.38</c:v>
                </c:pt>
                <c:pt idx="2">
                  <c:v>29537.03</c:v>
                </c:pt>
                <c:pt idx="3">
                  <c:v>24849.48</c:v>
                </c:pt>
              </c:numCache>
            </c:numRef>
          </c:val>
        </c:ser>
        <c:ser>
          <c:idx val="2"/>
          <c:order val="2"/>
          <c:tx>
            <c:strRef>
              <c:f>Sheet1!$D$1</c:f>
              <c:strCache>
                <c:ptCount val="1"/>
                <c:pt idx="0">
                  <c:v>其中：政府性基金拨款</c:v>
                </c:pt>
              </c:strCache>
            </c:strRef>
          </c:tx>
          <c:invertIfNegative val="0"/>
          <c:dLbls>
            <c:delete val="1"/>
          </c:dLbls>
          <c:cat>
            <c:strRef>
              <c:f>Sheet1!$A$2:$A$5</c:f>
              <c:strCache>
                <c:ptCount val="4"/>
                <c:pt idx="0">
                  <c:v>2019年度收入</c:v>
                </c:pt>
                <c:pt idx="1">
                  <c:v>2018年度收入</c:v>
                </c:pt>
                <c:pt idx="2">
                  <c:v>2019年度支出</c:v>
                </c:pt>
                <c:pt idx="3">
                  <c:v>2018年度支出</c:v>
                </c:pt>
              </c:strCache>
            </c:strRef>
          </c:cat>
          <c:val>
            <c:numRef>
              <c:f>Sheet1!$D$2:$D$5</c:f>
              <c:numCache>
                <c:formatCode>General</c:formatCode>
                <c:ptCount val="4"/>
                <c:pt idx="0">
                  <c:v>62.39</c:v>
                </c:pt>
                <c:pt idx="1">
                  <c:v>17.99</c:v>
                </c:pt>
                <c:pt idx="2">
                  <c:v>50.39</c:v>
                </c:pt>
                <c:pt idx="3">
                  <c:v>17.99</c:v>
                </c:pt>
              </c:numCache>
            </c:numRef>
          </c:val>
        </c:ser>
        <c:dLbls>
          <c:showLegendKey val="0"/>
          <c:showVal val="0"/>
          <c:showCatName val="0"/>
          <c:showSerName val="0"/>
          <c:showPercent val="0"/>
          <c:showBubbleSize val="0"/>
        </c:dLbls>
        <c:gapWidth val="150"/>
        <c:axId val="80483840"/>
        <c:axId val="80616448"/>
      </c:barChart>
      <c:catAx>
        <c:axId val="80483840"/>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80616448"/>
        <c:crosses val="autoZero"/>
        <c:auto val="1"/>
        <c:lblAlgn val="ctr"/>
        <c:lblOffset val="100"/>
        <c:noMultiLvlLbl val="0"/>
      </c:catAx>
      <c:valAx>
        <c:axId val="8061644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80483840"/>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财政拨款收入</c:v>
                </c:pt>
              </c:strCache>
            </c:strRef>
          </c:tx>
          <c:invertIfNegative val="0"/>
          <c:dLbls>
            <c:delete val="1"/>
          </c:dLbls>
          <c:cat>
            <c:strRef>
              <c:f>Sheet1!$A$2:$A$3</c:f>
              <c:strCache>
                <c:ptCount val="2"/>
                <c:pt idx="0">
                  <c:v>决算数</c:v>
                </c:pt>
                <c:pt idx="1">
                  <c:v>预算数</c:v>
                </c:pt>
              </c:strCache>
            </c:strRef>
          </c:cat>
          <c:val>
            <c:numRef>
              <c:f>Sheet1!$B$2:$B$3</c:f>
              <c:numCache>
                <c:formatCode>General</c:formatCode>
                <c:ptCount val="2"/>
                <c:pt idx="0">
                  <c:v>29655</c:v>
                </c:pt>
                <c:pt idx="1">
                  <c:v>27202.74</c:v>
                </c:pt>
              </c:numCache>
            </c:numRef>
          </c:val>
        </c:ser>
        <c:ser>
          <c:idx val="1"/>
          <c:order val="1"/>
          <c:tx>
            <c:strRef>
              <c:f>Sheet1!$C$1</c:f>
              <c:strCache>
                <c:ptCount val="1"/>
                <c:pt idx="0">
                  <c:v>本年支出</c:v>
                </c:pt>
              </c:strCache>
            </c:strRef>
          </c:tx>
          <c:invertIfNegative val="0"/>
          <c:dLbls>
            <c:delete val="1"/>
          </c:dLbls>
          <c:cat>
            <c:strRef>
              <c:f>Sheet1!$A$2:$A$3</c:f>
              <c:strCache>
                <c:ptCount val="2"/>
                <c:pt idx="0">
                  <c:v>决算数</c:v>
                </c:pt>
                <c:pt idx="1">
                  <c:v>预算数</c:v>
                </c:pt>
              </c:strCache>
            </c:strRef>
          </c:cat>
          <c:val>
            <c:numRef>
              <c:f>Sheet1!$C$2:$C$3</c:f>
              <c:numCache>
                <c:formatCode>General</c:formatCode>
                <c:ptCount val="2"/>
                <c:pt idx="0">
                  <c:v>29587.42</c:v>
                </c:pt>
                <c:pt idx="1">
                  <c:v>27202.74</c:v>
                </c:pt>
              </c:numCache>
            </c:numRef>
          </c:val>
        </c:ser>
        <c:ser>
          <c:idx val="2"/>
          <c:order val="2"/>
          <c:tx>
            <c:strRef>
              <c:f>Sheet1!$D$1</c:f>
              <c:strCache>
                <c:ptCount val="1"/>
                <c:pt idx="0">
                  <c:v>其中一般公共预算拨款收入</c:v>
                </c:pt>
              </c:strCache>
            </c:strRef>
          </c:tx>
          <c:invertIfNegative val="0"/>
          <c:dLbls>
            <c:delete val="1"/>
          </c:dLbls>
          <c:cat>
            <c:strRef>
              <c:f>Sheet1!$A$2:$A$3</c:f>
              <c:strCache>
                <c:ptCount val="2"/>
                <c:pt idx="0">
                  <c:v>决算数</c:v>
                </c:pt>
                <c:pt idx="1">
                  <c:v>预算数</c:v>
                </c:pt>
              </c:strCache>
            </c:strRef>
          </c:cat>
          <c:val>
            <c:numRef>
              <c:f>Sheet1!$D$2:$D$3</c:f>
              <c:numCache>
                <c:formatCode>General</c:formatCode>
                <c:ptCount val="2"/>
                <c:pt idx="0">
                  <c:v>29592.6</c:v>
                </c:pt>
                <c:pt idx="1">
                  <c:v>27184.74</c:v>
                </c:pt>
              </c:numCache>
            </c:numRef>
          </c:val>
        </c:ser>
        <c:ser>
          <c:idx val="3"/>
          <c:order val="3"/>
          <c:tx>
            <c:strRef>
              <c:f>Sheet1!$E$1</c:f>
              <c:strCache>
                <c:ptCount val="1"/>
                <c:pt idx="0">
                  <c:v>其中一般公共预算支出</c:v>
                </c:pt>
              </c:strCache>
            </c:strRef>
          </c:tx>
          <c:invertIfNegative val="0"/>
          <c:dLbls>
            <c:delete val="1"/>
          </c:dLbls>
          <c:cat>
            <c:strRef>
              <c:f>Sheet1!$A$2:$A$3</c:f>
              <c:strCache>
                <c:ptCount val="2"/>
                <c:pt idx="0">
                  <c:v>决算数</c:v>
                </c:pt>
                <c:pt idx="1">
                  <c:v>预算数</c:v>
                </c:pt>
              </c:strCache>
            </c:strRef>
          </c:cat>
          <c:val>
            <c:numRef>
              <c:f>Sheet1!$E$2:$E$3</c:f>
              <c:numCache>
                <c:formatCode>General</c:formatCode>
                <c:ptCount val="2"/>
                <c:pt idx="0">
                  <c:v>29537.03</c:v>
                </c:pt>
                <c:pt idx="1">
                  <c:v>27184.74</c:v>
                </c:pt>
              </c:numCache>
            </c:numRef>
          </c:val>
        </c:ser>
        <c:ser>
          <c:idx val="4"/>
          <c:order val="4"/>
          <c:tx>
            <c:strRef>
              <c:f>Sheet1!$F$1</c:f>
              <c:strCache>
                <c:ptCount val="1"/>
                <c:pt idx="0">
                  <c:v>其中政府性基金收入</c:v>
                </c:pt>
              </c:strCache>
            </c:strRef>
          </c:tx>
          <c:invertIfNegative val="0"/>
          <c:dLbls>
            <c:delete val="1"/>
          </c:dLbls>
          <c:cat>
            <c:strRef>
              <c:f>Sheet1!$A$2:$A$3</c:f>
              <c:strCache>
                <c:ptCount val="2"/>
                <c:pt idx="0">
                  <c:v>决算数</c:v>
                </c:pt>
                <c:pt idx="1">
                  <c:v>预算数</c:v>
                </c:pt>
              </c:strCache>
            </c:strRef>
          </c:cat>
          <c:val>
            <c:numRef>
              <c:f>Sheet1!$F$2:$F$3</c:f>
              <c:numCache>
                <c:formatCode>General</c:formatCode>
                <c:ptCount val="2"/>
                <c:pt idx="0">
                  <c:v>62.39</c:v>
                </c:pt>
                <c:pt idx="1">
                  <c:v>17.99</c:v>
                </c:pt>
              </c:numCache>
            </c:numRef>
          </c:val>
        </c:ser>
        <c:ser>
          <c:idx val="5"/>
          <c:order val="5"/>
          <c:tx>
            <c:strRef>
              <c:f>Sheet1!$G$1</c:f>
              <c:strCache>
                <c:ptCount val="1"/>
                <c:pt idx="0">
                  <c:v>其中政府性基金支出</c:v>
                </c:pt>
              </c:strCache>
            </c:strRef>
          </c:tx>
          <c:invertIfNegative val="0"/>
          <c:dLbls>
            <c:delete val="1"/>
          </c:dLbls>
          <c:cat>
            <c:strRef>
              <c:f>Sheet1!$A$2:$A$3</c:f>
              <c:strCache>
                <c:ptCount val="2"/>
                <c:pt idx="0">
                  <c:v>决算数</c:v>
                </c:pt>
                <c:pt idx="1">
                  <c:v>预算数</c:v>
                </c:pt>
              </c:strCache>
            </c:strRef>
          </c:cat>
          <c:val>
            <c:numRef>
              <c:f>Sheet1!$G$2:$G$3</c:f>
              <c:numCache>
                <c:formatCode>General</c:formatCode>
                <c:ptCount val="2"/>
                <c:pt idx="0">
                  <c:v>50.39</c:v>
                </c:pt>
                <c:pt idx="1">
                  <c:v>17.99</c:v>
                </c:pt>
              </c:numCache>
            </c:numRef>
          </c:val>
        </c:ser>
        <c:dLbls>
          <c:showLegendKey val="0"/>
          <c:showVal val="0"/>
          <c:showCatName val="0"/>
          <c:showSerName val="0"/>
          <c:showPercent val="0"/>
          <c:showBubbleSize val="0"/>
        </c:dLbls>
        <c:gapWidth val="150"/>
        <c:axId val="127513344"/>
        <c:axId val="127515264"/>
      </c:barChart>
      <c:catAx>
        <c:axId val="127513344"/>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27515264"/>
        <c:crosses val="autoZero"/>
        <c:auto val="1"/>
        <c:lblAlgn val="ctr"/>
        <c:lblOffset val="100"/>
        <c:noMultiLvlLbl val="0"/>
      </c:catAx>
      <c:valAx>
        <c:axId val="127515264"/>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27513344"/>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财政拨款支出结构</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elete val="1"/>
          </c:dLbls>
          <c:cat>
            <c:strRef>
              <c:f>[决算.xls]Sheet7!$A$1:$A$3</c:f>
              <c:strCache>
                <c:ptCount val="3"/>
                <c:pt idx="0">
                  <c:v>教育（类）支出</c:v>
                </c:pt>
                <c:pt idx="1">
                  <c:v>文化类支出</c:v>
                </c:pt>
                <c:pt idx="2">
                  <c:v>城乡社区支出</c:v>
                </c:pt>
              </c:strCache>
            </c:strRef>
          </c:cat>
          <c:val>
            <c:numRef>
              <c:f>[决算.xls]Sheet7!$B$1:$B$3</c:f>
              <c:numCache>
                <c:formatCode>General</c:formatCode>
                <c:ptCount val="3"/>
                <c:pt idx="0">
                  <c:v>98.21</c:v>
                </c:pt>
                <c:pt idx="1">
                  <c:v>1.62</c:v>
                </c:pt>
                <c:pt idx="2">
                  <c:v>0.17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CD1E827-19D1-46D7-933E-C2DAF5870E06}">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33</Pages>
  <Words>1663</Words>
  <Characters>9482</Characters>
  <Lines>79</Lines>
  <Paragraphs>22</Paragraphs>
  <TotalTime>2</TotalTime>
  <ScaleCrop>false</ScaleCrop>
  <LinksUpToDate>false</LinksUpToDate>
  <CharactersWithSpaces>11123</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2024-09-12T00:45:45Z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24245E0181FE419C935149712A5C3DB2</vt:lpwstr>
  </property>
</Properties>
</file>