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高邑县教育局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r>
        <w:rPr>
          <w:rFonts w:hint="eastAsia" w:ascii="楷体_GB2312" w:hAnsi="楷体" w:eastAsia="楷体_GB2312" w:cs="楷体"/>
          <w:b/>
          <w:sz w:val="40"/>
          <w:szCs w:val="40"/>
          <w:lang w:val="en-US" w:eastAsia="zh-CN"/>
        </w:rPr>
        <w:t>二</w:t>
      </w:r>
      <w:r>
        <w:rPr>
          <w:rFonts w:hint="eastAsia" w:ascii="楷体_GB2312" w:hAnsi="楷体" w:eastAsia="楷体_GB2312" w:cs="楷体"/>
          <w:b/>
          <w:sz w:val="40"/>
          <w:szCs w:val="40"/>
        </w:rPr>
        <w:t>十日</w:t>
      </w:r>
    </w:p>
    <w:p>
      <w:pPr>
        <w:spacing w:beforeLines="200" w:after="0" w:line="1000" w:lineRule="exact"/>
        <w:jc w:val="center"/>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73600;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v:rect id="矩形 13" o:spid="_x0000_s1123" o:spt="1" style="position:absolute;left:4551;top:52615;height:1175;width:8546;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教育</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72576;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v:rect id="矩形 13" o:spid="_x0000_s1120" o:spt="1" style="position:absolute;left:4551;top:52615;height:1175;width:8546;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052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6233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v:rect id="_x0000_s1116" o:spid="_x0000_s1116" o:spt="1" style="position:absolute;left:4551;top:52615;height:1175;width:8546;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ind w:firstLine="640" w:firstLineChars="200"/>
        <w:rPr>
          <w:rFonts w:hint="eastAsia" w:ascii="仿宋_GB2312" w:hAnsi="仿宋" w:eastAsia="仿宋_GB2312"/>
          <w:sz w:val="32"/>
          <w:szCs w:val="32"/>
        </w:rPr>
      </w:pPr>
      <w:r>
        <w:rPr>
          <w:rFonts w:hint="eastAsia" w:ascii="仿宋_GB2312" w:hAnsi="仿宋" w:eastAsia="仿宋_GB2312"/>
          <w:sz w:val="32"/>
          <w:szCs w:val="32"/>
        </w:rPr>
        <w:t>（一）</w:t>
      </w:r>
      <w:r>
        <w:rPr>
          <w:rFonts w:hint="eastAsia" w:ascii="仿宋_GB2312" w:hAnsi="仿宋" w:eastAsia="仿宋_GB2312" w:cs="宋体"/>
          <w:sz w:val="32"/>
          <w:szCs w:val="32"/>
        </w:rPr>
        <w:t>学前教育，实施学前教育重点项目，支持和引导扩大学前教育资源，缓解当前存在的</w:t>
      </w:r>
      <w:r>
        <w:rPr>
          <w:rFonts w:hint="eastAsia" w:ascii="仿宋_GB2312" w:hAnsi="仿宋" w:eastAsia="仿宋_GB2312"/>
          <w:sz w:val="32"/>
          <w:szCs w:val="32"/>
        </w:rPr>
        <w:t>“</w:t>
      </w:r>
      <w:r>
        <w:rPr>
          <w:rFonts w:hint="eastAsia" w:ascii="仿宋_GB2312" w:hAnsi="仿宋" w:eastAsia="仿宋_GB2312" w:cs="宋体"/>
          <w:sz w:val="32"/>
          <w:szCs w:val="32"/>
        </w:rPr>
        <w:t>入园难</w:t>
      </w:r>
      <w:r>
        <w:rPr>
          <w:rFonts w:hint="eastAsia" w:ascii="仿宋_GB2312" w:hAnsi="仿宋" w:eastAsia="仿宋_GB2312"/>
          <w:sz w:val="32"/>
          <w:szCs w:val="32"/>
        </w:rPr>
        <w:t>”</w:t>
      </w:r>
      <w:r>
        <w:rPr>
          <w:rFonts w:hint="eastAsia" w:ascii="仿宋_GB2312" w:hAnsi="仿宋" w:eastAsia="仿宋_GB2312" w:cs="宋体"/>
          <w:sz w:val="32"/>
          <w:szCs w:val="32"/>
        </w:rPr>
        <w:t>、</w:t>
      </w:r>
      <w:r>
        <w:rPr>
          <w:rFonts w:hint="eastAsia" w:ascii="仿宋_GB2312" w:hAnsi="仿宋" w:eastAsia="仿宋_GB2312"/>
          <w:sz w:val="32"/>
          <w:szCs w:val="32"/>
        </w:rPr>
        <w:t>“</w:t>
      </w:r>
      <w:r>
        <w:rPr>
          <w:rFonts w:hint="eastAsia" w:ascii="仿宋_GB2312" w:hAnsi="仿宋" w:eastAsia="仿宋_GB2312" w:cs="宋体"/>
          <w:sz w:val="32"/>
          <w:szCs w:val="32"/>
        </w:rPr>
        <w:t>入园贵</w:t>
      </w:r>
      <w:r>
        <w:rPr>
          <w:rFonts w:hint="eastAsia" w:ascii="仿宋_GB2312" w:hAnsi="仿宋" w:eastAsia="仿宋_GB2312"/>
          <w:sz w:val="32"/>
          <w:szCs w:val="32"/>
        </w:rPr>
        <w:t>”</w:t>
      </w:r>
      <w:r>
        <w:rPr>
          <w:rFonts w:hint="eastAsia" w:ascii="仿宋_GB2312" w:hAnsi="仿宋" w:eastAsia="仿宋_GB2312" w:cs="宋体"/>
          <w:sz w:val="32"/>
          <w:szCs w:val="32"/>
        </w:rPr>
        <w:t>问题。调整完善财政支持政策，增强资金配置的科学性，提高幼儿园入园率和扩大在园幼儿数</w:t>
      </w:r>
      <w:r>
        <w:rPr>
          <w:rFonts w:hint="eastAsia" w:ascii="仿宋_GB2312" w:hAnsi="仿宋" w:eastAsia="仿宋_GB2312"/>
          <w:sz w:val="32"/>
          <w:szCs w:val="32"/>
        </w:rPr>
        <w:t>,</w:t>
      </w:r>
      <w:r>
        <w:rPr>
          <w:rFonts w:hint="eastAsia" w:ascii="仿宋_GB2312" w:hAnsi="仿宋" w:eastAsia="仿宋_GB2312" w:cs="宋体"/>
          <w:sz w:val="32"/>
          <w:szCs w:val="32"/>
        </w:rPr>
        <w:t>有效缓解</w:t>
      </w:r>
      <w:r>
        <w:rPr>
          <w:rFonts w:hint="eastAsia" w:ascii="仿宋_GB2312" w:hAnsi="仿宋" w:eastAsia="仿宋_GB2312"/>
          <w:sz w:val="32"/>
          <w:szCs w:val="32"/>
        </w:rPr>
        <w:t>“</w:t>
      </w:r>
      <w:r>
        <w:rPr>
          <w:rFonts w:hint="eastAsia" w:ascii="仿宋_GB2312" w:hAnsi="仿宋" w:eastAsia="仿宋_GB2312" w:cs="宋体"/>
          <w:sz w:val="32"/>
          <w:szCs w:val="32"/>
        </w:rPr>
        <w:t>入园难</w:t>
      </w:r>
      <w:r>
        <w:rPr>
          <w:rFonts w:hint="eastAsia" w:ascii="仿宋_GB2312" w:hAnsi="仿宋" w:eastAsia="仿宋_GB2312"/>
          <w:sz w:val="32"/>
          <w:szCs w:val="32"/>
        </w:rPr>
        <w:t>”</w:t>
      </w:r>
      <w:r>
        <w:rPr>
          <w:rFonts w:hint="eastAsia" w:ascii="仿宋_GB2312" w:hAnsi="仿宋" w:eastAsia="仿宋_GB2312" w:cs="宋体"/>
          <w:sz w:val="32"/>
          <w:szCs w:val="32"/>
        </w:rPr>
        <w:t>、</w:t>
      </w:r>
      <w:r>
        <w:rPr>
          <w:rFonts w:hint="eastAsia" w:ascii="仿宋_GB2312" w:hAnsi="仿宋" w:eastAsia="仿宋_GB2312"/>
          <w:sz w:val="32"/>
          <w:szCs w:val="32"/>
        </w:rPr>
        <w:t>“</w:t>
      </w:r>
      <w:r>
        <w:rPr>
          <w:rFonts w:hint="eastAsia" w:ascii="仿宋_GB2312" w:hAnsi="仿宋" w:eastAsia="仿宋_GB2312" w:cs="宋体"/>
          <w:sz w:val="32"/>
          <w:szCs w:val="32"/>
        </w:rPr>
        <w:t>入园贵</w:t>
      </w:r>
      <w:r>
        <w:rPr>
          <w:rFonts w:hint="eastAsia" w:ascii="仿宋_GB2312" w:hAnsi="仿宋" w:eastAsia="仿宋_GB2312"/>
          <w:sz w:val="32"/>
          <w:szCs w:val="32"/>
        </w:rPr>
        <w:t>”</w:t>
      </w:r>
      <w:r>
        <w:rPr>
          <w:rFonts w:hint="eastAsia" w:ascii="仿宋_GB2312" w:hAnsi="仿宋" w:eastAsia="仿宋_GB2312" w:cs="宋体"/>
          <w:sz w:val="32"/>
          <w:szCs w:val="32"/>
        </w:rPr>
        <w:t>等问题。</w:t>
      </w:r>
    </w:p>
    <w:p>
      <w:pPr>
        <w:ind w:firstLine="480" w:firstLineChars="150"/>
        <w:rPr>
          <w:rFonts w:hint="eastAsia" w:ascii="仿宋_GB2312" w:hAnsi="仿宋" w:eastAsia="仿宋_GB2312"/>
          <w:sz w:val="32"/>
          <w:szCs w:val="32"/>
        </w:rPr>
      </w:pPr>
      <w:r>
        <w:rPr>
          <w:rFonts w:hint="eastAsia" w:ascii="仿宋_GB2312" w:hAnsi="仿宋" w:eastAsia="仿宋_GB2312"/>
          <w:sz w:val="32"/>
          <w:szCs w:val="32"/>
        </w:rPr>
        <w:t>（二）</w:t>
      </w:r>
      <w:r>
        <w:rPr>
          <w:rFonts w:hint="eastAsia" w:ascii="仿宋_GB2312" w:hAnsi="仿宋" w:eastAsia="仿宋_GB2312" w:cs="宋体"/>
          <w:sz w:val="32"/>
          <w:szCs w:val="32"/>
        </w:rPr>
        <w:t>义务教育，以农村教育为重点，推进义务教育均衡发展，建立中小学校舍安全保障机制，改善薄弱学校办学条件，促进公共教育资源向农村和经济欠发达地区倾斜。提高义务教育公用经费保障水平，改善办学条件，均衡配置基础教育资源，缩小城乡、区域、校际之间办学差距，落实学生资助政策。</w:t>
      </w:r>
    </w:p>
    <w:p>
      <w:pPr>
        <w:ind w:firstLine="480" w:firstLineChars="150"/>
        <w:rPr>
          <w:rFonts w:hint="eastAsia" w:ascii="仿宋_GB2312" w:hAnsi="仿宋" w:eastAsia="仿宋_GB2312"/>
          <w:sz w:val="32"/>
          <w:szCs w:val="32"/>
        </w:rPr>
      </w:pPr>
      <w:r>
        <w:rPr>
          <w:rFonts w:hint="eastAsia" w:ascii="仿宋_GB2312" w:hAnsi="仿宋" w:eastAsia="仿宋_GB2312"/>
          <w:sz w:val="32"/>
          <w:szCs w:val="32"/>
        </w:rPr>
        <w:t>（三）</w:t>
      </w:r>
      <w:r>
        <w:rPr>
          <w:rFonts w:hint="eastAsia" w:ascii="仿宋_GB2312" w:hAnsi="仿宋" w:eastAsia="仿宋_GB2312" w:cs="宋体"/>
          <w:sz w:val="32"/>
          <w:szCs w:val="32"/>
        </w:rPr>
        <w:t>高中教育，建立健全普通高中国家助学金制度，改善普通高中办学件。</w:t>
      </w:r>
    </w:p>
    <w:p>
      <w:pPr>
        <w:ind w:firstLine="480" w:firstLineChars="150"/>
        <w:rPr>
          <w:rFonts w:hint="eastAsia" w:ascii="仿宋_GB2312" w:hAnsi="仿宋" w:eastAsia="仿宋_GB2312"/>
          <w:sz w:val="32"/>
          <w:szCs w:val="32"/>
        </w:rPr>
      </w:pPr>
      <w:r>
        <w:rPr>
          <w:rFonts w:hint="eastAsia" w:ascii="仿宋_GB2312" w:hAnsi="仿宋" w:eastAsia="仿宋_GB2312"/>
          <w:sz w:val="32"/>
          <w:szCs w:val="32"/>
        </w:rPr>
        <w:t>（四）</w:t>
      </w:r>
      <w:r>
        <w:rPr>
          <w:rFonts w:hint="eastAsia" w:ascii="仿宋_GB2312" w:hAnsi="仿宋" w:eastAsia="仿宋_GB2312" w:cs="宋体"/>
          <w:sz w:val="32"/>
          <w:szCs w:val="32"/>
        </w:rPr>
        <w:t>职业教育，大力发展职业教育，坚持以就业为导向，深化职业教育教学改革，增强职业教育发展活力。</w:t>
      </w:r>
    </w:p>
    <w:p>
      <w:pPr>
        <w:ind w:firstLine="480" w:firstLineChars="150"/>
        <w:rPr>
          <w:rFonts w:hint="eastAsia" w:ascii="仿宋_GB2312" w:hAnsi="仿宋" w:eastAsia="仿宋_GB2312"/>
          <w:sz w:val="32"/>
          <w:szCs w:val="32"/>
        </w:rPr>
      </w:pPr>
      <w:r>
        <w:rPr>
          <w:rFonts w:hint="eastAsia" w:ascii="仿宋_GB2312" w:hAnsi="仿宋" w:eastAsia="仿宋_GB2312"/>
          <w:sz w:val="32"/>
          <w:szCs w:val="32"/>
        </w:rPr>
        <w:t>（五）</w:t>
      </w:r>
      <w:r>
        <w:rPr>
          <w:rFonts w:hint="eastAsia" w:ascii="仿宋_GB2312" w:hAnsi="仿宋" w:eastAsia="仿宋_GB2312" w:cs="宋体"/>
          <w:sz w:val="32"/>
          <w:szCs w:val="32"/>
        </w:rPr>
        <w:t>成人和民办教育</w:t>
      </w:r>
      <w:r>
        <w:rPr>
          <w:rFonts w:hint="eastAsia" w:ascii="仿宋_GB2312" w:hAnsi="仿宋" w:eastAsia="仿宋_GB2312"/>
          <w:sz w:val="32"/>
          <w:szCs w:val="32"/>
        </w:rPr>
        <w:t>,</w:t>
      </w:r>
      <w:r>
        <w:rPr>
          <w:rFonts w:hint="eastAsia" w:ascii="仿宋_GB2312" w:hAnsi="仿宋" w:eastAsia="仿宋_GB2312" w:cs="宋体"/>
          <w:sz w:val="32"/>
          <w:szCs w:val="32"/>
        </w:rPr>
        <w:t>加强民办教育的统筹规划和管理，完善民办教育政策措施，规范办学秩序，促进民办教育事业发展。</w:t>
      </w:r>
    </w:p>
    <w:p>
      <w:pPr>
        <w:ind w:firstLine="480" w:firstLineChars="150"/>
        <w:rPr>
          <w:rFonts w:hint="eastAsia" w:ascii="仿宋_GB2312" w:hAnsi="仿宋" w:eastAsia="仿宋_GB2312"/>
          <w:sz w:val="32"/>
          <w:szCs w:val="32"/>
        </w:rPr>
      </w:pPr>
      <w:r>
        <w:rPr>
          <w:rFonts w:hint="eastAsia" w:ascii="仿宋_GB2312" w:hAnsi="仿宋" w:eastAsia="仿宋_GB2312"/>
          <w:sz w:val="32"/>
          <w:szCs w:val="32"/>
        </w:rPr>
        <w:t>（六）</w:t>
      </w:r>
      <w:r>
        <w:rPr>
          <w:rFonts w:hint="eastAsia" w:ascii="仿宋_GB2312" w:hAnsi="仿宋" w:eastAsia="仿宋_GB2312" w:cs="宋体"/>
          <w:sz w:val="32"/>
          <w:szCs w:val="32"/>
        </w:rPr>
        <w:t>教师队伍建设</w:t>
      </w:r>
      <w:r>
        <w:rPr>
          <w:rFonts w:hint="eastAsia" w:ascii="仿宋_GB2312" w:hAnsi="仿宋" w:eastAsia="仿宋_GB2312"/>
          <w:sz w:val="32"/>
          <w:szCs w:val="32"/>
        </w:rPr>
        <w:t>,</w:t>
      </w:r>
      <w:r>
        <w:rPr>
          <w:rFonts w:hint="eastAsia" w:ascii="仿宋_GB2312" w:hAnsi="仿宋" w:eastAsia="仿宋_GB2312" w:cs="宋体"/>
          <w:sz w:val="32"/>
          <w:szCs w:val="32"/>
        </w:rPr>
        <w:t>主管全县教师工作；负责全县中小学教师资格标准的实施；统筹规划和指导学校教师及管理人员队伍建设。</w:t>
      </w:r>
    </w:p>
    <w:p>
      <w:pPr>
        <w:ind w:firstLine="560"/>
        <w:rPr>
          <w:rFonts w:hint="eastAsia" w:ascii="仿宋_GB2312" w:hAnsi="仿宋" w:eastAsia="仿宋_GB2312"/>
          <w:sz w:val="32"/>
          <w:szCs w:val="32"/>
        </w:rPr>
      </w:pPr>
      <w:r>
        <w:rPr>
          <w:rFonts w:hint="eastAsia" w:ascii="仿宋_GB2312" w:hAnsi="仿宋" w:eastAsia="仿宋_GB2312"/>
          <w:sz w:val="32"/>
          <w:szCs w:val="32"/>
        </w:rPr>
        <w:t>（七）</w:t>
      </w:r>
      <w:r>
        <w:rPr>
          <w:rFonts w:hint="eastAsia" w:ascii="仿宋_GB2312" w:hAnsi="仿宋" w:eastAsia="仿宋_GB2312" w:cs="宋体"/>
          <w:sz w:val="32"/>
          <w:szCs w:val="32"/>
        </w:rPr>
        <w:t>教育政务管理</w:t>
      </w:r>
      <w:r>
        <w:rPr>
          <w:rFonts w:hint="eastAsia" w:ascii="仿宋_GB2312" w:hAnsi="仿宋" w:eastAsia="仿宋_GB2312"/>
          <w:sz w:val="32"/>
          <w:szCs w:val="32"/>
        </w:rPr>
        <w:t>,</w:t>
      </w:r>
      <w:r>
        <w:rPr>
          <w:rFonts w:hint="eastAsia" w:ascii="仿宋_GB2312" w:hAnsi="仿宋" w:eastAsia="仿宋_GB2312" w:cs="宋体"/>
          <w:sz w:val="32"/>
          <w:szCs w:val="32"/>
        </w:rPr>
        <w:t>负责教育系统综合业务管理和机关综合事务管理。</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15个，具体情况如下：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高邑县教育局(本级)</w:t>
            </w:r>
          </w:p>
        </w:tc>
        <w:tc>
          <w:tcPr>
            <w:tcW w:w="2445" w:type="dxa"/>
          </w:tcPr>
          <w:p>
            <w:pPr>
              <w:spacing w:after="0" w:line="560" w:lineRule="exact"/>
              <w:jc w:val="center"/>
              <w:rPr>
                <w:rFonts w:ascii="仿宋_GB2312" w:eastAsia="仿宋_GB2312" w:cs="ArialUnicodeMS" w:hAnsiTheme="minorHAnsi"/>
                <w:kern w:val="0"/>
                <w:sz w:val="24"/>
              </w:rPr>
            </w:pPr>
            <w:r>
              <w:rPr>
                <w:rFonts w:hint="eastAsia" w:ascii="仿宋_GB2312" w:eastAsia="仿宋_GB2312" w:cs="ArialUnicodeMS" w:hAnsiTheme="minorHAnsi"/>
                <w:kern w:val="0"/>
                <w:sz w:val="24"/>
              </w:rPr>
              <w:t>财政补助事业单位</w:t>
            </w:r>
          </w:p>
        </w:tc>
        <w:tc>
          <w:tcPr>
            <w:tcW w:w="2665" w:type="dxa"/>
          </w:tcPr>
          <w:p>
            <w:pPr>
              <w:spacing w:after="0" w:line="560" w:lineRule="exact"/>
              <w:jc w:val="center"/>
              <w:rPr>
                <w:rFonts w:ascii="仿宋_GB2312" w:eastAsia="仿宋_GB2312" w:cs="ArialUnicodeMS" w:hAnsiTheme="minorHAnsi"/>
                <w:kern w:val="0"/>
                <w:sz w:val="24"/>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4"/>
              </w:rPr>
            </w:pPr>
            <w:r>
              <w:rPr>
                <w:rFonts w:hint="eastAsia" w:ascii="仿宋_GB2312" w:hAnsi="Cambria" w:eastAsia="仿宋_GB2312" w:cs="ArialUnicodeMS"/>
                <w:kern w:val="0"/>
                <w:sz w:val="24"/>
              </w:rPr>
              <w:t>高邑县第一中学</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hAnsi="Cambria" w:eastAsia="仿宋_GB2312" w:cs="ArialUnicodeMS"/>
                <w:kern w:val="0"/>
                <w:sz w:val="24"/>
              </w:rPr>
              <w:t>高邑县第二中学</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4</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hAnsi="Cambria" w:eastAsia="仿宋_GB2312" w:cs="ArialUnicodeMS"/>
                <w:kern w:val="0"/>
                <w:sz w:val="24"/>
              </w:rPr>
              <w:t>高邑县第三中学</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5</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hAnsi="Cambria" w:eastAsia="仿宋_GB2312" w:cs="ArialUnicodeMS"/>
                <w:kern w:val="0"/>
                <w:sz w:val="24"/>
              </w:rPr>
              <w:t>高邑县第四中学</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6</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高邑县音体美中学</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7</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高邑县教师进修学校</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8</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高邑县职教中心</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9</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高邑县特殊教育学校</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10</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高邑县职工子弟学校</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11</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高邑县大营学区</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12</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高邑县万城学区</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13</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高邑县富村学区</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14</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高邑县中韩学区</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15</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高邑县高邑镇学区</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4"/>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较上年无增减变化。</w:t>
            </w:r>
          </w:p>
          <w:p>
            <w:pPr>
              <w:spacing w:after="0" w:line="560" w:lineRule="exact"/>
              <w:ind w:firstLine="640" w:firstLineChars="200"/>
              <w:jc w:val="left"/>
              <w:rPr>
                <w:rFonts w:ascii="仿宋_GB2312" w:eastAsia="仿宋_GB2312" w:cs="ArialUnicodeMS" w:hAnsiTheme="minorHAnsi"/>
                <w:kern w:val="0"/>
                <w:sz w:val="28"/>
                <w:szCs w:val="28"/>
              </w:rPr>
            </w:pPr>
            <w:r>
              <w:rPr>
                <w:rFonts w:ascii="仿宋_GB2312" w:hAnsi="Cambria" w:eastAsia="仿宋_GB2312" w:cs="ArialUnicodeMS"/>
                <w:kern w:val="0"/>
                <w:sz w:val="32"/>
                <w:szCs w:val="32"/>
              </w:rPr>
              <w:t>201</w:t>
            </w:r>
            <w:r>
              <w:rPr>
                <w:rFonts w:hint="eastAsia" w:ascii="仿宋_GB2312" w:hAnsi="Cambria" w:eastAsia="仿宋_GB2312" w:cs="ArialUnicodeMS"/>
                <w:kern w:val="0"/>
                <w:sz w:val="32"/>
                <w:szCs w:val="32"/>
              </w:rPr>
              <w:t>8年年末局机关实有行政人员</w:t>
            </w:r>
            <w:r>
              <w:rPr>
                <w:rFonts w:ascii="仿宋_GB2312" w:hAnsi="Cambria" w:eastAsia="仿宋_GB2312" w:cs="ArialUnicodeMS"/>
                <w:kern w:val="0"/>
                <w:sz w:val="32"/>
                <w:szCs w:val="32"/>
              </w:rPr>
              <w:t>11</w:t>
            </w:r>
            <w:r>
              <w:rPr>
                <w:rFonts w:hint="eastAsia" w:ascii="仿宋_GB2312" w:hAnsi="Cambria" w:eastAsia="仿宋_GB2312" w:cs="ArialUnicodeMS"/>
                <w:kern w:val="0"/>
                <w:sz w:val="32"/>
                <w:szCs w:val="32"/>
              </w:rPr>
              <w:t>人，事业人员45人，工勤人员</w:t>
            </w:r>
            <w:r>
              <w:rPr>
                <w:rFonts w:ascii="仿宋_GB2312" w:hAnsi="Cambria" w:eastAsia="仿宋_GB2312" w:cs="ArialUnicodeMS"/>
                <w:kern w:val="0"/>
                <w:sz w:val="32"/>
                <w:szCs w:val="32"/>
              </w:rPr>
              <w:t>1</w:t>
            </w:r>
            <w:r>
              <w:rPr>
                <w:rFonts w:hint="eastAsia" w:ascii="仿宋_GB2312" w:hAnsi="Cambria" w:eastAsia="仿宋_GB2312" w:cs="ArialUnicodeMS"/>
                <w:kern w:val="0"/>
                <w:sz w:val="32"/>
                <w:szCs w:val="32"/>
              </w:rPr>
              <w:t>人，在职人员共计57人；退休人员43人，共计100人。我局机关内设科室有办公室、督导室、党办、教研室、电教站、财务科、教育科、政工科、发展规划科、监察室等</w:t>
            </w:r>
            <w:r>
              <w:rPr>
                <w:rFonts w:ascii="仿宋_GB2312" w:hAnsi="Cambria" w:eastAsia="仿宋_GB2312" w:cs="ArialUnicodeMS"/>
                <w:kern w:val="0"/>
                <w:sz w:val="32"/>
                <w:szCs w:val="32"/>
              </w:rPr>
              <w:t>10</w:t>
            </w:r>
            <w:r>
              <w:rPr>
                <w:rFonts w:hint="eastAsia" w:ascii="仿宋_GB2312" w:hAnsi="Cambria" w:eastAsia="仿宋_GB2312" w:cs="ArialUnicodeMS"/>
                <w:kern w:val="0"/>
                <w:sz w:val="32"/>
                <w:szCs w:val="32"/>
              </w:rPr>
              <w:t>个科室。</w:t>
            </w: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
      <w:pPr>
        <w:widowControl/>
        <w:ind w:left="640" w:firstLine="420" w:firstLineChars="200"/>
        <w:rPr>
          <w:rFonts w:ascii="仿宋" w:hAnsi="仿宋" w:eastAsia="仿宋"/>
          <w:sz w:val="32"/>
          <w:szCs w:val="32"/>
        </w:rPr>
      </w:pPr>
      <w:r>
        <w:rPr>
          <w:rFonts w:hint="eastAsia"/>
        </w:rPr>
        <w:tab/>
      </w:r>
      <w:r>
        <w:rPr>
          <w:rFonts w:hint="eastAsia" w:ascii="仿宋" w:hAnsi="仿宋" w:eastAsia="仿宋"/>
          <w:sz w:val="32"/>
          <w:szCs w:val="32"/>
        </w:rPr>
        <w:t>本部门应公开10张决算表格，即：</w:t>
      </w:r>
    </w:p>
    <w:p>
      <w:pPr>
        <w:widowControl/>
        <w:ind w:left="640" w:firstLine="640" w:firstLineChars="200"/>
        <w:rPr>
          <w:rFonts w:hint="eastAsia" w:ascii="仿宋" w:hAnsi="仿宋" w:eastAsia="仿宋"/>
          <w:sz w:val="32"/>
          <w:szCs w:val="32"/>
        </w:rPr>
      </w:pPr>
      <w:r>
        <w:rPr>
          <w:rFonts w:hint="eastAsia" w:ascii="仿宋" w:hAnsi="仿宋" w:eastAsia="仿宋"/>
          <w:sz w:val="32"/>
          <w:szCs w:val="32"/>
        </w:rPr>
        <w:t>一、收入支出决算总表</w:t>
      </w:r>
      <w:r>
        <w:rPr>
          <w:rFonts w:hint="eastAsia" w:ascii="仿宋" w:hAnsi="仿宋" w:eastAsia="仿宋" w:cs="宋体"/>
          <w:kern w:val="0"/>
          <w:sz w:val="32"/>
          <w:szCs w:val="32"/>
        </w:rPr>
        <w:t>（公开01 表）</w:t>
      </w:r>
    </w:p>
    <w:p>
      <w:pPr>
        <w:widowControl/>
        <w:ind w:left="640" w:firstLine="640" w:firstLineChars="200"/>
        <w:rPr>
          <w:rFonts w:hint="eastAsia" w:ascii="仿宋" w:hAnsi="仿宋" w:eastAsia="仿宋"/>
          <w:sz w:val="32"/>
          <w:szCs w:val="32"/>
        </w:rPr>
      </w:pPr>
      <w:r>
        <w:rPr>
          <w:rFonts w:hint="eastAsia" w:ascii="仿宋" w:hAnsi="仿宋" w:eastAsia="仿宋"/>
          <w:sz w:val="32"/>
          <w:szCs w:val="32"/>
        </w:rPr>
        <w:t>二、收入决算表</w:t>
      </w:r>
      <w:r>
        <w:rPr>
          <w:rFonts w:hint="eastAsia" w:ascii="仿宋" w:hAnsi="仿宋" w:eastAsia="仿宋" w:cs="宋体"/>
          <w:kern w:val="0"/>
          <w:sz w:val="32"/>
          <w:szCs w:val="32"/>
        </w:rPr>
        <w:t>（公开02 表）</w:t>
      </w:r>
    </w:p>
    <w:p>
      <w:pPr>
        <w:widowControl/>
        <w:ind w:left="640" w:firstLine="640" w:firstLineChars="200"/>
        <w:rPr>
          <w:rFonts w:hint="eastAsia" w:ascii="仿宋" w:hAnsi="仿宋" w:eastAsia="仿宋"/>
          <w:sz w:val="32"/>
          <w:szCs w:val="32"/>
        </w:rPr>
      </w:pPr>
      <w:r>
        <w:rPr>
          <w:rFonts w:hint="eastAsia" w:ascii="仿宋" w:hAnsi="仿宋" w:eastAsia="仿宋"/>
          <w:sz w:val="32"/>
          <w:szCs w:val="32"/>
        </w:rPr>
        <w:t>三、支出决算表</w:t>
      </w:r>
      <w:r>
        <w:rPr>
          <w:rFonts w:hint="eastAsia" w:ascii="仿宋" w:hAnsi="仿宋" w:eastAsia="仿宋" w:cs="宋体"/>
          <w:kern w:val="0"/>
          <w:sz w:val="32"/>
          <w:szCs w:val="32"/>
        </w:rPr>
        <w:t>（公开03 表）</w:t>
      </w:r>
    </w:p>
    <w:p>
      <w:pPr>
        <w:widowControl/>
        <w:ind w:left="640" w:firstLine="640" w:firstLineChars="200"/>
        <w:rPr>
          <w:rFonts w:hint="eastAsia" w:ascii="仿宋" w:hAnsi="仿宋" w:eastAsia="仿宋"/>
          <w:sz w:val="32"/>
          <w:szCs w:val="32"/>
        </w:rPr>
      </w:pPr>
      <w:r>
        <w:rPr>
          <w:rFonts w:hint="eastAsia" w:ascii="仿宋" w:hAnsi="仿宋" w:eastAsia="仿宋"/>
          <w:sz w:val="32"/>
          <w:szCs w:val="32"/>
        </w:rPr>
        <w:t>四、财政拨款收入支出决算总表</w:t>
      </w:r>
      <w:r>
        <w:rPr>
          <w:rFonts w:hint="eastAsia" w:ascii="仿宋" w:hAnsi="仿宋" w:eastAsia="仿宋" w:cs="宋体"/>
          <w:kern w:val="0"/>
          <w:sz w:val="32"/>
          <w:szCs w:val="32"/>
        </w:rPr>
        <w:t>（公开04 表）</w:t>
      </w:r>
    </w:p>
    <w:p>
      <w:pPr>
        <w:widowControl/>
        <w:ind w:left="640" w:firstLine="640" w:firstLineChars="200"/>
        <w:rPr>
          <w:rFonts w:hint="eastAsia" w:ascii="仿宋" w:hAnsi="仿宋" w:eastAsia="仿宋"/>
          <w:sz w:val="32"/>
          <w:szCs w:val="32"/>
        </w:rPr>
      </w:pPr>
      <w:r>
        <w:rPr>
          <w:rFonts w:hint="eastAsia" w:ascii="仿宋" w:hAnsi="仿宋" w:eastAsia="仿宋"/>
          <w:sz w:val="32"/>
          <w:szCs w:val="32"/>
        </w:rPr>
        <w:t>五、</w:t>
      </w:r>
      <w:r>
        <w:rPr>
          <w:rFonts w:hint="eastAsia" w:eastAsia="仿宋_GB2312"/>
          <w:sz w:val="32"/>
          <w:szCs w:val="32"/>
        </w:rPr>
        <w:t>一般公共预算财政拨款支出决算表</w:t>
      </w:r>
      <w:r>
        <w:rPr>
          <w:rFonts w:hint="eastAsia" w:ascii="仿宋" w:hAnsi="仿宋" w:eastAsia="仿宋" w:cs="宋体"/>
          <w:kern w:val="0"/>
          <w:sz w:val="32"/>
          <w:szCs w:val="32"/>
        </w:rPr>
        <w:t>（公开05 表）</w:t>
      </w:r>
    </w:p>
    <w:p>
      <w:pPr>
        <w:widowControl/>
        <w:ind w:left="640" w:firstLine="640" w:firstLineChars="200"/>
        <w:rPr>
          <w:rFonts w:hint="eastAsia" w:ascii="仿宋" w:hAnsi="仿宋" w:eastAsia="仿宋"/>
          <w:sz w:val="32"/>
          <w:szCs w:val="32"/>
        </w:rPr>
      </w:pPr>
      <w:r>
        <w:rPr>
          <w:rFonts w:hint="eastAsia" w:ascii="仿宋" w:hAnsi="仿宋" w:eastAsia="仿宋"/>
          <w:sz w:val="32"/>
          <w:szCs w:val="32"/>
        </w:rPr>
        <w:t>六、</w:t>
      </w:r>
      <w:r>
        <w:rPr>
          <w:rFonts w:hint="eastAsia" w:eastAsia="仿宋_GB2312"/>
          <w:sz w:val="32"/>
          <w:szCs w:val="32"/>
        </w:rPr>
        <w:t>一般公共预算财政拨款基本支出决算表</w:t>
      </w:r>
      <w:r>
        <w:rPr>
          <w:rFonts w:hint="eastAsia" w:ascii="仿宋" w:hAnsi="仿宋" w:eastAsia="仿宋" w:cs="宋体"/>
          <w:kern w:val="0"/>
          <w:sz w:val="32"/>
          <w:szCs w:val="32"/>
        </w:rPr>
        <w:t>（公开06 表）</w:t>
      </w:r>
    </w:p>
    <w:p>
      <w:pPr>
        <w:widowControl/>
        <w:ind w:left="640" w:firstLine="640" w:firstLineChars="200"/>
        <w:rPr>
          <w:rFonts w:hint="eastAsia" w:ascii="仿宋" w:hAnsi="仿宋" w:eastAsia="仿宋"/>
          <w:sz w:val="32"/>
          <w:szCs w:val="32"/>
        </w:rPr>
      </w:pPr>
      <w:r>
        <w:rPr>
          <w:rFonts w:hint="eastAsia" w:ascii="仿宋" w:hAnsi="仿宋" w:eastAsia="仿宋"/>
          <w:sz w:val="32"/>
          <w:szCs w:val="32"/>
        </w:rPr>
        <w:t>七、</w:t>
      </w:r>
      <w:r>
        <w:rPr>
          <w:rFonts w:hint="eastAsia" w:eastAsia="仿宋_GB2312"/>
          <w:sz w:val="32"/>
          <w:szCs w:val="32"/>
        </w:rPr>
        <w:t>一般公共预算财政拨款“三公”经费支出决算表</w:t>
      </w:r>
      <w:r>
        <w:rPr>
          <w:rFonts w:hint="eastAsia" w:ascii="仿宋" w:hAnsi="仿宋" w:eastAsia="仿宋" w:cs="宋体"/>
          <w:kern w:val="0"/>
          <w:sz w:val="32"/>
          <w:szCs w:val="32"/>
        </w:rPr>
        <w:t>（公开07 表）</w:t>
      </w:r>
    </w:p>
    <w:p>
      <w:pPr>
        <w:widowControl/>
        <w:ind w:left="640" w:firstLine="640" w:firstLineChars="200"/>
        <w:rPr>
          <w:rFonts w:hint="eastAsia" w:ascii="仿宋" w:hAnsi="仿宋" w:eastAsia="仿宋"/>
          <w:sz w:val="32"/>
          <w:szCs w:val="32"/>
          <w:highlight w:val="darkCyan"/>
        </w:rPr>
      </w:pPr>
      <w:r>
        <w:rPr>
          <w:rFonts w:hint="eastAsia" w:ascii="仿宋" w:hAnsi="仿宋" w:eastAsia="仿宋"/>
          <w:sz w:val="32"/>
          <w:szCs w:val="32"/>
        </w:rPr>
        <w:t>八、</w:t>
      </w:r>
      <w:r>
        <w:rPr>
          <w:rFonts w:hint="eastAsia" w:eastAsia="仿宋_GB2312"/>
          <w:sz w:val="32"/>
          <w:szCs w:val="32"/>
        </w:rPr>
        <w:t>政府性基金预算财政拨款收入支出决算表</w:t>
      </w:r>
      <w:r>
        <w:rPr>
          <w:rFonts w:hint="eastAsia" w:ascii="仿宋" w:hAnsi="仿宋" w:eastAsia="仿宋" w:cs="宋体"/>
          <w:kern w:val="0"/>
          <w:sz w:val="32"/>
          <w:szCs w:val="32"/>
        </w:rPr>
        <w:t>（公开08表）</w:t>
      </w:r>
    </w:p>
    <w:p>
      <w:pPr>
        <w:widowControl/>
        <w:ind w:left="640" w:firstLine="640" w:firstLineChars="200"/>
        <w:rPr>
          <w:rFonts w:hint="eastAsia" w:ascii="仿宋" w:hAnsi="仿宋" w:eastAsia="仿宋" w:cs="宋体"/>
          <w:kern w:val="0"/>
          <w:sz w:val="32"/>
          <w:szCs w:val="32"/>
        </w:rPr>
      </w:pPr>
      <w:r>
        <w:rPr>
          <w:rFonts w:hint="eastAsia" w:ascii="仿宋" w:hAnsi="仿宋" w:eastAsia="仿宋"/>
          <w:sz w:val="32"/>
          <w:szCs w:val="32"/>
        </w:rPr>
        <w:t>九、</w:t>
      </w:r>
      <w:r>
        <w:rPr>
          <w:rFonts w:hint="eastAsia" w:eastAsia="仿宋_GB2312"/>
          <w:sz w:val="32"/>
          <w:szCs w:val="32"/>
        </w:rPr>
        <w:t>国有资本经营预算财政拨款支出决算表</w:t>
      </w:r>
      <w:r>
        <w:rPr>
          <w:rFonts w:hint="eastAsia" w:ascii="仿宋" w:hAnsi="仿宋" w:eastAsia="仿宋" w:cs="宋体"/>
          <w:kern w:val="0"/>
          <w:sz w:val="32"/>
          <w:szCs w:val="32"/>
        </w:rPr>
        <w:t>（公开09 表）</w:t>
      </w:r>
    </w:p>
    <w:p>
      <w:pPr>
        <w:widowControl/>
        <w:ind w:left="640" w:firstLine="640" w:firstLineChars="200"/>
        <w:rPr>
          <w:rFonts w:hint="eastAsia" w:ascii="仿宋" w:hAnsi="仿宋" w:eastAsia="仿宋" w:cs="宋体"/>
          <w:kern w:val="0"/>
          <w:sz w:val="32"/>
          <w:szCs w:val="32"/>
        </w:rPr>
      </w:pPr>
      <w:r>
        <w:rPr>
          <w:rFonts w:hint="eastAsia" w:ascii="仿宋" w:hAnsi="仿宋" w:eastAsia="仿宋"/>
          <w:sz w:val="32"/>
          <w:szCs w:val="32"/>
        </w:rPr>
        <w:t>十、政府采购情况表</w:t>
      </w:r>
      <w:r>
        <w:rPr>
          <w:rFonts w:hint="eastAsia" w:ascii="仿宋" w:hAnsi="仿宋" w:eastAsia="仿宋" w:cs="宋体"/>
          <w:kern w:val="0"/>
          <w:sz w:val="32"/>
          <w:szCs w:val="32"/>
        </w:rPr>
        <w:t>（公开10 表）</w:t>
      </w:r>
    </w:p>
    <w:p>
      <w:pPr>
        <w:autoSpaceDE w:val="0"/>
        <w:autoSpaceDN w:val="0"/>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详见附表：《高邑县</w:t>
      </w:r>
      <w:r>
        <w:rPr>
          <w:rFonts w:hint="eastAsia" w:ascii="仿宋" w:hAnsi="仿宋" w:eastAsia="仿宋" w:cs="宋体"/>
          <w:kern w:val="0"/>
          <w:sz w:val="32"/>
          <w:szCs w:val="32"/>
          <w:lang w:val="en-US" w:eastAsia="zh-CN"/>
        </w:rPr>
        <w:t>教育局</w:t>
      </w:r>
      <w:r>
        <w:rPr>
          <w:rFonts w:hint="eastAsia" w:ascii="仿宋" w:hAnsi="仿宋" w:eastAsia="仿宋" w:cs="宋体"/>
          <w:kern w:val="0"/>
          <w:sz w:val="32"/>
          <w:szCs w:val="32"/>
        </w:rPr>
        <w:t>2018年度部门决</w:t>
      </w:r>
    </w:p>
    <w:p>
      <w:pPr>
        <w:autoSpaceDE w:val="0"/>
        <w:autoSpaceDN w:val="0"/>
        <w:ind w:firstLine="640" w:firstLineChars="200"/>
        <w:rPr>
          <w:rFonts w:hint="eastAsia" w:ascii="仿宋" w:hAnsi="仿宋" w:eastAsia="仿宋" w:cs="宋体"/>
          <w:kern w:val="0"/>
          <w:sz w:val="32"/>
          <w:szCs w:val="32"/>
        </w:rPr>
      </w:pPr>
      <w:r>
        <w:rPr>
          <w:rFonts w:hint="eastAsia" w:ascii="仿宋" w:hAnsi="仿宋" w:eastAsia="仿宋" w:cs="宋体"/>
          <w:kern w:val="0"/>
          <w:sz w:val="32"/>
          <w:szCs w:val="32"/>
        </w:rPr>
        <w:t>算公开表》</w:t>
      </w:r>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8076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v:rect id="矩形 13" o:spid="_x0000_s1081" o:spt="1" style="position:absolute;left:4551;top:52615;height:1175;width:8546;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ascii="仿宋_GB2312" w:eastAsia="仿宋_GB2312" w:cs="DengXian-Regular"/>
          <w:sz w:val="32"/>
          <w:szCs w:val="32"/>
        </w:rPr>
        <w:t>27927.37</w:t>
      </w:r>
      <w:r>
        <w:rPr>
          <w:rFonts w:hint="eastAsia" w:ascii="仿宋_GB2312" w:eastAsia="仿宋_GB2312" w:cs="DengXian-Regular"/>
          <w:sz w:val="32"/>
          <w:szCs w:val="32"/>
        </w:rPr>
        <w:t>万元。本年收入</w:t>
      </w:r>
      <w:r>
        <w:rPr>
          <w:rFonts w:ascii="仿宋_GB2312" w:eastAsia="仿宋_GB2312" w:cs="DengXian-Regular"/>
          <w:sz w:val="32"/>
          <w:szCs w:val="32"/>
        </w:rPr>
        <w:t>27927.37</w:t>
      </w:r>
      <w:r>
        <w:rPr>
          <w:rFonts w:hint="eastAsia" w:ascii="仿宋_GB2312" w:eastAsia="仿宋_GB2312" w:cs="DengXian-Regular"/>
          <w:sz w:val="32"/>
          <w:szCs w:val="32"/>
        </w:rPr>
        <w:t>万元；本年支出</w:t>
      </w:r>
      <w:r>
        <w:rPr>
          <w:rFonts w:ascii="仿宋_GB2312" w:eastAsia="仿宋_GB2312" w:cs="DengXian-Regular"/>
          <w:sz w:val="32"/>
          <w:szCs w:val="32"/>
        </w:rPr>
        <w:t>24867.47</w:t>
      </w:r>
      <w:r>
        <w:rPr>
          <w:rFonts w:hint="eastAsia" w:ascii="仿宋_GB2312" w:eastAsia="仿宋_GB2312" w:cs="DengXian-Regular"/>
          <w:sz w:val="32"/>
          <w:szCs w:val="32"/>
        </w:rPr>
        <w:t>万元、年末结转和结余</w:t>
      </w:r>
      <w:r>
        <w:rPr>
          <w:rFonts w:ascii="仿宋_GB2312" w:eastAsia="仿宋_GB2312" w:cs="DengXian-Regular"/>
          <w:sz w:val="32"/>
          <w:szCs w:val="32"/>
        </w:rPr>
        <w:t>3059.9</w:t>
      </w:r>
      <w:r>
        <w:rPr>
          <w:rFonts w:hint="eastAsia" w:ascii="仿宋_GB2312" w:eastAsia="仿宋_GB2312" w:cs="DengXian-Regular"/>
          <w:sz w:val="32"/>
          <w:szCs w:val="32"/>
        </w:rPr>
        <w:t>万元。</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与</w:t>
      </w:r>
      <w:r>
        <w:rPr>
          <w:rFonts w:ascii="仿宋_GB2312" w:eastAsia="仿宋_GB2312" w:cs="DengXian-Regular"/>
          <w:sz w:val="32"/>
          <w:szCs w:val="32"/>
        </w:rPr>
        <w:t>201</w:t>
      </w:r>
      <w:r>
        <w:rPr>
          <w:rFonts w:hint="eastAsia" w:ascii="仿宋_GB2312" w:eastAsia="仿宋_GB2312" w:cs="DengXian-Regular"/>
          <w:sz w:val="32"/>
          <w:szCs w:val="32"/>
        </w:rPr>
        <w:t>7年度决算相比，本年收入增加3330万元，增长13.54</w:t>
      </w:r>
      <w:r>
        <w:rPr>
          <w:rFonts w:ascii="仿宋_GB2312" w:eastAsia="仿宋_GB2312" w:cs="DengXian-Regular"/>
          <w:sz w:val="32"/>
          <w:szCs w:val="32"/>
        </w:rPr>
        <w:t>%</w:t>
      </w:r>
      <w:r>
        <w:rPr>
          <w:rFonts w:hint="eastAsia" w:ascii="仿宋_GB2312" w:eastAsia="仿宋_GB2312" w:cs="DengXian-Regular"/>
          <w:sz w:val="32"/>
          <w:szCs w:val="32"/>
        </w:rPr>
        <w:t>，主要原因为人员工资增加；本年支出增加251.22万元，增长1.02</w:t>
      </w:r>
      <w:r>
        <w:rPr>
          <w:rFonts w:ascii="仿宋_GB2312" w:eastAsia="仿宋_GB2312" w:cs="DengXian-Regular"/>
          <w:sz w:val="32"/>
          <w:szCs w:val="32"/>
        </w:rPr>
        <w:t>%</w:t>
      </w:r>
      <w:r>
        <w:rPr>
          <w:rFonts w:hint="eastAsia" w:ascii="仿宋_GB2312" w:eastAsia="仿宋_GB2312" w:cs="DengXian-Regular"/>
          <w:sz w:val="32"/>
          <w:szCs w:val="32"/>
        </w:rPr>
        <w:t>，主要原因为人员经费增加。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ascii="仿宋_GB2312" w:eastAsia="仿宋_GB2312" w:cs="DengXian-Regular"/>
          <w:sz w:val="32"/>
          <w:szCs w:val="32"/>
        </w:rPr>
        <w:t>27927.37</w:t>
      </w:r>
      <w:r>
        <w:rPr>
          <w:rFonts w:hint="eastAsia" w:ascii="仿宋_GB2312" w:eastAsia="仿宋_GB2312" w:cs="DengXian-Regular"/>
          <w:sz w:val="32"/>
          <w:szCs w:val="32"/>
        </w:rPr>
        <w:t>万元，其中：财政拨款收入</w:t>
      </w:r>
      <w:r>
        <w:rPr>
          <w:rFonts w:ascii="仿宋_GB2312" w:eastAsia="仿宋_GB2312" w:cs="DengXian-Regular"/>
          <w:sz w:val="32"/>
          <w:szCs w:val="32"/>
        </w:rPr>
        <w:t>27927.37</w:t>
      </w:r>
      <w:r>
        <w:rPr>
          <w:rFonts w:hint="eastAsia" w:ascii="仿宋_GB2312" w:eastAsia="仿宋_GB2312" w:cs="DengXian-Regular"/>
          <w:sz w:val="32"/>
          <w:szCs w:val="32"/>
        </w:rPr>
        <w:t>万元，占100%；事业收入0万元，占0%；经营收入0万元，占0%；其他收入0万元，占0%。如图所示：</w:t>
      </w:r>
    </w:p>
    <w:p>
      <w:pPr>
        <w:pStyle w:val="3"/>
        <w:spacing w:before="0" w:after="0" w:line="580" w:lineRule="exact"/>
        <w:ind w:firstLine="640" w:firstLineChars="200"/>
        <w:rPr>
          <w:rFonts w:ascii="仿宋_GB2312" w:hAnsi="Times New Roman" w:eastAsia="仿宋_GB2312" w:cs="DengXian-Regular"/>
          <w:b w:val="0"/>
          <w:bCs w:val="0"/>
        </w:rPr>
      </w:pPr>
    </w:p>
    <w:p>
      <w:r>
        <w:drawing>
          <wp:inline distT="0" distB="0" distL="0" distR="0">
            <wp:extent cx="4962525" cy="2743200"/>
            <wp:effectExtent l="19050" t="0" r="9525" b="0"/>
            <wp:docPr id="1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ascii="仿宋_GB2312" w:eastAsia="仿宋_GB2312" w:cs="DengXian-Regular"/>
          <w:sz w:val="32"/>
          <w:szCs w:val="32"/>
        </w:rPr>
        <w:t>24867.47</w:t>
      </w:r>
      <w:r>
        <w:rPr>
          <w:rFonts w:hint="eastAsia" w:ascii="仿宋_GB2312" w:eastAsia="仿宋_GB2312" w:cs="DengXian-Regular"/>
          <w:sz w:val="32"/>
          <w:szCs w:val="32"/>
        </w:rPr>
        <w:t>万元，其中：基本支出</w:t>
      </w:r>
      <w:r>
        <w:rPr>
          <w:rFonts w:ascii="仿宋_GB2312" w:eastAsia="仿宋_GB2312" w:cs="DengXian-Regular"/>
          <w:sz w:val="32"/>
          <w:szCs w:val="32"/>
        </w:rPr>
        <w:t>24748.61</w:t>
      </w:r>
      <w:r>
        <w:rPr>
          <w:rFonts w:hint="eastAsia" w:ascii="仿宋_GB2312" w:eastAsia="仿宋_GB2312" w:cs="DengXian-Regular"/>
          <w:sz w:val="32"/>
          <w:szCs w:val="32"/>
        </w:rPr>
        <w:t>万元，占99.52%；项目支出</w:t>
      </w:r>
      <w:r>
        <w:rPr>
          <w:rFonts w:ascii="仿宋_GB2312" w:eastAsia="仿宋_GB2312" w:cs="DengXian-Regular"/>
          <w:sz w:val="32"/>
          <w:szCs w:val="32"/>
        </w:rPr>
        <w:t>118.86</w:t>
      </w:r>
      <w:r>
        <w:rPr>
          <w:rFonts w:hint="eastAsia" w:ascii="仿宋_GB2312" w:eastAsia="仿宋_GB2312" w:cs="DengXian-Regular"/>
          <w:sz w:val="32"/>
          <w:szCs w:val="32"/>
        </w:rPr>
        <w:t>万元，占0.48%；经营支出0万元，占0%。如图所示：</w:t>
      </w:r>
    </w:p>
    <w:p>
      <w:pPr>
        <w:pStyle w:val="3"/>
        <w:spacing w:before="0" w:after="0" w:line="580" w:lineRule="exact"/>
        <w:ind w:firstLine="643" w:firstLineChars="200"/>
        <w:rPr>
          <w:rFonts w:ascii="黑体" w:eastAsia="黑体"/>
        </w:rPr>
      </w:pPr>
    </w:p>
    <w:p>
      <w:pPr>
        <w:pStyle w:val="3"/>
        <w:spacing w:before="0" w:after="0" w:line="240" w:lineRule="auto"/>
        <w:ind w:firstLine="640" w:firstLineChars="200"/>
        <w:rPr>
          <w:rFonts w:ascii="黑体" w:eastAsia="黑体"/>
          <w:b w:val="0"/>
          <w:bCs w:val="0"/>
        </w:rPr>
      </w:pPr>
      <w:r>
        <w:rPr>
          <w:rFonts w:ascii="黑体" w:eastAsia="黑体"/>
          <w:b w:val="0"/>
          <w:bCs w:val="0"/>
        </w:rPr>
        <w:drawing>
          <wp:inline distT="0" distB="0" distL="0" distR="0">
            <wp:extent cx="4572000" cy="2743200"/>
            <wp:effectExtent l="19050" t="0" r="19050" b="0"/>
            <wp:docPr id="26"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ascii="仿宋_GB2312" w:eastAsia="仿宋_GB2312" w:cs="DengXian-Regular"/>
          <w:sz w:val="32"/>
          <w:szCs w:val="32"/>
        </w:rPr>
        <w:t>27927.37</w:t>
      </w:r>
      <w:r>
        <w:rPr>
          <w:rFonts w:hint="eastAsia" w:ascii="仿宋_GB2312" w:eastAsia="仿宋_GB2312" w:cs="DengXian-Regular"/>
          <w:sz w:val="32"/>
          <w:szCs w:val="32"/>
        </w:rPr>
        <w:t>万元,比2017年度增加3330万元，增长13.54%，主要是人员经费的增加；本年支出</w:t>
      </w:r>
      <w:r>
        <w:rPr>
          <w:rFonts w:ascii="仿宋_GB2312" w:eastAsia="仿宋_GB2312" w:cs="DengXian-Regular"/>
          <w:sz w:val="32"/>
          <w:szCs w:val="32"/>
        </w:rPr>
        <w:t>24867.47</w:t>
      </w:r>
      <w:r>
        <w:rPr>
          <w:rFonts w:hint="eastAsia" w:ascii="仿宋_GB2312" w:eastAsia="仿宋_GB2312" w:cs="DengXian-Regular"/>
          <w:sz w:val="32"/>
          <w:szCs w:val="32"/>
        </w:rPr>
        <w:t>万元，增加251.22万元，增长1.02%，主要是人员经费的增加。</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其中：一般公共预算财政拨款本年收入27909.38万元，比上年增加3340.23万元；主要是人员经费增加；本年支出</w:t>
      </w:r>
      <w:r>
        <w:drawing>
          <wp:anchor distT="0" distB="0" distL="114300" distR="114300" simplePos="0" relativeHeight="251670528" behindDoc="0" locked="0" layoutInCell="1" allowOverlap="1">
            <wp:simplePos x="0" y="0"/>
            <wp:positionH relativeFrom="column">
              <wp:posOffset>588645</wp:posOffset>
            </wp:positionH>
            <wp:positionV relativeFrom="paragraph">
              <wp:posOffset>1983740</wp:posOffset>
            </wp:positionV>
            <wp:extent cx="4572000" cy="2743200"/>
            <wp:effectExtent l="4445" t="4445" r="14605" b="14605"/>
            <wp:wrapSquare wrapText="bothSides"/>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hint="eastAsia" w:ascii="仿宋_GB2312" w:eastAsia="仿宋_GB2312" w:cs="DengXian-Regular"/>
          <w:sz w:val="32"/>
          <w:szCs w:val="32"/>
        </w:rPr>
        <w:t>24849.48万元，比上年增加280.33万元，增长1.14%，主要是人员经费的增加。政府性基金预算财政拨款本年收入17.99万元，比上年减少10.23万元，降低36.25%，主要原因是17年补以往年度占地补偿。</w:t>
      </w:r>
    </w:p>
    <w:p>
      <w:pPr>
        <w:adjustRightInd w:val="0"/>
        <w:snapToGrid w:val="0"/>
        <w:spacing w:after="0" w:line="580" w:lineRule="exact"/>
        <w:ind w:firstLine="420" w:firstLineChars="200"/>
        <w:rPr>
          <w:rFonts w:ascii="仿宋_GB2312" w:eastAsia="仿宋_GB2312" w:cs="DengXian-Regular"/>
          <w:sz w:val="32"/>
          <w:szCs w:val="32"/>
        </w:rPr>
      </w:pPr>
      <w:r>
        <w:pict>
          <v:group id="_x0000_s1125" o:spid="_x0000_s1125" o:spt="203" style="position:absolute;left:0pt;margin-left:51.25pt;margin-top:13.45pt;height:210.05pt;width:331.1pt;z-index:-251634688;mso-width-relative:page;mso-height-relative:page;" coordorigin="6151,199960" coordsize="6345,-24676409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12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1" o:title=""/>
              <o:lock v:ext="edit" aspectratio="t"/>
            </v:shape>
            <v:shape id="_x0000_s1127" o:spid="_x0000_s1127" o:spt="202" type="#_x0000_t202" style="position:absolute;left:6151;top:203196;height:812;width:6345;" fillcolor="#FFFFFF" filled="t"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8年度财政拨款本年收入较</w:t>
      </w:r>
      <w:r>
        <w:rPr>
          <w:rFonts w:ascii="仿宋_GB2312" w:eastAsia="仿宋_GB2312" w:cs="DengXian-Regular"/>
          <w:sz w:val="32"/>
          <w:szCs w:val="32"/>
        </w:rPr>
        <w:t>201</w:t>
      </w:r>
      <w:r>
        <w:rPr>
          <w:rFonts w:hint="eastAsia" w:ascii="仿宋_GB2312" w:eastAsia="仿宋_GB2312" w:cs="DengXian-Regular"/>
          <w:sz w:val="32"/>
          <w:szCs w:val="32"/>
        </w:rPr>
        <w:t>8年初预算增加9761.53万元，增长53.74</w:t>
      </w:r>
      <w:r>
        <w:rPr>
          <w:rFonts w:ascii="仿宋_GB2312" w:eastAsia="仿宋_GB2312" w:cs="DengXian-Regular"/>
          <w:sz w:val="32"/>
          <w:szCs w:val="32"/>
        </w:rPr>
        <w:t>%</w:t>
      </w:r>
      <w:r>
        <w:rPr>
          <w:rFonts w:hint="eastAsia" w:ascii="仿宋_GB2312" w:eastAsia="仿宋_GB2312" w:cs="DengXian-Regular"/>
          <w:sz w:val="32"/>
          <w:szCs w:val="32"/>
        </w:rPr>
        <w:t>，主要是人员经费、公用经费及上级专款增加；本年支出增加6701.63万元，增长36.89</w:t>
      </w:r>
      <w:r>
        <w:rPr>
          <w:rFonts w:ascii="仿宋_GB2312" w:eastAsia="仿宋_GB2312" w:cs="DengXian-Regular"/>
          <w:sz w:val="32"/>
          <w:szCs w:val="32"/>
        </w:rPr>
        <w:t>%</w:t>
      </w:r>
      <w:r>
        <w:rPr>
          <w:rFonts w:hint="eastAsia" w:ascii="仿宋_GB2312" w:eastAsia="仿宋_GB2312" w:cs="DengXian-Regular"/>
          <w:sz w:val="32"/>
          <w:szCs w:val="32"/>
        </w:rPr>
        <w:t>，主要是人员经费、公用经费及专款支出增加。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w:t>
      </w:r>
      <w:r>
        <w:rPr>
          <w:rFonts w:ascii="仿宋_GB2312" w:eastAsia="仿宋_GB2312" w:cs="DengXian-Regular"/>
          <w:sz w:val="32"/>
          <w:szCs w:val="32"/>
        </w:rPr>
        <w:t>201</w:t>
      </w:r>
      <w:r>
        <w:rPr>
          <w:rFonts w:hint="eastAsia" w:ascii="仿宋_GB2312" w:eastAsia="仿宋_GB2312" w:cs="DengXian-Regular"/>
          <w:sz w:val="32"/>
          <w:szCs w:val="32"/>
        </w:rPr>
        <w:t>8年度一般公共预算财政拨款本年收入较</w:t>
      </w:r>
      <w:r>
        <w:rPr>
          <w:rFonts w:ascii="仿宋_GB2312" w:eastAsia="仿宋_GB2312" w:cs="DengXian-Regular"/>
          <w:sz w:val="32"/>
          <w:szCs w:val="32"/>
        </w:rPr>
        <w:t>201</w:t>
      </w:r>
      <w:r>
        <w:rPr>
          <w:rFonts w:hint="eastAsia" w:ascii="仿宋_GB2312" w:eastAsia="仿宋_GB2312" w:cs="DengXian-Regular"/>
          <w:sz w:val="32"/>
          <w:szCs w:val="32"/>
        </w:rPr>
        <w:t>8年初预算增加9743.54万元，增长53.64</w:t>
      </w:r>
      <w:r>
        <w:rPr>
          <w:rFonts w:ascii="仿宋_GB2312" w:eastAsia="仿宋_GB2312" w:cs="DengXian-Regular"/>
          <w:sz w:val="32"/>
          <w:szCs w:val="32"/>
        </w:rPr>
        <w:t>%</w:t>
      </w:r>
      <w:r>
        <w:rPr>
          <w:rFonts w:hint="eastAsia" w:ascii="仿宋_GB2312" w:eastAsia="仿宋_GB2312" w:cs="DengXian-Regular"/>
          <w:sz w:val="32"/>
          <w:szCs w:val="32"/>
        </w:rPr>
        <w:t>，主要是人员经费、公用经费及上级专款增加；本年支出增加6683.64万元，增长36.79</w:t>
      </w:r>
      <w:r>
        <w:rPr>
          <w:rFonts w:ascii="仿宋_GB2312" w:eastAsia="仿宋_GB2312" w:cs="DengXian-Regular"/>
          <w:sz w:val="32"/>
          <w:szCs w:val="32"/>
        </w:rPr>
        <w:t>%</w:t>
      </w:r>
      <w:r>
        <w:rPr>
          <w:rFonts w:hint="eastAsia" w:ascii="仿宋_GB2312" w:eastAsia="仿宋_GB2312" w:cs="DengXian-Regular"/>
          <w:sz w:val="32"/>
          <w:szCs w:val="32"/>
        </w:rPr>
        <w:t>，主要是人员经费、公用经费及专款支出增加。</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8年度政府性基金预算财政拨款本年收入较</w:t>
      </w:r>
      <w:r>
        <w:rPr>
          <w:rFonts w:ascii="仿宋_GB2312" w:eastAsia="仿宋_GB2312" w:cs="DengXian-Regular"/>
          <w:sz w:val="32"/>
          <w:szCs w:val="32"/>
        </w:rPr>
        <w:t>201</w:t>
      </w:r>
      <w:r>
        <w:rPr>
          <w:rFonts w:hint="eastAsia" w:ascii="仿宋_GB2312" w:eastAsia="仿宋_GB2312" w:cs="DengXian-Regular"/>
          <w:sz w:val="32"/>
          <w:szCs w:val="32"/>
        </w:rPr>
        <w:t>8年初预算增加17.99万元，增长100</w:t>
      </w:r>
      <w:r>
        <w:rPr>
          <w:rFonts w:ascii="仿宋_GB2312" w:eastAsia="仿宋_GB2312" w:cs="DengXian-Regular"/>
          <w:sz w:val="32"/>
          <w:szCs w:val="32"/>
        </w:rPr>
        <w:t>%</w:t>
      </w:r>
      <w:r>
        <w:rPr>
          <w:rFonts w:hint="eastAsia" w:ascii="仿宋_GB2312" w:eastAsia="仿宋_GB2312" w:cs="DengXian-Regular"/>
          <w:sz w:val="32"/>
          <w:szCs w:val="32"/>
        </w:rPr>
        <w:t>，主要是增加四所学校占地补偿和彩票公益金支出；本年支出增加17.99万元，增长</w:t>
      </w:r>
      <w:r>
        <w:rPr>
          <w:rFonts w:ascii="仿宋_GB2312" w:eastAsia="仿宋_GB2312" w:cs="DengXian-Regular"/>
          <w:sz w:val="32"/>
          <w:szCs w:val="32"/>
        </w:rPr>
        <w:t>1</w:t>
      </w:r>
      <w:r>
        <w:rPr>
          <w:rFonts w:hint="eastAsia" w:ascii="仿宋_GB2312" w:eastAsia="仿宋_GB2312" w:cs="DengXian-Regular"/>
          <w:sz w:val="32"/>
          <w:szCs w:val="32"/>
        </w:rPr>
        <w:t>00</w:t>
      </w:r>
      <w:r>
        <w:rPr>
          <w:rFonts w:ascii="仿宋_GB2312" w:eastAsia="仿宋_GB2312" w:cs="DengXian-Regular"/>
          <w:sz w:val="32"/>
          <w:szCs w:val="32"/>
        </w:rPr>
        <w:t>%</w:t>
      </w:r>
      <w:r>
        <w:rPr>
          <w:rFonts w:hint="eastAsia" w:ascii="仿宋_GB2312" w:eastAsia="仿宋_GB2312" w:cs="DengXian-Regular"/>
          <w:sz w:val="32"/>
          <w:szCs w:val="32"/>
        </w:rPr>
        <w:t>，主要是增加四所学校占地补偿和彩票公益金支出</w:t>
      </w:r>
    </w:p>
    <w:p>
      <w:pPr>
        <w:adjustRightInd w:val="0"/>
        <w:snapToGrid w:val="0"/>
        <w:spacing w:after="0" w:line="580" w:lineRule="exact"/>
        <w:ind w:firstLine="420" w:firstLineChars="200"/>
        <w:rPr>
          <w:rFonts w:hint="eastAsia" w:ascii="仿宋_GB2312" w:eastAsia="仿宋_GB2312" w:cs="DengXian-Regular"/>
          <w:sz w:val="32"/>
          <w:szCs w:val="32"/>
        </w:rPr>
      </w:pPr>
      <w:r>
        <w:drawing>
          <wp:anchor distT="0" distB="0" distL="114300" distR="114300" simplePos="0" relativeHeight="251671552" behindDoc="0" locked="0" layoutInCell="1" allowOverlap="1">
            <wp:simplePos x="0" y="0"/>
            <wp:positionH relativeFrom="column">
              <wp:posOffset>398145</wp:posOffset>
            </wp:positionH>
            <wp:positionV relativeFrom="paragraph">
              <wp:posOffset>33020</wp:posOffset>
            </wp:positionV>
            <wp:extent cx="4572000" cy="2743200"/>
            <wp:effectExtent l="4445" t="4445" r="14605" b="14605"/>
            <wp:wrapSquare wrapText="bothSides"/>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line="580" w:lineRule="exact"/>
        <w:ind w:firstLine="420" w:firstLineChars="200"/>
        <w:rPr>
          <w:rFonts w:ascii="仿宋_GB2312" w:eastAsia="仿宋_GB2312" w:cs="DengXian-Regular"/>
          <w:sz w:val="32"/>
          <w:szCs w:val="32"/>
          <w:highlight w:val="yellow"/>
        </w:rPr>
      </w:pPr>
      <w:r>
        <w:pict>
          <v:group id="_x0000_s1131" o:spid="_x0000_s1131" o:spt="203" style="position:absolute;left:0pt;margin-left:45.95pt;margin-top:0.4pt;height:208.2pt;width:343.1pt;z-index:-251633664;mso-width-relative:page;mso-height-relative:page;" coordorigin="5233,225704" coordsize="6344,-44476409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132"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3" o:title=""/>
              <o:lock v:ext="edit" aspectratio="t"/>
            </v:shape>
            <v:shape id="文本框 28" o:spid="_x0000_s1133" o:spt="202" type="#_x0000_t202" style="position:absolute;left:5233;top:228834;height:720;width:6345;" fillcolor="#FFFFFF"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420" w:firstLineChars="200"/>
        <w:rPr>
          <w:rFonts w:hint="eastAsia" w:ascii="仿宋_GB2312" w:eastAsia="仿宋_GB2312" w:cs="DengXian-Regular"/>
          <w:sz w:val="32"/>
          <w:szCs w:val="32"/>
        </w:rPr>
      </w:pPr>
      <w:r>
        <w:drawing>
          <wp:anchor distT="0" distB="0" distL="114300" distR="114300" simplePos="0" relativeHeight="251672576" behindDoc="0" locked="0" layoutInCell="1" allowOverlap="1">
            <wp:simplePos x="0" y="0"/>
            <wp:positionH relativeFrom="column">
              <wp:posOffset>374650</wp:posOffset>
            </wp:positionH>
            <wp:positionV relativeFrom="paragraph">
              <wp:posOffset>1686560</wp:posOffset>
            </wp:positionV>
            <wp:extent cx="4572000" cy="2743200"/>
            <wp:effectExtent l="4445" t="4445" r="14605" b="14605"/>
            <wp:wrapSquare wrapText="bothSides"/>
            <wp:docPr id="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Pr>
          <w:rFonts w:hint="eastAsia" w:ascii="仿宋_GB2312" w:eastAsia="仿宋_GB2312" w:cs="DengXian-Regular"/>
          <w:sz w:val="32"/>
          <w:szCs w:val="32"/>
        </w:rPr>
        <w:t>2018 年度财政拨款支出</w:t>
      </w:r>
      <w:r>
        <w:rPr>
          <w:rFonts w:ascii="仿宋_GB2312" w:eastAsia="仿宋_GB2312" w:cs="DengXian-Regular"/>
          <w:sz w:val="32"/>
          <w:szCs w:val="32"/>
        </w:rPr>
        <w:t>24867.47</w:t>
      </w:r>
      <w:r>
        <w:rPr>
          <w:rFonts w:hint="eastAsia" w:ascii="仿宋_GB2312" w:eastAsia="仿宋_GB2312" w:cs="DengXian-Regular"/>
          <w:sz w:val="32"/>
          <w:szCs w:val="32"/>
        </w:rPr>
        <w:t>万元，主要用于以下方面：教育（类）支出24837.15万元，占99.88%；文化体育与传媒支出12.33万元，占0.05%；城乡社区支出5.99万元，占0.02%；其他支出12万元，占0.05%。</w:t>
      </w:r>
    </w:p>
    <w:p>
      <w:pPr>
        <w:adjustRightInd w:val="0"/>
        <w:snapToGrid w:val="0"/>
        <w:spacing w:after="0" w:line="580" w:lineRule="exact"/>
        <w:ind w:firstLine="640" w:firstLineChars="200"/>
        <w:rPr>
          <w:rFonts w:hint="eastAsia" w:ascii="仿宋_GB2312" w:eastAsia="仿宋_GB2312" w:cs="DengXian-Regular"/>
          <w:sz w:val="32"/>
          <w:szCs w:val="32"/>
        </w:rPr>
      </w:pPr>
    </w:p>
    <w:p>
      <w:pPr>
        <w:adjustRightInd w:val="0"/>
        <w:snapToGrid w:val="0"/>
        <w:spacing w:after="0" w:line="580" w:lineRule="exact"/>
        <w:ind w:left="420" w:leftChars="200"/>
        <w:rPr>
          <w:rFonts w:hint="eastAsia" w:ascii="楷体_GB2312" w:eastAsia="楷体_GB2312" w:cs="DengXian-Bold"/>
          <w:b/>
          <w:bCs/>
          <w:sz w:val="32"/>
          <w:szCs w:val="32"/>
        </w:rPr>
      </w:pPr>
    </w:p>
    <w:p>
      <w:pPr>
        <w:adjustRightInd w:val="0"/>
        <w:snapToGrid w:val="0"/>
        <w:spacing w:after="0" w:line="580" w:lineRule="exact"/>
        <w:ind w:left="420" w:leftChars="200"/>
        <w:rPr>
          <w:rFonts w:hint="eastAsia" w:ascii="楷体_GB2312" w:eastAsia="楷体_GB2312" w:cs="DengXian-Bold"/>
          <w:b/>
          <w:bCs/>
          <w:sz w:val="32"/>
          <w:szCs w:val="32"/>
        </w:rPr>
      </w:pPr>
    </w:p>
    <w:p>
      <w:pPr>
        <w:adjustRightInd w:val="0"/>
        <w:snapToGrid w:val="0"/>
        <w:spacing w:after="0" w:line="580" w:lineRule="exact"/>
        <w:ind w:left="420" w:leftChars="200"/>
        <w:rPr>
          <w:rFonts w:hint="eastAsia"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74624;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v:rect id="矩形 13" o:spid="_x0000_s1054" o:spt="1" style="position:absolute;left:4551;top:52615;height:1175;width:8546;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年度一般公共预算财政拨款基本支出24730.62万元，其中：人员经费</w:t>
      </w:r>
      <w:r>
        <w:rPr>
          <w:rFonts w:ascii="仿宋_GB2312" w:eastAsia="仿宋_GB2312" w:cs="DengXian-Regular"/>
          <w:sz w:val="32"/>
          <w:szCs w:val="32"/>
        </w:rPr>
        <w:t>20536.26</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sz w:val="32"/>
          <w:szCs w:val="32"/>
        </w:rPr>
        <w:t>4194.36</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“三公”经费支出共计3.8万元，较年初预算减少0.61万元，降低13.83%，主要是认真贯彻落实中央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w:pict>
          <v:group id="_x0000_s1046" o:spid="_x0000_s1046" o:spt="203" style="position:absolute;left:0pt;margin-left:-0.55pt;margin-top:29.3pt;height:43.95pt;width:301.85pt;mso-position-horizontal-relative:page;mso-position-vertical-relative:page;z-index:251675648;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v:rect id="矩形 13" o:spid="_x0000_s1048" o:spt="1" style="position:absolute;left:4551;top:52615;height:1175;width:8546;v-text-anchor:middle;" fillcolor="#D9D9D9"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7"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本部门2018年度因公出国（境）团组0个、共0人/参加其他单位组织的因公出国（境）团组0个、共0人/无本单位组织的出国（境）团组。本年度未发生因公出国（境）费支出，与年初预算持平。</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3.5</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本部门2018年度公务用车购置及运行维护费较年初预算减少0万元，降低0%。</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8年度</w:t>
      </w:r>
      <w:r>
        <w:rPr>
          <w:rFonts w:hint="eastAsia" w:ascii="仿宋_GB2312" w:eastAsia="仿宋_GB2312" w:cs="DengXian-Regular"/>
          <w:color w:val="000000"/>
          <w:sz w:val="32"/>
          <w:szCs w:val="32"/>
        </w:rPr>
        <w:t>未发生“公务用车购置”经费支出，较年初预算无增减变化，较</w:t>
      </w:r>
      <w:r>
        <w:rPr>
          <w:rFonts w:ascii="仿宋_GB2312" w:eastAsia="仿宋_GB2312" w:cs="DengXian-Regular"/>
          <w:color w:val="000000"/>
          <w:sz w:val="32"/>
          <w:szCs w:val="32"/>
        </w:rPr>
        <w:t>201</w:t>
      </w:r>
      <w:r>
        <w:rPr>
          <w:rFonts w:hint="eastAsia" w:ascii="仿宋_GB2312" w:eastAsia="仿宋_GB2312" w:cs="DengXian-Regular"/>
          <w:color w:val="000000"/>
          <w:sz w:val="32"/>
          <w:szCs w:val="32"/>
        </w:rPr>
        <w:t>7年度决算无增减变化</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本部门2018年度单位公务用车保有量2辆。公车运行维护费支出3.5万元，与年初预算持平，主要是公车维护和使用费用。</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w:t>
      </w:r>
      <w:r>
        <w:rPr>
          <w:rFonts w:hint="eastAsia" w:ascii="宋体" w:hAnsi="宋体" w:cs="宋体"/>
          <w:b/>
          <w:bCs/>
          <w:sz w:val="32"/>
          <w:szCs w:val="32"/>
        </w:rPr>
        <w:t>.3</w:t>
      </w:r>
      <w:r>
        <w:rPr>
          <w:rFonts w:hint="eastAsia" w:ascii="楷体_GB2312" w:eastAsia="楷体_GB2312" w:cs="DengXian-Bold"/>
          <w:b/>
          <w:bCs/>
          <w:sz w:val="32"/>
          <w:szCs w:val="32"/>
        </w:rPr>
        <w:t>万元。</w:t>
      </w:r>
      <w:r>
        <w:rPr>
          <w:sz w:val="44"/>
        </w:rPr>
        <w:pict>
          <v:group id="_x0000_s1043" o:spid="_x0000_s1043" o:spt="203" style="position:absolute;left:0pt;margin-left:-0.55pt;margin-top:29.3pt;height:43.95pt;width:301.85pt;mso-position-horizontal-relative:page;mso-position-vertical-relative:page;z-index:251676672;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v:rect id="矩形 13" o:spid="_x0000_s1045" o:spt="1" style="position:absolute;left:4551;top:52615;height:1175;width:8546;v-text-anchor:middle;" fillcolor="#D9D9D9"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4"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本部门2018年度公务接待共5批次、70人次。公务接待费支出较年初预算减少0.6万元，降低67.03%,主要是减少公务接待次数。</w:t>
      </w: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clear" w:color="auto" w:fill="auto"/>
        </w:rPr>
        <w:t>绩效预算情况说明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（一）绩效管理工作开展情况，为全面推进预算绩效管理改革，提高财政资金使用效益，根据有关推进预算绩效管理改革的文件精神，我局以实现绩效目标为导向积极开展预算绩效管理工作：</w:t>
      </w:r>
      <w:r>
        <w:rPr>
          <w:rFonts w:ascii="仿宋_GB2312" w:eastAsia="仿宋_GB2312" w:cs="DengXian-Regular"/>
          <w:sz w:val="32"/>
          <w:szCs w:val="32"/>
        </w:rPr>
        <w:t>1</w:t>
      </w:r>
      <w:r>
        <w:rPr>
          <w:rFonts w:hint="eastAsia" w:ascii="仿宋_GB2312" w:eastAsia="仿宋_GB2312" w:cs="DengXian-Regular"/>
          <w:sz w:val="32"/>
          <w:szCs w:val="32"/>
        </w:rPr>
        <w:t>、基础工作。我局高度重视预算绩效管理工作，组织召开相关会议，明确科室和人员，制定预算绩效管理工作内部机制和实施细则，建立评价个性指标体系和整体支出绩效指标体系；同时，组织培训学习预算绩效管理业务。</w:t>
      </w:r>
      <w:r>
        <w:rPr>
          <w:rFonts w:ascii="仿宋_GB2312" w:eastAsia="仿宋_GB2312" w:cs="DengXian-Regular"/>
          <w:sz w:val="32"/>
          <w:szCs w:val="32"/>
        </w:rPr>
        <w:t>2</w:t>
      </w:r>
      <w:r>
        <w:rPr>
          <w:rFonts w:hint="eastAsia" w:ascii="仿宋_GB2312" w:eastAsia="仿宋_GB2312" w:cs="DengXian-Regular"/>
          <w:sz w:val="32"/>
          <w:szCs w:val="32"/>
        </w:rPr>
        <w:t>、绩效目标管理。严格按照相关规定编制绩效目标，开展</w:t>
      </w:r>
      <w:r>
        <w:rPr>
          <w:rFonts w:ascii="仿宋_GB2312" w:eastAsia="仿宋_GB2312" w:cs="DengXian-Regular"/>
          <w:sz w:val="32"/>
          <w:szCs w:val="32"/>
        </w:rPr>
        <w:t>201</w:t>
      </w:r>
      <w:r>
        <w:rPr>
          <w:rFonts w:hint="eastAsia" w:ascii="仿宋_GB2312" w:eastAsia="仿宋_GB2312" w:cs="DengXian-Regular"/>
          <w:sz w:val="32"/>
          <w:szCs w:val="32"/>
        </w:rPr>
        <w:t>8年度财政预算资金支出绩效运行跟踪监控，并在规定时间内报送资金运行跟踪监控情况报告。</w:t>
      </w:r>
      <w:r>
        <w:rPr>
          <w:rFonts w:ascii="仿宋_GB2312" w:eastAsia="仿宋_GB2312" w:cs="DengXian-Regular"/>
          <w:sz w:val="32"/>
          <w:szCs w:val="32"/>
        </w:rPr>
        <w:t>3</w:t>
      </w:r>
      <w:r>
        <w:rPr>
          <w:rFonts w:hint="eastAsia" w:ascii="仿宋_GB2312" w:eastAsia="仿宋_GB2312" w:cs="DengXian-Regular"/>
          <w:sz w:val="32"/>
          <w:szCs w:val="32"/>
        </w:rPr>
        <w:t>、绩效监控管理。根据相关要求开展预算绩效跟踪监控，确保项目支出绩效目标和财政资金支出绩效目标如期实现。</w:t>
      </w:r>
      <w:r>
        <w:rPr>
          <w:rFonts w:ascii="仿宋_GB2312" w:eastAsia="仿宋_GB2312" w:cs="DengXian-Regular"/>
          <w:sz w:val="32"/>
          <w:szCs w:val="32"/>
        </w:rPr>
        <w:t>4</w:t>
      </w:r>
      <w:r>
        <w:rPr>
          <w:rFonts w:hint="eastAsia" w:ascii="仿宋_GB2312" w:eastAsia="仿宋_GB2312" w:cs="DengXian-Regular"/>
          <w:sz w:val="32"/>
          <w:szCs w:val="32"/>
        </w:rPr>
        <w:t>、绩效评价管理。按照相关规定开展项目支出绩效自评，全面分析问题，提出建议。</w:t>
      </w:r>
      <w:r>
        <w:rPr>
          <w:rFonts w:ascii="仿宋_GB2312" w:eastAsia="仿宋_GB2312" w:cs="DengXian-Regular"/>
          <w:sz w:val="32"/>
          <w:szCs w:val="32"/>
        </w:rPr>
        <w:t>5</w:t>
      </w:r>
      <w:r>
        <w:rPr>
          <w:rFonts w:hint="eastAsia" w:ascii="仿宋_GB2312" w:eastAsia="仿宋_GB2312" w:cs="DengXian-Regular"/>
          <w:sz w:val="32"/>
          <w:szCs w:val="32"/>
        </w:rPr>
        <w:t>、评价结果应用。根据预算绩效管理工作的开展，实时监控管理各项目资金支出，提高各项目资金的使用效益。</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一是高度重视预算绩效评价工作，成立绩效评价小组，建立绩效评价指标体系，制定绩效评价方案，明确工作职能机构和人员，积极开展绩效自评工作。二是严格按照相关规定全面开展项目支出绩效评价工作，包括绩效目标的设定，资金投入和使用情况，制定的相关制度，绩效目标的实现程度和效果。三是根据预算绩效评价工作的开展，将反馈情况和落实整改情况报送有关单位。同时，评价结果与预算编制机构挂钩，并将评价结果作为考核依据，为下一年的工作奠定基础。根据预算绩效管理要求，本单位组织对2018年度一般公共预算项目支出全面开展绩效自评，涉及义务教育学校公用经费、校安工程、助学金等10余个项目，涉及资金5598万元。从评价情况看，评价结果为优秀的项目有8个，良好的项目有2个。</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60" w:lineRule="exact"/>
        <w:ind w:firstLine="640" w:firstLineChars="200"/>
        <w:rPr>
          <w:rFonts w:ascii="仿宋_GB2312" w:eastAsia="仿宋_GB2312" w:cs="DengXian-Regular"/>
          <w:sz w:val="32"/>
          <w:szCs w:val="32"/>
        </w:rPr>
      </w:pPr>
      <w:r>
        <w:rPr>
          <w:rFonts w:ascii="仿宋_GB2312" w:eastAsia="仿宋_GB2312" w:cs="DengXian-Regular"/>
          <w:sz w:val="32"/>
          <w:szCs w:val="32"/>
        </w:rPr>
        <w:t>201</w:t>
      </w:r>
      <w:r>
        <w:rPr>
          <w:rFonts w:hint="eastAsia" w:ascii="仿宋_GB2312" w:eastAsia="仿宋_GB2312" w:cs="DengXian-Regular"/>
          <w:sz w:val="32"/>
          <w:szCs w:val="32"/>
        </w:rPr>
        <w:t>8年教育局项目支出绩效自评报告</w:t>
      </w:r>
      <w:r>
        <w:rPr>
          <w:rFonts w:ascii="仿宋_GB2312" w:eastAsia="仿宋_GB2312" w:cs="DengXian-Regular"/>
          <w:sz w:val="32"/>
          <w:szCs w:val="32"/>
        </w:rPr>
        <w:t>——201</w:t>
      </w:r>
      <w:r>
        <w:rPr>
          <w:rFonts w:hint="eastAsia" w:ascii="仿宋_GB2312" w:eastAsia="仿宋_GB2312" w:cs="DengXian-Regular"/>
          <w:sz w:val="32"/>
          <w:szCs w:val="32"/>
        </w:rPr>
        <w:t>8年义务教育学校贫困寄宿生生活补助发放。</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一、项目概况：</w:t>
      </w:r>
      <w:r>
        <w:rPr>
          <w:rFonts w:ascii="仿宋_GB2312" w:eastAsia="仿宋_GB2312" w:cs="DengXian-Regular"/>
          <w:sz w:val="32"/>
          <w:szCs w:val="32"/>
        </w:rPr>
        <w:t>1</w:t>
      </w:r>
      <w:r>
        <w:rPr>
          <w:rFonts w:hint="eastAsia" w:ascii="仿宋_GB2312" w:eastAsia="仿宋_GB2312" w:cs="DengXian-Regular"/>
          <w:sz w:val="32"/>
          <w:szCs w:val="32"/>
        </w:rPr>
        <w:t>、基本情况为进一步减轻困难家庭经济负担，让中央惠民政策落到实处，广大学生家长得到实惠，改善学生生活水平，有助于提高学生的学习成绩，将对全县</w:t>
      </w:r>
      <w:r>
        <w:rPr>
          <w:rFonts w:ascii="仿宋_GB2312" w:eastAsia="仿宋_GB2312" w:cs="DengXian-Regular"/>
          <w:sz w:val="32"/>
          <w:szCs w:val="32"/>
        </w:rPr>
        <w:t>10</w:t>
      </w:r>
      <w:r>
        <w:rPr>
          <w:rFonts w:hint="eastAsia" w:ascii="仿宋_GB2312" w:eastAsia="仿宋_GB2312" w:cs="DengXian-Regular"/>
          <w:sz w:val="32"/>
          <w:szCs w:val="32"/>
        </w:rPr>
        <w:t>所寄宿制中小学校寄宿学生发放贫困寄宿生生活补助，资助比例为寄宿生总数的</w:t>
      </w:r>
      <w:r>
        <w:rPr>
          <w:rFonts w:ascii="仿宋_GB2312" w:eastAsia="仿宋_GB2312" w:cs="DengXian-Regular"/>
          <w:sz w:val="32"/>
          <w:szCs w:val="32"/>
        </w:rPr>
        <w:t>26%</w:t>
      </w:r>
      <w:r>
        <w:rPr>
          <w:rFonts w:hint="eastAsia" w:ascii="仿宋_GB2312" w:eastAsia="仿宋_GB2312" w:cs="DengXian-Regular"/>
          <w:sz w:val="32"/>
          <w:szCs w:val="32"/>
        </w:rPr>
        <w:t>。</w:t>
      </w:r>
      <w:r>
        <w:rPr>
          <w:rFonts w:ascii="仿宋_GB2312" w:eastAsia="仿宋_GB2312" w:cs="DengXian-Regular"/>
          <w:sz w:val="32"/>
          <w:szCs w:val="32"/>
        </w:rPr>
        <w:t>2</w:t>
      </w:r>
      <w:r>
        <w:rPr>
          <w:rFonts w:hint="eastAsia" w:ascii="仿宋_GB2312" w:eastAsia="仿宋_GB2312" w:cs="DengXian-Regular"/>
          <w:sz w:val="32"/>
          <w:szCs w:val="32"/>
        </w:rPr>
        <w:t>、绩效目标</w:t>
      </w:r>
      <w:r>
        <w:rPr>
          <w:rFonts w:ascii="仿宋_GB2312" w:eastAsia="仿宋_GB2312" w:cs="DengXian-Regular"/>
          <w:sz w:val="32"/>
          <w:szCs w:val="32"/>
        </w:rPr>
        <w:t xml:space="preserve"> 201</w:t>
      </w:r>
      <w:r>
        <w:rPr>
          <w:rFonts w:hint="eastAsia" w:ascii="仿宋_GB2312" w:eastAsia="仿宋_GB2312" w:cs="DengXian-Regular"/>
          <w:sz w:val="32"/>
          <w:szCs w:val="32"/>
        </w:rPr>
        <w:t>8年</w:t>
      </w:r>
      <w:r>
        <w:rPr>
          <w:rFonts w:ascii="仿宋_GB2312" w:eastAsia="仿宋_GB2312" w:cs="DengXian-Regular"/>
          <w:sz w:val="32"/>
          <w:szCs w:val="32"/>
        </w:rPr>
        <w:t>9</w:t>
      </w:r>
      <w:r>
        <w:rPr>
          <w:rFonts w:hint="eastAsia" w:ascii="仿宋_GB2312" w:eastAsia="仿宋_GB2312" w:cs="DengXian-Regular"/>
          <w:sz w:val="32"/>
          <w:szCs w:val="32"/>
        </w:rPr>
        <w:t>月开学后，学生进行申报，待学校审核完成，经公示无异议后统一将补助发放到每一位学生手中。</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二、项目资金申报及使用：待学生申报审核以及公示完成后，根据实际资助学生人数，我单位及时申请追加预算指标，经批复列入我局</w:t>
      </w:r>
      <w:r>
        <w:rPr>
          <w:rFonts w:ascii="仿宋_GB2312" w:eastAsia="仿宋_GB2312" w:cs="DengXian-Regular"/>
          <w:sz w:val="32"/>
          <w:szCs w:val="32"/>
        </w:rPr>
        <w:t>201</w:t>
      </w:r>
      <w:r>
        <w:rPr>
          <w:rFonts w:hint="eastAsia" w:ascii="仿宋_GB2312" w:eastAsia="仿宋_GB2312" w:cs="DengXian-Regular"/>
          <w:sz w:val="32"/>
          <w:szCs w:val="32"/>
        </w:rPr>
        <w:t>8年贫困寄宿生生活补助专项资金230万元。资金于</w:t>
      </w:r>
      <w:r>
        <w:rPr>
          <w:rFonts w:ascii="仿宋_GB2312" w:eastAsia="仿宋_GB2312" w:cs="DengXian-Regular"/>
          <w:sz w:val="32"/>
          <w:szCs w:val="32"/>
        </w:rPr>
        <w:t>201</w:t>
      </w:r>
      <w:r>
        <w:rPr>
          <w:rFonts w:hint="eastAsia" w:ascii="仿宋_GB2312" w:eastAsia="仿宋_GB2312" w:cs="DengXian-Regular"/>
          <w:sz w:val="32"/>
          <w:szCs w:val="32"/>
        </w:rPr>
        <w:t>8年</w:t>
      </w:r>
      <w:r>
        <w:rPr>
          <w:rFonts w:ascii="仿宋_GB2312" w:eastAsia="仿宋_GB2312" w:cs="DengXian-Regular"/>
          <w:sz w:val="32"/>
          <w:szCs w:val="32"/>
        </w:rPr>
        <w:t>1</w:t>
      </w:r>
      <w:r>
        <w:rPr>
          <w:rFonts w:hint="eastAsia" w:ascii="仿宋_GB2312" w:eastAsia="仿宋_GB2312" w:cs="DengXian-Regular"/>
          <w:sz w:val="32"/>
          <w:szCs w:val="32"/>
        </w:rPr>
        <w:t>1月底全部到位，到位率</w:t>
      </w:r>
      <w:r>
        <w:rPr>
          <w:rFonts w:ascii="仿宋_GB2312" w:eastAsia="仿宋_GB2312" w:cs="DengXian-Regular"/>
          <w:sz w:val="32"/>
          <w:szCs w:val="32"/>
        </w:rPr>
        <w:t>100%</w:t>
      </w:r>
      <w:r>
        <w:rPr>
          <w:rFonts w:hint="eastAsia" w:ascii="仿宋_GB2312" w:eastAsia="仿宋_GB2312" w:cs="DengXian-Regular"/>
          <w:sz w:val="32"/>
          <w:szCs w:val="32"/>
        </w:rPr>
        <w:t>。</w:t>
      </w:r>
      <w:r>
        <w:rPr>
          <w:rFonts w:hint="eastAsia" w:ascii="仿宋_GB2312" w:eastAsia="仿宋_GB2312" w:cs="DengXian-Regular"/>
          <w:sz w:val="32"/>
          <w:szCs w:val="32"/>
          <w:lang w:eastAsia="zh-CN"/>
        </w:rPr>
        <w:t>截至</w:t>
      </w:r>
      <w:r>
        <w:rPr>
          <w:rFonts w:ascii="仿宋_GB2312" w:eastAsia="仿宋_GB2312" w:cs="DengXian-Regular"/>
          <w:sz w:val="32"/>
          <w:szCs w:val="32"/>
        </w:rPr>
        <w:t>201</w:t>
      </w:r>
      <w:r>
        <w:rPr>
          <w:rFonts w:hint="eastAsia" w:ascii="仿宋_GB2312" w:eastAsia="仿宋_GB2312" w:cs="DengXian-Regular"/>
          <w:sz w:val="32"/>
          <w:szCs w:val="32"/>
        </w:rPr>
        <w:t>8年</w:t>
      </w:r>
      <w:r>
        <w:rPr>
          <w:rFonts w:ascii="仿宋_GB2312" w:eastAsia="仿宋_GB2312" w:cs="DengXian-Regular"/>
          <w:sz w:val="32"/>
          <w:szCs w:val="32"/>
        </w:rPr>
        <w:t>12</w:t>
      </w:r>
      <w:r>
        <w:rPr>
          <w:rFonts w:hint="eastAsia" w:ascii="仿宋_GB2312" w:eastAsia="仿宋_GB2312" w:cs="DengXian-Regular"/>
          <w:sz w:val="32"/>
          <w:szCs w:val="32"/>
        </w:rPr>
        <w:t>月贫困寄宿生生活补助共支出227.925万元（春季</w:t>
      </w:r>
      <w:r>
        <w:rPr>
          <w:rFonts w:ascii="仿宋_GB2312" w:eastAsia="仿宋_GB2312" w:cs="DengXian-Regular"/>
          <w:sz w:val="32"/>
          <w:szCs w:val="32"/>
        </w:rPr>
        <w:t>111.</w:t>
      </w:r>
      <w:r>
        <w:rPr>
          <w:rFonts w:hint="eastAsia" w:ascii="仿宋_GB2312" w:eastAsia="仿宋_GB2312" w:cs="DengXian-Regular"/>
          <w:sz w:val="32"/>
          <w:szCs w:val="32"/>
        </w:rPr>
        <w:t>25万元秋季116.675万元），年底结余2.075万元，资金全部发放给学生，资金支出合规合法与预预算一致。项目资金严格按照专项资金管理相关规定执行，做到专科专用、单独核算、会计核算规范。</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三、项目实施及管理情况：该项目由局领导负总则，分管领导具体负责，学校具体负责实施，局领导签批报账。</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四、目标完成情况：</w:t>
      </w:r>
      <w:r>
        <w:rPr>
          <w:rFonts w:hint="eastAsia" w:ascii="仿宋_GB2312" w:eastAsia="仿宋_GB2312" w:cs="DengXian-Regular"/>
          <w:sz w:val="32"/>
          <w:szCs w:val="32"/>
          <w:lang w:eastAsia="zh-CN"/>
        </w:rPr>
        <w:t>截至</w:t>
      </w:r>
      <w:bookmarkStart w:id="0" w:name="_GoBack"/>
      <w:bookmarkEnd w:id="0"/>
      <w:r>
        <w:rPr>
          <w:rFonts w:ascii="仿宋_GB2312" w:eastAsia="仿宋_GB2312" w:cs="DengXian-Regular"/>
          <w:sz w:val="32"/>
          <w:szCs w:val="32"/>
        </w:rPr>
        <w:t>201</w:t>
      </w:r>
      <w:r>
        <w:rPr>
          <w:rFonts w:hint="eastAsia" w:ascii="仿宋_GB2312" w:eastAsia="仿宋_GB2312" w:cs="DengXian-Regular"/>
          <w:sz w:val="32"/>
          <w:szCs w:val="32"/>
        </w:rPr>
        <w:t>8年</w:t>
      </w:r>
      <w:r>
        <w:rPr>
          <w:rFonts w:ascii="仿宋_GB2312" w:eastAsia="仿宋_GB2312" w:cs="DengXian-Regular"/>
          <w:sz w:val="32"/>
          <w:szCs w:val="32"/>
        </w:rPr>
        <w:t>12</w:t>
      </w:r>
      <w:r>
        <w:rPr>
          <w:rFonts w:hint="eastAsia" w:ascii="仿宋_GB2312" w:eastAsia="仿宋_GB2312" w:cs="DengXian-Regular"/>
          <w:sz w:val="32"/>
          <w:szCs w:val="32"/>
        </w:rPr>
        <w:t>月，春秋两季共资助义务教育学校贫困寄宿生3817人次，项目完成进度</w:t>
      </w:r>
      <w:r>
        <w:rPr>
          <w:rFonts w:ascii="仿宋_GB2312" w:eastAsia="仿宋_GB2312" w:cs="DengXian-Regular"/>
          <w:sz w:val="32"/>
          <w:szCs w:val="32"/>
        </w:rPr>
        <w:t>100%</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五、项目效果情况：落实中央惠民政策，减轻困难家庭经济负担，改善学生学习生活条件，提高了学生学习成绩，家长非常满意。</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六、评价结果：</w:t>
      </w:r>
      <w:r>
        <w:rPr>
          <w:rFonts w:ascii="仿宋_GB2312" w:eastAsia="仿宋_GB2312" w:cs="DengXian-Regular"/>
          <w:sz w:val="32"/>
          <w:szCs w:val="32"/>
        </w:rPr>
        <w:t>201</w:t>
      </w:r>
      <w:r>
        <w:rPr>
          <w:rFonts w:hint="eastAsia" w:ascii="仿宋_GB2312" w:eastAsia="仿宋_GB2312" w:cs="DengXian-Regular"/>
          <w:sz w:val="32"/>
          <w:szCs w:val="32"/>
        </w:rPr>
        <w:t>8年义务教育学校贫困寄宿生生活补助发放工作的顺利实施，项目管理规范、项目的实施减轻困难家庭经济负担，改善了寄宿生生活水平，促进了学习成绩的提高，项目自评得分</w:t>
      </w:r>
      <w:r>
        <w:rPr>
          <w:rFonts w:ascii="仿宋_GB2312" w:eastAsia="仿宋_GB2312" w:cs="DengXian-Regular"/>
          <w:sz w:val="32"/>
          <w:szCs w:val="32"/>
        </w:rPr>
        <w:t>100</w:t>
      </w:r>
      <w:r>
        <w:rPr>
          <w:rFonts w:hint="eastAsia" w:ascii="仿宋_GB2312" w:eastAsia="仿宋_GB2312" w:cs="DengXian-Regular"/>
          <w:sz w:val="32"/>
          <w:szCs w:val="32"/>
        </w:rPr>
        <w:t>分。</w:t>
      </w:r>
    </w:p>
    <w:p>
      <w:pPr>
        <w:adjustRightInd w:val="0"/>
        <w:snapToGrid w:val="0"/>
        <w:spacing w:after="0" w:line="500" w:lineRule="exact"/>
        <w:ind w:firstLine="640" w:firstLineChars="200"/>
        <w:rPr>
          <w:rFonts w:ascii="仿宋_GB2312" w:eastAsia="仿宋_GB2312" w:cs="DengXian-Regular"/>
          <w:sz w:val="32"/>
          <w:szCs w:val="32"/>
          <w:shd w:val="pct10" w:color="auto" w:fill="FFFFFF"/>
        </w:rPr>
      </w:pP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本部门2018年度机关运行经费支出0万元，与2018年度持平。主要原因是我单位为事业单位，没有机关运行经费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2辆，与上年持平。其中，副部（省）级及以上领导用车0辆，主要领导干部用车0辆，机要通信用车2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1、本部门2018年度国有资产经营无收支及结转结余情况，故公开</w:t>
      </w:r>
      <w:r>
        <w:rPr>
          <w:rFonts w:ascii="仿宋_GB2312" w:eastAsia="仿宋_GB2312" w:cs="DengXian-Regular"/>
          <w:sz w:val="32"/>
          <w:szCs w:val="32"/>
        </w:rPr>
        <w:t>0</w:t>
      </w:r>
      <w:r>
        <w:rPr>
          <w:rFonts w:hint="eastAsia" w:ascii="仿宋_GB2312" w:eastAsia="仿宋_GB2312" w:cs="DengXian-Regular"/>
          <w:sz w:val="32"/>
          <w:szCs w:val="32"/>
        </w:rPr>
        <w:t>9表以空表列示。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2、本部门2018年度政府采购无收支及结转结余情况，故公开10表以空表列示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3、由于决算公开表格中金额数值应当保留两位小数，公开数据为四舍五入计算结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77696;mso-width-relative:page;mso-height-relative:page;" coordorigin="4551,52615" coordsize="8546,1398203"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v:rect id="矩形 13" o:spid="_x0000_s1039" o:spt="1" style="position:absolute;left:4551;top:52615;height:1175;width:8546;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71552;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v:rect id="矩形 13" o:spid="_x0000_s1035" o:spt="1" style="position:absolute;left:4551;top:52615;height:1175;width:8546;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78720;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v:rect id="矩形 13" o:spid="_x0000_s1032" o:spt="1" style="position:absolute;left:4551;top:52615;height:1175;width:8546;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79744;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v:rect id="矩形 13" o:spid="_x0000_s1029" o:spt="1" style="position:absolute;left:4551;top:52615;height:1175;width:8546;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691E6A7-70E8-4670-8DD7-51081A1AF8B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462D0BC4-A65A-45BF-BF76-80499D6D1B42}"/>
  </w:font>
  <w:font w:name="楷体">
    <w:panose1 w:val="02010609060101010101"/>
    <w:charset w:val="86"/>
    <w:family w:val="modern"/>
    <w:pitch w:val="default"/>
    <w:sig w:usb0="800002BF" w:usb1="38CF7CFA" w:usb2="00000016" w:usb3="00000000" w:csb0="00040001" w:csb1="00000000"/>
    <w:embedRegular r:id="rId3" w:fontKey="{D1602688-7085-43F3-B9EC-539BA9EDBB70}"/>
  </w:font>
  <w:font w:name="楷体_GB2312">
    <w:panose1 w:val="02010609030101010101"/>
    <w:charset w:val="86"/>
    <w:family w:val="modern"/>
    <w:pitch w:val="default"/>
    <w:sig w:usb0="00000001" w:usb1="080E0000" w:usb2="00000000" w:usb3="00000000" w:csb0="00040000" w:csb1="00000000"/>
    <w:embedRegular r:id="rId4" w:fontKey="{523E16ED-4615-44D3-8096-74DDAD1ADCA2}"/>
  </w:font>
  <w:font w:name="仿宋_GB2312">
    <w:panose1 w:val="02010609030101010101"/>
    <w:charset w:val="86"/>
    <w:family w:val="modern"/>
    <w:pitch w:val="default"/>
    <w:sig w:usb0="00000001" w:usb1="080E0000" w:usb2="00000000" w:usb3="00000000" w:csb0="00040000" w:csb1="00000000"/>
    <w:embedRegular r:id="rId5" w:fontKey="{7BF94300-472C-4C7C-8752-EEF085FED748}"/>
  </w:font>
  <w:font w:name="ArialUnicodeMS">
    <w:altName w:val="Malgun Gothic"/>
    <w:panose1 w:val="00000000000000000000"/>
    <w:charset w:val="81"/>
    <w:family w:val="auto"/>
    <w:pitch w:val="default"/>
    <w:sig w:usb0="00000000" w:usb1="00000000" w:usb2="00000010" w:usb3="00000000" w:csb0="00080000" w:csb1="00000000"/>
    <w:embedRegular r:id="rId6" w:fontKey="{12503644-EE17-48EC-95EC-F71C1624DEDF}"/>
  </w:font>
  <w:font w:name="Malgun Gothic">
    <w:panose1 w:val="020B0503020000020004"/>
    <w:charset w:val="81"/>
    <w:family w:val="auto"/>
    <w:pitch w:val="default"/>
    <w:sig w:usb0="900002AF" w:usb1="01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7" w:fontKey="{621D65DF-DBFC-499E-85C4-D5B4C3363AEC}"/>
  </w:font>
  <w:font w:name="MS-UIGothic,Bold">
    <w:altName w:val="Malgun Gothic"/>
    <w:panose1 w:val="00000000000000000000"/>
    <w:charset w:val="81"/>
    <w:family w:val="auto"/>
    <w:pitch w:val="default"/>
    <w:sig w:usb0="00000000" w:usb1="00000000" w:usb2="00000010" w:usb3="00000000" w:csb0="00080000" w:csb1="00000000"/>
    <w:embedRegular r:id="rId8" w:fontKey="{DB08BEEB-FD71-44A2-B0B7-7F51A219B5E2}"/>
  </w:font>
  <w:font w:name="DengXian-Regular">
    <w:altName w:val="宋体"/>
    <w:panose1 w:val="00000000000000000000"/>
    <w:charset w:val="86"/>
    <w:family w:val="auto"/>
    <w:pitch w:val="default"/>
    <w:sig w:usb0="00000000" w:usb1="00000000" w:usb2="00000010" w:usb3="00000000" w:csb0="00040000" w:csb1="00000000"/>
    <w:embedRegular r:id="rId9" w:fontKey="{ABB70586-315A-4EB0-B7E5-946DF5FFC526}"/>
  </w:font>
  <w:font w:name="DengXian-Bold">
    <w:altName w:val="宋体"/>
    <w:panose1 w:val="00000000000000000000"/>
    <w:charset w:val="86"/>
    <w:family w:val="auto"/>
    <w:pitch w:val="default"/>
    <w:sig w:usb0="00000000" w:usb1="00000000" w:usb2="00000010" w:usb3="00000000" w:csb0="00040000" w:csb1="00000000"/>
    <w:embedRegular r:id="rId10" w:fontKey="{26319D52-9061-45BB-922D-FEDAE5D7FA71}"/>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96754"/>
    <w:rsid w:val="003B6C51"/>
    <w:rsid w:val="003C1413"/>
    <w:rsid w:val="003C549F"/>
    <w:rsid w:val="003D5A16"/>
    <w:rsid w:val="003E7DB3"/>
    <w:rsid w:val="003F7EC9"/>
    <w:rsid w:val="00413599"/>
    <w:rsid w:val="00431175"/>
    <w:rsid w:val="004774EA"/>
    <w:rsid w:val="004B6E37"/>
    <w:rsid w:val="004C32BA"/>
    <w:rsid w:val="004D5EC2"/>
    <w:rsid w:val="00575922"/>
    <w:rsid w:val="005A6C90"/>
    <w:rsid w:val="005E3FB0"/>
    <w:rsid w:val="005F4B66"/>
    <w:rsid w:val="005F5208"/>
    <w:rsid w:val="00641318"/>
    <w:rsid w:val="0064405D"/>
    <w:rsid w:val="00685302"/>
    <w:rsid w:val="00695557"/>
    <w:rsid w:val="006D4EA7"/>
    <w:rsid w:val="0070012A"/>
    <w:rsid w:val="0070664B"/>
    <w:rsid w:val="007071B8"/>
    <w:rsid w:val="00732EE0"/>
    <w:rsid w:val="007414DE"/>
    <w:rsid w:val="007905A9"/>
    <w:rsid w:val="007C5DC0"/>
    <w:rsid w:val="007E12B8"/>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4360F"/>
    <w:rsid w:val="00F679C7"/>
    <w:rsid w:val="00F7711A"/>
    <w:rsid w:val="00FA0D58"/>
    <w:rsid w:val="00FA56F4"/>
    <w:rsid w:val="00FB4EDA"/>
    <w:rsid w:val="00FD3BD5"/>
    <w:rsid w:val="00FE3DC8"/>
    <w:rsid w:val="04073F84"/>
    <w:rsid w:val="0B60750A"/>
    <w:rsid w:val="10686488"/>
    <w:rsid w:val="10DF728A"/>
    <w:rsid w:val="1264200E"/>
    <w:rsid w:val="141C5B77"/>
    <w:rsid w:val="18D8339D"/>
    <w:rsid w:val="1A21388F"/>
    <w:rsid w:val="1A570D2F"/>
    <w:rsid w:val="23DB2287"/>
    <w:rsid w:val="28FB0B8D"/>
    <w:rsid w:val="2A9870FC"/>
    <w:rsid w:val="2D2B7942"/>
    <w:rsid w:val="2D46481D"/>
    <w:rsid w:val="2D5854AC"/>
    <w:rsid w:val="2E733B28"/>
    <w:rsid w:val="31852B5A"/>
    <w:rsid w:val="32D01238"/>
    <w:rsid w:val="3DFC59A8"/>
    <w:rsid w:val="3ECF245E"/>
    <w:rsid w:val="3FB96314"/>
    <w:rsid w:val="48794674"/>
    <w:rsid w:val="4FA8716A"/>
    <w:rsid w:val="53A44FAF"/>
    <w:rsid w:val="566B009D"/>
    <w:rsid w:val="594329EC"/>
    <w:rsid w:val="5BEE1540"/>
    <w:rsid w:val="5DE61A5D"/>
    <w:rsid w:val="63C04243"/>
    <w:rsid w:val="649C01C7"/>
    <w:rsid w:val="699A3F60"/>
    <w:rsid w:val="72902E62"/>
    <w:rsid w:val="73C61104"/>
    <w:rsid w:val="76A958B6"/>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jpeg"/><Relationship Id="rId14" Type="http://schemas.openxmlformats.org/officeDocument/2006/relationships/chart" Target="charts/chart5.xml"/><Relationship Id="rId13" Type="http://schemas.openxmlformats.org/officeDocument/2006/relationships/image" Target="media/image4.png"/><Relationship Id="rId12" Type="http://schemas.openxmlformats.org/officeDocument/2006/relationships/chart" Target="charts/chart4.xml"/><Relationship Id="rId11" Type="http://schemas.openxmlformats.org/officeDocument/2006/relationships/image" Target="media/image3.png"/><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Lenovo\Desktop\&#20915;&#31639;.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Lenovo\Desktop\&#20915;&#31639;.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Lenovo\Desktop\&#20915;&#3163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Lbls>
            <c:delete val="1"/>
          </c:dLbls>
          <c:cat>
            <c:strRef>
              <c:f>Sheet1!$K$6:$K$12</c:f>
              <c:strCache>
                <c:ptCount val="7"/>
                <c:pt idx="0">
                  <c:v>一、财政拨款收入</c:v>
                </c:pt>
                <c:pt idx="1">
                  <c:v>　　其中：政府性基金预算财政拨款</c:v>
                </c:pt>
                <c:pt idx="2">
                  <c:v>二、上级补助收入</c:v>
                </c:pt>
                <c:pt idx="3">
                  <c:v>三、事业收入</c:v>
                </c:pt>
                <c:pt idx="4">
                  <c:v>四、经营收入</c:v>
                </c:pt>
                <c:pt idx="5">
                  <c:v>五、附属单位上缴收入</c:v>
                </c:pt>
                <c:pt idx="6">
                  <c:v>六、其他收入</c:v>
                </c:pt>
              </c:strCache>
            </c:strRef>
          </c:cat>
          <c:val>
            <c:numRef>
              <c:f>Sheet1!$L$6:$L$12</c:f>
              <c:numCache>
                <c:formatCode>#,##0.00</c:formatCode>
                <c:ptCount val="7"/>
                <c:pt idx="0">
                  <c:v>27927.37</c:v>
                </c:pt>
                <c:pt idx="1">
                  <c:v>17.99</c:v>
                </c:pt>
                <c:pt idx="2">
                  <c:v>0</c:v>
                </c:pt>
                <c:pt idx="3">
                  <c:v>0</c:v>
                </c:pt>
                <c:pt idx="4">
                  <c:v>0</c:v>
                </c:pt>
                <c:pt idx="5">
                  <c:v>0</c:v>
                </c:pt>
                <c:pt idx="6">
                  <c:v>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11"/>
          <c:dPt>
            <c:idx val="0"/>
            <c:bubble3D val="0"/>
            <c:explosion val="0"/>
          </c:dPt>
          <c:dPt>
            <c:idx val="1"/>
            <c:bubble3D val="0"/>
          </c:dPt>
          <c:dPt>
            <c:idx val="2"/>
            <c:bubble3D val="0"/>
          </c:dPt>
          <c:dLbls>
            <c:delete val="1"/>
          </c:dLbls>
          <c:cat>
            <c:strRef>
              <c:f>Sheet1!$H$7:$H$9</c:f>
              <c:strCache>
                <c:ptCount val="3"/>
                <c:pt idx="0">
                  <c:v>基本支出</c:v>
                </c:pt>
                <c:pt idx="1">
                  <c:v>项目支出</c:v>
                </c:pt>
                <c:pt idx="2">
                  <c:v>经营支出</c:v>
                </c:pt>
              </c:strCache>
            </c:strRef>
          </c:cat>
          <c:val>
            <c:numRef>
              <c:f>Sheet1!$I$7:$I$9</c:f>
              <c:numCache>
                <c:formatCode>#,##0.00</c:formatCode>
                <c:ptCount val="3"/>
                <c:pt idx="0">
                  <c:v>24748.61</c:v>
                </c:pt>
                <c:pt idx="1">
                  <c:v>118.86</c:v>
                </c:pt>
                <c:pt idx="2">
                  <c:v>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2017-2018</a:t>
            </a:r>
            <a:r>
              <a:rPr altLang="en-US"/>
              <a:t>年财政拨款收支情况</a:t>
            </a:r>
            <a:endParaRPr lang="en-US" altLang="zh-CN"/>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[决算.xls]Sheet10!$A$1:$A$4</c:f>
              <c:strCache>
                <c:ptCount val="4"/>
                <c:pt idx="0">
                  <c:v>2018年年收入</c:v>
                </c:pt>
                <c:pt idx="1">
                  <c:v>2017年年收入</c:v>
                </c:pt>
                <c:pt idx="2">
                  <c:v>2018年年支出</c:v>
                </c:pt>
                <c:pt idx="3">
                  <c:v>2017年年支出</c:v>
                </c:pt>
              </c:strCache>
            </c:strRef>
          </c:cat>
          <c:val>
            <c:numRef>
              <c:f>[决算.xls]Sheet10!$B$1:$B$4</c:f>
              <c:numCache>
                <c:formatCode>General</c:formatCode>
                <c:ptCount val="4"/>
                <c:pt idx="0">
                  <c:v>27927.37</c:v>
                </c:pt>
                <c:pt idx="1">
                  <c:v>24597.37</c:v>
                </c:pt>
                <c:pt idx="2">
                  <c:v>24867.47</c:v>
                </c:pt>
                <c:pt idx="3">
                  <c:v>24616.25</c:v>
                </c:pt>
              </c:numCache>
            </c:numRef>
          </c:val>
        </c:ser>
        <c:dLbls>
          <c:showLegendKey val="0"/>
          <c:showVal val="0"/>
          <c:showCatName val="0"/>
          <c:showSerName val="0"/>
          <c:showPercent val="0"/>
          <c:showBubbleSize val="0"/>
        </c:dLbls>
        <c:gapWidth val="219"/>
        <c:overlap val="-27"/>
        <c:axId val="735030856"/>
        <c:axId val="824306691"/>
      </c:barChart>
      <c:catAx>
        <c:axId val="7350308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4306691"/>
        <c:crosses val="autoZero"/>
        <c:auto val="1"/>
        <c:lblAlgn val="ctr"/>
        <c:lblOffset val="100"/>
        <c:noMultiLvlLbl val="0"/>
      </c:catAx>
      <c:valAx>
        <c:axId val="8243066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5030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altLang="en-US"/>
              <a:t>财政拨款收支预决算对比</a:t>
            </a:r>
            <a:endParaRPr lang="en-US" altLang="zh-CN"/>
          </a:p>
        </c:rich>
      </c:tx>
      <c:layout/>
      <c:overlay val="0"/>
      <c:spPr>
        <a:noFill/>
        <a:ln>
          <a:noFill/>
        </a:ln>
        <a:effectLst/>
      </c:spPr>
    </c:title>
    <c:autoTitleDeleted val="0"/>
    <c:plotArea>
      <c:layout>
        <c:manualLayout>
          <c:layoutTarget val="inner"/>
          <c:xMode val="edge"/>
          <c:yMode val="edge"/>
          <c:x val="0.132722222222222"/>
          <c:y val="0.192592592592593"/>
          <c:w val="0.863111111111111"/>
          <c:h val="0.71212962962963"/>
        </c:manualLayout>
      </c:layout>
      <c:barChart>
        <c:barDir val="col"/>
        <c:grouping val="clustered"/>
        <c:varyColors val="0"/>
        <c:ser>
          <c:idx val="0"/>
          <c:order val="0"/>
          <c:spPr>
            <a:solidFill>
              <a:schemeClr val="accent1"/>
            </a:solidFill>
            <a:ln>
              <a:noFill/>
            </a:ln>
            <a:effectLst/>
          </c:spPr>
          <c:invertIfNegative val="0"/>
          <c:dLbls>
            <c:delete val="1"/>
          </c:dLbls>
          <c:cat>
            <c:strRef>
              <c:f>[决算.xls]Sheet10!$A$1:$A$4</c:f>
              <c:strCache>
                <c:ptCount val="4"/>
                <c:pt idx="0">
                  <c:v>收入预算数</c:v>
                </c:pt>
                <c:pt idx="1">
                  <c:v>收入决算数</c:v>
                </c:pt>
                <c:pt idx="2">
                  <c:v>支出预算数</c:v>
                </c:pt>
                <c:pt idx="3">
                  <c:v>支出决算数</c:v>
                </c:pt>
              </c:strCache>
            </c:strRef>
          </c:cat>
          <c:val>
            <c:numRef>
              <c:f>[决算.xls]Sheet10!$B$1:$B$4</c:f>
              <c:numCache>
                <c:formatCode>General</c:formatCode>
                <c:ptCount val="4"/>
                <c:pt idx="0">
                  <c:v>27927.37</c:v>
                </c:pt>
                <c:pt idx="1">
                  <c:v>18165.84</c:v>
                </c:pt>
                <c:pt idx="2">
                  <c:v>24867.47</c:v>
                </c:pt>
                <c:pt idx="3">
                  <c:v>18165.84</c:v>
                </c:pt>
              </c:numCache>
            </c:numRef>
          </c:val>
        </c:ser>
        <c:dLbls>
          <c:showLegendKey val="0"/>
          <c:showVal val="0"/>
          <c:showCatName val="0"/>
          <c:showSerName val="0"/>
          <c:showPercent val="0"/>
          <c:showBubbleSize val="0"/>
        </c:dLbls>
        <c:gapWidth val="219"/>
        <c:overlap val="-27"/>
        <c:axId val="735030856"/>
        <c:axId val="824306691"/>
      </c:barChart>
      <c:catAx>
        <c:axId val="73503085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4306691"/>
        <c:crosses val="autoZero"/>
        <c:auto val="1"/>
        <c:lblAlgn val="ctr"/>
        <c:lblOffset val="100"/>
        <c:noMultiLvlLbl val="0"/>
      </c:catAx>
      <c:valAx>
        <c:axId val="8243066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50308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财政拨款支出结构</a:t>
            </a:r>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[决算.xls]Sheet7!$A$1:$A$4</c:f>
              <c:strCache>
                <c:ptCount val="4"/>
                <c:pt idx="0">
                  <c:v>教育（类）支出</c:v>
                </c:pt>
                <c:pt idx="1">
                  <c:v>文化体育与传媒支出</c:v>
                </c:pt>
                <c:pt idx="2">
                  <c:v>城乡社区支出</c:v>
                </c:pt>
                <c:pt idx="3">
                  <c:v>其他支出</c:v>
                </c:pt>
              </c:strCache>
            </c:strRef>
          </c:cat>
          <c:val>
            <c:numRef>
              <c:f>[决算.xls]Sheet7!$B$1:$B$4</c:f>
              <c:numCache>
                <c:formatCode>General</c:formatCode>
                <c:ptCount val="4"/>
                <c:pt idx="0">
                  <c:v>99.88</c:v>
                </c:pt>
                <c:pt idx="1">
                  <c:v>0.05</c:v>
                </c:pt>
                <c:pt idx="2">
                  <c:v>0.02</c:v>
                </c:pt>
                <c:pt idx="3">
                  <c:v>0.05</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126"/>
    <customShpInfo spid="_x0000_s1127"/>
    <customShpInfo spid="_x0000_s1125"/>
    <customShpInfo spid="_x0000_s1132"/>
    <customShpInfo spid="_x0000_s1133"/>
    <customShpInfo spid="_x0000_s1131"/>
    <customShpInfo spid="_x0000_s1054"/>
    <customShpInfo spid="_x0000_s1053"/>
    <customShpInfo spid="_x0000_s1052"/>
    <customShpInfo spid="_x0000_s1048"/>
    <customShpInfo spid="_x0000_s1047"/>
    <customShpInfo spid="_x0000_s1046"/>
    <customShpInfo spid="_x0000_s1045"/>
    <customShpInfo spid="_x0000_s1044"/>
    <customShpInfo spid="_x0000_s1043"/>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A65E7BDE-DE8D-4B1F-9303-30D3BA4219C7}">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38</Pages>
  <Words>2420</Words>
  <Characters>13795</Characters>
  <Lines>114</Lines>
  <Paragraphs>32</Paragraphs>
  <TotalTime>6</TotalTime>
  <ScaleCrop>false</ScaleCrop>
  <LinksUpToDate>false</LinksUpToDate>
  <CharactersWithSpaces>16183</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2024-09-12T00:42:36Z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2CC59A63BDF64375BA788AD3509C31A8</vt:lpwstr>
  </property>
</Properties>
</file>