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outlineLvl w:val="9"/>
        <w:rPr>
          <w:rFonts w:ascii="微软雅黑" w:hAnsi="微软雅黑" w:eastAsia="微软雅黑" w:cs="微软雅黑"/>
          <w:i w:val="0"/>
          <w:caps w:val="0"/>
          <w:color w:val="auto"/>
          <w:spacing w:val="0"/>
          <w:sz w:val="24"/>
          <w:szCs w:val="24"/>
        </w:rPr>
      </w:pPr>
      <w:r>
        <w:rPr>
          <w:rStyle w:val="5"/>
          <w:rFonts w:hint="eastAsia" w:ascii="宋体" w:hAnsi="宋体" w:eastAsia="宋体" w:cs="宋体"/>
          <w:i w:val="0"/>
          <w:caps w:val="0"/>
          <w:color w:val="auto"/>
          <w:spacing w:val="0"/>
          <w:sz w:val="44"/>
          <w:szCs w:val="44"/>
          <w:lang w:eastAsia="zh-CN"/>
        </w:rPr>
        <w:t>高邑县</w:t>
      </w:r>
      <w:r>
        <w:rPr>
          <w:rStyle w:val="5"/>
          <w:rFonts w:hint="eastAsia" w:ascii="宋体" w:hAnsi="宋体" w:eastAsia="宋体" w:cs="宋体"/>
          <w:i w:val="0"/>
          <w:caps w:val="0"/>
          <w:color w:val="auto"/>
          <w:spacing w:val="0"/>
          <w:sz w:val="44"/>
          <w:szCs w:val="44"/>
        </w:rPr>
        <w:t>教育局信息公开工作年度报告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both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  <w:r>
        <w:rPr>
          <w:rFonts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根据《中华人民共和国政府信息公开条例》的有关规定，现向社会公布20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20</w:t>
      </w:r>
      <w:r>
        <w:rPr>
          <w:rFonts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高邑县</w:t>
      </w:r>
      <w:r>
        <w:rPr>
          <w:rFonts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教育局政府信息公开工作年度报告。本报告由总体情况、主动公开政府信息情况、收到和处理政府信息公开申请情况、政府信息公开行政复议、行政诉讼情况、存在的主要问题及改进情况等组成。本报告中所列数据的统计时限自20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20</w:t>
      </w:r>
      <w:r>
        <w:rPr>
          <w:rFonts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年1月1日起至20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20</w:t>
      </w:r>
      <w:r>
        <w:rPr>
          <w:rFonts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年12月31日止。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</w:rPr>
        <w:t>一、总体情况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年，在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县委、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县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政府的正确领导下，我局认真落实《中华人民共和国政府信息公开条例》等文件制度要求，严格按照“公开为原则，不公开为例外</w:t>
      </w:r>
      <w:r>
        <w:rPr>
          <w:rFonts w:hint="eastAsia" w:ascii="宋体" w:hAnsi="宋体" w:eastAsia="宋体" w:cs="宋体"/>
          <w:i w:val="0"/>
          <w:caps w:val="0"/>
          <w:color w:val="000000"/>
          <w:spacing w:val="0"/>
          <w:sz w:val="32"/>
          <w:szCs w:val="32"/>
        </w:rPr>
        <w:t>”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的总体要求，合理界定信息公开范围。凡涉及人民群众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切身利益，涉及教育部门职能、业务事项的政府信息，除涉密信息外，均主动予以公开或依申请予以公开。对属于主动公开的政府信息和应公开的事项，按照规定的制度和程序，积极通过政府网站、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县融媒体等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予以公开，努力提高工作的透明度，确保权力在“阳光下”规范行使，切实保障人民群众的知情权和监督权。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both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年全年，我局公开各类信息共计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53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条，其中通过政府网站公开信息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条，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通过档案公开查阅点、媒体等其他方式公开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45条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。办理12345热线交办事项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269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件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，河北省阳光理政平台群众留言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5件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both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20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20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年度未发生针对本部门有关政府信息公开事务的行政复议案；未发生针对本部门有关政府信息公开事务的行政诉讼案。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</w:rPr>
        <w:t>　　二、主动公开政府信息情况</w:t>
      </w:r>
    </w:p>
    <w:tbl>
      <w:tblPr>
        <w:tblStyle w:val="3"/>
        <w:tblW w:w="814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20"/>
        <w:gridCol w:w="1875"/>
        <w:gridCol w:w="1275"/>
        <w:gridCol w:w="187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145" w:type="dxa"/>
            <w:gridSpan w:val="4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第二十条第（一）项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本年新</w:t>
            </w: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000000"/>
                <w:spacing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制作数量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本年新</w:t>
            </w:r>
            <w:r>
              <w:rPr>
                <w:rFonts w:hint="eastAsia" w:ascii="微软雅黑" w:hAnsi="微软雅黑" w:eastAsia="微软雅黑" w:cs="微软雅黑"/>
                <w:i w:val="0"/>
                <w:caps w:val="0"/>
                <w:color w:val="000000"/>
                <w:spacing w:val="0"/>
                <w:sz w:val="24"/>
                <w:szCs w:val="24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公开数量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对外公开总数量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规章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规范性文件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145" w:type="dxa"/>
            <w:gridSpan w:val="4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第二十条第（五）项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上一年项目数量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本年增/减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处理决定数量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行政许可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其他对外管理服务事项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145" w:type="dxa"/>
            <w:gridSpan w:val="4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第二十条第（六）项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上一年项目数量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本年增/减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处理决定数量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行政处罚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行政强制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145" w:type="dxa"/>
            <w:gridSpan w:val="4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第二十条第（八）项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上一年项目数量</w:t>
            </w:r>
          </w:p>
        </w:tc>
        <w:tc>
          <w:tcPr>
            <w:tcW w:w="3150" w:type="dxa"/>
            <w:gridSpan w:val="2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本年增/减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行政事业性收费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3150" w:type="dxa"/>
            <w:gridSpan w:val="2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145" w:type="dxa"/>
            <w:gridSpan w:val="4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第二十条第（九）项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信息内容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采购项目数量</w:t>
            </w:r>
          </w:p>
        </w:tc>
        <w:tc>
          <w:tcPr>
            <w:tcW w:w="3150" w:type="dxa"/>
            <w:gridSpan w:val="2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采购总金额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120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</w:rPr>
              <w:t>政府集中采购</w:t>
            </w:r>
          </w:p>
        </w:tc>
        <w:tc>
          <w:tcPr>
            <w:tcW w:w="1875" w:type="dxa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3150" w:type="dxa"/>
            <w:gridSpan w:val="2"/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default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caps w:val="0"/>
                <w:color w:val="000000"/>
                <w:spacing w:val="0"/>
                <w:sz w:val="24"/>
                <w:szCs w:val="24"/>
                <w:lang w:val="en-US" w:eastAsia="zh-CN"/>
              </w:rPr>
              <w:t>37.5223万元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</w:rPr>
        <w:t>　　三、收到和处理政府信息公开申请情况</w:t>
      </w:r>
    </w:p>
    <w:tbl>
      <w:tblPr>
        <w:tblStyle w:val="3"/>
        <w:tblW w:w="9070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50"/>
        <w:gridCol w:w="1164"/>
        <w:gridCol w:w="1885"/>
        <w:gridCol w:w="772"/>
        <w:gridCol w:w="713"/>
        <w:gridCol w:w="713"/>
        <w:gridCol w:w="772"/>
        <w:gridCol w:w="905"/>
        <w:gridCol w:w="684"/>
        <w:gridCol w:w="612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899" w:type="dxa"/>
            <w:gridSpan w:val="3"/>
            <w:vMerge w:val="restar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（本列数据的勾稽关系为：第一项加第二项之和，等于第三项加第四项之和）</w:t>
            </w:r>
          </w:p>
        </w:tc>
        <w:tc>
          <w:tcPr>
            <w:tcW w:w="5171" w:type="dxa"/>
            <w:gridSpan w:val="7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申请人情况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899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772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自然人</w:t>
            </w:r>
          </w:p>
        </w:tc>
        <w:tc>
          <w:tcPr>
            <w:tcW w:w="3787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法人或其他组织</w:t>
            </w:r>
          </w:p>
        </w:tc>
        <w:tc>
          <w:tcPr>
            <w:tcW w:w="612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899" w:type="dxa"/>
            <w:gridSpan w:val="3"/>
            <w:vMerge w:val="continue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772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商业企业</w:t>
            </w: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科研机构</w:t>
            </w:r>
          </w:p>
        </w:tc>
        <w:tc>
          <w:tcPr>
            <w:tcW w:w="77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社会公益组织</w:t>
            </w:r>
          </w:p>
        </w:tc>
        <w:tc>
          <w:tcPr>
            <w:tcW w:w="90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法律服务机构</w:t>
            </w:r>
          </w:p>
        </w:tc>
        <w:tc>
          <w:tcPr>
            <w:tcW w:w="684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其他</w:t>
            </w:r>
          </w:p>
        </w:tc>
        <w:tc>
          <w:tcPr>
            <w:tcW w:w="612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899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一、本年新收政府信息公开申请数量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899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二、上年结转政府信息公开申请数量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三、本年度办理结果</w:t>
            </w:r>
          </w:p>
        </w:tc>
        <w:tc>
          <w:tcPr>
            <w:tcW w:w="3049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（一）予已公开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3049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（二）部分公开（区分处理的，只计这一情形，不计其他情形）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（三）不予公开</w:t>
            </w: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1.属于国家秘密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2.其他法律行政法规禁止公开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3.危及“三安全一稳定”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4.保护第三方合法权益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5.属于三类内部事务信息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6.属于四类过程性信息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7.属于行政执法案卷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8.属于行政查询事项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（四）无法提供</w:t>
            </w: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1.本机关不掌握相关政府信息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2.没有现成信息需要另行制作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3.补正后申请内容仍不明确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（五）不予处理</w:t>
            </w: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1.信访举报投诉类申请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2.重复申请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3.要求提供公开出版物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4.无正当理由大量反复申请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164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188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5.要求行政机关确认或重新出具已获取信息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3049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（六）其他处理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850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3049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（七）总计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899" w:type="dxa"/>
            <w:gridSpan w:val="3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四、结转下年度继续办理</w:t>
            </w: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77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905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84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  <w:tc>
          <w:tcPr>
            <w:tcW w:w="61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both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</w:rPr>
        <w:t>　　四、政府信息公开行政复议、行政诉讼情况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both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</w:p>
    <w:tbl>
      <w:tblPr>
        <w:tblStyle w:val="3"/>
        <w:tblW w:w="9672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2"/>
        <w:gridCol w:w="496"/>
        <w:gridCol w:w="682"/>
        <w:gridCol w:w="682"/>
        <w:gridCol w:w="682"/>
        <w:gridCol w:w="682"/>
        <w:gridCol w:w="682"/>
        <w:gridCol w:w="682"/>
        <w:gridCol w:w="682"/>
        <w:gridCol w:w="682"/>
        <w:gridCol w:w="682"/>
        <w:gridCol w:w="682"/>
        <w:gridCol w:w="682"/>
        <w:gridCol w:w="496"/>
        <w:gridCol w:w="49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3224" w:type="dxa"/>
            <w:gridSpan w:val="5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行政复议</w:t>
            </w:r>
          </w:p>
        </w:tc>
        <w:tc>
          <w:tcPr>
            <w:tcW w:w="6448" w:type="dxa"/>
            <w:gridSpan w:val="10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82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结果维持</w:t>
            </w:r>
          </w:p>
        </w:tc>
        <w:tc>
          <w:tcPr>
            <w:tcW w:w="496" w:type="dxa"/>
            <w:vMerge w:val="restart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结果纠正</w:t>
            </w:r>
          </w:p>
        </w:tc>
        <w:tc>
          <w:tcPr>
            <w:tcW w:w="682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其他结果</w:t>
            </w:r>
          </w:p>
        </w:tc>
        <w:tc>
          <w:tcPr>
            <w:tcW w:w="682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尚未审结</w:t>
            </w:r>
          </w:p>
        </w:tc>
        <w:tc>
          <w:tcPr>
            <w:tcW w:w="682" w:type="dxa"/>
            <w:vMerge w:val="restart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总计</w:t>
            </w:r>
          </w:p>
        </w:tc>
        <w:tc>
          <w:tcPr>
            <w:tcW w:w="341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未经复议直接起诉</w:t>
            </w:r>
          </w:p>
        </w:tc>
        <w:tc>
          <w:tcPr>
            <w:tcW w:w="3038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复议后起诉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9" w:hRule="atLeast"/>
          <w:jc w:val="center"/>
        </w:trPr>
        <w:tc>
          <w:tcPr>
            <w:tcW w:w="682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496" w:type="dxa"/>
            <w:vMerge w:val="continue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682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682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682" w:type="dxa"/>
            <w:vMerge w:val="continue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240" w:lineRule="auto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i w:val="0"/>
                <w:caps w:val="0"/>
                <w:color w:val="666666"/>
                <w:spacing w:val="0"/>
                <w:sz w:val="18"/>
                <w:szCs w:val="18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结果维持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结果纠正</w:t>
            </w:r>
          </w:p>
        </w:tc>
        <w:tc>
          <w:tcPr>
            <w:tcW w:w="68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其他结果</w:t>
            </w:r>
          </w:p>
        </w:tc>
        <w:tc>
          <w:tcPr>
            <w:tcW w:w="68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尚未审结</w:t>
            </w:r>
          </w:p>
        </w:tc>
        <w:tc>
          <w:tcPr>
            <w:tcW w:w="68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总计</w:t>
            </w:r>
          </w:p>
        </w:tc>
        <w:tc>
          <w:tcPr>
            <w:tcW w:w="68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结果维持</w:t>
            </w:r>
          </w:p>
        </w:tc>
        <w:tc>
          <w:tcPr>
            <w:tcW w:w="68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结果纠正</w:t>
            </w:r>
          </w:p>
        </w:tc>
        <w:tc>
          <w:tcPr>
            <w:tcW w:w="68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其他结果</w:t>
            </w:r>
          </w:p>
        </w:tc>
        <w:tc>
          <w:tcPr>
            <w:tcW w:w="49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尚未审结</w:t>
            </w:r>
          </w:p>
        </w:tc>
        <w:tc>
          <w:tcPr>
            <w:tcW w:w="496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82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49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68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49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  <w:tc>
          <w:tcPr>
            <w:tcW w:w="496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auto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40" w:lineRule="auto"/>
              <w:ind w:left="0" w:right="0" w:firstLine="0"/>
              <w:jc w:val="center"/>
              <w:textAlignment w:val="auto"/>
              <w:outlineLvl w:val="9"/>
              <w:rPr>
                <w:rFonts w:hint="eastAsia" w:ascii="微软雅黑" w:hAnsi="微软雅黑" w:eastAsia="微软雅黑" w:cs="微软雅黑"/>
                <w:color w:val="00000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000000"/>
                <w:spacing w:val="0"/>
                <w:sz w:val="24"/>
                <w:szCs w:val="24"/>
              </w:rPr>
              <w:t>0</w:t>
            </w:r>
          </w:p>
        </w:tc>
      </w:tr>
    </w:tbl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center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left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</w:rPr>
      </w:pPr>
      <w:r>
        <w:rPr>
          <w:rFonts w:hint="eastAsia" w:ascii="黑体" w:hAnsi="黑体" w:eastAsia="黑体" w:cs="黑体"/>
          <w:i w:val="0"/>
          <w:caps w:val="0"/>
          <w:color w:val="000000"/>
          <w:spacing w:val="0"/>
          <w:sz w:val="32"/>
          <w:szCs w:val="32"/>
        </w:rPr>
        <w:t>　　五、存在的主要问题及改进情况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我局政务公开工作虽然取得了一些成绩，但也存在一些不足之处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工作机制有待进一步健全完善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，人员素质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有待进一步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提升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。下一步工作中，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我们将进一步完善机制，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不断提升业务水平，积极创新政务公开和政务服务方式，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不断提高政务公开水平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right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eastAsia="zh-CN"/>
        </w:rPr>
        <w:t>高邑县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教育局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0"/>
        <w:jc w:val="right"/>
        <w:textAlignment w:val="auto"/>
        <w:outlineLvl w:val="9"/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</w:pPr>
      <w:r>
        <w:rPr>
          <w:rFonts w:hint="eastAsia" w:ascii="微软雅黑" w:hAnsi="微软雅黑" w:eastAsia="微软雅黑" w:cs="微软雅黑"/>
          <w:i w:val="0"/>
          <w:caps w:val="0"/>
          <w:color w:val="000000"/>
          <w:spacing w:val="0"/>
          <w:sz w:val="24"/>
          <w:szCs w:val="24"/>
        </w:rPr>
        <w:t>　　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  <w:lang w:val="en-US" w:eastAsia="zh-CN"/>
        </w:rPr>
        <w:t>21</w:t>
      </w:r>
      <w:r>
        <w:rPr>
          <w:rFonts w:hint="eastAsia" w:ascii="仿宋_GB2312" w:hAnsi="仿宋_GB2312" w:eastAsia="仿宋_GB2312" w:cs="仿宋_GB2312"/>
          <w:i w:val="0"/>
          <w:caps w:val="0"/>
          <w:color w:val="000000"/>
          <w:spacing w:val="0"/>
          <w:sz w:val="32"/>
          <w:szCs w:val="32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outlineLvl w:val="9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B32423"/>
    <w:rsid w:val="28EB772C"/>
    <w:rsid w:val="41B32423"/>
    <w:rsid w:val="56B66944"/>
    <w:rsid w:val="6BB603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44</TotalTime>
  <ScaleCrop>false</ScaleCrop>
  <LinksUpToDate>false</LinksUpToDate>
  <CharactersWithSpaces>0</CharactersWithSpaces>
  <Application>WPS Office_11.8.2.11500_F1E327BC-269C-435d-A152-05C5408002CA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2020-02-17T01:59:00Z</dcterms:created>
  <dc:creator>Leo</dc:creator>
  <cp:lastModifiedBy>Lenovo</cp:lastModifiedBy>
  <cp:lastPrinted>2020-02-17T02:24:00Z</cp:lastPrinted>
  <dcterms:modified xsi:type="dcterms:W3CDTF">2024-09-26T08:18:30Z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2052-11.8.2.11500</vt:lpwstr>
  </property>
  <property fmtid="{D5CDD505-2E9C-101B-9397-08002B2CF9AE}" pid="3" name="ICV">
    <vt:lpwstr>38317DCAF3BA4EE3B97361396A36FF57</vt:lpwstr>
  </property>
</Properties>
</file>