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20" w:lineRule="exact"/>
        <w:ind w:firstLine="883" w:firstLineChars="200"/>
        <w:jc w:val="center"/>
        <w:outlineLvl w:val="0"/>
        <w:rPr>
          <w:rFonts w:ascii="宋体" w:hAnsi="Times New Roman" w:eastAsia="宋体" w:cs="Times New Roman"/>
          <w:b/>
          <w:bCs/>
          <w:sz w:val="44"/>
          <w:szCs w:val="44"/>
        </w:rPr>
      </w:pPr>
      <w:r>
        <w:rPr>
          <w:rFonts w:hint="eastAsia" w:ascii="宋体" w:hAnsi="Times New Roman" w:eastAsia="宋体" w:cs="Times New Roman"/>
          <w:b/>
          <w:bCs/>
          <w:sz w:val="44"/>
          <w:szCs w:val="44"/>
        </w:rPr>
        <w:t>第三批（自主开发）耕地占补平衡项目</w:t>
      </w:r>
    </w:p>
    <w:p>
      <w:pPr>
        <w:spacing w:line="620" w:lineRule="exact"/>
        <w:ind w:firstLine="883" w:firstLineChars="200"/>
        <w:jc w:val="center"/>
        <w:outlineLvl w:val="0"/>
        <w:rPr>
          <w:rFonts w:ascii="华文楷体" w:hAnsi="Times New Roman" w:eastAsia="华文楷体" w:cs="Times New Roman"/>
          <w:sz w:val="44"/>
          <w:szCs w:val="44"/>
        </w:rPr>
      </w:pPr>
      <w:r>
        <w:rPr>
          <w:rFonts w:hint="eastAsia" w:ascii="宋体" w:hAnsi="Times New Roman" w:eastAsia="宋体" w:cs="Times New Roman"/>
          <w:b/>
          <w:bCs/>
          <w:sz w:val="44"/>
          <w:szCs w:val="44"/>
        </w:rPr>
        <w:t>（奖补项目）绩效评价报告</w:t>
      </w:r>
    </w:p>
    <w:p>
      <w:pPr>
        <w:spacing w:line="620" w:lineRule="exact"/>
        <w:ind w:firstLine="640" w:firstLineChars="200"/>
        <w:rPr>
          <w:rFonts w:ascii="仿宋" w:hAnsi="仿宋" w:eastAsia="仿宋" w:cs="仿宋"/>
          <w:sz w:val="32"/>
          <w:szCs w:val="32"/>
          <w:highlight w:val="yellow"/>
        </w:rPr>
      </w:pPr>
    </w:p>
    <w:p>
      <w:pPr>
        <w:spacing w:line="620" w:lineRule="exact"/>
        <w:ind w:firstLine="640" w:firstLineChars="200"/>
        <w:jc w:val="right"/>
        <w:rPr>
          <w:rFonts w:ascii="仿宋_GB2312" w:hAnsi="Times New Roman" w:eastAsia="仿宋_GB2312" w:cs="Times New Roman"/>
          <w:sz w:val="32"/>
          <w:szCs w:val="32"/>
        </w:rPr>
      </w:pPr>
      <w:r>
        <w:rPr>
          <w:rFonts w:hint="eastAsia" w:ascii="仿宋_GB2312" w:hAnsi="Times New Roman" w:eastAsia="仿宋_GB2312" w:cs="Times New Roman"/>
          <w:sz w:val="32"/>
          <w:szCs w:val="32"/>
        </w:rPr>
        <w:t>中基专审字[2020]第2079号</w:t>
      </w:r>
    </w:p>
    <w:p>
      <w:pPr>
        <w:spacing w:line="620" w:lineRule="exact"/>
        <w:ind w:firstLine="640" w:firstLineChars="200"/>
        <w:rPr>
          <w:rFonts w:ascii="仿宋_GB2312" w:hAnsi="Times New Roman" w:eastAsia="仿宋_GB2312" w:cs="Times New Roman"/>
          <w:sz w:val="32"/>
          <w:szCs w:val="32"/>
          <w:highlight w:val="yellow"/>
        </w:rPr>
      </w:pPr>
    </w:p>
    <w:p>
      <w:pPr>
        <w:adjustRightInd w:val="0"/>
        <w:snapToGrid w:val="0"/>
        <w:spacing w:line="620" w:lineRule="exact"/>
        <w:ind w:firstLine="640" w:firstLineChars="200"/>
        <w:rPr>
          <w:rFonts w:ascii="仿宋_GB2312" w:hAnsi="Times New Roman" w:eastAsia="仿宋_GB2312" w:cs="Times New Roman"/>
          <w:sz w:val="32"/>
          <w:szCs w:val="32"/>
          <w:highlight w:val="yellow"/>
        </w:rPr>
      </w:pPr>
      <w:r>
        <w:rPr>
          <w:rFonts w:hint="eastAsia" w:ascii="仿宋_GB2312" w:hAnsi="Times New Roman" w:eastAsia="仿宋_GB2312" w:cs="Times New Roman"/>
          <w:sz w:val="32"/>
          <w:szCs w:val="32"/>
        </w:rPr>
        <w:t>【摘要】</w:t>
      </w:r>
      <w:bookmarkStart w:id="3" w:name="_GoBack"/>
      <w:bookmarkEnd w:id="3"/>
      <w:r>
        <w:rPr>
          <w:rFonts w:hint="eastAsia" w:ascii="仿宋_GB2312" w:hAnsi="Times New Roman" w:eastAsia="仿宋_GB2312" w:cs="Times New Roman"/>
          <w:sz w:val="32"/>
          <w:szCs w:val="32"/>
        </w:rPr>
        <w:t>按照省财政厅关于组织开展政府投资基金、地方政府债务或PPP项目绩效评价的要求，石家庄中基会计师事务所（普通合伙）受高邑县财政局委托对第三批（自主开发）耕地占补平衡项目（奖补项目）开展绩效评价工作。绩效评价内容涉及投入、过程、产出、效果四个方面，具体包括项目立项、资金落实、业务管理、财务管理、项目产出、项目效益共6个二级指标、22个三级指标。</w:t>
      </w:r>
    </w:p>
    <w:p>
      <w:pPr>
        <w:adjustRightInd w:val="0"/>
        <w:snapToGrid w:val="0"/>
        <w:spacing w:line="620" w:lineRule="exact"/>
        <w:ind w:firstLine="640" w:firstLineChars="200"/>
        <w:rPr>
          <w:rFonts w:ascii="仿宋_GB2312" w:hAnsi="Times New Roman" w:eastAsia="仿宋_GB2312" w:cs="Times New Roman"/>
          <w:sz w:val="32"/>
          <w:szCs w:val="32"/>
          <w:highlight w:val="yellow"/>
        </w:rPr>
      </w:pPr>
      <w:r>
        <w:rPr>
          <w:rFonts w:hint="eastAsia" w:ascii="仿宋_GB2312" w:hAnsi="Times New Roman" w:eastAsia="仿宋_GB2312" w:cs="Times New Roman"/>
          <w:sz w:val="32"/>
          <w:szCs w:val="32"/>
        </w:rPr>
        <w:t>本次绩效评价第三批（自主开发）耕地占补平衡项目（奖补项目），财政预算资金共13.33万元。主要采取查阅资料、现场调研、走访调查等方式方法，具体组织实施。总体来看，此项目财政预算资金管理使用综合绩效较好，但仍存在一些问题。</w:t>
      </w:r>
    </w:p>
    <w:p>
      <w:pPr>
        <w:adjustRightInd w:val="0"/>
        <w:snapToGrid w:val="0"/>
        <w:spacing w:line="620" w:lineRule="exact"/>
        <w:ind w:firstLine="640" w:firstLineChars="200"/>
        <w:rPr>
          <w:rFonts w:ascii="仿宋_GB2312" w:hAnsi="Times New Roman" w:eastAsia="仿宋_GB2312" w:cs="Times New Roman"/>
          <w:sz w:val="32"/>
          <w:szCs w:val="32"/>
          <w:highlight w:val="yellow"/>
        </w:rPr>
      </w:pPr>
    </w:p>
    <w:p>
      <w:pPr>
        <w:adjustRightInd w:val="0"/>
        <w:snapToGrid w:val="0"/>
        <w:spacing w:line="620" w:lineRule="exact"/>
        <w:ind w:firstLine="640" w:firstLineChars="200"/>
        <w:rPr>
          <w:rFonts w:ascii="仿宋_GB2312" w:hAnsi="Times New Roman" w:eastAsia="仿宋_GB2312" w:cs="Times New Roman"/>
          <w:sz w:val="32"/>
          <w:szCs w:val="32"/>
          <w:highlight w:val="yellow"/>
        </w:rPr>
      </w:pPr>
    </w:p>
    <w:p>
      <w:pPr>
        <w:adjustRightInd w:val="0"/>
        <w:snapToGrid w:val="0"/>
        <w:spacing w:line="620" w:lineRule="exact"/>
        <w:ind w:firstLine="640" w:firstLineChars="200"/>
        <w:rPr>
          <w:rFonts w:ascii="仿宋_GB2312" w:hAnsi="Times New Roman" w:eastAsia="仿宋_GB2312" w:cs="Times New Roman"/>
          <w:sz w:val="32"/>
          <w:szCs w:val="32"/>
          <w:highlight w:val="yellow"/>
        </w:rPr>
      </w:pPr>
    </w:p>
    <w:p>
      <w:pPr>
        <w:adjustRightInd w:val="0"/>
        <w:snapToGrid w:val="0"/>
        <w:spacing w:line="620" w:lineRule="exact"/>
        <w:ind w:firstLine="640" w:firstLineChars="200"/>
        <w:rPr>
          <w:rFonts w:ascii="仿宋_GB2312" w:hAnsi="Times New Roman" w:eastAsia="仿宋_GB2312" w:cs="Times New Roman"/>
          <w:sz w:val="32"/>
          <w:szCs w:val="32"/>
          <w:highlight w:val="yellow"/>
        </w:rPr>
      </w:pPr>
    </w:p>
    <w:p>
      <w:pPr>
        <w:adjustRightInd w:val="0"/>
        <w:snapToGrid w:val="0"/>
        <w:spacing w:line="620" w:lineRule="exact"/>
        <w:ind w:firstLine="640" w:firstLineChars="200"/>
        <w:rPr>
          <w:rFonts w:ascii="仿宋_GB2312" w:hAnsi="Times New Roman" w:eastAsia="仿宋_GB2312" w:cs="Times New Roman"/>
          <w:sz w:val="32"/>
          <w:szCs w:val="32"/>
          <w:highlight w:val="yellow"/>
        </w:rPr>
      </w:pPr>
    </w:p>
    <w:p>
      <w:pPr>
        <w:adjustRightInd w:val="0"/>
        <w:snapToGrid w:val="0"/>
        <w:spacing w:line="620" w:lineRule="exact"/>
        <w:ind w:firstLine="640" w:firstLineChars="200"/>
        <w:rPr>
          <w:rFonts w:ascii="仿宋_GB2312" w:hAnsi="Times New Roman" w:eastAsia="仿宋_GB2312" w:cs="Times New Roman"/>
          <w:sz w:val="32"/>
          <w:szCs w:val="32"/>
          <w:highlight w:val="yellow"/>
        </w:rPr>
      </w:pPr>
    </w:p>
    <w:p>
      <w:pPr>
        <w:adjustRightInd w:val="0"/>
        <w:snapToGrid w:val="0"/>
        <w:spacing w:line="620" w:lineRule="exact"/>
        <w:ind w:firstLine="640" w:firstLineChars="200"/>
        <w:rPr>
          <w:rFonts w:ascii="仿宋_GB2312" w:hAnsi="Times New Roman" w:eastAsia="仿宋_GB2312" w:cs="Times New Roman"/>
          <w:sz w:val="32"/>
          <w:szCs w:val="32"/>
          <w:highlight w:val="yellow"/>
        </w:rPr>
      </w:pP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正文】按照省财政厅关于组织开展政府投资基金、地方政府债务或PPP项目绩效评价的要求，着力提高财政预算支出资金绩效管理，推进高质量财政建设，石家庄中基会计师事务所（普通合伙）（以下简称“第三方机构”）受高邑县财政局委托对第三批（自主开发）耕地占补平衡项目（奖补项目）（以下简称“项目”）进行了绩效评价。现将有关情况报告如下：</w:t>
      </w:r>
    </w:p>
    <w:p>
      <w:pPr>
        <w:adjustRightInd w:val="0"/>
        <w:snapToGrid w:val="0"/>
        <w:spacing w:line="620" w:lineRule="exact"/>
        <w:ind w:firstLine="640" w:firstLineChars="200"/>
        <w:outlineLvl w:val="0"/>
        <w:rPr>
          <w:rFonts w:ascii="黑体" w:hAnsi="Times New Roman" w:eastAsia="黑体" w:cs="Times New Roman"/>
          <w:b/>
          <w:bCs/>
          <w:sz w:val="32"/>
          <w:szCs w:val="36"/>
        </w:rPr>
      </w:pPr>
      <w:r>
        <w:rPr>
          <w:rFonts w:hint="eastAsia" w:ascii="黑体" w:hAnsi="Times New Roman" w:eastAsia="黑体" w:cs="Times New Roman"/>
          <w:sz w:val="32"/>
          <w:szCs w:val="32"/>
        </w:rPr>
        <w:t xml:space="preserve"> 一、项目</w:t>
      </w:r>
      <w:r>
        <w:rPr>
          <w:rFonts w:hint="eastAsia" w:ascii="黑体" w:hAnsi="Times New Roman" w:eastAsia="黑体" w:cs="Times New Roman"/>
          <w:sz w:val="32"/>
          <w:szCs w:val="36"/>
        </w:rPr>
        <w:t>基本情况</w:t>
      </w:r>
    </w:p>
    <w:p>
      <w:pPr>
        <w:adjustRightInd w:val="0"/>
        <w:snapToGrid w:val="0"/>
        <w:spacing w:line="620" w:lineRule="exact"/>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adjustRightInd w:val="0"/>
        <w:snapToGrid w:val="0"/>
        <w:spacing w:line="620" w:lineRule="exact"/>
        <w:ind w:firstLine="643" w:firstLineChars="200"/>
        <w:outlineLvl w:val="2"/>
        <w:rPr>
          <w:rFonts w:ascii="仿宋_GB2312" w:hAnsi="Times New Roman" w:eastAsia="仿宋_GB2312" w:cs="Times New Roman"/>
          <w:b/>
          <w:bCs/>
          <w:sz w:val="32"/>
          <w:szCs w:val="32"/>
        </w:rPr>
      </w:pPr>
      <w:r>
        <w:rPr>
          <w:rFonts w:hint="eastAsia" w:ascii="仿宋_GB2312" w:hAnsi="Times New Roman" w:eastAsia="仿宋_GB2312" w:cs="Times New Roman"/>
          <w:b/>
          <w:bCs/>
          <w:sz w:val="32"/>
          <w:szCs w:val="32"/>
        </w:rPr>
        <w:t>1.项目实施单位及项目背景情况</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（1）项目实施单位情况：高邑县自然资源和规划局（以下简称“自然资源和规划局”）为项目承办单位，保证项目顺利实施。</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2）项目背景情况：根据石家庄市委、市政府《关于加强和改进耕地占补平衡管理的实施意见》（石字【2018】26号）和石家庄市国土资源局《关于开展自行开垦新增耕地地块核查评定和耕地质量改造提升工作的通知》及县政府批复要求，高邑县对“第三批（自主开发）耕地占补平衡项目（奖补项目）”项目施工，以竞争性方式确定施工企业，高邑县人民政府（高政函【2019】27号）文件对“第三批（自主开发）耕地占补平衡项目（奖补项目）”确定施工单位、施工金额等事宜进行了批复。确定此项目的施工单位由河北达旭建筑工程有限公司负责。</w:t>
      </w:r>
    </w:p>
    <w:p>
      <w:pPr>
        <w:adjustRightInd w:val="0"/>
        <w:snapToGrid w:val="0"/>
        <w:spacing w:line="620" w:lineRule="exact"/>
        <w:ind w:firstLine="643" w:firstLineChars="200"/>
        <w:outlineLvl w:val="2"/>
        <w:rPr>
          <w:rFonts w:ascii="仿宋_GB2312" w:hAnsi="Times New Roman" w:eastAsia="仿宋_GB2312" w:cs="Times New Roman"/>
          <w:b/>
          <w:bCs/>
          <w:sz w:val="32"/>
          <w:szCs w:val="32"/>
        </w:rPr>
      </w:pPr>
      <w:r>
        <w:rPr>
          <w:rFonts w:hint="eastAsia" w:ascii="仿宋_GB2312" w:hAnsi="Times New Roman" w:eastAsia="仿宋_GB2312" w:cs="Times New Roman"/>
          <w:b/>
          <w:bCs/>
          <w:sz w:val="32"/>
          <w:szCs w:val="32"/>
        </w:rPr>
        <w:t>2.项目主要实施内容和范围</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高邑县第三批自行开垦新增耕地地块位于南塔营村、王家村、后庄头村，新增耕地1.7527 公顷，在第二次土地调查图及其后所有年度土地变更调查图上显示为内陆滩涂和裸地，且符合《高邑县土地整治规划（2011-2020 年）》。新增耕地地块均为村集体自行开垦，工程设施完好，耕作层厚度不低于 30 厘米，坡度小于 5 度，地类为水浇地，灌溉保证率达到了充分满足条件。</w:t>
      </w:r>
    </w:p>
    <w:p>
      <w:pPr>
        <w:adjustRightInd w:val="0"/>
        <w:snapToGrid w:val="0"/>
        <w:spacing w:line="620" w:lineRule="exact"/>
        <w:ind w:firstLine="643" w:firstLineChars="200"/>
        <w:outlineLvl w:val="2"/>
        <w:rPr>
          <w:rFonts w:ascii="仿宋_GB2312" w:hAnsi="Times New Roman" w:eastAsia="仿宋_GB2312" w:cs="Times New Roman"/>
          <w:b/>
          <w:bCs/>
          <w:sz w:val="32"/>
          <w:szCs w:val="32"/>
        </w:rPr>
      </w:pPr>
      <w:r>
        <w:rPr>
          <w:rFonts w:hint="eastAsia" w:ascii="仿宋_GB2312" w:hAnsi="Times New Roman" w:eastAsia="仿宋_GB2312" w:cs="Times New Roman"/>
          <w:b/>
          <w:bCs/>
          <w:sz w:val="32"/>
          <w:szCs w:val="32"/>
        </w:rPr>
        <w:t>3.项目资金使用情况</w:t>
      </w:r>
    </w:p>
    <w:p>
      <w:pPr>
        <w:adjustRightInd w:val="0"/>
        <w:snapToGrid w:val="0"/>
        <w:spacing w:line="620" w:lineRule="exact"/>
        <w:ind w:firstLine="640" w:firstLineChars="200"/>
        <w:outlineLvl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经查看高邑县国土资源局《关于“高邑县自主开发耕地占补平衡项目（奖补项目）”和“高邑县第三批（自主开发）耕地占补平衡项目（奖补项目）”立项及项目实施办法的请示》（高国土〔2018〕11号），项目预算投资13.33万元，全部为财政资金。2019年6月19日，高邑县人民政府对此请示做出批复，其中表明项目奖补金额不得超过13.33万元，最终以县审计决算的金额，作为奖补金额。2019年7月18日项目结算审核报告，项目审定金额11.951万元。</w:t>
      </w:r>
    </w:p>
    <w:p>
      <w:pPr>
        <w:adjustRightInd w:val="0"/>
        <w:snapToGrid w:val="0"/>
        <w:spacing w:line="620" w:lineRule="exact"/>
        <w:ind w:firstLine="640" w:firstLineChars="200"/>
        <w:outlineLvl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2019年9月，高邑县财政局授权自然资源和规划局项目资金11.951万元。</w:t>
      </w:r>
    </w:p>
    <w:p>
      <w:pPr>
        <w:adjustRightInd w:val="0"/>
        <w:snapToGrid w:val="0"/>
        <w:spacing w:line="620" w:lineRule="exact"/>
        <w:ind w:firstLine="640" w:firstLineChars="200"/>
        <w:outlineLvl w:val="2"/>
        <w:rPr>
          <w:rFonts w:ascii="仿宋_GB2312" w:hAnsi="Times New Roman" w:eastAsia="仿宋_GB2312" w:cs="Times New Roman"/>
          <w:sz w:val="32"/>
          <w:szCs w:val="32"/>
        </w:rPr>
      </w:pPr>
      <w:r>
        <w:rPr>
          <w:rFonts w:hint="eastAsia" w:ascii="仿宋_GB2312" w:hAnsi="Times New Roman" w:eastAsia="仿宋_GB2312" w:cs="Times New Roman"/>
          <w:sz w:val="32"/>
          <w:szCs w:val="32"/>
        </w:rPr>
        <w:t>截至2020年4月21日，自然资源和规划局累计拨付项目资金11.951万元，其中：工程款9万元、竣工图测量及耕地质量重估费0.2919万元、造价咨询费</w:t>
      </w:r>
      <w:r>
        <w:rPr>
          <w:rFonts w:ascii="仿宋_GB2312" w:hAnsi="Times New Roman" w:eastAsia="仿宋_GB2312" w:cs="Times New Roman"/>
          <w:sz w:val="32"/>
          <w:szCs w:val="32"/>
        </w:rPr>
        <w:t>1</w:t>
      </w:r>
      <w:r>
        <w:rPr>
          <w:rFonts w:hint="eastAsia" w:ascii="仿宋_GB2312" w:hAnsi="Times New Roman" w:eastAsia="仿宋_GB2312" w:cs="Times New Roman"/>
          <w:sz w:val="32"/>
          <w:szCs w:val="32"/>
        </w:rPr>
        <w:t>万元、设计组卷费0.923万元、工程复核费0.1858万元、设计与预算编制费0.252万元、技术服务费0.2983万元。</w:t>
      </w:r>
    </w:p>
    <w:p>
      <w:pPr>
        <w:adjustRightInd w:val="0"/>
        <w:snapToGrid w:val="0"/>
        <w:spacing w:line="620" w:lineRule="exact"/>
        <w:ind w:firstLine="643" w:firstLineChars="200"/>
        <w:outlineLvl w:val="0"/>
        <w:rPr>
          <w:rFonts w:ascii="黑体" w:hAnsi="黑体" w:eastAsia="黑体" w:cs="黑体"/>
          <w:b/>
          <w:bCs/>
          <w:sz w:val="32"/>
          <w:szCs w:val="32"/>
        </w:rPr>
      </w:pPr>
      <w:r>
        <w:rPr>
          <w:rFonts w:hint="eastAsia" w:ascii="黑体" w:hAnsi="黑体" w:eastAsia="黑体" w:cs="黑体"/>
          <w:b/>
          <w:bCs/>
          <w:sz w:val="32"/>
          <w:szCs w:val="32"/>
        </w:rPr>
        <w:t>二、绩效评价情况</w:t>
      </w:r>
    </w:p>
    <w:p>
      <w:pPr>
        <w:adjustRightInd w:val="0"/>
        <w:snapToGrid w:val="0"/>
        <w:spacing w:line="620" w:lineRule="exact"/>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（一）绩效评价的范围、目的和应用</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此次纳入绩效评价范围的资金包括：用于第三批（自主开发）耕地占补平衡项目（奖补项目）资金。</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此次绩效评价以“项目”为着眼点和着力点，评价内容主要包括“投入”、“过程”、“产出”和“效果”四个方面。涵盖项目立项、资金落实、业务管理、财务管理、项目产出、项目效益共6个二级指标、22个三级指标。</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评价目的主要是以绩效评价方式，调动有关部门加强资金管理的积极性，切实提高资金运行的规范性、安全性、效益性。为规范县级预算绩效重点评价工作，将绩效评价结果应用于预算安排、政策完善和改进管理方面，促进财政资金配置效率、使用效益和政府公共服务管理水平提升。</w:t>
      </w:r>
    </w:p>
    <w:p>
      <w:pPr>
        <w:adjustRightInd w:val="0"/>
        <w:snapToGrid w:val="0"/>
        <w:spacing w:line="62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（二）绩效评价指标体系</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根据省财政厅关于组织开展政府投资基金、地方政府债务或PPP项目绩效评价的要求，以财政预算资金绩效评价指标为基础，综合考虑本次绩效评价的特点，对原有指标进行了调整、补充，并合理赋予指标分值，明确具体评价标准，最终形成了《第三批（自主开发）耕地占补平衡项目（奖补项目）绩效评价指标表》。指标框架采用三级百分制，调整后的绩效评价指标由投入、过程、产出和效果四部分构成。具体包括：</w:t>
      </w:r>
    </w:p>
    <w:p>
      <w:pPr>
        <w:adjustRightInd w:val="0"/>
        <w:snapToGrid w:val="0"/>
        <w:spacing w:line="620" w:lineRule="exact"/>
        <w:ind w:firstLine="643" w:firstLineChars="200"/>
        <w:rPr>
          <w:rFonts w:ascii="仿宋_GB2312" w:hAnsi="Times New Roman" w:eastAsia="仿宋_GB2312" w:cs="Times New Roman"/>
          <w:sz w:val="32"/>
          <w:szCs w:val="32"/>
          <w:highlight w:val="yellow"/>
        </w:rPr>
      </w:pPr>
      <w:r>
        <w:rPr>
          <w:rFonts w:hint="eastAsia" w:ascii="仿宋_GB2312" w:hAnsi="Times New Roman" w:eastAsia="仿宋_GB2312" w:cs="Times New Roman"/>
          <w:b/>
          <w:bCs/>
          <w:sz w:val="32"/>
          <w:szCs w:val="32"/>
        </w:rPr>
        <w:t>1.投入（总分11分）。</w:t>
      </w:r>
      <w:r>
        <w:rPr>
          <w:rFonts w:hint="eastAsia" w:ascii="仿宋_GB2312" w:hAnsi="Times New Roman" w:eastAsia="仿宋_GB2312" w:cs="Times New Roman"/>
          <w:sz w:val="32"/>
          <w:szCs w:val="32"/>
        </w:rPr>
        <w:t>该项一级指标下设项目立项和资金落实2个二级指标。二级指标项目立项下设项目立项规范性、绩效目标合理性、绩效指标明确性3个三级指标，此指标主要评价项目立项程序规范、完整情况及绩效目标合理、明确情况；二级指标资金落实下设资金到位率、到位及时率2个三级指标，此指标主要评价资金拨付情况。</w:t>
      </w:r>
    </w:p>
    <w:p>
      <w:pPr>
        <w:adjustRightInd w:val="0"/>
        <w:snapToGrid w:val="0"/>
        <w:spacing w:line="620" w:lineRule="exact"/>
        <w:ind w:firstLine="643" w:firstLineChars="200"/>
        <w:rPr>
          <w:rFonts w:ascii="仿宋_GB2312" w:hAnsi="Times New Roman" w:eastAsia="仿宋_GB2312" w:cs="Times New Roman"/>
          <w:sz w:val="32"/>
          <w:szCs w:val="32"/>
          <w:highlight w:val="yellow"/>
        </w:rPr>
      </w:pPr>
      <w:r>
        <w:rPr>
          <w:rFonts w:hint="eastAsia" w:ascii="仿宋_GB2312" w:hAnsi="Times New Roman" w:eastAsia="仿宋_GB2312" w:cs="Times New Roman"/>
          <w:b/>
          <w:bCs/>
          <w:sz w:val="32"/>
          <w:szCs w:val="32"/>
        </w:rPr>
        <w:t>2.过程（总分24分）。</w:t>
      </w:r>
      <w:r>
        <w:rPr>
          <w:rFonts w:hint="eastAsia" w:ascii="仿宋_GB2312" w:hAnsi="Times New Roman" w:eastAsia="仿宋_GB2312" w:cs="Times New Roman"/>
          <w:sz w:val="32"/>
          <w:szCs w:val="32"/>
        </w:rPr>
        <w:t>该项一级指标下设业务管理和财务管理2个二级指标。二级指标业务管理下设管理制度健全性、项目采购过程合规性、管理有效性、项目质量可控性、信息公示公开5个三级指标，此指标主要评价项目管理制度健全、采购过程合规、管理有效、质量控制、信息公开公示情况；二级指标财务管理下设管理制度健全性、资金使用合规性、财务监控有效性3个三级指标，此指标主要评价资金使用监管情况。</w:t>
      </w:r>
    </w:p>
    <w:p>
      <w:pPr>
        <w:adjustRightInd w:val="0"/>
        <w:snapToGrid w:val="0"/>
        <w:spacing w:line="62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Times New Roman"/>
          <w:b/>
          <w:bCs/>
          <w:sz w:val="32"/>
          <w:szCs w:val="32"/>
        </w:rPr>
        <w:t>3.产出（总分40分）。</w:t>
      </w:r>
      <w:r>
        <w:rPr>
          <w:rFonts w:hint="eastAsia" w:ascii="仿宋_GB2312" w:hAnsi="Times New Roman" w:eastAsia="仿宋_GB2312" w:cs="Times New Roman"/>
          <w:sz w:val="32"/>
          <w:szCs w:val="32"/>
        </w:rPr>
        <w:t>该项一级指标下设项目产出1个二级指标。二级指标项目产出下设实际完成情况、完成及时情况、质量达标情况、自评报告完整性情况4个三级指标，此指标主要评价项目完成情况。</w:t>
      </w:r>
    </w:p>
    <w:p>
      <w:pPr>
        <w:adjustRightInd w:val="0"/>
        <w:snapToGrid w:val="0"/>
        <w:spacing w:line="62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Times New Roman"/>
          <w:b/>
          <w:bCs/>
          <w:sz w:val="32"/>
          <w:szCs w:val="32"/>
        </w:rPr>
        <w:t>4.效果（总分25分）。</w:t>
      </w:r>
      <w:r>
        <w:rPr>
          <w:rFonts w:hint="eastAsia" w:ascii="仿宋_GB2312" w:hAnsi="Times New Roman" w:eastAsia="仿宋_GB2312" w:cs="Times New Roman"/>
          <w:sz w:val="32"/>
          <w:szCs w:val="32"/>
        </w:rPr>
        <w:t>该项一级指标下设项目效益1个二级指标。二级指标项目效益下设经济效益、社会效益、生态效益、可持续影响、社会公众或服务对象满意度5个三级指标，此指标主要评价项目达到的效益和效果。</w:t>
      </w:r>
    </w:p>
    <w:p>
      <w:pPr>
        <w:adjustRightInd w:val="0"/>
        <w:snapToGrid w:val="0"/>
        <w:spacing w:line="620" w:lineRule="exact"/>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（三）评价方法及组织实施</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按照工作方案要求，本次绩效评价工作共分四个阶段组织实施：</w:t>
      </w:r>
    </w:p>
    <w:p>
      <w:pPr>
        <w:adjustRightInd w:val="0"/>
        <w:snapToGrid w:val="0"/>
        <w:spacing w:line="62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Times New Roman"/>
          <w:b/>
          <w:bCs/>
          <w:sz w:val="32"/>
          <w:szCs w:val="32"/>
        </w:rPr>
        <w:t>1.单位前期准备。</w:t>
      </w:r>
      <w:r>
        <w:rPr>
          <w:rFonts w:hint="eastAsia" w:ascii="仿宋_GB2312" w:hAnsi="Times New Roman" w:eastAsia="仿宋_GB2312" w:cs="Times New Roman"/>
          <w:sz w:val="32"/>
          <w:szCs w:val="32"/>
        </w:rPr>
        <w:t>项目单位对照指标表中相关指标，提前整理准备相关项目、资金等材料、数据，对资金管理、项目实施和具体绩效等情况开展自我评价，填写评价指标表，撰写自评报告。</w:t>
      </w:r>
    </w:p>
    <w:p>
      <w:pPr>
        <w:adjustRightInd w:val="0"/>
        <w:snapToGrid w:val="0"/>
        <w:spacing w:line="62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Times New Roman"/>
          <w:b/>
          <w:bCs/>
          <w:sz w:val="32"/>
          <w:szCs w:val="32"/>
        </w:rPr>
        <w:t>2.重点评价。</w:t>
      </w:r>
      <w:r>
        <w:rPr>
          <w:rFonts w:hint="eastAsia" w:ascii="仿宋_GB2312" w:hAnsi="Times New Roman" w:eastAsia="仿宋_GB2312" w:cs="Times New Roman"/>
          <w:sz w:val="32"/>
          <w:szCs w:val="32"/>
        </w:rPr>
        <w:t>由高邑县财政局牵头，引入第三方机构力量，组成重点绩效评价工作组，依托项目单位自评情况，开展重点评价，填写评价指标表，收集佐证材料。评价的方法步骤包括：</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1）查阅资料，全面摸排情况。结合项目单位汇报情况和自查情况，对其财政预算资金方案制定情况，项目组织管理水平，项目实施绩效，资金落实、使用、管理情况，财务管理情况等相关佐证档案资料进行查阅。</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2）现场调研，具体查看结果。按照项目单位提供的资料，开展实地查看及调研。内容包括：通过查阅项目原始凭证、记账凭证等相关会计档案，了解项目资金到位、使用、报账和会计核算情况；查阅有关项目立项、实施、验收等资料，检查项目计划执行情况、资金精准使用情况，落实项目招投标制、财政资金报账制度等执行情况；查看项目建设及实际运行情况；检查项目效益情况及服务对象满意度等。</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（3）走访调查，印证实施效果。对项目实施周边居民采取随机访谈，获取居民对项目实施效果的评价。</w:t>
      </w:r>
    </w:p>
    <w:p>
      <w:pPr>
        <w:adjustRightInd w:val="0"/>
        <w:snapToGrid w:val="0"/>
        <w:spacing w:line="62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Times New Roman"/>
          <w:b/>
          <w:bCs/>
          <w:sz w:val="32"/>
          <w:szCs w:val="32"/>
        </w:rPr>
        <w:t>3.汇总评价成果。</w:t>
      </w:r>
      <w:r>
        <w:rPr>
          <w:rFonts w:hint="eastAsia" w:ascii="仿宋_GB2312" w:hAnsi="Times New Roman" w:eastAsia="仿宋_GB2312" w:cs="Times New Roman"/>
          <w:sz w:val="32"/>
          <w:szCs w:val="32"/>
        </w:rPr>
        <w:t>第三方机构在完成现场调研后，根据实际情况，认真撰写项目绩效评价报告。</w:t>
      </w:r>
    </w:p>
    <w:p>
      <w:pPr>
        <w:adjustRightInd w:val="0"/>
        <w:snapToGrid w:val="0"/>
        <w:spacing w:line="62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Times New Roman"/>
          <w:b/>
          <w:bCs/>
          <w:sz w:val="32"/>
          <w:szCs w:val="32"/>
        </w:rPr>
        <w:t>4.评价结果应用。</w:t>
      </w:r>
      <w:r>
        <w:rPr>
          <w:rFonts w:hint="eastAsia" w:ascii="仿宋_GB2312" w:hAnsi="Times New Roman" w:eastAsia="仿宋_GB2312" w:cs="Times New Roman"/>
          <w:sz w:val="32"/>
          <w:szCs w:val="32"/>
        </w:rPr>
        <w:t>根据评价得分将评价结果划分为四个等级，分别是：优秀（≥85分）、良好（≥75分，＜85分）、一般（≥60分，＜75分）、较差（＜60分）。</w:t>
      </w:r>
    </w:p>
    <w:p>
      <w:pPr>
        <w:widowControl/>
        <w:spacing w:line="620" w:lineRule="exact"/>
        <w:ind w:firstLine="640" w:firstLineChars="200"/>
        <w:outlineLvl w:val="0"/>
        <w:rPr>
          <w:rFonts w:ascii="黑体" w:hAnsi="黑体" w:eastAsia="黑体" w:cs="黑体"/>
          <w:sz w:val="32"/>
          <w:szCs w:val="32"/>
        </w:rPr>
      </w:pPr>
      <w:r>
        <w:rPr>
          <w:rFonts w:hint="eastAsia" w:ascii="黑体" w:hAnsi="黑体" w:eastAsia="黑体" w:cs="黑体"/>
          <w:sz w:val="32"/>
          <w:szCs w:val="32"/>
        </w:rPr>
        <w:t>三、项目执行及绩效实现情况</w:t>
      </w:r>
    </w:p>
    <w:p>
      <w:pPr>
        <w:widowControl/>
        <w:spacing w:line="620" w:lineRule="exact"/>
        <w:ind w:firstLine="640" w:firstLineChars="20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项目绩效评价指标主要从投入、过程、产出、效果四个方面对自然资源和规划局第三批（自主开发）耕地占补平衡项目（奖补项目）实施情况和效益情况进行评价。本次评价该项指标绩效评价得分97分（基础分100分）。</w:t>
      </w:r>
    </w:p>
    <w:p>
      <w:pPr>
        <w:adjustRightInd w:val="0"/>
        <w:snapToGrid w:val="0"/>
        <w:spacing w:line="620" w:lineRule="exact"/>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（一）项目投入情况</w:t>
      </w:r>
    </w:p>
    <w:p>
      <w:pPr>
        <w:widowControl/>
        <w:spacing w:line="620" w:lineRule="exact"/>
        <w:ind w:firstLine="640" w:firstLineChars="20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该项指标主要从项目立项、资金落实两个方面对项目投入过程进行评价。本次评价该项指标绩效评价得分11分（基础分11分）。</w:t>
      </w:r>
    </w:p>
    <w:p>
      <w:pPr>
        <w:adjustRightInd w:val="0"/>
        <w:snapToGrid w:val="0"/>
        <w:spacing w:line="620" w:lineRule="exact"/>
        <w:ind w:firstLine="643" w:firstLineChars="200"/>
        <w:outlineLvl w:val="2"/>
        <w:rPr>
          <w:rFonts w:ascii="仿宋_GB2312" w:hAnsi="Times New Roman" w:eastAsia="仿宋_GB2312" w:cs="Times New Roman"/>
          <w:b/>
          <w:bCs/>
          <w:sz w:val="32"/>
          <w:szCs w:val="32"/>
        </w:rPr>
      </w:pPr>
      <w:r>
        <w:rPr>
          <w:rFonts w:hint="eastAsia" w:ascii="仿宋_GB2312" w:hAnsi="Times New Roman" w:eastAsia="仿宋_GB2312" w:cs="Times New Roman"/>
          <w:b/>
          <w:bCs/>
          <w:sz w:val="32"/>
          <w:szCs w:val="32"/>
        </w:rPr>
        <w:t>1.项目立项</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1）项目立项规范性。2018年9月22日，高邑县国土资源局向县政府提交《关于“高邑县自主开发耕地占补平衡项目（奖补项目）”和“高邑县第三批（自主开发）耕地占补平衡项目（奖补项目）”立项及项目实施办法的请示》（高国土〔2018〕11号），2019年6月19日，高邑县财政局对高邑县国土资源局下达《关于“高邑县自主开发耕地占补平衡项目（奖补项目）”和“高邑县第三批（自主开发）耕地占补平衡项目（奖补项目）”立项及项目实施办法的批复》（高政函〔2019〕26号）。</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国土资源局委托河北省地矿局第六地质大队对耕地占补平衡项目编制《项目设计报告》。该项指标绩效评价得分2分（基础分2分）。</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（2）绩效目标合理性。预算项目绩效信息表中设置了产出指标、预算执行率指标、效益指标、满意度指标。绩效目标设置较明确。该项指标绩效评价得分2分（基础分2分）。</w:t>
      </w:r>
    </w:p>
    <w:p>
      <w:pPr>
        <w:adjustRightInd w:val="0"/>
        <w:snapToGrid w:val="0"/>
        <w:spacing w:line="620" w:lineRule="exact"/>
        <w:ind w:firstLine="640" w:firstLineChars="200"/>
        <w:rPr>
          <w:rFonts w:ascii="仿宋_GB2312" w:hAnsi="Times New Roman" w:eastAsia="仿宋_GB2312" w:cs="Times New Roman"/>
          <w:sz w:val="32"/>
          <w:szCs w:val="32"/>
          <w:highlight w:val="yellow"/>
        </w:rPr>
      </w:pPr>
      <w:r>
        <w:rPr>
          <w:rFonts w:hint="eastAsia" w:ascii="仿宋_GB2312" w:hAnsi="Times New Roman" w:eastAsia="仿宋_GB2312" w:cs="Times New Roman"/>
          <w:sz w:val="32"/>
          <w:szCs w:val="32"/>
        </w:rPr>
        <w:t>（3）绩效指标明确性。预算项目绩效信息表，绩效信息表中设置产出指标：数量指标、质量指标、时效指标、成本指标，预算执行率指标：预算执行率，效益指标：经济效益指标、社会效益指标、生态效益指标、可持续影响指标，满意度指标：满意度指标。项目绩效指标设定较清晰、细化、可衡量。该项指标绩效评价得分2分（基础分2分）。</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综上所述，</w:t>
      </w:r>
      <w:bookmarkStart w:id="0" w:name="_Hlk56759627"/>
      <w:r>
        <w:rPr>
          <w:rFonts w:hint="eastAsia" w:ascii="仿宋_GB2312" w:hAnsi="仿宋" w:eastAsia="仿宋_GB2312" w:cs="仿宋"/>
          <w:color w:val="000000" w:themeColor="text1"/>
          <w:kern w:val="0"/>
          <w:sz w:val="32"/>
          <w:szCs w:val="32"/>
          <w:lang w:bidi="ar"/>
          <w14:textFill>
            <w14:solidFill>
              <w14:schemeClr w14:val="tx1"/>
            </w14:solidFill>
          </w14:textFill>
        </w:rPr>
        <w:t>“项目立项”</w:t>
      </w:r>
      <w:bookmarkEnd w:id="0"/>
      <w:r>
        <w:rPr>
          <w:rFonts w:hint="eastAsia" w:ascii="仿宋_GB2312" w:hAnsi="Times New Roman" w:eastAsia="仿宋_GB2312" w:cs="Times New Roman"/>
          <w:sz w:val="32"/>
          <w:szCs w:val="32"/>
        </w:rPr>
        <w:t>该项指标绩效评价得分6分（基础分6分）。</w:t>
      </w:r>
    </w:p>
    <w:p>
      <w:pPr>
        <w:adjustRightInd w:val="0"/>
        <w:snapToGrid w:val="0"/>
        <w:spacing w:line="620" w:lineRule="exact"/>
        <w:ind w:firstLine="643" w:firstLineChars="200"/>
        <w:outlineLvl w:val="2"/>
        <w:rPr>
          <w:rFonts w:ascii="仿宋_GB2312" w:hAnsi="Times New Roman" w:eastAsia="仿宋_GB2312" w:cs="Times New Roman"/>
          <w:b/>
          <w:bCs/>
          <w:sz w:val="32"/>
          <w:szCs w:val="32"/>
        </w:rPr>
      </w:pPr>
      <w:r>
        <w:rPr>
          <w:rFonts w:hint="eastAsia" w:ascii="仿宋_GB2312" w:hAnsi="Times New Roman" w:eastAsia="仿宋_GB2312" w:cs="Times New Roman"/>
          <w:b/>
          <w:bCs/>
          <w:sz w:val="32"/>
          <w:szCs w:val="32"/>
        </w:rPr>
        <w:t>2.资金落实</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1）资金到位率。2019年7月9日，高邑县国土资源局《关于申请高邑县第三批（自主开发）耕地占补平衡项目（奖补项目）资金的请示》，国土局申请11.951万元用于结算耕地占补平衡项目，2019年9月，高邑县自然资源和规划局收到耕地占补平衡项目资金11.951万元。该项指标绩效评价得分2.5分（基础分2.5分）。</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（2）到位及时率。</w:t>
      </w:r>
    </w:p>
    <w:p>
      <w:pPr>
        <w:adjustRightInd w:val="0"/>
        <w:snapToGrid w:val="0"/>
        <w:spacing w:line="620" w:lineRule="exact"/>
        <w:ind w:firstLine="640" w:firstLineChars="200"/>
        <w:jc w:val="right"/>
        <w:rPr>
          <w:rFonts w:ascii="仿宋_GB2312" w:hAnsi="Times New Roman" w:eastAsia="仿宋_GB2312" w:cs="Times New Roman"/>
          <w:sz w:val="32"/>
          <w:szCs w:val="32"/>
        </w:rPr>
      </w:pPr>
      <w:r>
        <w:rPr>
          <w:rFonts w:hint="eastAsia" w:ascii="仿宋_GB2312" w:hAnsi="Times New Roman" w:eastAsia="仿宋_GB2312" w:cs="Times New Roman"/>
          <w:sz w:val="32"/>
          <w:szCs w:val="32"/>
        </w:rPr>
        <w:t xml:space="preserve"> </w:t>
      </w:r>
      <w:r>
        <w:rPr>
          <w:rFonts w:ascii="仿宋_GB2312" w:hAnsi="Times New Roman" w:eastAsia="仿宋_GB2312" w:cs="Times New Roman"/>
          <w:sz w:val="32"/>
          <w:szCs w:val="32"/>
        </w:rPr>
        <w:t xml:space="preserve">                                        </w:t>
      </w:r>
      <w:r>
        <w:rPr>
          <w:rFonts w:hint="eastAsia" w:ascii="仿宋_GB2312" w:hAnsi="Times New Roman" w:eastAsia="仿宋_GB2312" w:cs="Times New Roman"/>
          <w:sz w:val="32"/>
          <w:szCs w:val="32"/>
        </w:rPr>
        <w:t>单位：元</w:t>
      </w:r>
    </w:p>
    <w:tbl>
      <w:tblPr>
        <w:tblStyle w:val="5"/>
        <w:tblW w:w="8642" w:type="dxa"/>
        <w:tblInd w:w="0" w:type="dxa"/>
        <w:tblLayout w:type="fixed"/>
        <w:tblCellMar>
          <w:top w:w="0" w:type="dxa"/>
          <w:left w:w="85" w:type="dxa"/>
          <w:bottom w:w="0" w:type="dxa"/>
          <w:right w:w="85" w:type="dxa"/>
        </w:tblCellMar>
      </w:tblPr>
      <w:tblGrid>
        <w:gridCol w:w="703"/>
        <w:gridCol w:w="1559"/>
        <w:gridCol w:w="1986"/>
        <w:gridCol w:w="2693"/>
        <w:gridCol w:w="1701"/>
      </w:tblGrid>
      <w:tr>
        <w:tblPrEx>
          <w:tblCellMar>
            <w:top w:w="0" w:type="dxa"/>
            <w:left w:w="85" w:type="dxa"/>
            <w:bottom w:w="0" w:type="dxa"/>
            <w:right w:w="85" w:type="dxa"/>
          </w:tblCellMar>
        </w:tblPrEx>
        <w:trPr>
          <w:trHeight w:val="280" w:hRule="atLeast"/>
        </w:trPr>
        <w:tc>
          <w:tcPr>
            <w:tcW w:w="407" w:type="pc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序号</w:t>
            </w:r>
          </w:p>
        </w:tc>
        <w:tc>
          <w:tcPr>
            <w:tcW w:w="902" w:type="pct"/>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资金拨付日期</w:t>
            </w:r>
          </w:p>
        </w:tc>
        <w:tc>
          <w:tcPr>
            <w:tcW w:w="1149" w:type="pct"/>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资金用途</w:t>
            </w:r>
          </w:p>
        </w:tc>
        <w:tc>
          <w:tcPr>
            <w:tcW w:w="1558" w:type="pct"/>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收款单位</w:t>
            </w:r>
          </w:p>
        </w:tc>
        <w:tc>
          <w:tcPr>
            <w:tcW w:w="984" w:type="pct"/>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 xml:space="preserve"> 拨付金额 </w:t>
            </w:r>
          </w:p>
        </w:tc>
      </w:tr>
      <w:tr>
        <w:tblPrEx>
          <w:tblCellMar>
            <w:top w:w="0" w:type="dxa"/>
            <w:left w:w="85" w:type="dxa"/>
            <w:bottom w:w="0" w:type="dxa"/>
            <w:right w:w="85" w:type="dxa"/>
          </w:tblCellMar>
        </w:tblPrEx>
        <w:trPr>
          <w:trHeight w:val="498" w:hRule="atLeast"/>
        </w:trPr>
        <w:tc>
          <w:tcPr>
            <w:tcW w:w="407"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1</w:t>
            </w:r>
          </w:p>
        </w:tc>
        <w:tc>
          <w:tcPr>
            <w:tcW w:w="902" w:type="pct"/>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2019-10-14</w:t>
            </w:r>
          </w:p>
        </w:tc>
        <w:tc>
          <w:tcPr>
            <w:tcW w:w="1149" w:type="pct"/>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sz w:val="20"/>
                <w:szCs w:val="20"/>
              </w:rPr>
            </w:pPr>
            <w:r>
              <w:rPr>
                <w:rFonts w:hint="eastAsia" w:ascii="宋体" w:hAnsi="宋体" w:cs="宋体"/>
                <w:color w:val="000000"/>
                <w:sz w:val="20"/>
                <w:szCs w:val="20"/>
              </w:rPr>
              <w:t>第一期工程款</w:t>
            </w:r>
          </w:p>
        </w:tc>
        <w:tc>
          <w:tcPr>
            <w:tcW w:w="1558" w:type="pct"/>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sz w:val="20"/>
                <w:szCs w:val="20"/>
              </w:rPr>
            </w:pPr>
            <w:r>
              <w:rPr>
                <w:rFonts w:hint="eastAsia" w:ascii="宋体" w:hAnsi="宋体" w:cs="宋体"/>
                <w:color w:val="000000"/>
                <w:sz w:val="20"/>
                <w:szCs w:val="20"/>
              </w:rPr>
              <w:t>河北达旭建筑工程有限公司</w:t>
            </w:r>
          </w:p>
        </w:tc>
        <w:tc>
          <w:tcPr>
            <w:tcW w:w="984" w:type="pct"/>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color w:val="000000"/>
                <w:sz w:val="20"/>
                <w:szCs w:val="20"/>
              </w:rPr>
            </w:pPr>
            <w:r>
              <w:rPr>
                <w:rFonts w:ascii="宋体" w:hAnsi="宋体"/>
                <w:sz w:val="20"/>
                <w:szCs w:val="20"/>
              </w:rPr>
              <w:t xml:space="preserve">63,000.00                                </w:t>
            </w:r>
          </w:p>
        </w:tc>
      </w:tr>
      <w:tr>
        <w:tblPrEx>
          <w:tblCellMar>
            <w:top w:w="0" w:type="dxa"/>
            <w:left w:w="85" w:type="dxa"/>
            <w:bottom w:w="0" w:type="dxa"/>
            <w:right w:w="85" w:type="dxa"/>
          </w:tblCellMar>
        </w:tblPrEx>
        <w:trPr>
          <w:trHeight w:val="436" w:hRule="atLeast"/>
        </w:trPr>
        <w:tc>
          <w:tcPr>
            <w:tcW w:w="407"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2</w:t>
            </w:r>
          </w:p>
        </w:tc>
        <w:tc>
          <w:tcPr>
            <w:tcW w:w="902" w:type="pct"/>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2019-12-17</w:t>
            </w:r>
          </w:p>
        </w:tc>
        <w:tc>
          <w:tcPr>
            <w:tcW w:w="1149" w:type="pct"/>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sz w:val="20"/>
                <w:szCs w:val="20"/>
              </w:rPr>
            </w:pPr>
            <w:r>
              <w:rPr>
                <w:rFonts w:hint="eastAsia" w:ascii="宋体" w:hAnsi="宋体" w:cs="宋体"/>
                <w:color w:val="000000"/>
                <w:sz w:val="20"/>
                <w:szCs w:val="20"/>
              </w:rPr>
              <w:t>竣工图测量及耕地质量重估费</w:t>
            </w:r>
          </w:p>
        </w:tc>
        <w:tc>
          <w:tcPr>
            <w:tcW w:w="1558" w:type="pct"/>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sz w:val="20"/>
                <w:szCs w:val="20"/>
              </w:rPr>
            </w:pPr>
            <w:r>
              <w:rPr>
                <w:rFonts w:hint="eastAsia" w:ascii="宋体" w:hAnsi="宋体" w:cs="宋体"/>
                <w:color w:val="000000"/>
                <w:sz w:val="20"/>
                <w:szCs w:val="20"/>
              </w:rPr>
              <w:t>石家庄市土地开发中心</w:t>
            </w:r>
          </w:p>
        </w:tc>
        <w:tc>
          <w:tcPr>
            <w:tcW w:w="984" w:type="pct"/>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color w:val="000000"/>
                <w:sz w:val="20"/>
                <w:szCs w:val="20"/>
              </w:rPr>
            </w:pPr>
            <w:r>
              <w:rPr>
                <w:rFonts w:ascii="宋体" w:hAnsi="宋体"/>
                <w:sz w:val="20"/>
                <w:szCs w:val="20"/>
              </w:rPr>
              <w:t xml:space="preserve"> 2,919.00 </w:t>
            </w:r>
          </w:p>
        </w:tc>
      </w:tr>
      <w:tr>
        <w:tblPrEx>
          <w:tblCellMar>
            <w:top w:w="0" w:type="dxa"/>
            <w:left w:w="85" w:type="dxa"/>
            <w:bottom w:w="0" w:type="dxa"/>
            <w:right w:w="85" w:type="dxa"/>
          </w:tblCellMar>
        </w:tblPrEx>
        <w:trPr>
          <w:trHeight w:val="430" w:hRule="atLeast"/>
        </w:trPr>
        <w:tc>
          <w:tcPr>
            <w:tcW w:w="407"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3</w:t>
            </w:r>
          </w:p>
        </w:tc>
        <w:tc>
          <w:tcPr>
            <w:tcW w:w="902" w:type="pct"/>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2019-12-17</w:t>
            </w:r>
          </w:p>
        </w:tc>
        <w:tc>
          <w:tcPr>
            <w:tcW w:w="1149" w:type="pct"/>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sz w:val="20"/>
                <w:szCs w:val="20"/>
              </w:rPr>
            </w:pPr>
            <w:r>
              <w:rPr>
                <w:rFonts w:hint="eastAsia" w:ascii="宋体" w:hAnsi="宋体" w:cs="宋体"/>
                <w:color w:val="000000"/>
                <w:sz w:val="20"/>
                <w:szCs w:val="20"/>
              </w:rPr>
              <w:t>造价咨询费</w:t>
            </w:r>
          </w:p>
        </w:tc>
        <w:tc>
          <w:tcPr>
            <w:tcW w:w="1558" w:type="pct"/>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sz w:val="20"/>
                <w:szCs w:val="20"/>
              </w:rPr>
            </w:pPr>
            <w:r>
              <w:rPr>
                <w:rFonts w:hint="eastAsia" w:ascii="宋体" w:hAnsi="宋体" w:cs="宋体"/>
                <w:color w:val="000000"/>
                <w:sz w:val="20"/>
                <w:szCs w:val="20"/>
              </w:rPr>
              <w:t>河北天创工程项目管理有限公司</w:t>
            </w:r>
          </w:p>
        </w:tc>
        <w:tc>
          <w:tcPr>
            <w:tcW w:w="984" w:type="pct"/>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color w:val="000000"/>
                <w:sz w:val="20"/>
                <w:szCs w:val="20"/>
              </w:rPr>
            </w:pPr>
            <w:r>
              <w:rPr>
                <w:rFonts w:ascii="宋体" w:hAnsi="宋体"/>
                <w:sz w:val="20"/>
                <w:szCs w:val="20"/>
              </w:rPr>
              <w:t xml:space="preserve">10,000.00                    </w:t>
            </w:r>
          </w:p>
        </w:tc>
      </w:tr>
      <w:tr>
        <w:tblPrEx>
          <w:tblCellMar>
            <w:top w:w="0" w:type="dxa"/>
            <w:left w:w="85" w:type="dxa"/>
            <w:bottom w:w="0" w:type="dxa"/>
            <w:right w:w="85" w:type="dxa"/>
          </w:tblCellMar>
        </w:tblPrEx>
        <w:trPr>
          <w:trHeight w:val="422" w:hRule="atLeast"/>
        </w:trPr>
        <w:tc>
          <w:tcPr>
            <w:tcW w:w="407"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4</w:t>
            </w:r>
          </w:p>
        </w:tc>
        <w:tc>
          <w:tcPr>
            <w:tcW w:w="902" w:type="pct"/>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2019-12-17</w:t>
            </w:r>
          </w:p>
        </w:tc>
        <w:tc>
          <w:tcPr>
            <w:tcW w:w="1149" w:type="pct"/>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sz w:val="20"/>
                <w:szCs w:val="20"/>
              </w:rPr>
            </w:pPr>
            <w:r>
              <w:rPr>
                <w:rFonts w:hint="eastAsia" w:ascii="宋体" w:hAnsi="宋体" w:cs="宋体"/>
                <w:color w:val="000000"/>
                <w:sz w:val="20"/>
                <w:szCs w:val="20"/>
              </w:rPr>
              <w:t>项目设计组卷费</w:t>
            </w:r>
          </w:p>
        </w:tc>
        <w:tc>
          <w:tcPr>
            <w:tcW w:w="1558" w:type="pct"/>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sz w:val="20"/>
                <w:szCs w:val="20"/>
              </w:rPr>
            </w:pPr>
            <w:r>
              <w:rPr>
                <w:rFonts w:hint="eastAsia" w:ascii="宋体" w:hAnsi="宋体" w:cs="宋体"/>
                <w:color w:val="000000"/>
                <w:sz w:val="20"/>
                <w:szCs w:val="20"/>
              </w:rPr>
              <w:t>石家庄市土地开发中心</w:t>
            </w:r>
          </w:p>
        </w:tc>
        <w:tc>
          <w:tcPr>
            <w:tcW w:w="984" w:type="pct"/>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color w:val="000000"/>
                <w:sz w:val="20"/>
                <w:szCs w:val="20"/>
              </w:rPr>
            </w:pPr>
            <w:r>
              <w:rPr>
                <w:rFonts w:ascii="宋体" w:hAnsi="宋体"/>
                <w:sz w:val="20"/>
                <w:szCs w:val="20"/>
              </w:rPr>
              <w:t xml:space="preserve"> 9,230.00 </w:t>
            </w:r>
          </w:p>
        </w:tc>
      </w:tr>
      <w:tr>
        <w:tblPrEx>
          <w:tblCellMar>
            <w:top w:w="0" w:type="dxa"/>
            <w:left w:w="85" w:type="dxa"/>
            <w:bottom w:w="0" w:type="dxa"/>
            <w:right w:w="85" w:type="dxa"/>
          </w:tblCellMar>
        </w:tblPrEx>
        <w:trPr>
          <w:trHeight w:val="507" w:hRule="atLeast"/>
        </w:trPr>
        <w:tc>
          <w:tcPr>
            <w:tcW w:w="407"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5</w:t>
            </w:r>
          </w:p>
        </w:tc>
        <w:tc>
          <w:tcPr>
            <w:tcW w:w="902" w:type="pct"/>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2019-12-17</w:t>
            </w:r>
          </w:p>
        </w:tc>
        <w:tc>
          <w:tcPr>
            <w:tcW w:w="1149" w:type="pct"/>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sz w:val="20"/>
                <w:szCs w:val="20"/>
              </w:rPr>
            </w:pPr>
            <w:r>
              <w:rPr>
                <w:rFonts w:hint="eastAsia" w:ascii="宋体" w:hAnsi="宋体" w:cs="宋体"/>
                <w:color w:val="000000"/>
                <w:sz w:val="20"/>
                <w:szCs w:val="20"/>
              </w:rPr>
              <w:t>工程复核费</w:t>
            </w:r>
          </w:p>
        </w:tc>
        <w:tc>
          <w:tcPr>
            <w:tcW w:w="1558" w:type="pct"/>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sz w:val="20"/>
                <w:szCs w:val="20"/>
              </w:rPr>
            </w:pPr>
            <w:r>
              <w:rPr>
                <w:rFonts w:hint="eastAsia" w:ascii="宋体" w:hAnsi="宋体" w:cs="宋体"/>
                <w:color w:val="000000"/>
                <w:sz w:val="20"/>
                <w:szCs w:val="20"/>
              </w:rPr>
              <w:t>石家庄市土地开发中心</w:t>
            </w:r>
          </w:p>
        </w:tc>
        <w:tc>
          <w:tcPr>
            <w:tcW w:w="984" w:type="pct"/>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color w:val="000000"/>
                <w:sz w:val="20"/>
                <w:szCs w:val="20"/>
              </w:rPr>
            </w:pPr>
            <w:r>
              <w:rPr>
                <w:rFonts w:ascii="宋体" w:hAnsi="宋体"/>
                <w:sz w:val="20"/>
                <w:szCs w:val="20"/>
              </w:rPr>
              <w:t xml:space="preserve">1,858.00                     </w:t>
            </w:r>
          </w:p>
        </w:tc>
      </w:tr>
      <w:tr>
        <w:tblPrEx>
          <w:tblCellMar>
            <w:top w:w="0" w:type="dxa"/>
            <w:left w:w="85" w:type="dxa"/>
            <w:bottom w:w="0" w:type="dxa"/>
            <w:right w:w="85" w:type="dxa"/>
          </w:tblCellMar>
        </w:tblPrEx>
        <w:trPr>
          <w:trHeight w:val="355" w:hRule="atLeast"/>
        </w:trPr>
        <w:tc>
          <w:tcPr>
            <w:tcW w:w="407"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6</w:t>
            </w:r>
          </w:p>
        </w:tc>
        <w:tc>
          <w:tcPr>
            <w:tcW w:w="902" w:type="pct"/>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2019-12-17</w:t>
            </w:r>
          </w:p>
        </w:tc>
        <w:tc>
          <w:tcPr>
            <w:tcW w:w="1149" w:type="pct"/>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sz w:val="20"/>
                <w:szCs w:val="20"/>
              </w:rPr>
            </w:pPr>
            <w:r>
              <w:rPr>
                <w:rFonts w:hint="eastAsia" w:ascii="宋体" w:hAnsi="宋体" w:cs="宋体"/>
                <w:color w:val="000000"/>
                <w:sz w:val="20"/>
                <w:szCs w:val="20"/>
              </w:rPr>
              <w:t>项目设计与预算编制费</w:t>
            </w:r>
          </w:p>
        </w:tc>
        <w:tc>
          <w:tcPr>
            <w:tcW w:w="1558" w:type="pct"/>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sz w:val="20"/>
                <w:szCs w:val="20"/>
              </w:rPr>
            </w:pPr>
            <w:r>
              <w:rPr>
                <w:rFonts w:hint="eastAsia" w:ascii="宋体" w:hAnsi="宋体" w:cs="宋体"/>
                <w:color w:val="000000"/>
                <w:sz w:val="20"/>
                <w:szCs w:val="20"/>
              </w:rPr>
              <w:t>河北省地矿局第六地质大队</w:t>
            </w:r>
          </w:p>
        </w:tc>
        <w:tc>
          <w:tcPr>
            <w:tcW w:w="984" w:type="pct"/>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color w:val="000000"/>
                <w:sz w:val="20"/>
                <w:szCs w:val="20"/>
              </w:rPr>
            </w:pPr>
            <w:r>
              <w:rPr>
                <w:rFonts w:ascii="宋体" w:hAnsi="宋体"/>
                <w:sz w:val="20"/>
                <w:szCs w:val="20"/>
              </w:rPr>
              <w:t>2,520.00</w:t>
            </w:r>
          </w:p>
        </w:tc>
      </w:tr>
      <w:tr>
        <w:tblPrEx>
          <w:tblCellMar>
            <w:top w:w="0" w:type="dxa"/>
            <w:left w:w="85" w:type="dxa"/>
            <w:bottom w:w="0" w:type="dxa"/>
            <w:right w:w="85" w:type="dxa"/>
          </w:tblCellMar>
        </w:tblPrEx>
        <w:trPr>
          <w:trHeight w:val="481" w:hRule="atLeast"/>
        </w:trPr>
        <w:tc>
          <w:tcPr>
            <w:tcW w:w="407"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7</w:t>
            </w:r>
          </w:p>
        </w:tc>
        <w:tc>
          <w:tcPr>
            <w:tcW w:w="902" w:type="pct"/>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2020-04-21</w:t>
            </w:r>
          </w:p>
        </w:tc>
        <w:tc>
          <w:tcPr>
            <w:tcW w:w="1149" w:type="pct"/>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sz w:val="20"/>
                <w:szCs w:val="20"/>
              </w:rPr>
            </w:pPr>
            <w:r>
              <w:rPr>
                <w:rFonts w:hint="eastAsia" w:ascii="宋体" w:hAnsi="宋体" w:cs="宋体"/>
                <w:color w:val="000000"/>
                <w:sz w:val="20"/>
                <w:szCs w:val="20"/>
              </w:rPr>
              <w:t>第二期工程款</w:t>
            </w:r>
          </w:p>
        </w:tc>
        <w:tc>
          <w:tcPr>
            <w:tcW w:w="1558" w:type="pct"/>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sz w:val="20"/>
                <w:szCs w:val="20"/>
              </w:rPr>
            </w:pPr>
            <w:r>
              <w:rPr>
                <w:rFonts w:hint="eastAsia" w:ascii="宋体" w:hAnsi="宋体" w:cs="宋体"/>
                <w:color w:val="000000"/>
                <w:sz w:val="20"/>
                <w:szCs w:val="20"/>
              </w:rPr>
              <w:t>河北达旭建筑工程有限公司</w:t>
            </w:r>
          </w:p>
        </w:tc>
        <w:tc>
          <w:tcPr>
            <w:tcW w:w="984" w:type="pct"/>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color w:val="000000"/>
                <w:sz w:val="20"/>
                <w:szCs w:val="20"/>
              </w:rPr>
            </w:pPr>
            <w:r>
              <w:rPr>
                <w:rFonts w:ascii="宋体" w:hAnsi="宋体"/>
                <w:sz w:val="20"/>
                <w:szCs w:val="20"/>
              </w:rPr>
              <w:t xml:space="preserve">27,000.00                    </w:t>
            </w:r>
          </w:p>
        </w:tc>
      </w:tr>
      <w:tr>
        <w:tblPrEx>
          <w:tblCellMar>
            <w:top w:w="0" w:type="dxa"/>
            <w:left w:w="85" w:type="dxa"/>
            <w:bottom w:w="0" w:type="dxa"/>
            <w:right w:w="85" w:type="dxa"/>
          </w:tblCellMar>
        </w:tblPrEx>
        <w:trPr>
          <w:trHeight w:val="468" w:hRule="atLeast"/>
        </w:trPr>
        <w:tc>
          <w:tcPr>
            <w:tcW w:w="407"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8</w:t>
            </w:r>
          </w:p>
        </w:tc>
        <w:tc>
          <w:tcPr>
            <w:tcW w:w="902" w:type="pct"/>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2020-04-21</w:t>
            </w:r>
          </w:p>
        </w:tc>
        <w:tc>
          <w:tcPr>
            <w:tcW w:w="1149" w:type="pct"/>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sz w:val="20"/>
                <w:szCs w:val="20"/>
              </w:rPr>
            </w:pPr>
            <w:r>
              <w:rPr>
                <w:rFonts w:hint="eastAsia" w:ascii="宋体" w:hAnsi="宋体" w:cs="宋体"/>
                <w:color w:val="000000"/>
                <w:sz w:val="20"/>
                <w:szCs w:val="20"/>
              </w:rPr>
              <w:t>技术服务费</w:t>
            </w:r>
          </w:p>
        </w:tc>
        <w:tc>
          <w:tcPr>
            <w:tcW w:w="1558" w:type="pct"/>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sz w:val="20"/>
                <w:szCs w:val="20"/>
              </w:rPr>
            </w:pPr>
            <w:r>
              <w:rPr>
                <w:rFonts w:hint="eastAsia" w:ascii="宋体" w:hAnsi="宋体" w:cs="宋体"/>
                <w:color w:val="000000"/>
                <w:sz w:val="20"/>
                <w:szCs w:val="20"/>
              </w:rPr>
              <w:t>河北省地矿局第六地质大队</w:t>
            </w:r>
          </w:p>
        </w:tc>
        <w:tc>
          <w:tcPr>
            <w:tcW w:w="984" w:type="pct"/>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color w:val="000000"/>
                <w:sz w:val="20"/>
                <w:szCs w:val="20"/>
              </w:rPr>
            </w:pPr>
            <w:r>
              <w:rPr>
                <w:rFonts w:ascii="宋体" w:hAnsi="宋体"/>
                <w:sz w:val="20"/>
                <w:szCs w:val="20"/>
              </w:rPr>
              <w:t xml:space="preserve">2,983.00                     </w:t>
            </w:r>
          </w:p>
        </w:tc>
      </w:tr>
      <w:tr>
        <w:tblPrEx>
          <w:tblCellMar>
            <w:top w:w="0" w:type="dxa"/>
            <w:left w:w="85" w:type="dxa"/>
            <w:bottom w:w="0" w:type="dxa"/>
            <w:right w:w="85" w:type="dxa"/>
          </w:tblCellMar>
        </w:tblPrEx>
        <w:trPr>
          <w:trHeight w:val="501" w:hRule="atLeast"/>
        </w:trPr>
        <w:tc>
          <w:tcPr>
            <w:tcW w:w="407"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r>
              <w:rPr>
                <w:rFonts w:hint="eastAsia" w:ascii="宋体" w:hAnsi="宋体" w:cs="宋体"/>
                <w:color w:val="000000"/>
                <w:sz w:val="20"/>
                <w:szCs w:val="20"/>
              </w:rPr>
              <w:t>合计</w:t>
            </w:r>
          </w:p>
        </w:tc>
        <w:tc>
          <w:tcPr>
            <w:tcW w:w="902" w:type="pct"/>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sz w:val="20"/>
                <w:szCs w:val="20"/>
              </w:rPr>
            </w:pPr>
          </w:p>
        </w:tc>
        <w:tc>
          <w:tcPr>
            <w:tcW w:w="1149" w:type="pct"/>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sz w:val="20"/>
                <w:szCs w:val="20"/>
              </w:rPr>
            </w:pPr>
            <w:r>
              <w:rPr>
                <w:rFonts w:hint="eastAsia" w:ascii="宋体" w:hAnsi="宋体" w:cs="宋体"/>
                <w:color w:val="000000"/>
                <w:sz w:val="20"/>
                <w:szCs w:val="20"/>
              </w:rPr>
              <w:t>　</w:t>
            </w:r>
          </w:p>
        </w:tc>
        <w:tc>
          <w:tcPr>
            <w:tcW w:w="1558" w:type="pct"/>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sz w:val="20"/>
                <w:szCs w:val="20"/>
              </w:rPr>
            </w:pPr>
            <w:r>
              <w:rPr>
                <w:rFonts w:hint="eastAsia" w:ascii="宋体" w:hAnsi="宋体" w:cs="宋体"/>
                <w:color w:val="000000"/>
                <w:sz w:val="20"/>
                <w:szCs w:val="20"/>
              </w:rPr>
              <w:t>　</w:t>
            </w:r>
          </w:p>
        </w:tc>
        <w:tc>
          <w:tcPr>
            <w:tcW w:w="984" w:type="pct"/>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color w:val="000000"/>
                <w:sz w:val="20"/>
                <w:szCs w:val="20"/>
              </w:rPr>
            </w:pPr>
            <w:r>
              <w:rPr>
                <w:rFonts w:hint="eastAsia" w:ascii="宋体" w:hAnsi="宋体"/>
                <w:sz w:val="20"/>
                <w:szCs w:val="20"/>
              </w:rPr>
              <w:t>119</w:t>
            </w:r>
            <w:r>
              <w:rPr>
                <w:rFonts w:ascii="宋体" w:hAnsi="宋体"/>
                <w:sz w:val="20"/>
                <w:szCs w:val="20"/>
              </w:rPr>
              <w:t xml:space="preserve">,510.00        </w:t>
            </w:r>
          </w:p>
        </w:tc>
      </w:tr>
    </w:tbl>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经查看相关资料，项目单位应到位资金11.951万元，及时到位资金11.951万元，该项指标绩效评价得分2.5分（基础分2.5分）。</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综上所述，</w:t>
      </w:r>
      <w:bookmarkStart w:id="1" w:name="_Hlk56759645"/>
      <w:r>
        <w:rPr>
          <w:rFonts w:hint="eastAsia" w:ascii="仿宋_GB2312" w:hAnsi="仿宋" w:eastAsia="仿宋_GB2312" w:cs="仿宋"/>
          <w:color w:val="000000" w:themeColor="text1"/>
          <w:kern w:val="0"/>
          <w:sz w:val="32"/>
          <w:szCs w:val="32"/>
          <w:lang w:bidi="ar"/>
          <w14:textFill>
            <w14:solidFill>
              <w14:schemeClr w14:val="tx1"/>
            </w14:solidFill>
          </w14:textFill>
        </w:rPr>
        <w:t>“资金落实”</w:t>
      </w:r>
      <w:bookmarkEnd w:id="1"/>
      <w:r>
        <w:rPr>
          <w:rFonts w:hint="eastAsia" w:ascii="仿宋_GB2312" w:hAnsi="Times New Roman" w:eastAsia="仿宋_GB2312" w:cs="Times New Roman"/>
          <w:sz w:val="32"/>
          <w:szCs w:val="32"/>
        </w:rPr>
        <w:t>该项指标绩效评价得分5分（基础分5分）。</w:t>
      </w:r>
    </w:p>
    <w:p>
      <w:pPr>
        <w:adjustRightInd w:val="0"/>
        <w:snapToGrid w:val="0"/>
        <w:spacing w:line="620" w:lineRule="exact"/>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（二）项目过程情况</w:t>
      </w:r>
    </w:p>
    <w:p>
      <w:pPr>
        <w:widowControl/>
        <w:spacing w:line="620" w:lineRule="exact"/>
        <w:ind w:firstLine="640" w:firstLineChars="20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该项指标主要从业务管理、财务管理两个方面对项目实施过程进行评价。本次评价该项指标绩效评价得分21分（基础分24分）。</w:t>
      </w:r>
    </w:p>
    <w:p>
      <w:pPr>
        <w:widowControl/>
        <w:spacing w:line="620" w:lineRule="exact"/>
        <w:ind w:firstLine="643" w:firstLineChars="200"/>
        <w:outlineLvl w:val="2"/>
        <w:rPr>
          <w:rFonts w:ascii="仿宋_GB2312" w:hAnsi="仿宋" w:eastAsia="仿宋_GB2312" w:cs="仿宋"/>
          <w:b/>
          <w:bCs/>
          <w:kern w:val="0"/>
          <w:sz w:val="32"/>
          <w:szCs w:val="32"/>
          <w:lang w:bidi="ar"/>
        </w:rPr>
      </w:pPr>
      <w:r>
        <w:rPr>
          <w:rFonts w:hint="eastAsia" w:ascii="仿宋_GB2312" w:hAnsi="仿宋" w:eastAsia="仿宋_GB2312" w:cs="仿宋"/>
          <w:b/>
          <w:bCs/>
          <w:kern w:val="0"/>
          <w:sz w:val="32"/>
          <w:szCs w:val="32"/>
          <w:lang w:bidi="ar"/>
        </w:rPr>
        <w:t>1.业务管理方面</w:t>
      </w:r>
    </w:p>
    <w:p>
      <w:pPr>
        <w:widowControl/>
        <w:spacing w:line="620" w:lineRule="exact"/>
        <w:ind w:firstLine="640" w:firstLineChars="200"/>
        <w:outlineLvl w:val="2"/>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（1）管理制度健全性</w:t>
      </w:r>
    </w:p>
    <w:p>
      <w:pPr>
        <w:widowControl/>
        <w:spacing w:line="620" w:lineRule="exact"/>
        <w:ind w:firstLine="640" w:firstLineChars="200"/>
        <w:outlineLvl w:val="2"/>
        <w:rPr>
          <w:rFonts w:ascii="仿宋_GB2312" w:hAnsi="仿宋" w:eastAsia="仿宋_GB2312" w:cs="仿宋"/>
          <w:color w:val="000000" w:themeColor="text1"/>
          <w:kern w:val="0"/>
          <w:sz w:val="32"/>
          <w:szCs w:val="32"/>
          <w:lang w:bidi="ar"/>
          <w14:textFill>
            <w14:solidFill>
              <w14:schemeClr w14:val="tx1"/>
            </w14:solidFill>
          </w14:textFill>
        </w:rPr>
      </w:pPr>
      <w:r>
        <w:rPr>
          <w:rFonts w:hint="eastAsia" w:ascii="仿宋_GB2312" w:hAnsi="仿宋" w:eastAsia="仿宋_GB2312" w:cs="仿宋"/>
          <w:kern w:val="0"/>
          <w:sz w:val="32"/>
          <w:szCs w:val="32"/>
          <w:lang w:bidi="ar"/>
        </w:rPr>
        <w:t>高邑县自然资源和规划局就耕地占补平衡项目制定的业务管理制度，对申请立项条件、申报程序、实施与验收、部门职责与管护，做出了相应的管理要求。</w:t>
      </w:r>
      <w:r>
        <w:rPr>
          <w:rFonts w:hint="eastAsia" w:ascii="仿宋_GB2312" w:hAnsi="仿宋" w:eastAsia="仿宋_GB2312" w:cs="仿宋"/>
          <w:color w:val="000000" w:themeColor="text1"/>
          <w:kern w:val="0"/>
          <w:sz w:val="32"/>
          <w:szCs w:val="32"/>
          <w:lang w:bidi="ar"/>
          <w14:textFill>
            <w14:solidFill>
              <w14:schemeClr w14:val="tx1"/>
            </w14:solidFill>
          </w14:textFill>
        </w:rPr>
        <w:t>该项指标绩效评价得分2分（基础分2分）。</w:t>
      </w:r>
    </w:p>
    <w:p>
      <w:pPr>
        <w:widowControl/>
        <w:spacing w:line="620" w:lineRule="exact"/>
        <w:ind w:firstLine="640" w:firstLineChars="200"/>
        <w:outlineLvl w:val="2"/>
        <w:rPr>
          <w:rFonts w:ascii="仿宋_GB2312" w:hAnsi="仿宋" w:eastAsia="仿宋_GB2312" w:cs="仿宋"/>
          <w:color w:val="000000" w:themeColor="text1"/>
          <w:kern w:val="0"/>
          <w:sz w:val="32"/>
          <w:szCs w:val="32"/>
          <w:lang w:bidi="ar"/>
          <w14:textFill>
            <w14:solidFill>
              <w14:schemeClr w14:val="tx1"/>
            </w14:solidFill>
          </w14:textFill>
        </w:rPr>
      </w:pPr>
      <w:r>
        <w:rPr>
          <w:rFonts w:hint="eastAsia" w:ascii="仿宋_GB2312" w:hAnsi="仿宋" w:eastAsia="仿宋_GB2312" w:cs="仿宋"/>
          <w:color w:val="000000" w:themeColor="text1"/>
          <w:kern w:val="0"/>
          <w:sz w:val="32"/>
          <w:szCs w:val="32"/>
          <w:lang w:bidi="ar"/>
          <w14:textFill>
            <w14:solidFill>
              <w14:schemeClr w14:val="tx1"/>
            </w14:solidFill>
          </w14:textFill>
        </w:rPr>
        <w:t>（2）项目采购过程合规性</w:t>
      </w:r>
    </w:p>
    <w:p>
      <w:pPr>
        <w:widowControl/>
        <w:spacing w:line="620" w:lineRule="exact"/>
        <w:ind w:firstLine="640" w:firstLineChars="200"/>
        <w:outlineLvl w:val="2"/>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根据高邑县人民政府下达的关于耕地占补平衡项目的立项及项目实施办法批复（高政函〔2019〕26号）中“二、县国土资源局参照有关规定，编写并公开发布相关公告，以竞争性方式确定项目施工企业。……按照‘工期合理、质量合格、价格最低’的原则，由县国土资源局确定施工单位，报政府批准确认。”</w:t>
      </w:r>
    </w:p>
    <w:p>
      <w:pPr>
        <w:widowControl/>
        <w:spacing w:line="620" w:lineRule="exact"/>
        <w:ind w:firstLine="640" w:firstLineChars="200"/>
        <w:outlineLvl w:val="2"/>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2018年9月24日，高邑县国土资源局发放了关于耕地占补平衡项目以竞争性方式确定施工企业的公告，明确了报名要求、时间及施工标准等信息。2018年10月7日，报名企业将《竞争性确定施工企业文件》交至高邑县国土资源局。</w:t>
      </w:r>
    </w:p>
    <w:p>
      <w:pPr>
        <w:widowControl/>
        <w:spacing w:line="620" w:lineRule="exact"/>
        <w:ind w:firstLine="640" w:firstLineChars="200"/>
        <w:outlineLvl w:val="2"/>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根据高邑县人民政府下达的关于耕地占补平衡项目确定施工单位、施工金额等事宜的批复中，确定耕地占补平衡项目施工单位为河北达旭建筑工程有限公司。</w:t>
      </w:r>
    </w:p>
    <w:p>
      <w:pPr>
        <w:widowControl/>
        <w:spacing w:line="620" w:lineRule="exact"/>
        <w:ind w:firstLine="640" w:firstLineChars="200"/>
        <w:outlineLvl w:val="2"/>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采购执行过程符合相关制度的要求，但留存资料不完整。该项指标绩效评价得分2分（基础分3分）。</w:t>
      </w:r>
    </w:p>
    <w:p>
      <w:pPr>
        <w:widowControl/>
        <w:spacing w:line="620" w:lineRule="exact"/>
        <w:ind w:firstLine="640" w:firstLineChars="200"/>
        <w:outlineLvl w:val="2"/>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（3）管理有效性</w:t>
      </w:r>
    </w:p>
    <w:p>
      <w:pPr>
        <w:widowControl/>
        <w:spacing w:line="620" w:lineRule="exact"/>
        <w:ind w:firstLine="640" w:firstLineChars="200"/>
        <w:outlineLvl w:val="2"/>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经查看，高邑县国土资源局与河北达旭建筑工程有限公司签订的施工合同，高邑县自然资源和规划局与石家庄市土地开发中心签订的竣工图测量及耕地质量重估工作合同、设计组卷合同、工程复核合同，与河北省地矿局第六地质大队签订的项目设计与预算编制合同、技术服务合同内容完整、合法。由于施工期时间短，施工期仅与各单位形成口头协议，待项目完工结算后，按结算价与各单位签订纸质合同导致部</w:t>
      </w:r>
      <w:r>
        <w:rPr>
          <w:rFonts w:hint="eastAsia" w:ascii="仿宋_GB2312" w:hAnsi="仿宋" w:eastAsia="仿宋_GB2312" w:cs="仿宋"/>
          <w:kern w:val="0"/>
          <w:sz w:val="32"/>
          <w:szCs w:val="32"/>
          <w:lang w:val="en-US" w:eastAsia="zh-CN" w:bidi="ar"/>
        </w:rPr>
        <w:t>分</w:t>
      </w:r>
      <w:r>
        <w:rPr>
          <w:rFonts w:hint="eastAsia" w:ascii="仿宋_GB2312" w:hAnsi="仿宋" w:eastAsia="仿宋_GB2312" w:cs="仿宋"/>
          <w:kern w:val="0"/>
          <w:sz w:val="32"/>
          <w:szCs w:val="32"/>
          <w:lang w:bidi="ar"/>
        </w:rPr>
        <w:t>合同签订日期晚于项目实施期。该项指标绩效评价得分1分（基础分2分）。</w:t>
      </w:r>
    </w:p>
    <w:p>
      <w:pPr>
        <w:widowControl/>
        <w:spacing w:line="620" w:lineRule="exact"/>
        <w:ind w:firstLine="640" w:firstLineChars="200"/>
        <w:outlineLvl w:val="2"/>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（4）项目质量可控性</w:t>
      </w:r>
    </w:p>
    <w:p>
      <w:pPr>
        <w:widowControl/>
        <w:spacing w:line="620" w:lineRule="exact"/>
        <w:ind w:firstLine="640" w:firstLineChars="200"/>
        <w:outlineLvl w:val="2"/>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高邑县自然资源和规划局未制定耕地占补平衡项目相应的质量要求或标准。项目单位未与监理单位合作对该工程的实施进行监督与管理。耕地占补平衡项目整体已完工，验收工作已完成。该项指标绩效评价得分2分（基础分3分）。</w:t>
      </w:r>
    </w:p>
    <w:p>
      <w:pPr>
        <w:widowControl/>
        <w:spacing w:line="620" w:lineRule="exact"/>
        <w:ind w:firstLine="640" w:firstLineChars="200"/>
        <w:outlineLvl w:val="2"/>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（5）信息公示公开</w:t>
      </w:r>
    </w:p>
    <w:p>
      <w:pPr>
        <w:widowControl/>
        <w:spacing w:line="620" w:lineRule="exact"/>
        <w:ind w:firstLine="640" w:firstLineChars="200"/>
        <w:outlineLvl w:val="2"/>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高邑县国土资源局在耕地占补平衡项目实施地进行了公开公示。该项指标绩效评价得分1分（基础分1分）。</w:t>
      </w:r>
    </w:p>
    <w:p>
      <w:pPr>
        <w:widowControl/>
        <w:spacing w:line="620" w:lineRule="exact"/>
        <w:ind w:firstLine="640" w:firstLineChars="200"/>
        <w:outlineLvl w:val="2"/>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综上所述，“业务管理”该项指标绩效评价得分8分（基础分11分）。</w:t>
      </w:r>
    </w:p>
    <w:p>
      <w:pPr>
        <w:spacing w:line="620" w:lineRule="exact"/>
        <w:ind w:firstLine="643" w:firstLineChars="200"/>
        <w:outlineLvl w:val="2"/>
        <w:rPr>
          <w:rFonts w:ascii="仿宋_GB2312" w:hAnsi="仿宋" w:eastAsia="仿宋_GB2312" w:cs="仿宋"/>
          <w:b/>
          <w:bCs/>
          <w:kern w:val="0"/>
          <w:sz w:val="32"/>
          <w:szCs w:val="32"/>
          <w:lang w:bidi="ar"/>
        </w:rPr>
      </w:pPr>
      <w:r>
        <w:rPr>
          <w:rFonts w:hint="eastAsia" w:ascii="仿宋_GB2312" w:hAnsi="仿宋" w:eastAsia="仿宋_GB2312" w:cs="仿宋"/>
          <w:b/>
          <w:bCs/>
          <w:kern w:val="0"/>
          <w:sz w:val="32"/>
          <w:szCs w:val="32"/>
          <w:lang w:bidi="ar"/>
        </w:rPr>
        <w:t>2.财务管理方面</w:t>
      </w:r>
    </w:p>
    <w:p>
      <w:pPr>
        <w:pStyle w:val="11"/>
        <w:widowControl/>
        <w:spacing w:line="620" w:lineRule="exact"/>
        <w:ind w:left="142" w:firstLine="64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（1）管理制度健全性</w:t>
      </w:r>
    </w:p>
    <w:p>
      <w:pPr>
        <w:pStyle w:val="11"/>
        <w:widowControl/>
        <w:spacing w:line="620" w:lineRule="exact"/>
        <w:ind w:left="142" w:firstLine="64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2019年1月10日，高邑县自然资源和规划局《关于印发&lt;党组议事制度&gt;及机关各项制度的通知》中制定了财务管理制度，对专项资金范围、管理和监督做了相应的管理制度。2019年1月高邑县自然资源和规划局制定了《专项资金管理制度》，明确了专项资金的管理流程及监管制度。该项指标绩效评价得分3分（基础分3分）。</w:t>
      </w:r>
    </w:p>
    <w:p>
      <w:pPr>
        <w:pStyle w:val="11"/>
        <w:widowControl/>
        <w:spacing w:line="620" w:lineRule="exact"/>
        <w:ind w:left="142" w:firstLine="64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（2）资金使用合规性</w:t>
      </w:r>
    </w:p>
    <w:p>
      <w:pPr>
        <w:pStyle w:val="11"/>
        <w:widowControl/>
        <w:spacing w:line="620" w:lineRule="exact"/>
        <w:ind w:left="142" w:firstLine="64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资金拨付时由施工单位提交支付申请，党组织会议纪要（高自然纪[2019]14号）中对耕地占补平衡项目资金拨付进行了审批，领导在发票上签字后支付相应款项，资金拨付时有较完整的审批程序和手续；资金使用符合预算批复和合同规定用途。不存在截留、挤占、挪用等情况。该项指标绩效评价得分7分（基础分7分）。</w:t>
      </w:r>
    </w:p>
    <w:p>
      <w:pPr>
        <w:pStyle w:val="11"/>
        <w:widowControl/>
        <w:spacing w:line="620" w:lineRule="exact"/>
        <w:ind w:left="142" w:firstLine="64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（3）财务监控有效性</w:t>
      </w:r>
    </w:p>
    <w:p>
      <w:pPr>
        <w:pStyle w:val="11"/>
        <w:widowControl/>
        <w:spacing w:line="620" w:lineRule="exact"/>
        <w:ind w:left="142" w:firstLine="64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资金拨付时由施工单位提交支付申请，领导在发票上签字后支付相应款项，以上情况表明财务监控机制较健全，管控措施较有效。该项指标绩效评价得分3分（基础分3分）。</w:t>
      </w:r>
    </w:p>
    <w:p>
      <w:pPr>
        <w:pStyle w:val="11"/>
        <w:widowControl/>
        <w:spacing w:line="620" w:lineRule="exact"/>
        <w:ind w:left="142" w:firstLine="640"/>
        <w:rPr>
          <w:rFonts w:ascii="仿宋_GB2312" w:hAnsi="仿宋" w:eastAsia="仿宋_GB2312" w:cs="仿宋"/>
          <w:kern w:val="0"/>
          <w:sz w:val="32"/>
          <w:szCs w:val="32"/>
          <w:highlight w:val="yellow"/>
          <w:lang w:bidi="ar"/>
        </w:rPr>
      </w:pPr>
      <w:r>
        <w:rPr>
          <w:rFonts w:hint="eastAsia" w:ascii="仿宋_GB2312" w:hAnsi="仿宋" w:eastAsia="仿宋_GB2312" w:cs="仿宋"/>
          <w:kern w:val="0"/>
          <w:sz w:val="32"/>
          <w:szCs w:val="32"/>
          <w:lang w:bidi="ar"/>
        </w:rPr>
        <w:t>综上所述，“财务管理”该项指标绩效评价得分13分（基础分13分）。</w:t>
      </w:r>
    </w:p>
    <w:p>
      <w:pPr>
        <w:adjustRightInd w:val="0"/>
        <w:snapToGrid w:val="0"/>
        <w:spacing w:line="620" w:lineRule="exact"/>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（三）项目产出情况</w:t>
      </w:r>
    </w:p>
    <w:p>
      <w:pPr>
        <w:pStyle w:val="11"/>
        <w:widowControl/>
        <w:spacing w:line="620" w:lineRule="exact"/>
        <w:ind w:left="142" w:firstLine="64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该项指标主要从实际完成情况、完成及时情况、质量达标情况、自评报告完整性情况四个方面对项目产出情况进行评价。本次评价该项指标绩效评价得分40分（基础分40分）。</w:t>
      </w:r>
    </w:p>
    <w:p>
      <w:pPr>
        <w:pStyle w:val="11"/>
        <w:widowControl/>
        <w:spacing w:line="620" w:lineRule="exact"/>
        <w:ind w:left="142" w:firstLine="643"/>
        <w:outlineLvl w:val="2"/>
        <w:rPr>
          <w:rFonts w:ascii="仿宋_GB2312" w:hAnsi="仿宋" w:eastAsia="仿宋_GB2312" w:cs="仿宋"/>
          <w:b/>
          <w:bCs/>
          <w:kern w:val="0"/>
          <w:sz w:val="32"/>
          <w:szCs w:val="32"/>
          <w:lang w:bidi="ar"/>
        </w:rPr>
      </w:pPr>
      <w:r>
        <w:rPr>
          <w:rFonts w:hint="eastAsia" w:ascii="仿宋_GB2312" w:hAnsi="仿宋" w:eastAsia="仿宋_GB2312" w:cs="仿宋"/>
          <w:b/>
          <w:bCs/>
          <w:kern w:val="0"/>
          <w:sz w:val="32"/>
          <w:szCs w:val="32"/>
          <w:lang w:bidi="ar"/>
        </w:rPr>
        <w:t>1.实际完成情况</w:t>
      </w:r>
    </w:p>
    <w:p>
      <w:pPr>
        <w:pStyle w:val="11"/>
        <w:widowControl/>
        <w:spacing w:line="620" w:lineRule="exact"/>
        <w:ind w:left="142" w:firstLine="640"/>
        <w:rPr>
          <w:rFonts w:ascii="仿宋_GB2312" w:hAnsi="仿宋" w:eastAsia="仿宋_GB2312" w:cs="仿宋"/>
          <w:kern w:val="0"/>
          <w:sz w:val="32"/>
          <w:szCs w:val="32"/>
          <w:highlight w:val="yellow"/>
          <w:lang w:bidi="ar"/>
        </w:rPr>
      </w:pPr>
      <w:r>
        <w:rPr>
          <w:rFonts w:hint="eastAsia" w:ascii="仿宋_GB2312" w:hAnsi="仿宋" w:eastAsia="仿宋_GB2312" w:cs="仿宋"/>
          <w:kern w:val="0"/>
          <w:sz w:val="32"/>
          <w:szCs w:val="32"/>
          <w:lang w:bidi="ar"/>
        </w:rPr>
        <w:t>关于“高邑县自主开发耕地占补平衡项目（奖补项目）”和“高邑县第三批（自主开发）耕地占补平衡项目（奖补项目）”立项及项目实施办法的申请》（高国土[2018]11号）中该项目建设规模为1.7527公顷，2019年6月19日，高邑县人民政府对该请示进行批复。2018年11月15日，高邑县人民政府对《第三批自行开垦未利用地认做新增耕地初级核查评定意见》（高政函[2018]46号）中自行开垦耕地总面积为1.7527公顷，该项目已按计划完成建设任务。该项指标绩效评价得分15分（基础分15分）。</w:t>
      </w:r>
    </w:p>
    <w:p>
      <w:pPr>
        <w:pStyle w:val="11"/>
        <w:widowControl/>
        <w:spacing w:line="620" w:lineRule="exact"/>
        <w:ind w:firstLine="643"/>
        <w:outlineLvl w:val="2"/>
        <w:rPr>
          <w:rFonts w:ascii="仿宋_GB2312" w:hAnsi="仿宋" w:eastAsia="仿宋_GB2312" w:cs="仿宋"/>
          <w:b/>
          <w:bCs/>
          <w:kern w:val="0"/>
          <w:sz w:val="32"/>
          <w:szCs w:val="32"/>
          <w:lang w:bidi="ar"/>
        </w:rPr>
      </w:pPr>
      <w:r>
        <w:rPr>
          <w:rFonts w:hint="eastAsia" w:ascii="仿宋_GB2312" w:hAnsi="仿宋" w:eastAsia="仿宋_GB2312" w:cs="仿宋"/>
          <w:b/>
          <w:bCs/>
          <w:kern w:val="0"/>
          <w:sz w:val="32"/>
          <w:szCs w:val="32"/>
          <w:lang w:bidi="ar"/>
        </w:rPr>
        <w:t>2.完成及时情况</w:t>
      </w:r>
    </w:p>
    <w:p>
      <w:pPr>
        <w:pStyle w:val="11"/>
        <w:widowControl/>
        <w:spacing w:line="620" w:lineRule="exact"/>
        <w:ind w:firstLine="640"/>
        <w:rPr>
          <w:rFonts w:ascii="仿宋_GB2312" w:hAnsi="仿宋" w:eastAsia="仿宋_GB2312" w:cs="仿宋"/>
          <w:kern w:val="0"/>
          <w:sz w:val="32"/>
          <w:szCs w:val="32"/>
          <w:highlight w:val="yellow"/>
          <w:lang w:bidi="ar"/>
        </w:rPr>
      </w:pPr>
      <w:r>
        <w:rPr>
          <w:rFonts w:hint="eastAsia" w:ascii="仿宋_GB2312" w:hAnsi="仿宋" w:eastAsia="仿宋_GB2312" w:cs="仿宋"/>
          <w:kern w:val="0"/>
          <w:sz w:val="32"/>
          <w:szCs w:val="32"/>
          <w:lang w:bidi="ar"/>
        </w:rPr>
        <w:t>高邑县国土资源局与河北达旭建筑工程有限公司签订的施工合同协议书中合同工期为：2018年10月10日至2018年11月10日，根据河北达旭建筑工程有限公司提交的完工验收申请，耕地占补平衡项目已于2018年11月10日前完工，工程完成日期符合合同要求，相关人员及时对耕地占补平衡项目进行验收。该项指标绩效评价得分10分（基础分10分）。</w:t>
      </w:r>
    </w:p>
    <w:p>
      <w:pPr>
        <w:pStyle w:val="11"/>
        <w:widowControl/>
        <w:spacing w:line="620" w:lineRule="exact"/>
        <w:ind w:firstLine="643"/>
        <w:outlineLvl w:val="2"/>
        <w:rPr>
          <w:rFonts w:ascii="仿宋_GB2312" w:hAnsi="仿宋" w:eastAsia="仿宋_GB2312" w:cs="仿宋"/>
          <w:b/>
          <w:bCs/>
          <w:kern w:val="0"/>
          <w:sz w:val="32"/>
          <w:szCs w:val="32"/>
          <w:lang w:bidi="ar"/>
        </w:rPr>
      </w:pPr>
      <w:r>
        <w:rPr>
          <w:rFonts w:hint="eastAsia" w:ascii="仿宋_GB2312" w:hAnsi="仿宋" w:eastAsia="仿宋_GB2312" w:cs="仿宋"/>
          <w:b/>
          <w:bCs/>
          <w:kern w:val="0"/>
          <w:sz w:val="32"/>
          <w:szCs w:val="32"/>
          <w:lang w:bidi="ar"/>
        </w:rPr>
        <w:t>3.质量达标情况</w:t>
      </w:r>
    </w:p>
    <w:p>
      <w:pPr>
        <w:pStyle w:val="11"/>
        <w:widowControl/>
        <w:spacing w:line="620" w:lineRule="exact"/>
        <w:ind w:firstLine="640"/>
        <w:outlineLvl w:val="2"/>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2018年11月15日，高邑县人民政府对《第三批自行开垦未利用地认做新增耕地初级核查评定意见》（高政函[2018]46号），灌溉保证率充分满足种植农作物要求，同意核查评定为新增耕地。经现场查看新增耕地已种植农作物，生长良好。该项指标绩效评价得分10分（基础分10分）。</w:t>
      </w:r>
    </w:p>
    <w:p>
      <w:pPr>
        <w:pStyle w:val="11"/>
        <w:widowControl/>
        <w:spacing w:line="620" w:lineRule="exact"/>
        <w:ind w:firstLine="643"/>
        <w:outlineLvl w:val="2"/>
        <w:rPr>
          <w:rFonts w:ascii="仿宋_GB2312" w:hAnsi="仿宋" w:eastAsia="仿宋_GB2312" w:cs="仿宋"/>
          <w:b/>
          <w:bCs/>
          <w:kern w:val="0"/>
          <w:sz w:val="32"/>
          <w:szCs w:val="32"/>
          <w:lang w:bidi="ar"/>
        </w:rPr>
      </w:pPr>
      <w:r>
        <w:rPr>
          <w:rFonts w:hint="eastAsia" w:ascii="仿宋_GB2312" w:hAnsi="仿宋" w:eastAsia="仿宋_GB2312" w:cs="仿宋"/>
          <w:b/>
          <w:bCs/>
          <w:kern w:val="0"/>
          <w:sz w:val="32"/>
          <w:szCs w:val="32"/>
          <w:lang w:bidi="ar"/>
        </w:rPr>
        <w:t>4.自评报告完整性情况</w:t>
      </w:r>
    </w:p>
    <w:p>
      <w:pPr>
        <w:adjustRightInd w:val="0"/>
        <w:snapToGrid w:val="0"/>
        <w:spacing w:line="620" w:lineRule="exact"/>
        <w:ind w:firstLine="640" w:firstLineChars="200"/>
        <w:outlineLvl w:val="1"/>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高邑县自然资源和规划局提供了关于《第三批（自主开发）耕地占卜平衡（奖补项目）》自评报告，含项目基本概况、项目预期绩效目标、自评工作情况、项目执行及绩效实现情况、项目综合评价结论和评价等级、存在的问题及整改措施，且附有县级部门预算项目自评表，项目单位自评报告完整、详细。该项指标绩效评价得分5分（基础分5分）。</w:t>
      </w:r>
    </w:p>
    <w:p>
      <w:pPr>
        <w:adjustRightInd w:val="0"/>
        <w:snapToGrid w:val="0"/>
        <w:spacing w:line="620" w:lineRule="exact"/>
        <w:ind w:firstLine="640" w:firstLineChars="200"/>
        <w:outlineLvl w:val="1"/>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综上所述，“项目产出”该项指标绩效评价得分40分（基础分40分）。</w:t>
      </w:r>
    </w:p>
    <w:p>
      <w:pPr>
        <w:adjustRightInd w:val="0"/>
        <w:snapToGrid w:val="0"/>
        <w:spacing w:line="620" w:lineRule="exact"/>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（四）项目效益情况</w:t>
      </w:r>
    </w:p>
    <w:p>
      <w:pPr>
        <w:widowControl/>
        <w:spacing w:line="620" w:lineRule="exact"/>
        <w:ind w:firstLine="640" w:firstLineChars="20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本项指标主要从经济效益、社会效益、生态效益、可持续影响、社会公众或服务对象满意度等五个方面对项目效益情况进行评价。本次评价该项指标绩效评价得分25分（基础分25分）。</w:t>
      </w:r>
    </w:p>
    <w:p>
      <w:pPr>
        <w:spacing w:line="620" w:lineRule="exact"/>
        <w:ind w:firstLine="640" w:firstLineChars="200"/>
        <w:outlineLvl w:val="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经现场查看、翻阅资料及调查走访发现，耕地占补平衡项目实施对经济发展、社会发展能带来有益影响，未对生态环境造成不良影响，可持续性改善周围居民的生活环境，新增耕地已种植农作物，长势良好，周围群众对本项目实施满意度较高。本次评价该项指标绩效评价得分25分（基础分25分）。</w:t>
      </w:r>
    </w:p>
    <w:p>
      <w:pPr>
        <w:spacing w:line="620" w:lineRule="exact"/>
        <w:ind w:firstLine="640" w:firstLineChars="200"/>
        <w:outlineLvl w:val="0"/>
        <w:rPr>
          <w:rFonts w:ascii="黑体" w:hAnsi="黑体" w:eastAsia="黑体" w:cs="Times New Roman"/>
          <w:sz w:val="32"/>
          <w:szCs w:val="32"/>
        </w:rPr>
      </w:pPr>
      <w:r>
        <w:rPr>
          <w:rFonts w:hint="eastAsia" w:ascii="黑体" w:hAnsi="黑体" w:eastAsia="黑体" w:cs="Times New Roman"/>
          <w:sz w:val="32"/>
          <w:szCs w:val="32"/>
        </w:rPr>
        <w:t>四、项目综合评价结论和评价等级</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根据绩效评价指标及评价标准，对第三批（自主开发）耕地占补平衡项目（奖补项目）进行综合评价，得分97分。评价等级为“优秀”。</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从综合评价得分情况及评价等级上看，用于第三批（自主开发）耕地占补平衡项目（奖补项目）资金整体绩效较好，在资金分配、使用、监管等方面都取得了良好效果，能够实现绩效目标，居民满意度较高。</w:t>
      </w:r>
    </w:p>
    <w:p>
      <w:pPr>
        <w:numPr>
          <w:ilvl w:val="0"/>
          <w:numId w:val="1"/>
        </w:numPr>
        <w:spacing w:line="620" w:lineRule="exact"/>
        <w:ind w:firstLine="640" w:firstLineChars="200"/>
        <w:outlineLvl w:val="0"/>
        <w:rPr>
          <w:rFonts w:ascii="黑体" w:hAnsi="黑体" w:eastAsia="黑体" w:cs="Times New Roman"/>
          <w:sz w:val="32"/>
          <w:szCs w:val="32"/>
        </w:rPr>
      </w:pPr>
      <w:r>
        <w:rPr>
          <w:rFonts w:hint="eastAsia" w:ascii="黑体" w:hAnsi="黑体" w:eastAsia="黑体" w:cs="Times New Roman"/>
          <w:sz w:val="32"/>
          <w:szCs w:val="32"/>
        </w:rPr>
        <w:t>主要问题</w:t>
      </w:r>
    </w:p>
    <w:p>
      <w:pPr>
        <w:widowControl/>
        <w:spacing w:line="620" w:lineRule="exact"/>
        <w:ind w:firstLine="643" w:firstLineChars="200"/>
        <w:outlineLvl w:val="1"/>
        <w:rPr>
          <w:rFonts w:ascii="楷体" w:hAnsi="楷体" w:eastAsia="楷体" w:cs="楷体"/>
          <w:b/>
          <w:bCs/>
          <w:kern w:val="0"/>
          <w:sz w:val="32"/>
          <w:szCs w:val="32"/>
          <w:highlight w:val="yellow"/>
          <w:lang w:bidi="ar"/>
        </w:rPr>
      </w:pPr>
      <w:r>
        <w:rPr>
          <w:rFonts w:hint="eastAsia" w:ascii="楷体" w:hAnsi="楷体" w:eastAsia="楷体" w:cs="楷体"/>
          <w:b/>
          <w:bCs/>
          <w:kern w:val="0"/>
          <w:sz w:val="32"/>
          <w:szCs w:val="32"/>
          <w:lang w:bidi="ar"/>
        </w:rPr>
        <w:t>（一）项目管理不规范</w:t>
      </w:r>
    </w:p>
    <w:p>
      <w:pPr>
        <w:widowControl/>
        <w:spacing w:line="620" w:lineRule="exact"/>
        <w:ind w:firstLine="640" w:firstLineChars="200"/>
        <w:outlineLvl w:val="1"/>
        <w:rPr>
          <w:rFonts w:ascii="仿宋" w:hAnsi="仿宋" w:eastAsia="仿宋" w:cs="仿宋"/>
          <w:kern w:val="0"/>
          <w:sz w:val="32"/>
          <w:szCs w:val="32"/>
          <w:lang w:bidi="ar"/>
        </w:rPr>
      </w:pPr>
      <w:r>
        <w:rPr>
          <w:rFonts w:hint="eastAsia" w:ascii="仿宋" w:hAnsi="仿宋" w:eastAsia="仿宋" w:cs="仿宋"/>
          <w:kern w:val="0"/>
          <w:sz w:val="32"/>
          <w:szCs w:val="32"/>
          <w:lang w:bidi="ar"/>
        </w:rPr>
        <w:t>1、项目单位采购程序资料丢失，无竞争性确定施工企业环节中各企业递交相关资料的原件。</w:t>
      </w:r>
    </w:p>
    <w:p>
      <w:pPr>
        <w:widowControl/>
        <w:spacing w:line="620" w:lineRule="exact"/>
        <w:ind w:firstLine="640" w:firstLineChars="200"/>
        <w:outlineLvl w:val="1"/>
        <w:rPr>
          <w:rFonts w:ascii="仿宋" w:hAnsi="仿宋" w:eastAsia="仿宋" w:cs="仿宋"/>
          <w:kern w:val="0"/>
          <w:sz w:val="32"/>
          <w:szCs w:val="32"/>
          <w:lang w:bidi="ar"/>
        </w:rPr>
      </w:pPr>
      <w:r>
        <w:rPr>
          <w:rFonts w:hint="eastAsia" w:ascii="仿宋" w:hAnsi="仿宋" w:eastAsia="仿宋" w:cs="仿宋"/>
          <w:kern w:val="0"/>
          <w:sz w:val="32"/>
          <w:szCs w:val="32"/>
          <w:lang w:bidi="ar"/>
        </w:rPr>
        <w:t>2、项目单位未与监理单位合作，未对该工程的实施进行监督与管理。</w:t>
      </w:r>
    </w:p>
    <w:p>
      <w:pPr>
        <w:widowControl/>
        <w:spacing w:line="620" w:lineRule="exact"/>
        <w:ind w:firstLine="643" w:firstLineChars="200"/>
        <w:outlineLvl w:val="1"/>
        <w:rPr>
          <w:rFonts w:ascii="楷体" w:hAnsi="楷体" w:eastAsia="楷体" w:cs="楷体"/>
          <w:b/>
          <w:bCs/>
          <w:kern w:val="0"/>
          <w:sz w:val="32"/>
          <w:szCs w:val="32"/>
          <w:lang w:bidi="ar"/>
        </w:rPr>
      </w:pPr>
      <w:r>
        <w:rPr>
          <w:rFonts w:hint="eastAsia" w:ascii="楷体" w:hAnsi="楷体" w:eastAsia="楷体" w:cs="楷体"/>
          <w:b/>
          <w:bCs/>
          <w:kern w:val="0"/>
          <w:sz w:val="32"/>
          <w:szCs w:val="32"/>
          <w:lang w:bidi="ar"/>
        </w:rPr>
        <w:t>（二）合同签订日期晚于项目实施期</w:t>
      </w:r>
    </w:p>
    <w:p>
      <w:pPr>
        <w:widowControl/>
        <w:spacing w:line="620" w:lineRule="exact"/>
        <w:ind w:firstLine="640" w:firstLineChars="200"/>
        <w:rPr>
          <w:rFonts w:ascii="仿宋" w:hAnsi="仿宋" w:eastAsia="仿宋" w:cs="仿宋"/>
          <w:b/>
          <w:bCs/>
          <w:kern w:val="0"/>
          <w:sz w:val="32"/>
          <w:szCs w:val="32"/>
          <w:lang w:bidi="ar"/>
        </w:rPr>
      </w:pPr>
      <w:r>
        <w:rPr>
          <w:rFonts w:hint="eastAsia" w:ascii="仿宋" w:hAnsi="仿宋" w:eastAsia="仿宋" w:cs="仿宋"/>
          <w:kern w:val="0"/>
          <w:sz w:val="32"/>
          <w:szCs w:val="32"/>
          <w:lang w:bidi="ar"/>
        </w:rPr>
        <w:t>经查看有关资料，项目于2018年11月15日完成验收，2019年7月12日，高邑县自然资源和规划局与河北省地矿局第六地质大队签订项目设计与预算编制合同；2019年10月10日，</w:t>
      </w:r>
      <w:bookmarkStart w:id="2" w:name="_Hlk56522741"/>
      <w:r>
        <w:rPr>
          <w:rFonts w:hint="eastAsia" w:ascii="仿宋" w:hAnsi="仿宋" w:eastAsia="仿宋" w:cs="仿宋"/>
          <w:kern w:val="0"/>
          <w:sz w:val="32"/>
          <w:szCs w:val="32"/>
          <w:lang w:bidi="ar"/>
        </w:rPr>
        <w:t>高邑县自然资源和规划局与</w:t>
      </w:r>
      <w:bookmarkEnd w:id="2"/>
      <w:r>
        <w:rPr>
          <w:rFonts w:hint="eastAsia" w:ascii="仿宋" w:hAnsi="仿宋" w:eastAsia="仿宋" w:cs="仿宋"/>
          <w:kern w:val="0"/>
          <w:sz w:val="32"/>
          <w:szCs w:val="32"/>
          <w:lang w:bidi="ar"/>
        </w:rPr>
        <w:t>石家庄市土地开发中心签订的竣工图测量及耕地质量重估工作合同、设计组卷合同、工程复核合同，与河北省地矿局第六地质大队签订的技术服务合同，签订日期均晚于项目实施期。</w:t>
      </w:r>
    </w:p>
    <w:p>
      <w:pPr>
        <w:spacing w:line="620" w:lineRule="exact"/>
        <w:ind w:firstLine="640" w:firstLineChars="200"/>
        <w:outlineLvl w:val="0"/>
        <w:rPr>
          <w:rFonts w:ascii="黑体" w:hAnsi="黑体" w:eastAsia="黑体" w:cs="Times New Roman"/>
          <w:sz w:val="32"/>
          <w:szCs w:val="32"/>
        </w:rPr>
      </w:pPr>
      <w:r>
        <w:rPr>
          <w:rFonts w:hint="eastAsia" w:ascii="黑体" w:hAnsi="黑体" w:eastAsia="黑体" w:cs="Times New Roman"/>
          <w:sz w:val="32"/>
          <w:szCs w:val="32"/>
        </w:rPr>
        <w:t>六、整改措施</w:t>
      </w:r>
    </w:p>
    <w:p>
      <w:pPr>
        <w:widowControl/>
        <w:spacing w:line="620" w:lineRule="exact"/>
        <w:ind w:firstLine="640" w:firstLineChars="200"/>
        <w:outlineLvl w:val="1"/>
        <w:rPr>
          <w:rFonts w:ascii="楷体_GB2312" w:hAnsi="楷体_GB2312" w:eastAsia="楷体_GB2312" w:cs="Times New Roman"/>
          <w:sz w:val="32"/>
          <w:szCs w:val="32"/>
        </w:rPr>
      </w:pPr>
      <w:r>
        <w:rPr>
          <w:rFonts w:hint="eastAsia" w:ascii="楷体_GB2312" w:hAnsi="楷体_GB2312" w:eastAsia="楷体_GB2312" w:cs="Times New Roman"/>
          <w:sz w:val="32"/>
          <w:szCs w:val="32"/>
        </w:rPr>
        <w:t>（一）关于采购过程中资料留存不完善问题</w:t>
      </w:r>
    </w:p>
    <w:p>
      <w:pPr>
        <w:widowControl/>
        <w:spacing w:line="620" w:lineRule="exact"/>
        <w:ind w:firstLine="640" w:firstLineChars="200"/>
        <w:outlineLvl w:val="1"/>
        <w:rPr>
          <w:rFonts w:ascii="仿宋" w:hAnsi="仿宋" w:eastAsia="仿宋" w:cs="仿宋"/>
          <w:kern w:val="0"/>
          <w:sz w:val="32"/>
          <w:szCs w:val="32"/>
          <w:lang w:bidi="ar"/>
        </w:rPr>
      </w:pPr>
      <w:r>
        <w:rPr>
          <w:rFonts w:hint="eastAsia" w:ascii="仿宋" w:hAnsi="仿宋" w:eastAsia="仿宋" w:cs="仿宋"/>
          <w:kern w:val="0"/>
          <w:sz w:val="32"/>
          <w:szCs w:val="32"/>
          <w:lang w:bidi="ar"/>
        </w:rPr>
        <w:t>项目单位应认真学习《中华人民共和国档案法》等有关法律法规，确保应该留存的资料全部留存。</w:t>
      </w:r>
    </w:p>
    <w:p>
      <w:pPr>
        <w:widowControl/>
        <w:spacing w:line="620" w:lineRule="exact"/>
        <w:ind w:firstLine="640" w:firstLineChars="200"/>
        <w:outlineLvl w:val="1"/>
        <w:rPr>
          <w:rFonts w:ascii="楷体_GB2312" w:hAnsi="楷体_GB2312" w:eastAsia="楷体_GB2312" w:cs="Times New Roman"/>
          <w:sz w:val="32"/>
          <w:szCs w:val="32"/>
        </w:rPr>
      </w:pPr>
      <w:r>
        <w:rPr>
          <w:rFonts w:hint="eastAsia" w:ascii="楷体_GB2312" w:hAnsi="楷体_GB2312" w:eastAsia="楷体_GB2312" w:cs="Times New Roman"/>
          <w:sz w:val="32"/>
          <w:szCs w:val="32"/>
        </w:rPr>
        <w:t>（二）关于合同签订日期晚于项目实施期的问题</w:t>
      </w:r>
    </w:p>
    <w:p>
      <w:pPr>
        <w:widowControl/>
        <w:spacing w:line="620" w:lineRule="exact"/>
        <w:ind w:firstLine="640" w:firstLineChars="200"/>
        <w:outlineLvl w:val="1"/>
        <w:rPr>
          <w:rFonts w:ascii="仿宋" w:hAnsi="仿宋" w:eastAsia="仿宋" w:cs="仿宋"/>
          <w:kern w:val="0"/>
          <w:sz w:val="32"/>
          <w:szCs w:val="32"/>
          <w:lang w:bidi="ar"/>
        </w:rPr>
      </w:pPr>
      <w:r>
        <w:rPr>
          <w:rFonts w:hint="eastAsia" w:ascii="仿宋" w:hAnsi="仿宋" w:eastAsia="仿宋" w:cs="仿宋"/>
          <w:kern w:val="0"/>
          <w:sz w:val="32"/>
          <w:szCs w:val="32"/>
          <w:lang w:bidi="ar"/>
        </w:rPr>
        <w:t>项目单位应认真学习《中华人民共和国民法典》等有关法律法规，确保及时签订相关合同。</w:t>
      </w:r>
    </w:p>
    <w:p>
      <w:pPr>
        <w:widowControl/>
        <w:spacing w:line="620" w:lineRule="exact"/>
        <w:ind w:firstLine="640" w:firstLineChars="200"/>
        <w:outlineLvl w:val="1"/>
        <w:rPr>
          <w:rFonts w:ascii="楷体_GB2312" w:hAnsi="楷体_GB2312" w:eastAsia="楷体_GB2312" w:cs="Times New Roman"/>
          <w:sz w:val="32"/>
          <w:szCs w:val="32"/>
        </w:rPr>
      </w:pPr>
      <w:r>
        <w:rPr>
          <w:rFonts w:hint="eastAsia" w:ascii="楷体_GB2312" w:hAnsi="楷体_GB2312" w:eastAsia="楷体_GB2312" w:cs="Times New Roman"/>
          <w:sz w:val="32"/>
          <w:szCs w:val="32"/>
        </w:rPr>
        <w:t>（三）关于项目实施中，没有聘请监理公司的问题</w:t>
      </w:r>
    </w:p>
    <w:p>
      <w:pPr>
        <w:widowControl/>
        <w:spacing w:line="620" w:lineRule="exact"/>
        <w:ind w:firstLine="640" w:firstLineChars="200"/>
        <w:outlineLvl w:val="1"/>
        <w:rPr>
          <w:rFonts w:ascii="仿宋" w:hAnsi="仿宋" w:eastAsia="仿宋" w:cs="仿宋"/>
          <w:kern w:val="0"/>
          <w:sz w:val="32"/>
          <w:szCs w:val="32"/>
          <w:lang w:bidi="ar"/>
        </w:rPr>
      </w:pPr>
      <w:r>
        <w:rPr>
          <w:rFonts w:hint="eastAsia" w:ascii="仿宋" w:hAnsi="仿宋" w:eastAsia="仿宋" w:cs="仿宋"/>
          <w:kern w:val="0"/>
          <w:sz w:val="32"/>
          <w:szCs w:val="32"/>
          <w:lang w:bidi="ar"/>
        </w:rPr>
        <w:t>项目单位应认真学习有关规定，确保在以后项目实施过程中，聘请有资质的监理公司全程开展活动，</w:t>
      </w:r>
      <w:r>
        <w:rPr>
          <w:rFonts w:hint="eastAsia" w:ascii="仿宋_GB2312" w:hAnsi="Times New Roman" w:eastAsia="仿宋_GB2312" w:cs="Times New Roman"/>
          <w:sz w:val="32"/>
          <w:szCs w:val="32"/>
        </w:rPr>
        <w:t>有效地规范各承建单位的建设行为，最大限度地避免不当建设行为的发生。</w:t>
      </w:r>
    </w:p>
    <w:p>
      <w:pPr>
        <w:spacing w:line="620" w:lineRule="exact"/>
        <w:ind w:firstLine="640" w:firstLineChars="200"/>
        <w:rPr>
          <w:rFonts w:ascii="仿宋_GB2312" w:hAnsi="Times New Roman" w:eastAsia="仿宋_GB2312" w:cs="Times New Roman"/>
          <w:sz w:val="32"/>
          <w:szCs w:val="32"/>
          <w:highlight w:val="yellow"/>
        </w:rPr>
      </w:pPr>
    </w:p>
    <w:p>
      <w:pPr>
        <w:spacing w:line="620" w:lineRule="exact"/>
        <w:ind w:firstLine="640" w:firstLineChars="200"/>
        <w:rPr>
          <w:rFonts w:ascii="仿宋_GB2312" w:hAnsi="Times New Roman" w:eastAsia="仿宋_GB2312" w:cs="Times New Roman"/>
          <w:sz w:val="32"/>
          <w:szCs w:val="32"/>
          <w:highlight w:val="yellow"/>
        </w:rPr>
      </w:pPr>
    </w:p>
    <w:p>
      <w:pPr>
        <w:adjustRightInd w:val="0"/>
        <w:spacing w:line="620" w:lineRule="exact"/>
        <w:ind w:firstLine="640" w:firstLineChars="200"/>
        <w:outlineLvl w:val="0"/>
        <w:rPr>
          <w:rFonts w:ascii="仿宋_GB2312" w:hAnsi="宋体" w:eastAsia="仿宋_GB2312" w:cs="Times New Roman"/>
          <w:sz w:val="32"/>
          <w:szCs w:val="32"/>
        </w:rPr>
      </w:pPr>
      <w:r>
        <w:rPr>
          <w:rFonts w:hint="eastAsia" w:ascii="仿宋_GB2312" w:hAnsi="宋体" w:eastAsia="仿宋_GB2312" w:cs="Times New Roman"/>
          <w:sz w:val="32"/>
          <w:szCs w:val="32"/>
        </w:rPr>
        <w:t>附件：第三批（自主开发）耕地占补平衡项目（奖补项目）绩效评价指标表</w:t>
      </w:r>
    </w:p>
    <w:p>
      <w:pPr>
        <w:widowControl/>
        <w:spacing w:line="620" w:lineRule="exact"/>
        <w:ind w:firstLine="640" w:firstLineChars="200"/>
        <w:rPr>
          <w:rFonts w:ascii="仿宋" w:hAnsi="仿宋" w:eastAsia="仿宋" w:cs="仿宋"/>
          <w:kern w:val="0"/>
          <w:sz w:val="32"/>
          <w:szCs w:val="32"/>
          <w:highlight w:val="yellow"/>
          <w:lang w:bidi="ar"/>
        </w:rPr>
      </w:pPr>
    </w:p>
    <w:p>
      <w:pPr>
        <w:widowControl/>
        <w:spacing w:line="620" w:lineRule="exact"/>
        <w:ind w:firstLine="640" w:firstLineChars="200"/>
        <w:rPr>
          <w:rFonts w:ascii="仿宋" w:hAnsi="仿宋" w:eastAsia="仿宋" w:cs="仿宋"/>
          <w:kern w:val="0"/>
          <w:sz w:val="32"/>
          <w:szCs w:val="32"/>
          <w:highlight w:val="yellow"/>
          <w:lang w:bidi="ar"/>
        </w:rPr>
      </w:pPr>
    </w:p>
    <w:p>
      <w:pPr>
        <w:widowControl/>
        <w:spacing w:line="620" w:lineRule="exact"/>
        <w:ind w:firstLine="640" w:firstLineChars="200"/>
        <w:rPr>
          <w:rFonts w:ascii="仿宋" w:hAnsi="仿宋" w:eastAsia="仿宋" w:cs="仿宋"/>
          <w:kern w:val="0"/>
          <w:sz w:val="32"/>
          <w:szCs w:val="32"/>
          <w:highlight w:val="yellow"/>
          <w:lang w:bidi="ar"/>
        </w:rPr>
      </w:pPr>
    </w:p>
    <w:p>
      <w:pPr>
        <w:widowControl/>
        <w:spacing w:line="620" w:lineRule="exact"/>
        <w:ind w:firstLine="640" w:firstLineChars="200"/>
        <w:rPr>
          <w:rFonts w:ascii="仿宋" w:hAnsi="仿宋" w:eastAsia="仿宋" w:cs="仿宋"/>
          <w:kern w:val="0"/>
          <w:sz w:val="32"/>
          <w:szCs w:val="32"/>
          <w:highlight w:val="yellow"/>
          <w:lang w:bidi="ar"/>
        </w:rPr>
      </w:pPr>
    </w:p>
    <w:p>
      <w:pPr>
        <w:adjustRightInd w:val="0"/>
        <w:snapToGrid w:val="0"/>
        <w:spacing w:line="620" w:lineRule="exact"/>
        <w:ind w:firstLine="640" w:firstLineChars="200"/>
        <w:rPr>
          <w:rFonts w:ascii="宋体" w:hAnsi="宋体" w:cs="MingLiU"/>
          <w:snapToGrid w:val="0"/>
          <w:sz w:val="24"/>
        </w:rPr>
      </w:pPr>
      <w:r>
        <w:rPr>
          <w:rFonts w:hint="eastAsia" w:ascii="仿宋" w:hAnsi="仿宋" w:eastAsia="仿宋" w:cs="MingLiU"/>
          <w:snapToGrid w:val="0"/>
          <w:sz w:val="32"/>
          <w:szCs w:val="32"/>
        </w:rPr>
        <w:t>石家庄中基会计师事务所</w:t>
      </w:r>
      <w:r>
        <w:rPr>
          <w:rFonts w:hint="eastAsia" w:ascii="宋体" w:hAnsi="宋体"/>
          <w:snapToGrid w:val="0"/>
          <w:sz w:val="24"/>
        </w:rPr>
        <w:t xml:space="preserve">       </w:t>
      </w:r>
      <w:r>
        <w:rPr>
          <w:rFonts w:hint="eastAsia" w:ascii="仿宋" w:hAnsi="仿宋" w:eastAsia="仿宋" w:cs="MingLiU"/>
          <w:snapToGrid w:val="0"/>
          <w:sz w:val="32"/>
          <w:szCs w:val="32"/>
        </w:rPr>
        <w:t>中国注册会计师：</w:t>
      </w:r>
      <w:r>
        <w:rPr>
          <w:rFonts w:hint="eastAsia" w:ascii="宋体" w:hAnsi="宋体" w:cs="MingLiU"/>
          <w:snapToGrid w:val="0"/>
          <w:sz w:val="24"/>
        </w:rPr>
        <w:t xml:space="preserve"> </w:t>
      </w:r>
    </w:p>
    <w:p>
      <w:pPr>
        <w:tabs>
          <w:tab w:val="left" w:pos="4720"/>
        </w:tabs>
        <w:autoSpaceDE w:val="0"/>
        <w:autoSpaceDN w:val="0"/>
        <w:adjustRightInd w:val="0"/>
        <w:snapToGrid w:val="0"/>
        <w:spacing w:line="620" w:lineRule="exact"/>
        <w:ind w:firstLine="480" w:firstLineChars="200"/>
        <w:rPr>
          <w:rFonts w:ascii="仿宋" w:hAnsi="仿宋" w:eastAsia="仿宋" w:cs="MingLiU"/>
          <w:snapToGrid w:val="0"/>
          <w:sz w:val="32"/>
          <w:szCs w:val="32"/>
        </w:rPr>
      </w:pPr>
      <w:r>
        <w:rPr>
          <w:rFonts w:hint="eastAsia" w:ascii="宋体" w:hAnsi="宋体" w:cs="MingLiU"/>
          <w:snapToGrid w:val="0"/>
          <w:sz w:val="24"/>
        </w:rPr>
        <w:t xml:space="preserve">      </w:t>
      </w:r>
      <w:r>
        <w:rPr>
          <w:rFonts w:hint="eastAsia" w:ascii="仿宋" w:hAnsi="仿宋" w:eastAsia="仿宋" w:cs="MingLiU"/>
          <w:snapToGrid w:val="0"/>
          <w:sz w:val="32"/>
          <w:szCs w:val="32"/>
        </w:rPr>
        <w:t>（普通合伙）</w:t>
      </w:r>
    </w:p>
    <w:p>
      <w:pPr>
        <w:tabs>
          <w:tab w:val="left" w:pos="4720"/>
        </w:tabs>
        <w:autoSpaceDE w:val="0"/>
        <w:autoSpaceDN w:val="0"/>
        <w:adjustRightInd w:val="0"/>
        <w:snapToGrid w:val="0"/>
        <w:spacing w:line="620" w:lineRule="exact"/>
        <w:ind w:firstLine="1280" w:firstLineChars="400"/>
        <w:rPr>
          <w:rFonts w:ascii="宋体" w:hAnsi="宋体" w:cs="MingLiU"/>
          <w:snapToGrid w:val="0"/>
          <w:sz w:val="24"/>
        </w:rPr>
      </w:pPr>
      <w:r>
        <w:rPr>
          <w:rFonts w:hint="eastAsia" w:ascii="仿宋" w:hAnsi="仿宋" w:eastAsia="仿宋" w:cs="MingLiU"/>
          <w:snapToGrid w:val="0"/>
          <w:sz w:val="32"/>
          <w:szCs w:val="32"/>
        </w:rPr>
        <w:t>中国·石家庄</w:t>
      </w:r>
      <w:r>
        <w:rPr>
          <w:rFonts w:hint="eastAsia" w:ascii="宋体" w:hAnsi="宋体" w:cs="MingLiU"/>
          <w:snapToGrid w:val="0"/>
          <w:sz w:val="24"/>
        </w:rPr>
        <w:t xml:space="preserve">               </w:t>
      </w:r>
      <w:r>
        <w:rPr>
          <w:rFonts w:hint="eastAsia" w:ascii="仿宋" w:hAnsi="仿宋" w:eastAsia="仿宋" w:cs="MingLiU"/>
          <w:snapToGrid w:val="0"/>
          <w:sz w:val="32"/>
          <w:szCs w:val="32"/>
        </w:rPr>
        <w:t>中国注册会计师：</w:t>
      </w:r>
    </w:p>
    <w:p>
      <w:pPr>
        <w:tabs>
          <w:tab w:val="left" w:pos="4720"/>
        </w:tabs>
        <w:autoSpaceDE w:val="0"/>
        <w:autoSpaceDN w:val="0"/>
        <w:adjustRightInd w:val="0"/>
        <w:snapToGrid w:val="0"/>
        <w:spacing w:line="620" w:lineRule="exact"/>
        <w:ind w:left="160" w:leftChars="76" w:firstLine="480" w:firstLineChars="200"/>
        <w:rPr>
          <w:rFonts w:ascii="宋体" w:hAnsi="宋体" w:cs="MingLiU"/>
          <w:snapToGrid w:val="0"/>
          <w:sz w:val="24"/>
        </w:rPr>
      </w:pPr>
      <w:r>
        <w:rPr>
          <w:rFonts w:hint="eastAsia" w:ascii="宋体" w:hAnsi="宋体" w:cs="MingLiU"/>
          <w:snapToGrid w:val="0"/>
          <w:sz w:val="24"/>
        </w:rPr>
        <w:t xml:space="preserve">                                       </w:t>
      </w:r>
    </w:p>
    <w:p>
      <w:pPr>
        <w:tabs>
          <w:tab w:val="left" w:pos="5529"/>
        </w:tabs>
        <w:spacing w:line="620" w:lineRule="exact"/>
        <w:ind w:right="1280" w:firstLine="640" w:firstLineChars="200"/>
        <w:jc w:val="right"/>
      </w:pPr>
      <w:r>
        <w:rPr>
          <w:rFonts w:hint="eastAsia" w:ascii="仿宋" w:hAnsi="仿宋" w:eastAsia="仿宋" w:cs="MingLiU"/>
          <w:snapToGrid w:val="0"/>
          <w:sz w:val="32"/>
          <w:szCs w:val="32"/>
        </w:rPr>
        <w:t xml:space="preserve">     2020年11月18日</w:t>
      </w: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auto"/>
    <w:pitch w:val="default"/>
    <w:sig w:usb0="00000000" w:usb1="00000000" w:usb2="00000000" w:usb3="00000000" w:csb0="00040000"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08122393"/>
      <w:docPartObj>
        <w:docPartGallery w:val="autotext"/>
      </w:docPartObj>
    </w:sdtPr>
    <w:sdtContent>
      <w:p>
        <w:pPr>
          <w:pStyle w:val="3"/>
          <w:jc w:val="center"/>
        </w:pPr>
        <w:r>
          <w:fldChar w:fldCharType="begin"/>
        </w:r>
        <w:r>
          <w:instrText xml:space="preserve">PAGE   \* MERGEFORMAT</w:instrText>
        </w:r>
        <w:r>
          <w:fldChar w:fldCharType="separate"/>
        </w:r>
        <w:r>
          <w:rPr>
            <w:lang w:val="zh-CN"/>
          </w:rPr>
          <w:t>2</w:t>
        </w:r>
        <w:r>
          <w:fldChar w:fldCharType="end"/>
        </w:r>
      </w:p>
    </w:sdtContent>
  </w:sdt>
  <w:p>
    <w:pPr>
      <w:pStyle w:val="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3"/>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DF0FD3E"/>
    <w:multiLevelType w:val="singleLevel"/>
    <w:tmpl w:val="0DF0FD3E"/>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B99"/>
    <w:rsid w:val="00031DA9"/>
    <w:rsid w:val="000353BA"/>
    <w:rsid w:val="000460DE"/>
    <w:rsid w:val="00060226"/>
    <w:rsid w:val="0010358A"/>
    <w:rsid w:val="00115133"/>
    <w:rsid w:val="0018045D"/>
    <w:rsid w:val="001837A6"/>
    <w:rsid w:val="001E5D1E"/>
    <w:rsid w:val="00277633"/>
    <w:rsid w:val="00284106"/>
    <w:rsid w:val="00286EF7"/>
    <w:rsid w:val="002E5A53"/>
    <w:rsid w:val="002E7251"/>
    <w:rsid w:val="002F0796"/>
    <w:rsid w:val="00300547"/>
    <w:rsid w:val="00310002"/>
    <w:rsid w:val="00323FE6"/>
    <w:rsid w:val="003E59D6"/>
    <w:rsid w:val="00493D75"/>
    <w:rsid w:val="004C577C"/>
    <w:rsid w:val="00516210"/>
    <w:rsid w:val="00524D84"/>
    <w:rsid w:val="00587AEE"/>
    <w:rsid w:val="00601C1A"/>
    <w:rsid w:val="0060365D"/>
    <w:rsid w:val="00607231"/>
    <w:rsid w:val="0061165E"/>
    <w:rsid w:val="00655149"/>
    <w:rsid w:val="006D1B99"/>
    <w:rsid w:val="00761397"/>
    <w:rsid w:val="00774C22"/>
    <w:rsid w:val="0077599D"/>
    <w:rsid w:val="00783AAD"/>
    <w:rsid w:val="007C22C7"/>
    <w:rsid w:val="007D04E1"/>
    <w:rsid w:val="00813FBF"/>
    <w:rsid w:val="00823B0C"/>
    <w:rsid w:val="00860812"/>
    <w:rsid w:val="00892205"/>
    <w:rsid w:val="008A33BA"/>
    <w:rsid w:val="008B4869"/>
    <w:rsid w:val="009C19FE"/>
    <w:rsid w:val="00A36A87"/>
    <w:rsid w:val="00A461DB"/>
    <w:rsid w:val="00A65EEA"/>
    <w:rsid w:val="00A80E87"/>
    <w:rsid w:val="00AB4BB2"/>
    <w:rsid w:val="00B9636B"/>
    <w:rsid w:val="00C27E51"/>
    <w:rsid w:val="00C32A74"/>
    <w:rsid w:val="00C700D4"/>
    <w:rsid w:val="00CA5C12"/>
    <w:rsid w:val="00D3502D"/>
    <w:rsid w:val="00D45477"/>
    <w:rsid w:val="00D47C13"/>
    <w:rsid w:val="00D55A08"/>
    <w:rsid w:val="00D63646"/>
    <w:rsid w:val="00D65908"/>
    <w:rsid w:val="00D96E92"/>
    <w:rsid w:val="00DA02E7"/>
    <w:rsid w:val="00DB751A"/>
    <w:rsid w:val="00DC24D9"/>
    <w:rsid w:val="00DD7621"/>
    <w:rsid w:val="00E15000"/>
    <w:rsid w:val="00E425A8"/>
    <w:rsid w:val="00E54A63"/>
    <w:rsid w:val="00E71066"/>
    <w:rsid w:val="00E7341B"/>
    <w:rsid w:val="00EB3610"/>
    <w:rsid w:val="00EC7371"/>
    <w:rsid w:val="00F36DF9"/>
    <w:rsid w:val="00F61794"/>
    <w:rsid w:val="00FE1ECA"/>
    <w:rsid w:val="00FE6513"/>
    <w:rsid w:val="010A0D79"/>
    <w:rsid w:val="0171377E"/>
    <w:rsid w:val="01827579"/>
    <w:rsid w:val="018946E4"/>
    <w:rsid w:val="02300024"/>
    <w:rsid w:val="042C0E72"/>
    <w:rsid w:val="046D274C"/>
    <w:rsid w:val="04A61935"/>
    <w:rsid w:val="067B1411"/>
    <w:rsid w:val="06EB3C38"/>
    <w:rsid w:val="0AB776E6"/>
    <w:rsid w:val="0B904F40"/>
    <w:rsid w:val="0BA14849"/>
    <w:rsid w:val="0CF96F92"/>
    <w:rsid w:val="0D732D71"/>
    <w:rsid w:val="0DB7719B"/>
    <w:rsid w:val="0E0A64DA"/>
    <w:rsid w:val="0E4F4C81"/>
    <w:rsid w:val="1019433B"/>
    <w:rsid w:val="11DB5DBD"/>
    <w:rsid w:val="120E672F"/>
    <w:rsid w:val="12784BF7"/>
    <w:rsid w:val="13965877"/>
    <w:rsid w:val="13A212C2"/>
    <w:rsid w:val="13AB5DA8"/>
    <w:rsid w:val="16D111C1"/>
    <w:rsid w:val="1717488B"/>
    <w:rsid w:val="17177D57"/>
    <w:rsid w:val="184662F1"/>
    <w:rsid w:val="1857150C"/>
    <w:rsid w:val="18905D8E"/>
    <w:rsid w:val="18926282"/>
    <w:rsid w:val="198B5C80"/>
    <w:rsid w:val="1A183068"/>
    <w:rsid w:val="1CDA3577"/>
    <w:rsid w:val="1DD10E6F"/>
    <w:rsid w:val="207049B7"/>
    <w:rsid w:val="20DB3AEC"/>
    <w:rsid w:val="20DF4C15"/>
    <w:rsid w:val="216539DB"/>
    <w:rsid w:val="239C51D4"/>
    <w:rsid w:val="246803E1"/>
    <w:rsid w:val="278B0C4C"/>
    <w:rsid w:val="27B85B3F"/>
    <w:rsid w:val="2A8A4830"/>
    <w:rsid w:val="2ABC6889"/>
    <w:rsid w:val="2B804370"/>
    <w:rsid w:val="2C4774E3"/>
    <w:rsid w:val="2E4E0EEC"/>
    <w:rsid w:val="2F473A3F"/>
    <w:rsid w:val="2F622EBF"/>
    <w:rsid w:val="2F6D553C"/>
    <w:rsid w:val="30EF7254"/>
    <w:rsid w:val="32E1617E"/>
    <w:rsid w:val="33A32E6A"/>
    <w:rsid w:val="33D13A4C"/>
    <w:rsid w:val="33FE0476"/>
    <w:rsid w:val="3411234A"/>
    <w:rsid w:val="34CE0541"/>
    <w:rsid w:val="351C2F9B"/>
    <w:rsid w:val="36D31E10"/>
    <w:rsid w:val="37323512"/>
    <w:rsid w:val="38F8479E"/>
    <w:rsid w:val="3A4B78EA"/>
    <w:rsid w:val="3B09078A"/>
    <w:rsid w:val="3B0F7D45"/>
    <w:rsid w:val="3BAD0A22"/>
    <w:rsid w:val="3BBE3021"/>
    <w:rsid w:val="3C5270E0"/>
    <w:rsid w:val="3E037B3B"/>
    <w:rsid w:val="3F807B7E"/>
    <w:rsid w:val="3FA15052"/>
    <w:rsid w:val="41CF7EBA"/>
    <w:rsid w:val="44F00393"/>
    <w:rsid w:val="45B14DAE"/>
    <w:rsid w:val="45D764C6"/>
    <w:rsid w:val="460D0012"/>
    <w:rsid w:val="47A000F2"/>
    <w:rsid w:val="4BA56312"/>
    <w:rsid w:val="4C026944"/>
    <w:rsid w:val="4C5D00E9"/>
    <w:rsid w:val="4DDE41C9"/>
    <w:rsid w:val="4EA37853"/>
    <w:rsid w:val="4ED5463F"/>
    <w:rsid w:val="4F976A4A"/>
    <w:rsid w:val="4FB00F0B"/>
    <w:rsid w:val="4FB50695"/>
    <w:rsid w:val="507E2426"/>
    <w:rsid w:val="50B102DA"/>
    <w:rsid w:val="521E0228"/>
    <w:rsid w:val="52723DD4"/>
    <w:rsid w:val="52F22819"/>
    <w:rsid w:val="547F7650"/>
    <w:rsid w:val="5494646E"/>
    <w:rsid w:val="568C1222"/>
    <w:rsid w:val="56A6593A"/>
    <w:rsid w:val="579F572A"/>
    <w:rsid w:val="581B48C0"/>
    <w:rsid w:val="58296364"/>
    <w:rsid w:val="58606AE9"/>
    <w:rsid w:val="5ABD0DBD"/>
    <w:rsid w:val="5AC0625D"/>
    <w:rsid w:val="5C395745"/>
    <w:rsid w:val="5D3142F5"/>
    <w:rsid w:val="5D617E2F"/>
    <w:rsid w:val="5E7F25A4"/>
    <w:rsid w:val="5FD51DFE"/>
    <w:rsid w:val="601B786F"/>
    <w:rsid w:val="619F4D98"/>
    <w:rsid w:val="61C02D11"/>
    <w:rsid w:val="620B50B5"/>
    <w:rsid w:val="631333BE"/>
    <w:rsid w:val="6399058D"/>
    <w:rsid w:val="639A3A2C"/>
    <w:rsid w:val="64E80374"/>
    <w:rsid w:val="65CD4BB0"/>
    <w:rsid w:val="65F52377"/>
    <w:rsid w:val="67832BF7"/>
    <w:rsid w:val="67F42EC2"/>
    <w:rsid w:val="69690BFA"/>
    <w:rsid w:val="6AE22F6D"/>
    <w:rsid w:val="6BFF6771"/>
    <w:rsid w:val="6C6D4B65"/>
    <w:rsid w:val="6DD9306A"/>
    <w:rsid w:val="6E0569D4"/>
    <w:rsid w:val="6E30664F"/>
    <w:rsid w:val="6E971F9F"/>
    <w:rsid w:val="70B41F81"/>
    <w:rsid w:val="71372820"/>
    <w:rsid w:val="71BC62FA"/>
    <w:rsid w:val="72C96E11"/>
    <w:rsid w:val="72CB4C59"/>
    <w:rsid w:val="753F4712"/>
    <w:rsid w:val="75453F60"/>
    <w:rsid w:val="7581375B"/>
    <w:rsid w:val="77C44E7D"/>
    <w:rsid w:val="78EA3678"/>
    <w:rsid w:val="79B74A81"/>
    <w:rsid w:val="7A6E42D2"/>
    <w:rsid w:val="7A7F533A"/>
    <w:rsid w:val="7E7B3881"/>
    <w:rsid w:val="7F7142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alloon Text"/>
    <w:basedOn w:val="1"/>
    <w:link w:val="12"/>
    <w:semiHidden/>
    <w:unhideWhenUsed/>
    <w:uiPriority w:val="99"/>
    <w:rPr>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page number"/>
    <w:basedOn w:val="6"/>
    <w:qFormat/>
    <w:uiPriority w:val="0"/>
  </w:style>
  <w:style w:type="character" w:customStyle="1" w:styleId="8">
    <w:name w:val="页眉 字符"/>
    <w:basedOn w:val="6"/>
    <w:link w:val="4"/>
    <w:qFormat/>
    <w:uiPriority w:val="99"/>
    <w:rPr>
      <w:sz w:val="18"/>
      <w:szCs w:val="18"/>
    </w:rPr>
  </w:style>
  <w:style w:type="character" w:customStyle="1" w:styleId="9">
    <w:name w:val="页脚 字符"/>
    <w:basedOn w:val="6"/>
    <w:link w:val="3"/>
    <w:qFormat/>
    <w:uiPriority w:val="99"/>
    <w:rPr>
      <w:sz w:val="18"/>
      <w:szCs w:val="18"/>
    </w:rPr>
  </w:style>
  <w:style w:type="paragraph" w:customStyle="1" w:styleId="10">
    <w:name w:val="默认段落字体 Para Char Char Char Char Char Char Char"/>
    <w:basedOn w:val="1"/>
    <w:qFormat/>
    <w:uiPriority w:val="0"/>
    <w:rPr>
      <w:rFonts w:ascii="Times New Roman" w:hAnsi="Times New Roman" w:eastAsia="宋体" w:cs="Times New Roman"/>
      <w:szCs w:val="24"/>
    </w:rPr>
  </w:style>
  <w:style w:type="paragraph" w:styleId="11">
    <w:name w:val="List Paragraph"/>
    <w:basedOn w:val="1"/>
    <w:unhideWhenUsed/>
    <w:qFormat/>
    <w:uiPriority w:val="99"/>
    <w:pPr>
      <w:ind w:firstLine="420" w:firstLineChars="200"/>
    </w:pPr>
  </w:style>
  <w:style w:type="character" w:customStyle="1" w:styleId="12">
    <w:name w:val="批注框文本 字符"/>
    <w:basedOn w:val="6"/>
    <w:link w:val="2"/>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1BC4FF-1D9E-4F6A-8D5B-B5D72D4D9869}">
  <ds:schemaRefs/>
</ds:datastoreItem>
</file>

<file path=docProps/app.xml><?xml version="1.0" encoding="utf-8"?>
<Properties xmlns="http://schemas.openxmlformats.org/officeDocument/2006/extended-properties" xmlns:vt="http://schemas.openxmlformats.org/officeDocument/2006/docPropsVTypes">
  <Template>Normal.dotm</Template>
  <Company>datathink</Company>
  <Pages>16</Pages>
  <Words>1209</Words>
  <Characters>6895</Characters>
  <Lines>57</Lines>
  <Paragraphs>16</Paragraphs>
  <TotalTime>544</TotalTime>
  <ScaleCrop>false</ScaleCrop>
  <LinksUpToDate>false</LinksUpToDate>
  <CharactersWithSpaces>8088</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2020-11-17T02:30:00Z</dcterms:created>
  <dc:creator>user</dc:creator>
  <cp:lastModifiedBy>(´〜｀*) zzz</cp:lastModifiedBy>
  <cp:lastPrinted>2020-11-20T02:04:00Z</cp:lastPrinted>
  <dcterms:modified xsi:type="dcterms:W3CDTF">2024-09-14T03:21:30Z</dcterms:modified>
  <cp:revision>90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89FCF30D76AC4E489978A6495353C363</vt:lpwstr>
  </property>
</Properties>
</file>