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outlineLvl w:val="0"/>
        <w:rPr>
          <w:rFonts w:ascii="宋体" w:hAnsi="Times New Roman" w:eastAsia="宋体" w:cs="Times New Roman"/>
          <w:b/>
          <w:bCs/>
          <w:sz w:val="44"/>
          <w:szCs w:val="44"/>
        </w:rPr>
      </w:pPr>
      <w:r>
        <w:rPr>
          <w:rFonts w:hint="eastAsia" w:ascii="宋体" w:hAnsi="Times New Roman" w:eastAsia="宋体" w:cs="Times New Roman"/>
          <w:b/>
          <w:bCs/>
          <w:sz w:val="44"/>
          <w:szCs w:val="44"/>
        </w:rPr>
        <w:t>高邑县第二污水处理厂房建工程项目</w:t>
      </w:r>
    </w:p>
    <w:p>
      <w:pPr>
        <w:spacing w:line="620" w:lineRule="exact"/>
        <w:jc w:val="center"/>
        <w:outlineLvl w:val="0"/>
        <w:rPr>
          <w:rFonts w:ascii="华文楷体" w:hAnsi="Times New Roman" w:eastAsia="华文楷体" w:cs="Times New Roman"/>
          <w:sz w:val="44"/>
          <w:szCs w:val="44"/>
        </w:rPr>
      </w:pPr>
      <w:r>
        <w:rPr>
          <w:rFonts w:hint="eastAsia" w:ascii="宋体" w:hAnsi="Times New Roman" w:eastAsia="宋体" w:cs="Times New Roman"/>
          <w:b/>
          <w:bCs/>
          <w:sz w:val="44"/>
          <w:szCs w:val="44"/>
        </w:rPr>
        <w:t>绩效评价报告</w:t>
      </w:r>
    </w:p>
    <w:p>
      <w:pPr>
        <w:spacing w:line="620" w:lineRule="exact"/>
        <w:ind w:firstLine="640" w:firstLineChars="200"/>
        <w:jc w:val="center"/>
        <w:rPr>
          <w:rFonts w:ascii="仿宋" w:hAnsi="仿宋" w:eastAsia="仿宋" w:cs="仿宋"/>
          <w:sz w:val="32"/>
          <w:szCs w:val="32"/>
        </w:rPr>
      </w:pPr>
    </w:p>
    <w:p>
      <w:pPr>
        <w:spacing w:line="620" w:lineRule="exact"/>
        <w:ind w:firstLine="640" w:firstLineChars="200"/>
        <w:jc w:val="right"/>
        <w:rPr>
          <w:rFonts w:ascii="仿宋_GB2312" w:hAnsi="Times New Roman" w:eastAsia="仿宋_GB2312" w:cs="Times New Roman"/>
          <w:sz w:val="32"/>
          <w:szCs w:val="32"/>
        </w:rPr>
      </w:pPr>
      <w:r>
        <w:rPr>
          <w:rFonts w:hint="eastAsia" w:ascii="仿宋_GB2312" w:hAnsi="Times New Roman" w:eastAsia="仿宋_GB2312" w:cs="Times New Roman"/>
          <w:sz w:val="32"/>
          <w:szCs w:val="32"/>
        </w:rPr>
        <w:t>中基专审字[2020]第2081号</w:t>
      </w:r>
    </w:p>
    <w:p>
      <w:pPr>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【摘要】按照省财政厅关于组织开展政府投资基金、地方政府债务或</w:t>
      </w:r>
      <w:r>
        <w:rPr>
          <w:rFonts w:ascii="仿宋_GB2312" w:hAnsi="Times New Roman" w:eastAsia="仿宋_GB2312" w:cs="Times New Roman"/>
          <w:sz w:val="32"/>
          <w:szCs w:val="32"/>
        </w:rPr>
        <w:t>PPP</w:t>
      </w:r>
      <w:r>
        <w:rPr>
          <w:rFonts w:hint="eastAsia" w:ascii="仿宋_GB2312" w:hAnsi="Times New Roman" w:eastAsia="仿宋_GB2312" w:cs="Times New Roman"/>
          <w:sz w:val="32"/>
          <w:szCs w:val="32"/>
        </w:rPr>
        <w:t>项目绩效评价的要求，石家庄中基会计师事务所（普通合伙）受高邑县财政局委托对高邑县第二污水处理厂房建工程项目开展绩效评价工作。绩效评价内容涉及投入、过程、产出、效果四个方面，具体包括项目立项、业务管理、财务管理、项目产出、项目效益共5个二级指标、19个三级指标。</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本次绩效评价高邑县第二污水处理厂房建工程项目，财政预算资金共</w:t>
      </w:r>
      <w:r>
        <w:rPr>
          <w:rFonts w:ascii="仿宋_GB2312" w:hAnsi="Times New Roman" w:eastAsia="仿宋_GB2312" w:cs="Times New Roman"/>
          <w:sz w:val="32"/>
          <w:szCs w:val="32"/>
        </w:rPr>
        <w:t>183</w:t>
      </w:r>
      <w:r>
        <w:rPr>
          <w:rFonts w:hint="eastAsia" w:ascii="仿宋_GB2312" w:hAnsi="Times New Roman" w:eastAsia="仿宋_GB2312" w:cs="Times New Roman"/>
          <w:sz w:val="32"/>
          <w:szCs w:val="32"/>
        </w:rPr>
        <w:t>5.</w:t>
      </w:r>
      <w:r>
        <w:rPr>
          <w:rFonts w:ascii="仿宋_GB2312" w:hAnsi="Times New Roman" w:eastAsia="仿宋_GB2312" w:cs="Times New Roman"/>
          <w:sz w:val="32"/>
          <w:szCs w:val="32"/>
        </w:rPr>
        <w:t>0</w:t>
      </w:r>
      <w:r>
        <w:rPr>
          <w:rFonts w:hint="eastAsia" w:ascii="仿宋_GB2312" w:hAnsi="Times New Roman" w:eastAsia="仿宋_GB2312" w:cs="Times New Roman"/>
          <w:sz w:val="32"/>
          <w:szCs w:val="32"/>
        </w:rPr>
        <w:t>5万元。主要采取查阅资料、现场调研、走访调查等方式方法，具体组织实施。总体来看，此项目财政预算资金管理使用综合绩效较好，但仍存在一些问题。对此，我们提出了完善建议和意见。</w:t>
      </w: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【正文】按照省财政厅关于组织开展政府投资基金、地方政府债务或</w:t>
      </w:r>
      <w:r>
        <w:rPr>
          <w:rFonts w:ascii="仿宋_GB2312" w:hAnsi="Times New Roman" w:eastAsia="仿宋_GB2312" w:cs="Times New Roman"/>
          <w:sz w:val="32"/>
          <w:szCs w:val="32"/>
        </w:rPr>
        <w:t>PPP</w:t>
      </w:r>
      <w:r>
        <w:rPr>
          <w:rFonts w:hint="eastAsia" w:ascii="仿宋_GB2312" w:hAnsi="Times New Roman" w:eastAsia="仿宋_GB2312" w:cs="Times New Roman"/>
          <w:sz w:val="32"/>
          <w:szCs w:val="32"/>
        </w:rPr>
        <w:t>项目绩效评价的要求，着力提高财政预算支出资金绩效管理，推进高质量财政建设，石家庄中基会计师事务所（普通合伙）（以下简称“第三方机构”）受高邑县财政局委托对高邑县第二污水处理厂房建工程项目（以下简称“项目”）进行了绩效评价。现将有关情况报告如下：</w:t>
      </w:r>
    </w:p>
    <w:p>
      <w:pPr>
        <w:adjustRightInd w:val="0"/>
        <w:snapToGrid w:val="0"/>
        <w:spacing w:line="620" w:lineRule="exact"/>
        <w:ind w:firstLine="640" w:firstLineChars="200"/>
        <w:outlineLvl w:val="0"/>
        <w:rPr>
          <w:rFonts w:ascii="黑体" w:hAnsi="Times New Roman" w:eastAsia="黑体" w:cs="Times New Roman"/>
          <w:b/>
          <w:bCs/>
          <w:sz w:val="32"/>
          <w:szCs w:val="36"/>
        </w:rPr>
      </w:pPr>
      <w:r>
        <w:rPr>
          <w:rFonts w:hint="eastAsia" w:ascii="黑体" w:hAnsi="Times New Roman" w:eastAsia="黑体" w:cs="Times New Roman"/>
          <w:sz w:val="32"/>
          <w:szCs w:val="32"/>
        </w:rPr>
        <w:t xml:space="preserve"> 一、项目</w:t>
      </w:r>
      <w:r>
        <w:rPr>
          <w:rFonts w:hint="eastAsia" w:ascii="黑体" w:hAnsi="Times New Roman" w:eastAsia="黑体" w:cs="Times New Roman"/>
          <w:sz w:val="32"/>
          <w:szCs w:val="36"/>
        </w:rPr>
        <w:t>基本情况</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1.项目实施单位及项目背景情况</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（1）项目实施单位情况：高邑县住房和城乡建设局（以下简称“住建局”）为项目承办单位，保证项目顺利实施。</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项目背景情况：高邑县第二污水处理厂的建设对城区的发展和人民群众的日常生活起着十分重要的作用，尤其是污水处理对减少县城水污染现象，改善和美化县城环境，促进全县经济发展，方便居民生活等各个方面有着重要意义和不可替代的作用。</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2.项目主要实施内容和范围</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项目主要实施内容：于高邑县宋家庄村东南，建设一座日处理量2万吨的污水处理厂及5200米管网。</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3.</w:t>
      </w:r>
      <w:r>
        <w:rPr>
          <w:rFonts w:hint="eastAsia"/>
        </w:rPr>
        <w:t xml:space="preserve"> </w:t>
      </w:r>
      <w:r>
        <w:rPr>
          <w:rFonts w:hint="eastAsia" w:ascii="仿宋_GB2312" w:hAnsi="Times New Roman" w:eastAsia="仿宋_GB2312" w:cs="Times New Roman"/>
          <w:b/>
          <w:bCs/>
          <w:sz w:val="32"/>
          <w:szCs w:val="32"/>
        </w:rPr>
        <w:t>项目资金使用情况</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2011年7月，项目可行性研究报告显示预算金额1835.05万元。</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2016年12月6日，高邑县审计局委托河北华安造价资询有限公司对项目进行了结算审核，送审金额1832.001176万元，审减金额194.380109万元，审定金额1637.621067万元。</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2019年1月17日，住建局向县政府提交关于安排拨付工程款200万元的请示。2019年2月1日，住建局拨付河北建工集团有限责任公司工程款200万元。</w:t>
      </w:r>
    </w:p>
    <w:p>
      <w:pPr>
        <w:adjustRightInd w:val="0"/>
        <w:snapToGrid w:val="0"/>
        <w:spacing w:line="620" w:lineRule="exact"/>
        <w:ind w:firstLine="640" w:firstLineChars="200"/>
        <w:rPr>
          <w:rFonts w:ascii="黑体" w:hAnsi="黑体" w:eastAsia="黑体" w:cs="黑体"/>
          <w:sz w:val="32"/>
          <w:szCs w:val="32"/>
        </w:rPr>
      </w:pPr>
      <w:r>
        <w:rPr>
          <w:rFonts w:hint="eastAsia" w:ascii="黑体" w:hAnsi="黑体" w:eastAsia="黑体" w:cs="黑体"/>
          <w:sz w:val="32"/>
          <w:szCs w:val="32"/>
        </w:rPr>
        <w:t>二、绩效评价情况</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（一）绩效评价的范围和目的</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此次纳入绩效评价范围的资金包括：用于项目的2019年财政预算资金200万元。</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此次绩效评价以“项目”为着眼点和着力点，评价内容主要包括“投入”、“过程”、“产出”和“效果”四个方面。涵盖项目立项、业务管理、财务管理、项目产出、项目效益共5个二级指标、19个三级指标。</w:t>
      </w:r>
    </w:p>
    <w:p>
      <w:pPr>
        <w:adjustRightInd w:val="0"/>
        <w:snapToGrid w:val="0"/>
        <w:spacing w:line="620" w:lineRule="exact"/>
        <w:ind w:firstLine="640" w:firstLineChars="200"/>
        <w:rPr>
          <w:rFonts w:ascii="仿宋_GB2312" w:hAnsi="Times New Roman" w:eastAsia="仿宋_GB2312" w:cs="Times New Roman"/>
          <w:color w:val="FF0000"/>
          <w:sz w:val="32"/>
          <w:szCs w:val="32"/>
        </w:rPr>
      </w:pPr>
      <w:r>
        <w:rPr>
          <w:rFonts w:hint="eastAsia" w:ascii="仿宋_GB2312" w:hAnsi="Times New Roman" w:eastAsia="仿宋_GB2312" w:cs="Times New Roman"/>
          <w:sz w:val="32"/>
          <w:szCs w:val="32"/>
        </w:rPr>
        <w:t>评价目的主要是以绩效评价方式，调动有关部门加强资金管理的积极性，切实提高资金运行的规范性、安全性、效益性。为规范县级预算绩效重点评价工作，将绩效评价结果应用于预算安排、政策完善和改进管理方面，促进财政资金配置效率、使用效益和政府公共服务管理水平提升。</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（二）绩效评价指标体系</w:t>
      </w:r>
    </w:p>
    <w:p>
      <w:pPr>
        <w:adjustRightInd w:val="0"/>
        <w:snapToGrid w:val="0"/>
        <w:spacing w:line="620" w:lineRule="exact"/>
        <w:ind w:firstLine="640" w:firstLineChars="200"/>
        <w:rPr>
          <w:rFonts w:ascii="仿宋_GB2312" w:hAnsi="Times New Roman" w:eastAsia="仿宋_GB2312" w:cs="Times New Roman"/>
          <w:color w:val="FF0000"/>
          <w:sz w:val="32"/>
          <w:szCs w:val="32"/>
        </w:rPr>
      </w:pPr>
      <w:r>
        <w:rPr>
          <w:rFonts w:hint="eastAsia" w:ascii="仿宋_GB2312" w:hAnsi="Times New Roman" w:eastAsia="仿宋_GB2312" w:cs="Times New Roman"/>
          <w:sz w:val="32"/>
          <w:szCs w:val="32"/>
        </w:rPr>
        <w:t>根据省财政厅关于组织开展政府投资基金、地方政府债务或</w:t>
      </w:r>
      <w:r>
        <w:rPr>
          <w:rFonts w:ascii="仿宋_GB2312" w:hAnsi="Times New Roman" w:eastAsia="仿宋_GB2312" w:cs="Times New Roman"/>
          <w:sz w:val="32"/>
          <w:szCs w:val="32"/>
        </w:rPr>
        <w:t>PPP</w:t>
      </w:r>
      <w:r>
        <w:rPr>
          <w:rFonts w:hint="eastAsia" w:ascii="仿宋_GB2312" w:hAnsi="Times New Roman" w:eastAsia="仿宋_GB2312" w:cs="Times New Roman"/>
          <w:sz w:val="32"/>
          <w:szCs w:val="32"/>
        </w:rPr>
        <w:t>项目绩效评价的要求，以财政预算资金绩效评价指标为基础，综合考虑本次绩效评价的特点，对原有指标进行了调整、补充，并合理赋予指标分值，明确具体评价标准，最终形成了《高邑县第二污水处理厂房建工程项目绩效评价指标表》。指标框架采用三级百分制，调整后的绩效评价指标由投入、过程、产出和效果四部分构成。具体包括：</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1.投入（总分20分）。</w:t>
      </w:r>
      <w:r>
        <w:rPr>
          <w:rFonts w:hint="eastAsia" w:ascii="仿宋_GB2312" w:hAnsi="Times New Roman" w:eastAsia="仿宋_GB2312" w:cs="Times New Roman"/>
          <w:sz w:val="32"/>
          <w:szCs w:val="32"/>
        </w:rPr>
        <w:t>该项一级指标下设项目立项1个二级指标。二级指标项目立项下设项目立项规范性、绩效目标合理性、绩效指标明确性3个三级指标，此指标主要评价项目立项程序规范、完整情况及绩效目标合理、明确情况。</w:t>
      </w:r>
    </w:p>
    <w:p>
      <w:pPr>
        <w:adjustRightInd w:val="0"/>
        <w:snapToGrid w:val="0"/>
        <w:spacing w:line="620" w:lineRule="exact"/>
        <w:ind w:firstLine="643" w:firstLineChars="200"/>
        <w:rPr>
          <w:rFonts w:ascii="仿宋_GB2312" w:hAnsi="Times New Roman" w:eastAsia="仿宋_GB2312" w:cs="Times New Roman"/>
          <w:color w:val="FF0000"/>
          <w:sz w:val="32"/>
          <w:szCs w:val="32"/>
        </w:rPr>
      </w:pPr>
      <w:r>
        <w:rPr>
          <w:rFonts w:hint="eastAsia" w:ascii="仿宋_GB2312" w:hAnsi="Times New Roman" w:eastAsia="仿宋_GB2312" w:cs="Times New Roman"/>
          <w:b/>
          <w:bCs/>
          <w:sz w:val="32"/>
          <w:szCs w:val="32"/>
        </w:rPr>
        <w:t>2.过程（总分28分）。</w:t>
      </w:r>
      <w:r>
        <w:rPr>
          <w:rFonts w:hint="eastAsia" w:ascii="仿宋_GB2312" w:hAnsi="Times New Roman" w:eastAsia="仿宋_GB2312" w:cs="Times New Roman"/>
          <w:sz w:val="32"/>
          <w:szCs w:val="32"/>
        </w:rPr>
        <w:t>该项一级指标下设业务管理和财务管理2个二级指标。二级指标业务管理下设管理制度健全性、项目采购过程合规性、合同管理有效性、项目质量可控性、信息公示公开5个三级指标，此指标主要评价项目管理制度健全、采购过程合规、管理有效、质量控制、信息公开公示情况；二级指标财务管理下设管理制度健全性、资金使用合规性、财务监控有效性3个三级指标，此指标主要评价资金使用监管情况。</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3.产出（总分44分）。</w:t>
      </w:r>
      <w:r>
        <w:rPr>
          <w:rFonts w:hint="eastAsia" w:ascii="仿宋_GB2312" w:hAnsi="Times New Roman" w:eastAsia="仿宋_GB2312" w:cs="Times New Roman"/>
          <w:sz w:val="32"/>
          <w:szCs w:val="32"/>
        </w:rPr>
        <w:t>该项一级指标下设项目产出1个二级指标。二级指标项目产出下设实际完成情况、完成及时情况、质量达标情况、自评报告完整性情况4个三级指标，此指标主要评价项目完成情况。</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4.效果（总分8分）。</w:t>
      </w:r>
      <w:r>
        <w:rPr>
          <w:rFonts w:hint="eastAsia" w:ascii="仿宋_GB2312" w:hAnsi="Times New Roman" w:eastAsia="仿宋_GB2312" w:cs="Times New Roman"/>
          <w:sz w:val="32"/>
          <w:szCs w:val="32"/>
        </w:rPr>
        <w:t>该项一级指标下设项目效益1个二级指标。二级指标项目效益下设经济效益、社会效益、生态效益、可持续影响4个三级指标，此指标主要评价项目达到的效益和效果。</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（三）评价方法及组织实施</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按照工作方案要求，本次绩效评价工作共分四个阶段组织实施：</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1.单位前期准备。</w:t>
      </w:r>
      <w:r>
        <w:rPr>
          <w:rFonts w:hint="eastAsia" w:ascii="仿宋_GB2312" w:hAnsi="Times New Roman" w:eastAsia="仿宋_GB2312" w:cs="Times New Roman"/>
          <w:sz w:val="32"/>
          <w:szCs w:val="32"/>
        </w:rPr>
        <w:t>项目单位对照指标表中相关指标，提前整理准备相关项目、资金等材料、数据，对资金管理、项目实施和具体绩效等情况开展自我评价，填写评价指标表，撰写自评报告。</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2.重点评价。</w:t>
      </w:r>
      <w:r>
        <w:rPr>
          <w:rFonts w:hint="eastAsia" w:ascii="仿宋_GB2312" w:hAnsi="Times New Roman" w:eastAsia="仿宋_GB2312" w:cs="Times New Roman"/>
          <w:sz w:val="32"/>
          <w:szCs w:val="32"/>
        </w:rPr>
        <w:t>由高邑县财政局牵头，引入第三方机构力量，组成重点绩效评价工作组，依托项目单位自评情况，开展重点评价，填写评价指标表，收集佐证材料。评价的方法步骤包括：</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查阅资料，全面摸排情况。结合项目单位汇报情况和自查情况，对其财政预算资金方案制定情况，项目组织管理水平，项目实施绩效，资金落实、使用、管理情况，财务管理情况等相关佐证档案资料进行查阅。</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现场调研，具体查看结果。按照项目单位提供的资料，开展实地查看及调研。内容包括：通过查阅项目原始凭证、记账凭证等相关会计档案，了解项目资金到位、使用、报账和会计核算情况；查阅有关项目立项、实施、验收等资料，检查项目计划执行情况、资金精准使用情况，落实项目招投标制、财政资金报账制度等执行情况；查看项目建设及实际运行情况；检查项目效益情况及服务对象满意度等。</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3.汇总评价成果。</w:t>
      </w:r>
      <w:r>
        <w:rPr>
          <w:rFonts w:hint="eastAsia" w:ascii="仿宋_GB2312" w:hAnsi="Times New Roman" w:eastAsia="仿宋_GB2312" w:cs="Times New Roman"/>
          <w:sz w:val="32"/>
          <w:szCs w:val="32"/>
        </w:rPr>
        <w:t>第三方机构在完成现场调研后，根据实际情况，认真撰写项目绩效评价报告。</w:t>
      </w:r>
    </w:p>
    <w:p>
      <w:pPr>
        <w:adjustRightInd w:val="0"/>
        <w:snapToGrid w:val="0"/>
        <w:spacing w:line="62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4.评价结果应用。</w:t>
      </w:r>
      <w:r>
        <w:rPr>
          <w:rFonts w:hint="eastAsia" w:ascii="仿宋_GB2312" w:hAnsi="Times New Roman" w:eastAsia="仿宋_GB2312" w:cs="Times New Roman"/>
          <w:sz w:val="32"/>
          <w:szCs w:val="32"/>
        </w:rPr>
        <w:t>根据评价得分将评价结果划分为四个等级，分别是：优秀（≥85分）、良好（≥75分，＜85分）、一般（≥60分，＜75分）、较差（＜60分）。</w:t>
      </w:r>
    </w:p>
    <w:p>
      <w:pPr>
        <w:widowControl/>
        <w:spacing w:line="620" w:lineRule="exact"/>
        <w:ind w:firstLine="640" w:firstLineChars="200"/>
        <w:outlineLvl w:val="0"/>
        <w:rPr>
          <w:rFonts w:ascii="黑体" w:hAnsi="黑体" w:eastAsia="黑体" w:cs="黑体"/>
          <w:sz w:val="32"/>
          <w:szCs w:val="32"/>
        </w:rPr>
      </w:pPr>
      <w:r>
        <w:rPr>
          <w:rFonts w:hint="eastAsia" w:ascii="黑体" w:hAnsi="黑体" w:eastAsia="黑体" w:cs="黑体"/>
          <w:sz w:val="32"/>
          <w:szCs w:val="32"/>
        </w:rPr>
        <w:t>三、项目执行及绩效实现情况</w:t>
      </w:r>
    </w:p>
    <w:p>
      <w:pPr>
        <w:widowControl/>
        <w:spacing w:line="620" w:lineRule="exact"/>
        <w:ind w:firstLine="640" w:firstLineChars="200"/>
        <w:rPr>
          <w:rFonts w:ascii="仿宋_GB2312" w:hAnsi="仿宋" w:eastAsia="仿宋_GB2312" w:cs="仿宋"/>
          <w:color w:val="FF0000"/>
          <w:kern w:val="0"/>
          <w:sz w:val="32"/>
          <w:szCs w:val="32"/>
          <w:lang w:bidi="ar"/>
        </w:rPr>
      </w:pPr>
      <w:r>
        <w:rPr>
          <w:rFonts w:hint="eastAsia" w:ascii="仿宋_GB2312" w:hAnsi="仿宋" w:eastAsia="仿宋_GB2312" w:cs="仿宋"/>
          <w:kern w:val="0"/>
          <w:sz w:val="32"/>
          <w:szCs w:val="32"/>
          <w:lang w:bidi="ar"/>
        </w:rPr>
        <w:t>项目绩效评价指标主要从投入、过程、产出、效果四个方面对</w:t>
      </w:r>
      <w:r>
        <w:rPr>
          <w:rFonts w:hint="eastAsia" w:ascii="仿宋_GB2312" w:hAnsi="Times New Roman" w:eastAsia="仿宋_GB2312" w:cs="Times New Roman"/>
          <w:sz w:val="32"/>
          <w:szCs w:val="32"/>
        </w:rPr>
        <w:t>高邑县</w:t>
      </w:r>
      <w:r>
        <w:rPr>
          <w:rFonts w:hint="eastAsia" w:ascii="仿宋_GB2312" w:hAnsi="仿宋" w:eastAsia="仿宋_GB2312" w:cs="仿宋"/>
          <w:kern w:val="0"/>
          <w:sz w:val="32"/>
          <w:szCs w:val="32"/>
          <w:lang w:bidi="ar"/>
        </w:rPr>
        <w:t>第二污水处理厂房建工程项目实施情况和效益情况进行评价。本次评价该项指标绩效评价得分91分。（基础分100分）</w:t>
      </w:r>
    </w:p>
    <w:p>
      <w:pPr>
        <w:adjustRightInd w:val="0"/>
        <w:snapToGrid w:val="0"/>
        <w:spacing w:line="620" w:lineRule="exact"/>
        <w:ind w:firstLine="643"/>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（一）项目投入情况</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该项指标主要从项目立项方面对项目投入过程进行评价。本次评价该项指标绩效评价得分19分。（基础分20分）</w:t>
      </w:r>
    </w:p>
    <w:p>
      <w:pPr>
        <w:adjustRightInd w:val="0"/>
        <w:snapToGrid w:val="0"/>
        <w:spacing w:line="620" w:lineRule="exact"/>
        <w:ind w:firstLine="643" w:firstLineChars="200"/>
        <w:outlineLvl w:val="2"/>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1.项目立项</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1）项目立项规范性。2011年7月，石家庄市市政设计研究院编制了《高邑县第二污水处理厂工程可行性研究报告》，2011年8月2日，高邑县发展改革局下达了《关于高邑县第二污水处理厂可行性研究报告的批复》（高发改[2011]51号）。</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2013年9月5日，取得高邑县城乡规划局颁发的建设用地规划许可证。</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2013年10月，石家庄市政设计研究院有限责任公司编制了第二污水处理厂工程的初步设计，2013年10月23日，高邑县发展改革局下达了《关于高邑县凤城污水处理厂建设第二污水处理厂工程初步设计的批复》（高发改[2013]42号）。</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2013年11月29日，取得高邑县城乡规划局颁发的建设工程规划许可证。项目申请、设立过程符合相关要求，事前已经过必要的可行性研究。该项指标绩效评价得分4分。（基础分4分）</w:t>
      </w:r>
    </w:p>
    <w:p>
      <w:pPr>
        <w:adjustRightInd w:val="0"/>
        <w:snapToGrid w:val="0"/>
        <w:spacing w:line="620" w:lineRule="exact"/>
        <w:ind w:firstLine="640" w:firstLineChars="200"/>
        <w:rPr>
          <w:rFonts w:ascii="仿宋_GB2312" w:hAnsi="Times New Roman" w:eastAsia="仿宋_GB2312" w:cs="Times New Roman"/>
          <w:sz w:val="32"/>
          <w:szCs w:val="32"/>
          <w:highlight w:val="yellow"/>
        </w:rPr>
      </w:pPr>
      <w:r>
        <w:rPr>
          <w:rFonts w:hint="eastAsia" w:ascii="仿宋_GB2312" w:hAnsi="Times New Roman" w:eastAsia="仿宋_GB2312" w:cs="Times New Roman"/>
          <w:sz w:val="32"/>
          <w:szCs w:val="32"/>
        </w:rPr>
        <w:t>（2）绩效目标合理性。经查看，高邑县住建局县级部门预算项目绩效自评表中针对2019年度预算资金350万元进行了绩效自评，其中设置了产出、预算执行率、效益、满意度指标。绩效目标设置明确。该项指标绩效评价得分8分。（基础分8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绩效指标明确性。根据高邑县第二污水处理厂设备、工程款项目绩效自评表，绩效自评表中设置产出指标、预算执行率指标、效益指标、满意度指标4个一级指标；数量指标、预算执行率、社会效益指标、满意度指标4个二级指标；工程量完工率、工程完工率、预算执行率、综合利用率、受益群众满意度5个三级指标。在三级指标下设定具体评价内容，并制定相应评分标准满意度。项目绩效指标设定较清晰、细化、可衡量。该项指标绩效评价得分7分。（基础分8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综上所述，“项目立项”该项指标绩效评价得分19分。（基础分20分）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（二）项目过程情况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该项指标主要从业务管理、财务管理两个方面对项目实施过程进行评价。本次评价该项指标绩效评价得分27分。（基础分28分）</w:t>
      </w:r>
    </w:p>
    <w:p>
      <w:pPr>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1.业务管理方面</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（1）管理制度健全性</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2016年4月6日，高邑县住房和城乡建设局工程管理办法，对工程建设组织领导、工程考勤管理、工程建设调度力度、工程巡查制度、工程质量安全管理、签证程序及管理、工程财务管理、工程档案管理和工程廉</w:t>
      </w:r>
      <w:r>
        <w:rPr>
          <w:rFonts w:hint="eastAsia" w:ascii="仿宋_GB2312" w:hAnsi="仿宋" w:eastAsia="仿宋_GB2312" w:cs="仿宋"/>
          <w:kern w:val="0"/>
          <w:sz w:val="32"/>
          <w:szCs w:val="32"/>
          <w:lang w:val="en-US" w:eastAsia="zh-CN" w:bidi="ar"/>
        </w:rPr>
        <w:t>政</w:t>
      </w:r>
      <w:r>
        <w:rPr>
          <w:rFonts w:hint="eastAsia" w:ascii="仿宋_GB2312" w:hAnsi="仿宋" w:eastAsia="仿宋_GB2312" w:cs="仿宋"/>
          <w:kern w:val="0"/>
          <w:sz w:val="32"/>
          <w:szCs w:val="32"/>
          <w:lang w:bidi="ar"/>
        </w:rPr>
        <w:t>建设做出相应制度要求，该管理办法合法、合规、完整。该项</w:t>
      </w:r>
      <w:bookmarkStart w:id="0" w:name="_GoBack"/>
      <w:bookmarkEnd w:id="0"/>
      <w:r>
        <w:rPr>
          <w:rFonts w:hint="eastAsia" w:ascii="仿宋_GB2312" w:hAnsi="仿宋" w:eastAsia="仿宋_GB2312" w:cs="仿宋"/>
          <w:kern w:val="0"/>
          <w:sz w:val="32"/>
          <w:szCs w:val="32"/>
          <w:lang w:bidi="ar"/>
        </w:rPr>
        <w:t>指标绩效评价得分3分。（基础分3分）</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（2）项目采购过程合规性</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项目经招标代理机构河北省成套招标有限公司，通过政府招标采购程序进行公开招标、开标及评标过程，确定本项目设计中标单位为石家庄市政设计研究院有限责任公司，勘察中标单位为河北建太汇行土木工程有限公司，施工中标单位为河北建工集团有限责任公司，监理中标单位为石家庄安泰建设监理有限公司。业务执行符合招标制度的要求。该项指标绩效评价得分3分。（基础分3分）</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（3）管理有效性</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经查看，高邑县凤城污水处理厂与高邑县恒信电力建设有限公司签订的建设工程合同、与河北建工集团有限责任公司签订的施工合同、与石家庄市政设计研究院有限责任公司签订的设计合同、与河北建太汇行土木工程有限公司签订的勘察合同、与石家庄安泰建设监理有限公司签订的监理合同内容均完整、合法。该项指标绩效评价得分3分。（基础分3分）</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（4）项目质量可控性</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2016年5月10日，高邑县住房和城乡建设局就建筑市场工程质量制定了管理制度，石家庄安泰建设监理有限公司对该项目进行监理。截至评价日，项目已完工，验收工作已完成。该项指标绩效评价得分3分。（基础分3分）</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（5）信息公示公开</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经询问该项目相关工作人员，高邑县住房和城乡建设局在项目实施地进行了公开公示，但未留存公示资料。该项指标绩效评价得分1分。（基础分2分）</w:t>
      </w:r>
    </w:p>
    <w:p>
      <w:pPr>
        <w:ind w:firstLine="643"/>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综上所述，“业务管理”该项指标绩效评价得分13分。（基础分14分）</w:t>
      </w:r>
    </w:p>
    <w:p>
      <w:pPr>
        <w:ind w:firstLine="643"/>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2.财务管理方面</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Times New Roman" w:eastAsia="仿宋_GB2312" w:cs="Times New Roman"/>
          <w:sz w:val="32"/>
          <w:szCs w:val="32"/>
        </w:rPr>
        <w:t>项目结算</w:t>
      </w:r>
      <w:r>
        <w:rPr>
          <w:rFonts w:hint="eastAsia" w:ascii="仿宋_GB2312" w:hAnsi="仿宋" w:eastAsia="仿宋_GB2312" w:cs="仿宋"/>
          <w:kern w:val="0"/>
          <w:sz w:val="32"/>
          <w:szCs w:val="32"/>
          <w:lang w:bidi="ar"/>
        </w:rPr>
        <w:t>审定金额为1637.621067万元，本次重点抽查其中200万元资金管理情况，具体如下：</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（1）管理制度健全性</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2015年7月1日，高邑县住房和城乡建设局出具的财务管理办法，对财务管理范围、财务资料、收入管理和专项资金管理，做了相应的管理要求。2018年6月25日高邑县住房和城乡建设局出具的《关于加强专项资金使用管理制度》（高建[2018]15号）,对专项资金范围、管理和监督做了相应的管理要求。该资金管理办法符合相关的财务会计制度规定。该项指标绩效评价得分3分。（基础分3分）</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（2）资金使用合规性</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2019年1月17日，高邑县住房和城乡建设局向县政府提交了关于</w:t>
      </w:r>
      <w:r>
        <w:rPr>
          <w:rFonts w:hint="eastAsia" w:ascii="仿宋_GB2312" w:hAnsi="Times New Roman" w:eastAsia="仿宋_GB2312" w:cs="Times New Roman"/>
          <w:sz w:val="32"/>
          <w:szCs w:val="32"/>
        </w:rPr>
        <w:t>高邑县</w:t>
      </w:r>
      <w:r>
        <w:rPr>
          <w:rFonts w:hint="eastAsia" w:ascii="仿宋_GB2312" w:hAnsi="仿宋" w:eastAsia="仿宋_GB2312" w:cs="仿宋"/>
          <w:kern w:val="0"/>
          <w:sz w:val="32"/>
          <w:szCs w:val="32"/>
          <w:lang w:bidi="ar"/>
        </w:rPr>
        <w:t>第二污水处理厂房建工程款的请示 ，资金签批卡上由主任、主管县长、常务县长及县长的签字审批。</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资金拨付时在资金支出审批表上由责任科室负责人、领导签字审批，领导在发票上签字后支付相应款项。资金拨付有较完整的审批程序和手续，资金使用符合预算批复和合同规定用途。不存在截留、挤占、挪用等情况该项指标绩效评价得分8分。（基础分8分）</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（3）财务监控有效性</w:t>
      </w:r>
    </w:p>
    <w:p>
      <w:pPr>
        <w:tabs>
          <w:tab w:val="left" w:pos="2376"/>
        </w:tabs>
        <w:spacing w:line="620" w:lineRule="exact"/>
        <w:ind w:firstLine="48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资金拨付时在资金支出审批表上由责任科室负责人、领导签字审批，领导在发票上签字后支付相应款项，以上情况表明财务监控机制较健全，管控措施较有效。该项指标绩效评价得分3分（基础分3分）。</w:t>
      </w:r>
    </w:p>
    <w:p>
      <w:pPr>
        <w:tabs>
          <w:tab w:val="left" w:pos="2376"/>
        </w:tabs>
        <w:spacing w:line="620" w:lineRule="exact"/>
        <w:ind w:firstLine="480"/>
        <w:rPr>
          <w:rFonts w:ascii="仿宋_GB2312" w:hAnsi="仿宋" w:eastAsia="仿宋_GB2312" w:cs="仿宋"/>
          <w:kern w:val="0"/>
          <w:sz w:val="32"/>
          <w:szCs w:val="32"/>
          <w:highlight w:val="yellow"/>
          <w:lang w:bidi="ar"/>
        </w:rPr>
      </w:pPr>
      <w:r>
        <w:rPr>
          <w:rFonts w:hint="eastAsia" w:ascii="仿宋_GB2312" w:hAnsi="仿宋" w:eastAsia="仿宋_GB2312" w:cs="仿宋"/>
          <w:kern w:val="0"/>
          <w:sz w:val="32"/>
          <w:szCs w:val="32"/>
          <w:lang w:bidi="ar"/>
        </w:rPr>
        <w:t>综上所述，“财务管理”该项指标绩效评价得分14分。（基础分14分）</w:t>
      </w:r>
    </w:p>
    <w:p>
      <w:pPr>
        <w:adjustRightInd w:val="0"/>
        <w:snapToGrid w:val="0"/>
        <w:spacing w:line="620" w:lineRule="exact"/>
        <w:ind w:firstLine="643" w:firstLineChars="200"/>
        <w:outlineLvl w:val="1"/>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（三）项目产出情况</w:t>
      </w:r>
    </w:p>
    <w:p>
      <w:pPr>
        <w:pStyle w:val="11"/>
        <w:widowControl/>
        <w:spacing w:line="620" w:lineRule="exact"/>
        <w:ind w:left="142" w:firstLine="64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该项指标主要从实际完成情况、完成及时情况、质量达标情况、自评报告完整性情况四个方面对项目产出情况进行评价。本次评价该项指标绩效评价得分41分。（基础分44分）</w:t>
      </w:r>
    </w:p>
    <w:p>
      <w:pPr>
        <w:pStyle w:val="11"/>
        <w:widowControl/>
        <w:spacing w:line="620" w:lineRule="exact"/>
        <w:ind w:left="142"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1.实际完成情况</w:t>
      </w:r>
    </w:p>
    <w:p>
      <w:pPr>
        <w:pStyle w:val="11"/>
        <w:widowControl/>
        <w:spacing w:line="620" w:lineRule="exact"/>
        <w:ind w:left="142" w:firstLine="64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经查看项目资料，本项目于2014年1月25日开始施工，2015年底竣工。实地查看工程均已完工。该项指标绩效评价得分15分。（基础分15分）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2.完成及时情况</w:t>
      </w:r>
    </w:p>
    <w:p>
      <w:pPr>
        <w:pStyle w:val="11"/>
        <w:widowControl/>
        <w:spacing w:line="620" w:lineRule="exact"/>
        <w:ind w:firstLine="64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根据施工合同约定：工程从2014年1月25日开始施工，至2014年7月23日竣工完成，经查看竣工验收资料，显示已竣工验收合格，但竣工验收资料均未标明竣工验收时间。2015年12月25日，高邑县凤城污水处理厂与石家庄安泰建设监理有限公司签订的延期监理工作协议书，其中表明非监理人原因工程延期487天（到2015年12月21日），与施工合同约定竣工期相差半年以上，竣工有明显滞后现象。该项指标绩效评价得分7分。（基础分10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3.质量达标情况</w:t>
      </w:r>
    </w:p>
    <w:p>
      <w:pPr>
        <w:pStyle w:val="11"/>
        <w:widowControl/>
        <w:spacing w:line="620" w:lineRule="exact"/>
        <w:ind w:firstLine="640"/>
        <w:outlineLvl w:val="2"/>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根据项目监理质量评估报告中显示本工程质量等级为合格；项目竣工验收报告显示审查结论为已完成合同约定的各项内容，工程质量符合有关法律、法规和工程建设强制性标准，同意验收。该项指标绩效评价得分10分。（基础分10分）</w:t>
      </w:r>
    </w:p>
    <w:p>
      <w:pPr>
        <w:pStyle w:val="11"/>
        <w:widowControl/>
        <w:spacing w:line="620" w:lineRule="exact"/>
        <w:ind w:firstLine="643"/>
        <w:outlineLvl w:val="2"/>
        <w:rPr>
          <w:rFonts w:ascii="仿宋_GB2312" w:hAnsi="仿宋" w:eastAsia="仿宋_GB2312" w:cs="仿宋"/>
          <w:b/>
          <w:bCs/>
          <w:kern w:val="0"/>
          <w:sz w:val="32"/>
          <w:szCs w:val="32"/>
          <w:lang w:bidi="ar"/>
        </w:rPr>
      </w:pPr>
      <w:r>
        <w:rPr>
          <w:rFonts w:hint="eastAsia" w:ascii="仿宋_GB2312" w:hAnsi="仿宋" w:eastAsia="仿宋_GB2312" w:cs="仿宋"/>
          <w:b/>
          <w:bCs/>
          <w:kern w:val="0"/>
          <w:sz w:val="32"/>
          <w:szCs w:val="32"/>
          <w:lang w:bidi="ar"/>
        </w:rPr>
        <w:t>4.自评报告完整性情况</w:t>
      </w:r>
    </w:p>
    <w:p>
      <w:pPr>
        <w:pStyle w:val="11"/>
        <w:widowControl/>
        <w:spacing w:line="620" w:lineRule="exact"/>
        <w:ind w:firstLine="640"/>
        <w:rPr>
          <w:rFonts w:ascii="仿宋_GB2312" w:hAnsi="仿宋" w:eastAsia="仿宋_GB2312" w:cs="仿宋"/>
          <w:kern w:val="0"/>
          <w:sz w:val="32"/>
          <w:szCs w:val="32"/>
          <w:highlight w:val="yellow"/>
          <w:lang w:bidi="ar"/>
        </w:rPr>
      </w:pPr>
      <w:r>
        <w:rPr>
          <w:rFonts w:hint="eastAsia" w:ascii="仿宋_GB2312" w:hAnsi="仿宋" w:eastAsia="仿宋_GB2312" w:cs="仿宋"/>
          <w:kern w:val="0"/>
          <w:sz w:val="32"/>
          <w:szCs w:val="32"/>
          <w:lang w:bidi="ar"/>
        </w:rPr>
        <w:t>高邑县住房和城乡建设局提供了《2019年度高邑县第二污水处理厂房建工程项目自评报告》，含项目基本情况、自评工作情况、项目综合评价结论和评价等级、存在的问题及整改措施，且附有县级部门预算项目绩效自评表，项目单位自评报告完整、详细。该项指标绩效评价得分9分。（基础分9分）</w:t>
      </w:r>
    </w:p>
    <w:p>
      <w:pPr>
        <w:tabs>
          <w:tab w:val="left" w:pos="2376"/>
        </w:tabs>
        <w:spacing w:line="620" w:lineRule="exact"/>
        <w:ind w:firstLine="480"/>
        <w:rPr>
          <w:rFonts w:ascii="仿宋_GB2312" w:hAnsi="仿宋" w:eastAsia="仿宋_GB2312" w:cs="仿宋"/>
          <w:kern w:val="0"/>
          <w:sz w:val="32"/>
          <w:szCs w:val="32"/>
          <w:lang w:bidi="ar"/>
        </w:rPr>
      </w:pPr>
      <w:r>
        <w:rPr>
          <w:rFonts w:ascii="仿宋_GB2312" w:hAnsi="仿宋" w:eastAsia="仿宋_GB2312" w:cs="仿宋"/>
          <w:kern w:val="0"/>
          <w:sz w:val="32"/>
          <w:szCs w:val="32"/>
          <w:lang w:bidi="ar"/>
        </w:rPr>
        <w:t>综上所述，</w:t>
      </w:r>
      <w:r>
        <w:rPr>
          <w:rFonts w:hint="eastAsia" w:ascii="仿宋_GB2312" w:hAnsi="仿宋" w:eastAsia="仿宋_GB2312" w:cs="仿宋"/>
          <w:kern w:val="0"/>
          <w:sz w:val="32"/>
          <w:szCs w:val="32"/>
          <w:lang w:bidi="ar"/>
        </w:rPr>
        <w:t>“项目产出”</w:t>
      </w:r>
      <w:r>
        <w:rPr>
          <w:rFonts w:ascii="仿宋_GB2312" w:hAnsi="仿宋" w:eastAsia="仿宋_GB2312" w:cs="仿宋"/>
          <w:kern w:val="0"/>
          <w:sz w:val="32"/>
          <w:szCs w:val="32"/>
          <w:lang w:bidi="ar"/>
        </w:rPr>
        <w:t>该项指标绩效评价得分</w:t>
      </w:r>
      <w:r>
        <w:rPr>
          <w:rFonts w:hint="eastAsia" w:ascii="仿宋_GB2312" w:hAnsi="仿宋" w:eastAsia="仿宋_GB2312" w:cs="仿宋"/>
          <w:kern w:val="0"/>
          <w:sz w:val="32"/>
          <w:szCs w:val="32"/>
          <w:lang w:bidi="ar"/>
        </w:rPr>
        <w:t>41</w:t>
      </w:r>
      <w:r>
        <w:rPr>
          <w:rFonts w:ascii="仿宋_GB2312" w:hAnsi="仿宋" w:eastAsia="仿宋_GB2312" w:cs="仿宋"/>
          <w:kern w:val="0"/>
          <w:sz w:val="32"/>
          <w:szCs w:val="32"/>
          <w:lang w:bidi="ar"/>
        </w:rPr>
        <w:t>分</w:t>
      </w:r>
      <w:r>
        <w:rPr>
          <w:rFonts w:hint="eastAsia" w:ascii="仿宋_GB2312" w:hAnsi="仿宋" w:eastAsia="仿宋_GB2312" w:cs="仿宋"/>
          <w:kern w:val="0"/>
          <w:sz w:val="32"/>
          <w:szCs w:val="32"/>
          <w:lang w:bidi="ar"/>
        </w:rPr>
        <w:t>。</w:t>
      </w:r>
      <w:r>
        <w:rPr>
          <w:rFonts w:ascii="仿宋_GB2312" w:hAnsi="仿宋" w:eastAsia="仿宋_GB2312" w:cs="仿宋"/>
          <w:kern w:val="0"/>
          <w:sz w:val="32"/>
          <w:szCs w:val="32"/>
          <w:lang w:bidi="ar"/>
        </w:rPr>
        <w:t>（基础分</w:t>
      </w:r>
      <w:r>
        <w:rPr>
          <w:rFonts w:hint="eastAsia" w:ascii="仿宋_GB2312" w:hAnsi="仿宋" w:eastAsia="仿宋_GB2312" w:cs="仿宋"/>
          <w:kern w:val="0"/>
          <w:sz w:val="32"/>
          <w:szCs w:val="32"/>
          <w:lang w:bidi="ar"/>
        </w:rPr>
        <w:t>44</w:t>
      </w:r>
      <w:r>
        <w:rPr>
          <w:rFonts w:ascii="仿宋_GB2312" w:hAnsi="仿宋" w:eastAsia="仿宋_GB2312" w:cs="仿宋"/>
          <w:kern w:val="0"/>
          <w:sz w:val="32"/>
          <w:szCs w:val="32"/>
          <w:lang w:bidi="ar"/>
        </w:rPr>
        <w:t>分）</w:t>
      </w:r>
    </w:p>
    <w:p>
      <w:pPr>
        <w:adjustRightInd w:val="0"/>
        <w:snapToGrid w:val="0"/>
        <w:spacing w:line="620" w:lineRule="exact"/>
        <w:ind w:firstLine="643" w:firstLineChars="200"/>
        <w:outlineLvl w:val="1"/>
        <w:rPr>
          <w:rFonts w:ascii="楷体_GB2312" w:hAnsi="楷体_GB2312" w:eastAsia="楷体_GB2312" w:cs="楷体_GB2312"/>
          <w:b/>
          <w:bCs/>
          <w:color w:val="FF0000"/>
          <w:sz w:val="32"/>
          <w:szCs w:val="32"/>
        </w:rPr>
      </w:pPr>
      <w:r>
        <w:rPr>
          <w:rFonts w:hint="eastAsia" w:ascii="楷体_GB2312" w:hAnsi="楷体_GB2312" w:eastAsia="楷体_GB2312" w:cs="楷体_GB2312"/>
          <w:b/>
          <w:bCs/>
          <w:sz w:val="32"/>
          <w:szCs w:val="32"/>
        </w:rPr>
        <w:t>（四）项目效益情况</w:t>
      </w:r>
    </w:p>
    <w:p>
      <w:pPr>
        <w:widowControl/>
        <w:spacing w:line="620" w:lineRule="exact"/>
        <w:ind w:firstLine="640" w:firstLineChars="20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本项指标主要从经济效益、社会效益、生态效益、可持续影响等四个方面对项目效益情况进行评价。本次评价该项指标绩效评价得分4分（基础分8分）。</w:t>
      </w:r>
    </w:p>
    <w:p>
      <w:pPr>
        <w:spacing w:line="620" w:lineRule="exact"/>
        <w:ind w:firstLine="640" w:firstLineChars="200"/>
        <w:outlineLvl w:val="0"/>
        <w:rPr>
          <w:rFonts w:ascii="仿宋_GB2312" w:hAnsi="仿宋" w:eastAsia="仿宋_GB2312" w:cs="仿宋"/>
          <w:kern w:val="0"/>
          <w:sz w:val="32"/>
          <w:szCs w:val="32"/>
          <w:lang w:bidi="ar"/>
        </w:rPr>
      </w:pPr>
      <w:r>
        <w:rPr>
          <w:rFonts w:hint="eastAsia" w:ascii="仿宋_GB2312" w:hAnsi="仿宋" w:eastAsia="仿宋_GB2312" w:cs="仿宋"/>
          <w:kern w:val="0"/>
          <w:sz w:val="32"/>
          <w:szCs w:val="32"/>
          <w:lang w:bidi="ar"/>
        </w:rPr>
        <w:t>截至绩效评价日，项目已完工验收，尚未运行，</w:t>
      </w:r>
      <w:r>
        <w:rPr>
          <w:rFonts w:hint="eastAsia" w:ascii="仿宋_GB2312" w:hAnsi="Times New Roman" w:eastAsia="仿宋_GB2312" w:cs="Times New Roman"/>
          <w:sz w:val="32"/>
          <w:szCs w:val="32"/>
        </w:rPr>
        <w:t>高邑县</w:t>
      </w:r>
      <w:r>
        <w:rPr>
          <w:rFonts w:hint="eastAsia" w:ascii="仿宋_GB2312" w:hAnsi="仿宋" w:eastAsia="仿宋_GB2312" w:cs="仿宋"/>
          <w:kern w:val="0"/>
          <w:sz w:val="32"/>
          <w:szCs w:val="32"/>
          <w:lang w:bidi="ar"/>
        </w:rPr>
        <w:t>第二污水处理厂运行后可进行污水收集、输送及污水处理，污水处理量可达每日2万吨。本次评价该项指标绩效评价得分4分。（基础分8分）</w:t>
      </w:r>
    </w:p>
    <w:p>
      <w:pPr>
        <w:spacing w:line="620" w:lineRule="exact"/>
        <w:ind w:firstLine="640" w:firstLineChars="200"/>
        <w:outlineLvl w:val="0"/>
        <w:rPr>
          <w:rFonts w:ascii="黑体" w:hAnsi="黑体" w:eastAsia="黑体" w:cs="Times New Roman"/>
          <w:sz w:val="32"/>
          <w:szCs w:val="32"/>
        </w:rPr>
      </w:pPr>
      <w:r>
        <w:rPr>
          <w:rFonts w:hint="eastAsia" w:ascii="黑体" w:hAnsi="黑体" w:eastAsia="黑体" w:cs="Times New Roman"/>
          <w:sz w:val="32"/>
          <w:szCs w:val="32"/>
        </w:rPr>
        <w:t>四、项目综合评价结论和评价等级</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根据绩效评价指标及评价标准，对高邑县第二污水处理厂房建工程项目进行综合评价，得分91分。评价等级为“优秀”。</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从综合评价得分情况及评价等级上看，用于高邑县第二污水处理厂房建工程项目资金整体绩效较好，在资金分配、使用、监管等方面都取得了良好效果，能够实现绩效目标。主要在以下方面有力地提升了财政预算资金绩效管理水平：</w:t>
      </w:r>
    </w:p>
    <w:p>
      <w:pPr>
        <w:adjustRightInd w:val="0"/>
        <w:snapToGrid w:val="0"/>
        <w:spacing w:line="620" w:lineRule="exact"/>
        <w:ind w:firstLine="643" w:firstLineChars="200"/>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（一）项目采购程序规范，绩效目标设定合理</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一是，项目按照规定程序申请设立，事前经过必要的可行性研究。</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二是，绩效目标依据充分，符合客观实际，与项目实施相符。</w:t>
      </w:r>
    </w:p>
    <w:p>
      <w:pPr>
        <w:adjustRightInd w:val="0"/>
        <w:snapToGrid w:val="0"/>
        <w:spacing w:line="620" w:lineRule="exact"/>
        <w:ind w:firstLine="643" w:firstLineChars="200"/>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（二）项目资金拨付及时，业务管理制度健全</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一是，项目资金足额列入财政年度预算，按照合同或项目进度要求及时拨付施工单位。</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二是，项目单位制定了合法、完整的业务管理制度，制度得到有效执行，项目质量得到有效保障。</w:t>
      </w:r>
    </w:p>
    <w:p>
      <w:pPr>
        <w:adjustRightInd w:val="0"/>
        <w:snapToGrid w:val="0"/>
        <w:spacing w:line="620" w:lineRule="exact"/>
        <w:ind w:firstLine="643" w:firstLineChars="200"/>
        <w:rPr>
          <w:rFonts w:ascii="仿宋_GB2312" w:hAnsi="Times New Roman" w:eastAsia="仿宋_GB2312" w:cs="Times New Roman"/>
          <w:b/>
          <w:bCs/>
          <w:sz w:val="32"/>
          <w:szCs w:val="32"/>
        </w:rPr>
      </w:pPr>
      <w:r>
        <w:rPr>
          <w:rFonts w:hint="eastAsia" w:ascii="仿宋_GB2312" w:hAnsi="Times New Roman" w:eastAsia="仿宋_GB2312" w:cs="Times New Roman"/>
          <w:b/>
          <w:bCs/>
          <w:sz w:val="32"/>
          <w:szCs w:val="32"/>
        </w:rPr>
        <w:t>（三）制度执行有效，资金使用合规</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一是，本项目执行政府采购招投标程序，签订了招标代理合同，招标过程手续齐全。与施工单位签订了施工合同、并进行了验收。</w:t>
      </w:r>
    </w:p>
    <w:p>
      <w:pPr>
        <w:adjustRightInd w:val="0"/>
        <w:snapToGrid w:val="0"/>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二是，资金使用符合财务管理制度，项目请示、批复文件和报账审批环节严谨，手续完整。</w:t>
      </w:r>
    </w:p>
    <w:p>
      <w:pPr>
        <w:spacing w:line="620" w:lineRule="exact"/>
        <w:ind w:left="640"/>
        <w:outlineLvl w:val="0"/>
        <w:rPr>
          <w:rFonts w:ascii="黑体" w:hAnsi="黑体" w:eastAsia="黑体" w:cs="Times New Roman"/>
          <w:sz w:val="32"/>
          <w:szCs w:val="32"/>
        </w:rPr>
      </w:pPr>
      <w:r>
        <w:rPr>
          <w:rFonts w:hint="eastAsia" w:ascii="黑体" w:hAnsi="黑体" w:eastAsia="黑体" w:cs="Times New Roman"/>
          <w:sz w:val="32"/>
          <w:szCs w:val="32"/>
        </w:rPr>
        <w:t>五、主要问题</w:t>
      </w:r>
    </w:p>
    <w:p>
      <w:pPr>
        <w:widowControl/>
        <w:spacing w:line="620" w:lineRule="exact"/>
        <w:ind w:firstLine="643" w:firstLineChars="200"/>
        <w:outlineLvl w:val="1"/>
        <w:rPr>
          <w:rFonts w:ascii="楷体" w:hAnsi="楷体" w:eastAsia="楷体" w:cs="楷体"/>
          <w:b/>
          <w:bCs/>
          <w:kern w:val="0"/>
          <w:sz w:val="32"/>
          <w:szCs w:val="32"/>
          <w:lang w:bidi="ar"/>
        </w:rPr>
      </w:pPr>
      <w:r>
        <w:rPr>
          <w:rFonts w:hint="eastAsia" w:ascii="楷体" w:hAnsi="楷体" w:eastAsia="楷体" w:cs="楷体"/>
          <w:b/>
          <w:bCs/>
          <w:kern w:val="0"/>
          <w:sz w:val="32"/>
          <w:szCs w:val="32"/>
          <w:lang w:bidi="ar"/>
        </w:rPr>
        <w:t>（一）项目资料管理不规范</w:t>
      </w:r>
      <w:r>
        <w:rPr>
          <w:rFonts w:ascii="楷体" w:hAnsi="楷体" w:eastAsia="楷体" w:cs="楷体"/>
          <w:b/>
          <w:bCs/>
          <w:kern w:val="0"/>
          <w:sz w:val="32"/>
          <w:szCs w:val="32"/>
          <w:lang w:bidi="ar"/>
        </w:rPr>
        <w:t xml:space="preserve"> </w:t>
      </w:r>
    </w:p>
    <w:p>
      <w:pPr>
        <w:widowControl/>
        <w:spacing w:line="620" w:lineRule="exact"/>
        <w:ind w:firstLine="640" w:firstLineChars="200"/>
        <w:rPr>
          <w:rFonts w:ascii="仿宋" w:hAnsi="仿宋" w:eastAsia="仿宋" w:cs="仿宋"/>
          <w:kern w:val="0"/>
          <w:sz w:val="32"/>
          <w:szCs w:val="32"/>
          <w:lang w:bidi="ar"/>
        </w:rPr>
      </w:pPr>
      <w:r>
        <w:rPr>
          <w:rFonts w:hint="eastAsia" w:ascii="仿宋" w:hAnsi="仿宋" w:eastAsia="仿宋" w:cs="仿宋"/>
          <w:kern w:val="0"/>
          <w:sz w:val="32"/>
          <w:szCs w:val="32"/>
          <w:lang w:bidi="ar"/>
        </w:rPr>
        <w:t>经询问该项目相关工作人员，高邑县住房和城乡建设局在</w:t>
      </w:r>
      <w:r>
        <w:rPr>
          <w:rFonts w:hint="eastAsia" w:ascii="仿宋_GB2312" w:hAnsi="Times New Roman" w:eastAsia="仿宋_GB2312" w:cs="Times New Roman"/>
          <w:sz w:val="32"/>
          <w:szCs w:val="32"/>
        </w:rPr>
        <w:t>高邑县</w:t>
      </w:r>
      <w:r>
        <w:rPr>
          <w:rFonts w:hint="eastAsia" w:ascii="仿宋" w:hAnsi="仿宋" w:eastAsia="仿宋" w:cs="仿宋"/>
          <w:kern w:val="0"/>
          <w:sz w:val="32"/>
          <w:szCs w:val="32"/>
          <w:lang w:bidi="ar"/>
        </w:rPr>
        <w:t>第二污水处理厂房建工程实施地进行了公开公示，但未留存公示资料。</w:t>
      </w:r>
    </w:p>
    <w:p>
      <w:pPr>
        <w:widowControl/>
        <w:spacing w:line="620" w:lineRule="exact"/>
        <w:ind w:firstLine="643" w:firstLineChars="200"/>
        <w:outlineLvl w:val="1"/>
        <w:rPr>
          <w:rFonts w:ascii="楷体" w:hAnsi="楷体" w:eastAsia="楷体" w:cs="楷体"/>
          <w:b/>
          <w:bCs/>
          <w:kern w:val="0"/>
          <w:sz w:val="32"/>
          <w:szCs w:val="32"/>
          <w:lang w:bidi="ar"/>
        </w:rPr>
      </w:pPr>
      <w:r>
        <w:rPr>
          <w:rFonts w:hint="eastAsia" w:ascii="楷体" w:hAnsi="楷体" w:eastAsia="楷体" w:cs="楷体"/>
          <w:b/>
          <w:bCs/>
          <w:kern w:val="0"/>
          <w:sz w:val="32"/>
          <w:szCs w:val="32"/>
          <w:lang w:bidi="ar"/>
        </w:rPr>
        <w:t>（二）项目竣工不及时</w:t>
      </w:r>
    </w:p>
    <w:p>
      <w:pPr>
        <w:widowControl/>
        <w:spacing w:line="620" w:lineRule="exact"/>
        <w:ind w:firstLine="640" w:firstLineChars="200"/>
        <w:outlineLvl w:val="1"/>
        <w:rPr>
          <w:rFonts w:ascii="仿宋_GB2312" w:hAnsi="Times New Roman" w:eastAsia="仿宋_GB2312" w:cs="Times New Roman"/>
          <w:sz w:val="32"/>
          <w:szCs w:val="32"/>
        </w:rPr>
      </w:pPr>
      <w:r>
        <w:rPr>
          <w:rFonts w:hint="eastAsia" w:ascii="仿宋_GB2312" w:hAnsi="Times New Roman" w:eastAsia="仿宋_GB2312" w:cs="Times New Roman"/>
          <w:sz w:val="32"/>
          <w:szCs w:val="32"/>
        </w:rPr>
        <w:t>根据施工合同约定：工程从2014年1月25日开始施工，至2014年7月23日竣工完成，2015年12月25日，高邑县凤城污水处理厂与石家庄安泰建设监理有限公司签订的延期监理工作协议书，其中表明非监理人原因工程延期487天（到2015年12月21日），与施工合同约定竣工期相差半年以上，竣工有明显滞后现象。</w:t>
      </w:r>
    </w:p>
    <w:p>
      <w:pPr>
        <w:widowControl/>
        <w:spacing w:line="620" w:lineRule="exact"/>
        <w:ind w:firstLine="643" w:firstLineChars="200"/>
        <w:outlineLvl w:val="1"/>
        <w:rPr>
          <w:rFonts w:ascii="楷体" w:hAnsi="楷体" w:eastAsia="楷体" w:cs="楷体"/>
          <w:b/>
          <w:bCs/>
          <w:kern w:val="0"/>
          <w:sz w:val="32"/>
          <w:szCs w:val="32"/>
          <w:lang w:bidi="ar"/>
        </w:rPr>
      </w:pPr>
      <w:r>
        <w:rPr>
          <w:rFonts w:hint="eastAsia" w:ascii="楷体" w:hAnsi="楷体" w:eastAsia="楷体" w:cs="楷体"/>
          <w:b/>
          <w:bCs/>
          <w:kern w:val="0"/>
          <w:sz w:val="32"/>
          <w:szCs w:val="32"/>
          <w:lang w:bidi="ar"/>
        </w:rPr>
        <w:t>（三）项目成效不显著</w:t>
      </w:r>
    </w:p>
    <w:p>
      <w:pPr>
        <w:widowControl/>
        <w:spacing w:line="620" w:lineRule="exact"/>
        <w:ind w:firstLine="640" w:firstLineChars="200"/>
        <w:outlineLvl w:val="1"/>
        <w:rPr>
          <w:rFonts w:ascii="仿宋_GB2312" w:hAnsi="Times New Roman" w:eastAsia="仿宋_GB2312" w:cs="Times New Roman"/>
          <w:sz w:val="32"/>
          <w:szCs w:val="32"/>
        </w:rPr>
      </w:pPr>
      <w:r>
        <w:rPr>
          <w:rFonts w:hint="eastAsia" w:ascii="仿宋_GB2312" w:hAnsi="Times New Roman" w:eastAsia="仿宋_GB2312" w:cs="Times New Roman"/>
          <w:sz w:val="32"/>
          <w:szCs w:val="32"/>
        </w:rPr>
        <w:t>经查看项目资料，高邑县第二污水处理厂房建工程项目已于2015年底完工，截至评价日高邑县第二污水处理厂尚未运行，经询问相关工作人员该厂收水较少，正在进行提标改造，进行工艺提升。</w:t>
      </w:r>
    </w:p>
    <w:p>
      <w:pPr>
        <w:spacing w:line="620" w:lineRule="exact"/>
        <w:ind w:firstLine="640" w:firstLineChars="200"/>
        <w:outlineLvl w:val="0"/>
        <w:rPr>
          <w:rFonts w:ascii="黑体" w:hAnsi="黑体" w:eastAsia="黑体" w:cs="Times New Roman"/>
          <w:sz w:val="32"/>
          <w:szCs w:val="32"/>
        </w:rPr>
      </w:pPr>
      <w:r>
        <w:rPr>
          <w:rFonts w:hint="eastAsia" w:ascii="黑体" w:hAnsi="黑体" w:eastAsia="黑体" w:cs="Times New Roman"/>
          <w:sz w:val="32"/>
          <w:szCs w:val="32"/>
        </w:rPr>
        <w:t>六、改进建议</w:t>
      </w:r>
    </w:p>
    <w:p>
      <w:pPr>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（一）项目单位应对项目实施管理科室进行政策培训与学习，加强管理科室 </w:t>
      </w:r>
      <w:r>
        <w:rPr>
          <w:rFonts w:ascii="仿宋_GB2312" w:hAnsi="Times New Roman" w:eastAsia="仿宋_GB2312" w:cs="Times New Roman"/>
          <w:sz w:val="32"/>
          <w:szCs w:val="32"/>
        </w:rPr>
        <w:t xml:space="preserve"> </w:t>
      </w:r>
      <w:r>
        <w:rPr>
          <w:rFonts w:hint="eastAsia" w:ascii="仿宋_GB2312" w:hAnsi="Times New Roman" w:eastAsia="仿宋_GB2312" w:cs="Times New Roman"/>
          <w:sz w:val="32"/>
          <w:szCs w:val="32"/>
        </w:rPr>
        <w:t>对项目实施做好监督，并做好工作留痕，做好项目实施事前、事中、事后拍照留痕，并做好项目实施公开公示，从而更好做好工作。</w:t>
      </w:r>
    </w:p>
    <w:p>
      <w:pPr>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（二）项目应按照合同规定的工期要求，做到好中求快，提高竣工率。竣工滞后一方面会出现管理疏漏的情况，项目实施效果无法及时掌控；另一方面影响资金的拨付，项目评审，增加项目施工单位成本。</w:t>
      </w:r>
    </w:p>
    <w:p>
      <w:pPr>
        <w:spacing w:line="62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（三）项目单位应加快项目运营进度，尽早投入使用，减少县城水污染现象，改善和美化县城环境，方便居民生活。</w:t>
      </w:r>
    </w:p>
    <w:p>
      <w:pPr>
        <w:spacing w:line="620" w:lineRule="exact"/>
        <w:ind w:firstLine="640" w:firstLineChars="200"/>
        <w:rPr>
          <w:rFonts w:ascii="仿宋_GB2312" w:hAnsi="Times New Roman" w:eastAsia="仿宋_GB2312" w:cs="Times New Roman"/>
          <w:sz w:val="32"/>
          <w:szCs w:val="32"/>
        </w:rPr>
      </w:pPr>
    </w:p>
    <w:p>
      <w:pPr>
        <w:spacing w:line="620" w:lineRule="exact"/>
        <w:ind w:firstLine="640" w:firstLineChars="200"/>
        <w:rPr>
          <w:rFonts w:ascii="仿宋_GB2312" w:hAnsi="Times New Roman" w:eastAsia="仿宋_GB2312" w:cs="Times New Roman"/>
          <w:sz w:val="32"/>
          <w:szCs w:val="32"/>
        </w:rPr>
      </w:pPr>
    </w:p>
    <w:p>
      <w:pPr>
        <w:spacing w:line="620" w:lineRule="exact"/>
        <w:ind w:firstLine="640" w:firstLineChars="200"/>
        <w:rPr>
          <w:rFonts w:ascii="仿宋_GB2312" w:hAnsi="Times New Roman" w:eastAsia="仿宋_GB2312" w:cs="Times New Roman"/>
          <w:sz w:val="32"/>
          <w:szCs w:val="32"/>
        </w:rPr>
      </w:pPr>
    </w:p>
    <w:p>
      <w:pPr>
        <w:spacing w:line="620" w:lineRule="exact"/>
        <w:ind w:firstLine="640" w:firstLineChars="200"/>
        <w:rPr>
          <w:rFonts w:ascii="仿宋_GB2312" w:hAnsi="Times New Roman" w:eastAsia="仿宋_GB2312" w:cs="Times New Roman"/>
          <w:sz w:val="32"/>
          <w:szCs w:val="32"/>
        </w:rPr>
      </w:pPr>
    </w:p>
    <w:p>
      <w:pPr>
        <w:adjustRightInd w:val="0"/>
        <w:spacing w:line="620" w:lineRule="exact"/>
        <w:ind w:firstLine="640" w:firstLineChars="200"/>
        <w:outlineLvl w:val="0"/>
        <w:rPr>
          <w:rFonts w:ascii="仿宋_GB2312" w:hAnsi="宋体" w:eastAsia="仿宋_GB2312" w:cs="Times New Roman"/>
          <w:sz w:val="32"/>
          <w:szCs w:val="32"/>
        </w:rPr>
      </w:pPr>
      <w:r>
        <w:rPr>
          <w:rFonts w:hint="eastAsia" w:ascii="仿宋_GB2312" w:hAnsi="宋体" w:eastAsia="仿宋_GB2312" w:cs="Times New Roman"/>
          <w:sz w:val="32"/>
          <w:szCs w:val="32"/>
        </w:rPr>
        <w:t>附件：</w:t>
      </w:r>
      <w:r>
        <w:rPr>
          <w:rFonts w:hint="eastAsia" w:ascii="仿宋_GB2312" w:hAnsi="Times New Roman" w:eastAsia="仿宋_GB2312" w:cs="Times New Roman"/>
          <w:sz w:val="32"/>
          <w:szCs w:val="32"/>
        </w:rPr>
        <w:t>高邑县</w:t>
      </w:r>
      <w:r>
        <w:rPr>
          <w:rFonts w:hint="eastAsia" w:ascii="仿宋_GB2312" w:hAnsi="宋体" w:eastAsia="仿宋_GB2312" w:cs="Times New Roman"/>
          <w:sz w:val="32"/>
          <w:szCs w:val="32"/>
        </w:rPr>
        <w:t>第二污水处理厂房建工程项目绩效评价指标表</w:t>
      </w:r>
    </w:p>
    <w:p>
      <w:pPr>
        <w:widowControl/>
        <w:spacing w:line="620" w:lineRule="exact"/>
        <w:ind w:firstLine="640" w:firstLineChars="200"/>
        <w:rPr>
          <w:rFonts w:ascii="仿宋" w:hAnsi="仿宋" w:eastAsia="仿宋" w:cs="仿宋"/>
          <w:color w:val="FF0000"/>
          <w:kern w:val="0"/>
          <w:sz w:val="32"/>
          <w:szCs w:val="32"/>
          <w:lang w:bidi="ar"/>
        </w:rPr>
      </w:pPr>
    </w:p>
    <w:p>
      <w:pPr>
        <w:widowControl/>
        <w:spacing w:line="620" w:lineRule="exact"/>
        <w:ind w:firstLine="640" w:firstLineChars="200"/>
        <w:rPr>
          <w:rFonts w:ascii="仿宋" w:hAnsi="仿宋" w:eastAsia="仿宋" w:cs="仿宋"/>
          <w:kern w:val="0"/>
          <w:sz w:val="32"/>
          <w:szCs w:val="32"/>
          <w:lang w:bidi="ar"/>
        </w:rPr>
      </w:pPr>
    </w:p>
    <w:p>
      <w:pPr>
        <w:widowControl/>
        <w:spacing w:line="620" w:lineRule="exact"/>
        <w:ind w:firstLine="640" w:firstLineChars="200"/>
        <w:rPr>
          <w:rFonts w:ascii="仿宋" w:hAnsi="仿宋" w:eastAsia="仿宋" w:cs="仿宋"/>
          <w:color w:val="FF0000"/>
          <w:kern w:val="0"/>
          <w:sz w:val="32"/>
          <w:szCs w:val="32"/>
          <w:lang w:bidi="ar"/>
        </w:rPr>
      </w:pPr>
    </w:p>
    <w:p>
      <w:pPr>
        <w:widowControl/>
        <w:spacing w:line="620" w:lineRule="exact"/>
        <w:ind w:firstLine="640" w:firstLineChars="200"/>
        <w:rPr>
          <w:rFonts w:ascii="仿宋" w:hAnsi="仿宋" w:eastAsia="仿宋" w:cs="仿宋"/>
          <w:color w:val="FF0000"/>
          <w:kern w:val="0"/>
          <w:sz w:val="32"/>
          <w:szCs w:val="32"/>
          <w:lang w:bidi="ar"/>
        </w:rPr>
      </w:pPr>
    </w:p>
    <w:p>
      <w:pPr>
        <w:widowControl/>
        <w:spacing w:line="620" w:lineRule="exact"/>
        <w:ind w:firstLine="640" w:firstLineChars="200"/>
        <w:rPr>
          <w:rFonts w:ascii="仿宋" w:hAnsi="仿宋" w:eastAsia="仿宋" w:cs="仿宋"/>
          <w:color w:val="FF0000"/>
          <w:kern w:val="0"/>
          <w:sz w:val="32"/>
          <w:szCs w:val="32"/>
          <w:lang w:bidi="ar"/>
        </w:rPr>
      </w:pPr>
    </w:p>
    <w:p>
      <w:pPr>
        <w:adjustRightInd w:val="0"/>
        <w:snapToGrid w:val="0"/>
        <w:spacing w:line="620" w:lineRule="exact"/>
        <w:ind w:firstLine="640" w:firstLineChars="200"/>
        <w:rPr>
          <w:rFonts w:ascii="宋体" w:hAnsi="宋体" w:cs="MingLiU"/>
          <w:snapToGrid w:val="0"/>
          <w:sz w:val="24"/>
        </w:rPr>
      </w:pPr>
      <w:r>
        <w:rPr>
          <w:rFonts w:hint="eastAsia" w:ascii="仿宋" w:hAnsi="仿宋" w:eastAsia="仿宋" w:cs="MingLiU"/>
          <w:snapToGrid w:val="0"/>
          <w:sz w:val="32"/>
          <w:szCs w:val="32"/>
        </w:rPr>
        <w:t>石家庄中基会计师事务所</w:t>
      </w:r>
      <w:r>
        <w:rPr>
          <w:rFonts w:hint="eastAsia" w:ascii="宋体" w:hAnsi="宋体"/>
          <w:snapToGrid w:val="0"/>
          <w:sz w:val="24"/>
        </w:rPr>
        <w:t xml:space="preserve">       </w:t>
      </w:r>
      <w:r>
        <w:rPr>
          <w:rFonts w:hint="eastAsia" w:ascii="仿宋" w:hAnsi="仿宋" w:eastAsia="仿宋" w:cs="MingLiU"/>
          <w:snapToGrid w:val="0"/>
          <w:sz w:val="32"/>
          <w:szCs w:val="32"/>
        </w:rPr>
        <w:t>中国注册会计师：</w:t>
      </w:r>
      <w:r>
        <w:rPr>
          <w:rFonts w:hint="eastAsia" w:ascii="宋体" w:hAnsi="宋体" w:cs="MingLiU"/>
          <w:snapToGrid w:val="0"/>
          <w:sz w:val="24"/>
        </w:rPr>
        <w:t xml:space="preserve"> </w:t>
      </w:r>
    </w:p>
    <w:p>
      <w:pPr>
        <w:tabs>
          <w:tab w:val="left" w:pos="4720"/>
        </w:tabs>
        <w:autoSpaceDE w:val="0"/>
        <w:autoSpaceDN w:val="0"/>
        <w:adjustRightInd w:val="0"/>
        <w:snapToGrid w:val="0"/>
        <w:spacing w:line="620" w:lineRule="exact"/>
        <w:ind w:firstLine="480" w:firstLineChars="200"/>
        <w:rPr>
          <w:rFonts w:ascii="仿宋" w:hAnsi="仿宋" w:eastAsia="仿宋" w:cs="MingLiU"/>
          <w:snapToGrid w:val="0"/>
          <w:sz w:val="32"/>
          <w:szCs w:val="32"/>
        </w:rPr>
      </w:pPr>
      <w:r>
        <w:rPr>
          <w:rFonts w:hint="eastAsia" w:ascii="宋体" w:hAnsi="宋体" w:cs="MingLiU"/>
          <w:snapToGrid w:val="0"/>
          <w:sz w:val="24"/>
        </w:rPr>
        <w:t xml:space="preserve">      </w:t>
      </w:r>
      <w:r>
        <w:rPr>
          <w:rFonts w:hint="eastAsia" w:ascii="仿宋" w:hAnsi="仿宋" w:eastAsia="仿宋" w:cs="MingLiU"/>
          <w:snapToGrid w:val="0"/>
          <w:sz w:val="32"/>
          <w:szCs w:val="32"/>
        </w:rPr>
        <w:t>（普通合伙）</w:t>
      </w:r>
    </w:p>
    <w:p>
      <w:pPr>
        <w:tabs>
          <w:tab w:val="left" w:pos="4720"/>
        </w:tabs>
        <w:autoSpaceDE w:val="0"/>
        <w:autoSpaceDN w:val="0"/>
        <w:adjustRightInd w:val="0"/>
        <w:snapToGrid w:val="0"/>
        <w:spacing w:line="620" w:lineRule="exact"/>
        <w:ind w:firstLine="1280" w:firstLineChars="400"/>
        <w:rPr>
          <w:rFonts w:ascii="宋体" w:hAnsi="宋体" w:cs="MingLiU"/>
          <w:snapToGrid w:val="0"/>
          <w:sz w:val="24"/>
        </w:rPr>
      </w:pPr>
      <w:r>
        <w:rPr>
          <w:rFonts w:hint="eastAsia" w:ascii="仿宋" w:hAnsi="仿宋" w:eastAsia="仿宋" w:cs="MingLiU"/>
          <w:snapToGrid w:val="0"/>
          <w:sz w:val="32"/>
          <w:szCs w:val="32"/>
        </w:rPr>
        <w:t>中国·石家庄</w:t>
      </w:r>
      <w:r>
        <w:rPr>
          <w:rFonts w:hint="eastAsia" w:ascii="宋体" w:hAnsi="宋体" w:cs="MingLiU"/>
          <w:snapToGrid w:val="0"/>
          <w:sz w:val="24"/>
        </w:rPr>
        <w:t xml:space="preserve">               </w:t>
      </w:r>
      <w:r>
        <w:rPr>
          <w:rFonts w:hint="eastAsia" w:ascii="仿宋" w:hAnsi="仿宋" w:eastAsia="仿宋" w:cs="MingLiU"/>
          <w:snapToGrid w:val="0"/>
          <w:sz w:val="32"/>
          <w:szCs w:val="32"/>
        </w:rPr>
        <w:t>中国注册会计师：</w:t>
      </w:r>
    </w:p>
    <w:p>
      <w:pPr>
        <w:tabs>
          <w:tab w:val="left" w:pos="4720"/>
        </w:tabs>
        <w:autoSpaceDE w:val="0"/>
        <w:autoSpaceDN w:val="0"/>
        <w:adjustRightInd w:val="0"/>
        <w:snapToGrid w:val="0"/>
        <w:spacing w:line="620" w:lineRule="exact"/>
        <w:ind w:left="160" w:leftChars="76" w:firstLine="480" w:firstLineChars="200"/>
        <w:rPr>
          <w:rFonts w:ascii="宋体" w:hAnsi="宋体" w:cs="MingLiU"/>
          <w:snapToGrid w:val="0"/>
          <w:color w:val="FF0000"/>
          <w:sz w:val="24"/>
        </w:rPr>
      </w:pPr>
      <w:r>
        <w:rPr>
          <w:rFonts w:hint="eastAsia" w:ascii="宋体" w:hAnsi="宋体" w:cs="MingLiU"/>
          <w:snapToGrid w:val="0"/>
          <w:color w:val="FF0000"/>
          <w:sz w:val="24"/>
        </w:rPr>
        <w:t xml:space="preserve">                                       </w:t>
      </w:r>
    </w:p>
    <w:p>
      <w:pPr>
        <w:tabs>
          <w:tab w:val="left" w:pos="4720"/>
        </w:tabs>
        <w:autoSpaceDE w:val="0"/>
        <w:autoSpaceDN w:val="0"/>
        <w:adjustRightInd w:val="0"/>
        <w:snapToGrid w:val="0"/>
        <w:spacing w:line="620" w:lineRule="exact"/>
        <w:ind w:left="160" w:leftChars="76" w:right="1280" w:firstLine="640" w:firstLineChars="200"/>
        <w:jc w:val="right"/>
      </w:pPr>
      <w:r>
        <w:rPr>
          <w:rFonts w:hint="eastAsia" w:ascii="仿宋" w:hAnsi="仿宋" w:eastAsia="仿宋" w:cs="MingLiU"/>
          <w:snapToGrid w:val="0"/>
          <w:sz w:val="32"/>
          <w:szCs w:val="32"/>
        </w:rPr>
        <w:t xml:space="preserve"> 2020年11月27日</w:t>
      </w:r>
    </w:p>
    <w:sectPr>
      <w:footerReference r:id="rId5" w:type="first"/>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5440296"/>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28971637"/>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B99"/>
    <w:rsid w:val="000073C2"/>
    <w:rsid w:val="00042F1B"/>
    <w:rsid w:val="0005297C"/>
    <w:rsid w:val="00083789"/>
    <w:rsid w:val="000A18A8"/>
    <w:rsid w:val="000B1B19"/>
    <w:rsid w:val="000C28D0"/>
    <w:rsid w:val="00101912"/>
    <w:rsid w:val="0011491F"/>
    <w:rsid w:val="00115133"/>
    <w:rsid w:val="001E3623"/>
    <w:rsid w:val="001E4BF4"/>
    <w:rsid w:val="001F0D95"/>
    <w:rsid w:val="001F4DAC"/>
    <w:rsid w:val="001F6E97"/>
    <w:rsid w:val="00222108"/>
    <w:rsid w:val="00224E00"/>
    <w:rsid w:val="002333E4"/>
    <w:rsid w:val="00240E82"/>
    <w:rsid w:val="00283692"/>
    <w:rsid w:val="00286FDB"/>
    <w:rsid w:val="002A50E8"/>
    <w:rsid w:val="002C7484"/>
    <w:rsid w:val="002E0E9A"/>
    <w:rsid w:val="00300547"/>
    <w:rsid w:val="0030167B"/>
    <w:rsid w:val="0033188A"/>
    <w:rsid w:val="00335742"/>
    <w:rsid w:val="00336636"/>
    <w:rsid w:val="00337C15"/>
    <w:rsid w:val="003E58A6"/>
    <w:rsid w:val="003F4E76"/>
    <w:rsid w:val="004242B2"/>
    <w:rsid w:val="0046341E"/>
    <w:rsid w:val="00480ADC"/>
    <w:rsid w:val="0048727E"/>
    <w:rsid w:val="00541CA0"/>
    <w:rsid w:val="005448DB"/>
    <w:rsid w:val="00545787"/>
    <w:rsid w:val="005663DC"/>
    <w:rsid w:val="005C7CA0"/>
    <w:rsid w:val="0060365D"/>
    <w:rsid w:val="00615BCB"/>
    <w:rsid w:val="00622352"/>
    <w:rsid w:val="00665424"/>
    <w:rsid w:val="00673DFE"/>
    <w:rsid w:val="00680F6B"/>
    <w:rsid w:val="006A6833"/>
    <w:rsid w:val="006D1B99"/>
    <w:rsid w:val="006E1CDE"/>
    <w:rsid w:val="007050AB"/>
    <w:rsid w:val="007233F7"/>
    <w:rsid w:val="00731A17"/>
    <w:rsid w:val="00732B46"/>
    <w:rsid w:val="0075485D"/>
    <w:rsid w:val="007823FE"/>
    <w:rsid w:val="007A2D19"/>
    <w:rsid w:val="007A7A02"/>
    <w:rsid w:val="007B4969"/>
    <w:rsid w:val="007D7924"/>
    <w:rsid w:val="0086188B"/>
    <w:rsid w:val="0087428C"/>
    <w:rsid w:val="008C2A45"/>
    <w:rsid w:val="008C6B13"/>
    <w:rsid w:val="008E1652"/>
    <w:rsid w:val="00901C7E"/>
    <w:rsid w:val="00961972"/>
    <w:rsid w:val="009A06DA"/>
    <w:rsid w:val="009C2EE3"/>
    <w:rsid w:val="009C4017"/>
    <w:rsid w:val="009F748B"/>
    <w:rsid w:val="00A06E3E"/>
    <w:rsid w:val="00A65EEA"/>
    <w:rsid w:val="00A67BFC"/>
    <w:rsid w:val="00A778CA"/>
    <w:rsid w:val="00A91DAB"/>
    <w:rsid w:val="00A9438D"/>
    <w:rsid w:val="00A94F4E"/>
    <w:rsid w:val="00AA0C2A"/>
    <w:rsid w:val="00AE5A77"/>
    <w:rsid w:val="00AF0928"/>
    <w:rsid w:val="00B012AA"/>
    <w:rsid w:val="00B40D27"/>
    <w:rsid w:val="00B413D8"/>
    <w:rsid w:val="00BA0A97"/>
    <w:rsid w:val="00BA16FF"/>
    <w:rsid w:val="00BD7574"/>
    <w:rsid w:val="00C26E18"/>
    <w:rsid w:val="00C62633"/>
    <w:rsid w:val="00C67EFF"/>
    <w:rsid w:val="00C7117B"/>
    <w:rsid w:val="00C83B86"/>
    <w:rsid w:val="00CE061D"/>
    <w:rsid w:val="00CF4B96"/>
    <w:rsid w:val="00D121F8"/>
    <w:rsid w:val="00D328CE"/>
    <w:rsid w:val="00D32AF2"/>
    <w:rsid w:val="00D44616"/>
    <w:rsid w:val="00D46718"/>
    <w:rsid w:val="00D56E55"/>
    <w:rsid w:val="00D71744"/>
    <w:rsid w:val="00DE0E84"/>
    <w:rsid w:val="00DE1DFB"/>
    <w:rsid w:val="00E124E0"/>
    <w:rsid w:val="00E26866"/>
    <w:rsid w:val="00E46CAA"/>
    <w:rsid w:val="00E67945"/>
    <w:rsid w:val="00E710A8"/>
    <w:rsid w:val="00EB21F1"/>
    <w:rsid w:val="00EB3610"/>
    <w:rsid w:val="00ED2BAA"/>
    <w:rsid w:val="00ED7765"/>
    <w:rsid w:val="00EE3A0E"/>
    <w:rsid w:val="00F25E6F"/>
    <w:rsid w:val="00F46E39"/>
    <w:rsid w:val="00F4782B"/>
    <w:rsid w:val="00F9720E"/>
    <w:rsid w:val="00FA1090"/>
    <w:rsid w:val="00FE0253"/>
    <w:rsid w:val="00FF4C44"/>
    <w:rsid w:val="010A0D79"/>
    <w:rsid w:val="0171377E"/>
    <w:rsid w:val="01827579"/>
    <w:rsid w:val="018946E4"/>
    <w:rsid w:val="02300024"/>
    <w:rsid w:val="042C0E72"/>
    <w:rsid w:val="046D274C"/>
    <w:rsid w:val="04A61935"/>
    <w:rsid w:val="05456C05"/>
    <w:rsid w:val="067B1411"/>
    <w:rsid w:val="06EB3C38"/>
    <w:rsid w:val="0AB776E6"/>
    <w:rsid w:val="0B904F40"/>
    <w:rsid w:val="0BA14849"/>
    <w:rsid w:val="0CF96F92"/>
    <w:rsid w:val="0D732D71"/>
    <w:rsid w:val="0DB7719B"/>
    <w:rsid w:val="0E0A64DA"/>
    <w:rsid w:val="0E4F4C81"/>
    <w:rsid w:val="1019433B"/>
    <w:rsid w:val="11DB5DBD"/>
    <w:rsid w:val="120E672F"/>
    <w:rsid w:val="12784BF7"/>
    <w:rsid w:val="13965877"/>
    <w:rsid w:val="13A212C2"/>
    <w:rsid w:val="13AB5DA8"/>
    <w:rsid w:val="16D111C1"/>
    <w:rsid w:val="1717488B"/>
    <w:rsid w:val="17177D57"/>
    <w:rsid w:val="184662F1"/>
    <w:rsid w:val="1857150C"/>
    <w:rsid w:val="18905D8E"/>
    <w:rsid w:val="18926282"/>
    <w:rsid w:val="198B5C80"/>
    <w:rsid w:val="1A183068"/>
    <w:rsid w:val="1CDA3577"/>
    <w:rsid w:val="1DD10E6F"/>
    <w:rsid w:val="207049B7"/>
    <w:rsid w:val="20DB3AEC"/>
    <w:rsid w:val="20DF4C15"/>
    <w:rsid w:val="216539DB"/>
    <w:rsid w:val="239C51D4"/>
    <w:rsid w:val="246803E1"/>
    <w:rsid w:val="278B0C4C"/>
    <w:rsid w:val="27B85B3F"/>
    <w:rsid w:val="2A8A4830"/>
    <w:rsid w:val="2ABC6889"/>
    <w:rsid w:val="2B804370"/>
    <w:rsid w:val="2C4774E3"/>
    <w:rsid w:val="2E4E0EEC"/>
    <w:rsid w:val="2F473A3F"/>
    <w:rsid w:val="2F622EBF"/>
    <w:rsid w:val="2F6D553C"/>
    <w:rsid w:val="30EF7254"/>
    <w:rsid w:val="32E1617E"/>
    <w:rsid w:val="33A32E6A"/>
    <w:rsid w:val="33D13A4C"/>
    <w:rsid w:val="33FE0476"/>
    <w:rsid w:val="3411234A"/>
    <w:rsid w:val="34CE0541"/>
    <w:rsid w:val="351C2F9B"/>
    <w:rsid w:val="36D31E10"/>
    <w:rsid w:val="37323512"/>
    <w:rsid w:val="38F8479E"/>
    <w:rsid w:val="3A4B78EA"/>
    <w:rsid w:val="3B09078A"/>
    <w:rsid w:val="3B0F7D45"/>
    <w:rsid w:val="3BAD0A22"/>
    <w:rsid w:val="3BBE3021"/>
    <w:rsid w:val="3C5270E0"/>
    <w:rsid w:val="3E037B3B"/>
    <w:rsid w:val="3F807B7E"/>
    <w:rsid w:val="3FA15052"/>
    <w:rsid w:val="41CF7EBA"/>
    <w:rsid w:val="44F00393"/>
    <w:rsid w:val="45B14DAE"/>
    <w:rsid w:val="460D0012"/>
    <w:rsid w:val="47A000F2"/>
    <w:rsid w:val="4BA56312"/>
    <w:rsid w:val="4C026944"/>
    <w:rsid w:val="4C5D00E9"/>
    <w:rsid w:val="4DDE41C9"/>
    <w:rsid w:val="4EA37853"/>
    <w:rsid w:val="4ED5463F"/>
    <w:rsid w:val="4F976A4A"/>
    <w:rsid w:val="4FB00F0B"/>
    <w:rsid w:val="4FB50695"/>
    <w:rsid w:val="507E2426"/>
    <w:rsid w:val="50B102DA"/>
    <w:rsid w:val="521E0228"/>
    <w:rsid w:val="52723DD4"/>
    <w:rsid w:val="52F22819"/>
    <w:rsid w:val="547F7650"/>
    <w:rsid w:val="5494646E"/>
    <w:rsid w:val="568C1222"/>
    <w:rsid w:val="56A6593A"/>
    <w:rsid w:val="579F572A"/>
    <w:rsid w:val="581B48C0"/>
    <w:rsid w:val="58296364"/>
    <w:rsid w:val="58606AE9"/>
    <w:rsid w:val="5ABD0DBD"/>
    <w:rsid w:val="5AC0625D"/>
    <w:rsid w:val="5C395745"/>
    <w:rsid w:val="5D3142F5"/>
    <w:rsid w:val="5D617E2F"/>
    <w:rsid w:val="5E7F25A4"/>
    <w:rsid w:val="5FD51DFE"/>
    <w:rsid w:val="601B786F"/>
    <w:rsid w:val="619F4D98"/>
    <w:rsid w:val="61C02D11"/>
    <w:rsid w:val="620B50B5"/>
    <w:rsid w:val="631333BE"/>
    <w:rsid w:val="6399058D"/>
    <w:rsid w:val="639A3A2C"/>
    <w:rsid w:val="64E80374"/>
    <w:rsid w:val="65CD4BB0"/>
    <w:rsid w:val="65F52377"/>
    <w:rsid w:val="67F42EC2"/>
    <w:rsid w:val="69690BFA"/>
    <w:rsid w:val="6AE22F6D"/>
    <w:rsid w:val="6BFF6771"/>
    <w:rsid w:val="6C6D4B65"/>
    <w:rsid w:val="6DD9306A"/>
    <w:rsid w:val="6E0569D4"/>
    <w:rsid w:val="6E30664F"/>
    <w:rsid w:val="6E971F9F"/>
    <w:rsid w:val="70B41F81"/>
    <w:rsid w:val="71372820"/>
    <w:rsid w:val="71BC62FA"/>
    <w:rsid w:val="72C96E11"/>
    <w:rsid w:val="72CB4C59"/>
    <w:rsid w:val="753F4712"/>
    <w:rsid w:val="75453F60"/>
    <w:rsid w:val="7581375B"/>
    <w:rsid w:val="77C44E7D"/>
    <w:rsid w:val="78EA3678"/>
    <w:rsid w:val="79B74A81"/>
    <w:rsid w:val="7A6E42D2"/>
    <w:rsid w:val="7A7F533A"/>
    <w:rsid w:val="7E7B3881"/>
    <w:rsid w:val="7F7142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2"/>
    <w:semiHidden/>
    <w:unhideWhenUsed/>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uiPriority w:val="0"/>
  </w:style>
  <w:style w:type="character" w:customStyle="1" w:styleId="8">
    <w:name w:val="页眉 字符"/>
    <w:basedOn w:val="6"/>
    <w:link w:val="4"/>
    <w:qFormat/>
    <w:uiPriority w:val="99"/>
    <w:rPr>
      <w:sz w:val="18"/>
      <w:szCs w:val="18"/>
    </w:rPr>
  </w:style>
  <w:style w:type="character" w:customStyle="1" w:styleId="9">
    <w:name w:val="页脚 字符"/>
    <w:basedOn w:val="6"/>
    <w:link w:val="3"/>
    <w:uiPriority w:val="99"/>
    <w:rPr>
      <w:sz w:val="18"/>
      <w:szCs w:val="18"/>
    </w:rPr>
  </w:style>
  <w:style w:type="paragraph" w:customStyle="1" w:styleId="10">
    <w:name w:val="默认段落字体 Para Char Char Char Char Char Char Char"/>
    <w:basedOn w:val="1"/>
    <w:qFormat/>
    <w:uiPriority w:val="0"/>
    <w:rPr>
      <w:rFonts w:ascii="Times New Roman" w:hAnsi="Times New Roman" w:eastAsia="宋体" w:cs="Times New Roman"/>
      <w:szCs w:val="24"/>
    </w:rPr>
  </w:style>
  <w:style w:type="paragraph" w:styleId="11">
    <w:name w:val="List Paragraph"/>
    <w:basedOn w:val="1"/>
    <w:unhideWhenUsed/>
    <w:uiPriority w:val="99"/>
    <w:pPr>
      <w:ind w:firstLine="420" w:firstLineChars="200"/>
    </w:pPr>
  </w:style>
  <w:style w:type="character" w:customStyle="1" w:styleId="12">
    <w:name w:val="批注框文本 字符"/>
    <w:basedOn w:val="6"/>
    <w:link w:val="2"/>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920144-C6D8-4764-8A4B-824DB365F785}">
  <ds:schemaRefs/>
</ds:datastoreItem>
</file>

<file path=docProps/app.xml><?xml version="1.0" encoding="utf-8"?>
<Properties xmlns="http://schemas.openxmlformats.org/officeDocument/2006/extended-properties" xmlns:vt="http://schemas.openxmlformats.org/officeDocument/2006/docPropsVTypes">
  <Template>Normal.dotm</Template>
  <Company>datathink</Company>
  <Pages>15</Pages>
  <Words>1028</Words>
  <Characters>5862</Characters>
  <Lines>48</Lines>
  <Paragraphs>13</Paragraphs>
  <TotalTime>288</TotalTime>
  <ScaleCrop>false</ScaleCrop>
  <LinksUpToDate>false</LinksUpToDate>
  <CharactersWithSpaces>6877</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2020-11-27T00:45:00Z</dcterms:created>
  <dc:creator>user</dc:creator>
  <cp:lastModifiedBy>(´〜｀*) zzz</cp:lastModifiedBy>
  <cp:lastPrinted>2020-12-01T08:16:00Z</cp:lastPrinted>
  <dcterms:modified xsi:type="dcterms:W3CDTF">2024-09-14T03:21:26Z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30117FDFD6054841A70C13814DB12760</vt:lpwstr>
  </property>
</Properties>
</file>