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ind w:firstLine="2209" w:firstLineChars="500"/>
        <w:rPr>
          <w:rFonts w:ascii="宋体" w:cs="宋体"/>
          <w:b/>
          <w:bCs/>
          <w:kern w:val="0"/>
          <w:sz w:val="44"/>
          <w:szCs w:val="44"/>
        </w:rPr>
      </w:pPr>
      <w:bookmarkStart w:id="1" w:name="_GoBack"/>
      <w:r>
        <w:rPr>
          <w:rFonts w:hint="eastAsia" w:ascii="宋体" w:hAnsi="宋体" w:cs="宋体"/>
          <w:b/>
          <w:bCs/>
          <w:kern w:val="0"/>
          <w:sz w:val="44"/>
          <w:szCs w:val="44"/>
        </w:rPr>
        <w:t>高邑县住房和城乡建设局</w:t>
      </w:r>
    </w:p>
    <w:p>
      <w:pPr>
        <w:snapToGrid w:val="0"/>
        <w:spacing w:line="360" w:lineRule="auto"/>
        <w:jc w:val="center"/>
        <w:rPr>
          <w:rFonts w:ascii="宋体" w:cs="宋体"/>
          <w:b/>
          <w:bCs/>
          <w:sz w:val="44"/>
          <w:szCs w:val="44"/>
        </w:rPr>
      </w:pPr>
      <w:r>
        <w:rPr>
          <w:rFonts w:ascii="宋体" w:hAnsi="宋体" w:cs="宋体"/>
          <w:b/>
          <w:bCs/>
          <w:kern w:val="0"/>
          <w:sz w:val="44"/>
          <w:szCs w:val="44"/>
        </w:rPr>
        <w:t>2019</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ind w:firstLine="560" w:firstLineChars="200"/>
        <w:rPr>
          <w:rFonts w:eastAsia="仿宋"/>
          <w:sz w:val="28"/>
          <w:szCs w:val="28"/>
        </w:rPr>
      </w:pPr>
      <w:r>
        <w:rPr>
          <w:rFonts w:hint="eastAsia" w:eastAsia="仿宋"/>
          <w:sz w:val="28"/>
          <w:szCs w:val="28"/>
        </w:rPr>
        <w:t>为加强财政资金管理，提高财政资金的使用效益，根据石家庄市财政局关于印发《石家庄市市级部门项目绩效自评管理办法》的通知（石财绩〔</w:t>
      </w:r>
      <w:r>
        <w:rPr>
          <w:rFonts w:eastAsia="仿宋"/>
          <w:sz w:val="28"/>
          <w:szCs w:val="28"/>
        </w:rPr>
        <w:t>2020</w:t>
      </w:r>
      <w:r>
        <w:rPr>
          <w:rFonts w:hint="eastAsia" w:eastAsia="仿宋"/>
          <w:sz w:val="28"/>
          <w:szCs w:val="28"/>
        </w:rPr>
        <w:t>〕</w:t>
      </w:r>
      <w:r>
        <w:rPr>
          <w:rFonts w:eastAsia="仿宋"/>
          <w:sz w:val="28"/>
          <w:szCs w:val="28"/>
        </w:rPr>
        <w:t>5</w:t>
      </w:r>
      <w:r>
        <w:rPr>
          <w:rFonts w:hint="eastAsia" w:eastAsia="仿宋"/>
          <w:sz w:val="28"/>
          <w:szCs w:val="28"/>
        </w:rPr>
        <w:t>号）、《石家庄市财政局关于开展</w:t>
      </w:r>
      <w:r>
        <w:rPr>
          <w:rFonts w:eastAsia="仿宋"/>
          <w:sz w:val="28"/>
          <w:szCs w:val="28"/>
        </w:rPr>
        <w:t>2019</w:t>
      </w:r>
      <w:r>
        <w:rPr>
          <w:rFonts w:hint="eastAsia" w:eastAsia="仿宋"/>
          <w:sz w:val="28"/>
          <w:szCs w:val="28"/>
        </w:rPr>
        <w:t>年度财政专项资金部门绩效自评工作的通知》（石财监</w:t>
      </w:r>
      <w:bookmarkStart w:id="0" w:name="_Hlk39053867"/>
      <w:r>
        <w:rPr>
          <w:rFonts w:hint="eastAsia" w:eastAsia="仿宋"/>
          <w:sz w:val="28"/>
          <w:szCs w:val="28"/>
        </w:rPr>
        <w:t>〔</w:t>
      </w:r>
      <w:r>
        <w:rPr>
          <w:rFonts w:eastAsia="仿宋"/>
          <w:sz w:val="28"/>
          <w:szCs w:val="28"/>
        </w:rPr>
        <w:t>2020</w:t>
      </w:r>
      <w:r>
        <w:rPr>
          <w:rFonts w:hint="eastAsia" w:eastAsia="仿宋"/>
          <w:sz w:val="28"/>
          <w:szCs w:val="28"/>
        </w:rPr>
        <w:t>〕</w:t>
      </w:r>
      <w:bookmarkEnd w:id="0"/>
      <w:r>
        <w:rPr>
          <w:rFonts w:eastAsia="仿宋"/>
          <w:sz w:val="28"/>
          <w:szCs w:val="28"/>
        </w:rPr>
        <w:t>6</w:t>
      </w:r>
      <w:r>
        <w:rPr>
          <w:rFonts w:hint="eastAsia" w:eastAsia="仿宋"/>
          <w:sz w:val="28"/>
          <w:szCs w:val="28"/>
        </w:rPr>
        <w:t>号）文件要求，我单位成立绩效评价工作小组，对</w:t>
      </w:r>
      <w:r>
        <w:rPr>
          <w:rFonts w:eastAsia="仿宋"/>
          <w:sz w:val="28"/>
          <w:szCs w:val="28"/>
        </w:rPr>
        <w:t>2019</w:t>
      </w:r>
      <w:r>
        <w:rPr>
          <w:rFonts w:hint="eastAsia" w:eastAsia="仿宋"/>
          <w:sz w:val="28"/>
          <w:szCs w:val="28"/>
        </w:rPr>
        <w:t>年度部门整体支出进行了绩效自评。评价采用定量分析和定性分析相结合的方法，从预算编制、预算执行、绩效目标完成情况、绩效目标设置质量、基本支出、项目支出以及内部控制度建设等方面进行了综合评价。现将绩效自评情况报告如下：</w:t>
      </w:r>
    </w:p>
    <w:p>
      <w:pPr>
        <w:ind w:firstLine="560" w:firstLineChars="200"/>
        <w:rPr>
          <w:rFonts w:ascii="黑体" w:hAnsi="黑体" w:eastAsia="黑体"/>
          <w:sz w:val="28"/>
          <w:szCs w:val="28"/>
        </w:rPr>
      </w:pPr>
      <w:r>
        <w:rPr>
          <w:rFonts w:hint="eastAsia" w:ascii="黑体" w:hAnsi="黑体" w:eastAsia="黑体"/>
          <w:sz w:val="28"/>
          <w:szCs w:val="28"/>
        </w:rPr>
        <w:t>一、绩效自评工作组织开展情况</w:t>
      </w:r>
    </w:p>
    <w:p>
      <w:pPr>
        <w:ind w:firstLine="562" w:firstLineChars="200"/>
        <w:rPr>
          <w:rFonts w:eastAsia="仿宋"/>
          <w:b/>
          <w:bCs/>
          <w:sz w:val="28"/>
          <w:szCs w:val="28"/>
        </w:rPr>
      </w:pPr>
      <w:r>
        <w:rPr>
          <w:rFonts w:hint="eastAsia" w:eastAsia="仿宋"/>
          <w:b/>
          <w:bCs/>
          <w:sz w:val="28"/>
          <w:szCs w:val="28"/>
        </w:rPr>
        <w:t>（一）自评的组织工作</w:t>
      </w:r>
    </w:p>
    <w:p>
      <w:pPr>
        <w:spacing w:line="360" w:lineRule="auto"/>
        <w:ind w:firstLine="560" w:firstLineChars="200"/>
        <w:rPr>
          <w:rFonts w:eastAsia="仿宋"/>
          <w:sz w:val="28"/>
          <w:szCs w:val="28"/>
        </w:rPr>
      </w:pPr>
      <w:r>
        <w:rPr>
          <w:rFonts w:hint="eastAsia" w:eastAsia="仿宋"/>
          <w:sz w:val="28"/>
          <w:szCs w:val="28"/>
        </w:rPr>
        <w:t>为保证绩效评价工作顺利开展，我单位成立了以牛永杰局长为组长的绩效评价工作小组，负责绩效评价的组织管理和实施工作。</w:t>
      </w:r>
    </w:p>
    <w:p>
      <w:pPr>
        <w:ind w:firstLine="562" w:firstLineChars="200"/>
        <w:rPr>
          <w:rFonts w:eastAsia="仿宋"/>
          <w:b/>
          <w:bCs/>
          <w:sz w:val="28"/>
          <w:szCs w:val="28"/>
        </w:rPr>
      </w:pPr>
      <w:r>
        <w:rPr>
          <w:rFonts w:hint="eastAsia" w:eastAsia="仿宋"/>
          <w:b/>
          <w:bCs/>
          <w:sz w:val="28"/>
          <w:szCs w:val="28"/>
        </w:rPr>
        <w:t>（二）实施过程</w:t>
      </w:r>
    </w:p>
    <w:p>
      <w:pPr>
        <w:spacing w:line="360" w:lineRule="auto"/>
        <w:ind w:firstLine="560" w:firstLineChars="200"/>
        <w:rPr>
          <w:rFonts w:eastAsia="仿宋"/>
          <w:sz w:val="28"/>
          <w:szCs w:val="28"/>
        </w:rPr>
      </w:pPr>
      <w:r>
        <w:rPr>
          <w:rFonts w:hint="eastAsia" w:eastAsia="仿宋"/>
          <w:sz w:val="28"/>
          <w:szCs w:val="28"/>
        </w:rPr>
        <w:t>本次绩效评价工作过程包括前期准备、组织实施、撰写评价报告三个阶段。</w:t>
      </w:r>
    </w:p>
    <w:p>
      <w:pPr>
        <w:spacing w:line="360" w:lineRule="auto"/>
        <w:ind w:firstLine="560" w:firstLineChars="200"/>
        <w:rPr>
          <w:rFonts w:eastAsia="仿宋"/>
          <w:sz w:val="28"/>
          <w:szCs w:val="28"/>
        </w:rPr>
      </w:pPr>
      <w:r>
        <w:rPr>
          <w:rFonts w:eastAsia="仿宋"/>
          <w:sz w:val="28"/>
          <w:szCs w:val="28"/>
        </w:rPr>
        <w:t>1</w:t>
      </w:r>
      <w:r>
        <w:rPr>
          <w:rFonts w:hint="eastAsia" w:eastAsia="仿宋"/>
          <w:sz w:val="28"/>
          <w:szCs w:val="28"/>
        </w:rPr>
        <w:t>、前期准备</w:t>
      </w:r>
    </w:p>
    <w:p>
      <w:pPr>
        <w:spacing w:line="360" w:lineRule="auto"/>
        <w:ind w:firstLine="560" w:firstLineChars="200"/>
        <w:rPr>
          <w:rFonts w:eastAsia="仿宋"/>
          <w:sz w:val="28"/>
          <w:szCs w:val="28"/>
        </w:rPr>
      </w:pPr>
      <w:r>
        <w:rPr>
          <w:rFonts w:hint="eastAsia" w:eastAsia="仿宋"/>
          <w:sz w:val="28"/>
          <w:szCs w:val="28"/>
        </w:rPr>
        <w:t>首先按照绩效评价工作要求，明确绩效评价的内容和范围，初步制定绩效评价工作方案。二是召开座谈会，对工作方案进行反复讨论并广泛征求相关部门和有关人员意见。三是在资料搜集、信息核实、现场调研、访谈沟通等工作的基础上，对我单位各预算项目单独进行打分自评，各项目自评工作为实施全局年度绩效评价工作奠定了基础。</w:t>
      </w:r>
    </w:p>
    <w:p>
      <w:pPr>
        <w:spacing w:line="360" w:lineRule="auto"/>
        <w:ind w:firstLine="560" w:firstLineChars="200"/>
        <w:rPr>
          <w:rFonts w:eastAsia="仿宋"/>
          <w:sz w:val="28"/>
          <w:szCs w:val="28"/>
        </w:rPr>
      </w:pPr>
      <w:r>
        <w:rPr>
          <w:rFonts w:eastAsia="仿宋"/>
          <w:sz w:val="28"/>
          <w:szCs w:val="28"/>
        </w:rPr>
        <w:t>2</w:t>
      </w:r>
      <w:r>
        <w:rPr>
          <w:rFonts w:hint="eastAsia" w:eastAsia="仿宋"/>
          <w:sz w:val="28"/>
          <w:szCs w:val="28"/>
        </w:rPr>
        <w:t>、组织实施</w:t>
      </w:r>
    </w:p>
    <w:p>
      <w:pPr>
        <w:spacing w:line="360" w:lineRule="auto"/>
        <w:ind w:firstLine="560" w:firstLineChars="200"/>
        <w:rPr>
          <w:rFonts w:eastAsia="仿宋"/>
          <w:sz w:val="28"/>
          <w:szCs w:val="28"/>
        </w:rPr>
      </w:pPr>
      <w:r>
        <w:rPr>
          <w:rFonts w:hint="eastAsia" w:eastAsia="仿宋"/>
          <w:sz w:val="28"/>
          <w:szCs w:val="28"/>
        </w:rPr>
        <w:t>评价工作小组对我单位年度绩效的相关资料进行收集、梳理。首先，通过分析、核实，确保所收集的数据和资料真实、可靠。其次，逐一梳理各文件内容，将存在的问题以批注形式予以说明，同时在梳理资料过程中将资料分类并排序编码，形成资料清单。最后，在与相关人员沟通过程中，直接对照资料清单进行核实，随时删除已核实的批注问题，即时更新备注信息，确保已提交和待补充的资料名称、存在的问题及重点信息同时展现。</w:t>
      </w:r>
    </w:p>
    <w:p>
      <w:pPr>
        <w:spacing w:line="360" w:lineRule="auto"/>
        <w:ind w:firstLine="560" w:firstLineChars="200"/>
        <w:rPr>
          <w:rFonts w:eastAsia="仿宋"/>
          <w:sz w:val="28"/>
          <w:szCs w:val="28"/>
        </w:rPr>
      </w:pPr>
      <w:r>
        <w:rPr>
          <w:rFonts w:eastAsia="仿宋"/>
          <w:sz w:val="28"/>
          <w:szCs w:val="28"/>
        </w:rPr>
        <w:t>3</w:t>
      </w:r>
      <w:r>
        <w:rPr>
          <w:rFonts w:hint="eastAsia" w:eastAsia="仿宋"/>
          <w:sz w:val="28"/>
          <w:szCs w:val="28"/>
        </w:rPr>
        <w:t>、</w:t>
      </w:r>
      <w:r>
        <w:rPr>
          <w:rFonts w:hint="eastAsia" w:eastAsia="仿宋"/>
          <w:sz w:val="28"/>
          <w:szCs w:val="28"/>
          <w:u w:color="000000"/>
        </w:rPr>
        <w:t>撰写绩效评价报告</w:t>
      </w:r>
    </w:p>
    <w:p>
      <w:pPr>
        <w:spacing w:line="360" w:lineRule="auto"/>
        <w:ind w:firstLine="560" w:firstLineChars="200"/>
        <w:rPr>
          <w:rFonts w:eastAsia="仿宋"/>
          <w:sz w:val="28"/>
          <w:szCs w:val="28"/>
        </w:rPr>
      </w:pPr>
      <w:r>
        <w:rPr>
          <w:rFonts w:hint="eastAsia" w:eastAsia="仿宋"/>
          <w:sz w:val="28"/>
          <w:szCs w:val="28"/>
        </w:rPr>
        <w:t>小组成员在对收集的数据、资料进行核对、比较、计算的基础上，对比年度绩效目标，形成评价结论；根据评价结论，</w:t>
      </w:r>
      <w:r>
        <w:rPr>
          <w:rFonts w:hint="eastAsia" w:eastAsia="仿宋"/>
          <w:sz w:val="28"/>
          <w:szCs w:val="28"/>
          <w:u w:color="000000"/>
        </w:rPr>
        <w:t>撰写绩效评价报告，</w:t>
      </w:r>
      <w:r>
        <w:rPr>
          <w:rFonts w:hint="eastAsia" w:eastAsia="仿宋"/>
          <w:sz w:val="28"/>
          <w:szCs w:val="28"/>
        </w:rPr>
        <w:t>并形成绩效评价档案。</w:t>
      </w:r>
    </w:p>
    <w:p>
      <w:pPr>
        <w:adjustRightInd w:val="0"/>
        <w:snapToGrid w:val="0"/>
        <w:spacing w:line="360" w:lineRule="auto"/>
        <w:ind w:firstLine="562" w:firstLineChars="200"/>
        <w:rPr>
          <w:rFonts w:eastAsia="仿宋"/>
          <w:b/>
          <w:bCs/>
          <w:sz w:val="28"/>
          <w:szCs w:val="28"/>
        </w:rPr>
      </w:pPr>
      <w:r>
        <w:rPr>
          <w:rFonts w:hint="eastAsia" w:eastAsia="仿宋"/>
          <w:b/>
          <w:bCs/>
          <w:sz w:val="28"/>
          <w:szCs w:val="28"/>
        </w:rPr>
        <w:t>（三）预算安排及资金分配拨付情况</w:t>
      </w:r>
    </w:p>
    <w:p>
      <w:pPr>
        <w:ind w:firstLine="560" w:firstLineChars="200"/>
        <w:rPr>
          <w:rFonts w:ascii="仿宋" w:hAnsi="仿宋" w:eastAsia="仿宋"/>
          <w:color w:val="000000"/>
          <w:sz w:val="28"/>
          <w:szCs w:val="28"/>
          <w:shd w:val="clear" w:color="auto" w:fill="FFFFFF"/>
        </w:rPr>
      </w:pPr>
      <w:r>
        <w:rPr>
          <w:rFonts w:hint="eastAsia" w:ascii="仿宋" w:hAnsi="仿宋" w:eastAsia="仿宋"/>
          <w:color w:val="000000"/>
          <w:sz w:val="28"/>
          <w:szCs w:val="28"/>
          <w:shd w:val="clear" w:color="auto" w:fill="FFFFFF"/>
        </w:rPr>
        <w:t>为保证预算管理工作规范有序进行，我单位按照依法理财、勤俭办事，明确责任，量入为出、保证重点，综合平衡、讲求实效的基本原则，建立健全财务管理制度，对预算编制、资金管理、经费收支审批等均作了明确规定。</w:t>
      </w:r>
    </w:p>
    <w:p>
      <w:pPr>
        <w:autoSpaceDE w:val="0"/>
        <w:autoSpaceDN w:val="0"/>
        <w:adjustRightInd w:val="0"/>
        <w:spacing w:line="360" w:lineRule="auto"/>
        <w:ind w:firstLine="560" w:firstLineChars="200"/>
        <w:rPr>
          <w:rFonts w:ascii="仿宋" w:hAnsi="仿宋" w:eastAsia="仿宋" w:cs="仿宋"/>
          <w:color w:val="000000"/>
          <w:kern w:val="0"/>
          <w:sz w:val="28"/>
          <w:szCs w:val="28"/>
          <w:highlight w:val="white"/>
          <w:lang w:val="zh-CN"/>
        </w:rPr>
      </w:pPr>
      <w:r>
        <w:rPr>
          <w:rFonts w:ascii="仿宋" w:hAnsi="仿宋" w:eastAsia="仿宋" w:cs="仿宋"/>
          <w:color w:val="000000"/>
          <w:kern w:val="0"/>
          <w:sz w:val="28"/>
          <w:szCs w:val="28"/>
          <w:highlight w:val="white"/>
          <w:lang w:val="zh-CN"/>
        </w:rPr>
        <w:t>1</w:t>
      </w:r>
      <w:r>
        <w:rPr>
          <w:rFonts w:hint="eastAsia" w:ascii="仿宋" w:hAnsi="仿宋" w:eastAsia="仿宋" w:cs="仿宋"/>
          <w:color w:val="000000"/>
          <w:kern w:val="0"/>
          <w:sz w:val="28"/>
          <w:szCs w:val="28"/>
          <w:highlight w:val="white"/>
          <w:lang w:val="zh-CN"/>
        </w:rPr>
        <w:t>、预算编制</w:t>
      </w:r>
    </w:p>
    <w:p>
      <w:pPr>
        <w:autoSpaceDE w:val="0"/>
        <w:autoSpaceDN w:val="0"/>
        <w:adjustRightInd w:val="0"/>
        <w:spacing w:line="360" w:lineRule="auto"/>
        <w:ind w:firstLine="560" w:firstLineChars="200"/>
        <w:rPr>
          <w:rFonts w:ascii="仿宋" w:hAnsi="仿宋" w:eastAsia="仿宋" w:cs="仿宋"/>
          <w:color w:val="000000"/>
          <w:kern w:val="0"/>
          <w:sz w:val="28"/>
          <w:szCs w:val="28"/>
          <w:highlight w:val="white"/>
          <w:lang w:val="zh-CN"/>
        </w:rPr>
      </w:pPr>
      <w:r>
        <w:rPr>
          <w:rFonts w:hint="eastAsia" w:ascii="仿宋" w:hAnsi="仿宋" w:eastAsia="仿宋" w:cs="仿宋"/>
          <w:color w:val="000000"/>
          <w:kern w:val="0"/>
          <w:sz w:val="28"/>
          <w:szCs w:val="28"/>
          <w:highlight w:val="white"/>
          <w:lang w:val="zh-CN"/>
        </w:rPr>
        <w:t>我单位根据有关方针、政策以及县财政预算编制有关规定，结合历年预、决算情况和年度计划工作任务的需要，在充分收集各委室及其主管领导意见的基础上，认真编制</w:t>
      </w:r>
      <w:r>
        <w:rPr>
          <w:rFonts w:ascii="仿宋" w:hAnsi="仿宋" w:eastAsia="仿宋" w:cs="仿宋"/>
          <w:color w:val="000000"/>
          <w:kern w:val="0"/>
          <w:sz w:val="28"/>
          <w:szCs w:val="28"/>
          <w:highlight w:val="white"/>
          <w:lang w:val="zh-CN"/>
        </w:rPr>
        <w:t>2019</w:t>
      </w:r>
      <w:r>
        <w:rPr>
          <w:rFonts w:hint="eastAsia" w:ascii="仿宋" w:hAnsi="仿宋" w:eastAsia="仿宋" w:cs="仿宋"/>
          <w:color w:val="000000"/>
          <w:kern w:val="0"/>
          <w:sz w:val="28"/>
          <w:szCs w:val="28"/>
          <w:highlight w:val="white"/>
          <w:lang w:val="zh-CN"/>
        </w:rPr>
        <w:t>年度部门预算。</w:t>
      </w:r>
    </w:p>
    <w:p>
      <w:pPr>
        <w:autoSpaceDE w:val="0"/>
        <w:autoSpaceDN w:val="0"/>
        <w:adjustRightInd w:val="0"/>
        <w:spacing w:line="360" w:lineRule="auto"/>
        <w:ind w:firstLine="560" w:firstLineChars="200"/>
        <w:rPr>
          <w:rFonts w:ascii="仿宋" w:hAnsi="仿宋" w:eastAsia="仿宋" w:cs="仿宋"/>
          <w:color w:val="000000"/>
          <w:kern w:val="0"/>
          <w:sz w:val="28"/>
          <w:szCs w:val="28"/>
          <w:highlight w:val="white"/>
          <w:lang w:val="zh-CN"/>
        </w:rPr>
      </w:pPr>
      <w:r>
        <w:rPr>
          <w:rFonts w:ascii="仿宋" w:hAnsi="仿宋" w:eastAsia="仿宋" w:cs="仿宋"/>
          <w:color w:val="000000"/>
          <w:kern w:val="0"/>
          <w:sz w:val="28"/>
          <w:szCs w:val="28"/>
          <w:highlight w:val="white"/>
          <w:lang w:val="zh-CN"/>
        </w:rPr>
        <w:t>2</w:t>
      </w:r>
      <w:r>
        <w:rPr>
          <w:rFonts w:hint="eastAsia" w:ascii="仿宋" w:hAnsi="仿宋" w:eastAsia="仿宋" w:cs="仿宋"/>
          <w:color w:val="000000"/>
          <w:kern w:val="0"/>
          <w:sz w:val="28"/>
          <w:szCs w:val="28"/>
          <w:highlight w:val="white"/>
          <w:lang w:val="zh-CN"/>
        </w:rPr>
        <w:t>、预算执行</w:t>
      </w:r>
    </w:p>
    <w:p>
      <w:pPr>
        <w:autoSpaceDE w:val="0"/>
        <w:autoSpaceDN w:val="0"/>
        <w:adjustRightInd w:val="0"/>
        <w:spacing w:line="360" w:lineRule="auto"/>
        <w:ind w:firstLine="560" w:firstLineChars="200"/>
        <w:rPr>
          <w:rFonts w:ascii="仿宋" w:hAnsi="仿宋" w:eastAsia="仿宋" w:cs="仿宋"/>
          <w:b/>
          <w:bCs/>
          <w:color w:val="000000"/>
          <w:kern w:val="0"/>
          <w:sz w:val="28"/>
          <w:szCs w:val="28"/>
          <w:highlight w:val="white"/>
          <w:lang w:val="zh-CN"/>
        </w:rPr>
      </w:pPr>
      <w:r>
        <w:rPr>
          <w:rFonts w:hint="eastAsia" w:ascii="仿宋" w:hAnsi="仿宋" w:eastAsia="仿宋" w:cs="仿宋"/>
          <w:color w:val="000000"/>
          <w:kern w:val="0"/>
          <w:sz w:val="28"/>
          <w:szCs w:val="28"/>
          <w:highlight w:val="white"/>
          <w:lang w:val="zh-CN"/>
        </w:rPr>
        <w:t>在预算执行过程中，我单位以掌握进度、保证重点，落实责任、加强监督，强化预算约束力，维护预算严肃性为原则，严格执行各项经费开支范围和标准，加强预算约束，明确审批权限，规范支出手续，并自觉接受财政、审计等部门的监督检查。</w:t>
      </w:r>
    </w:p>
    <w:p>
      <w:pPr>
        <w:numPr>
          <w:ilvl w:val="0"/>
          <w:numId w:val="1"/>
        </w:num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绩效目标实现情况</w:t>
      </w:r>
    </w:p>
    <w:p>
      <w:pPr>
        <w:ind w:firstLine="643" w:firstLineChars="200"/>
        <w:rPr>
          <w:rFonts w:ascii="仿宋" w:hAnsi="仿宋" w:eastAsia="仿宋"/>
          <w:b/>
          <w:sz w:val="32"/>
          <w:szCs w:val="32"/>
        </w:rPr>
      </w:pPr>
      <w:r>
        <w:rPr>
          <w:rFonts w:hint="eastAsia" w:ascii="仿宋" w:hAnsi="仿宋" w:eastAsia="仿宋"/>
          <w:b/>
          <w:sz w:val="32"/>
          <w:szCs w:val="32"/>
        </w:rPr>
        <w:t>（一）总体绩效目标</w:t>
      </w:r>
    </w:p>
    <w:p>
      <w:pPr>
        <w:ind w:firstLine="560" w:firstLineChars="200"/>
        <w:rPr>
          <w:rFonts w:ascii="仿宋" w:hAnsi="仿宋" w:eastAsia="仿宋"/>
          <w:color w:val="000000"/>
          <w:sz w:val="28"/>
          <w:szCs w:val="28"/>
          <w:shd w:val="clear" w:color="auto" w:fill="FFFFFF"/>
        </w:rPr>
      </w:pPr>
      <w:r>
        <w:rPr>
          <w:rFonts w:ascii="仿宋" w:hAnsi="仿宋" w:eastAsia="仿宋"/>
          <w:color w:val="000000"/>
          <w:sz w:val="28"/>
          <w:szCs w:val="28"/>
          <w:shd w:val="clear" w:color="auto" w:fill="FFFFFF"/>
        </w:rPr>
        <w:t>2019</w:t>
      </w:r>
      <w:r>
        <w:rPr>
          <w:rFonts w:hint="eastAsia" w:ascii="仿宋" w:hAnsi="仿宋" w:eastAsia="仿宋"/>
          <w:color w:val="000000"/>
          <w:sz w:val="28"/>
          <w:szCs w:val="28"/>
          <w:shd w:val="clear" w:color="auto" w:fill="FFFFFF"/>
        </w:rPr>
        <w:t>年，高邑县住建局紧紧围绕贯彻习近平新时代中国特色社会主义思想以及习近平总书记对河北的一系列批示指示精神，全面落实县委、县政府决策部署，坚持“稳进好准度”，扭住重点、统筹推进。精准分析形势加大政策引导，参谋助手作用不断增强；推进创新引领战略，实体经济支撑能力显著提升；深化协同发展，区域经济水平不断提升；构建全方位开放格局，注入经济社会发展注入新动力；助推绿色低碳循环发展，能源发展布局不断优化；全力改善民生福祉，人民生活水平日益提高。力争全县省市重点项目年度完成投资、固定资产投资增速、万元生产总值能耗下降、居民消费价格涨幅、全县战略性新兴产业增加值增速以及全省生产总值增长达到县政府工作报告要求。</w:t>
      </w:r>
    </w:p>
    <w:p>
      <w:pPr>
        <w:adjustRightInd w:val="0"/>
        <w:snapToGrid w:val="0"/>
        <w:spacing w:line="360" w:lineRule="auto"/>
        <w:ind w:firstLine="562" w:firstLineChars="200"/>
        <w:rPr>
          <w:rFonts w:eastAsia="仿宋"/>
          <w:b/>
          <w:bCs/>
          <w:sz w:val="28"/>
          <w:szCs w:val="28"/>
        </w:rPr>
      </w:pPr>
      <w:r>
        <w:rPr>
          <w:rFonts w:hint="eastAsia" w:eastAsia="仿宋"/>
          <w:b/>
          <w:bCs/>
          <w:sz w:val="28"/>
          <w:szCs w:val="28"/>
        </w:rPr>
        <w:t>（二）预算执行情况</w:t>
      </w:r>
    </w:p>
    <w:p>
      <w:pPr>
        <w:autoSpaceDE w:val="0"/>
        <w:autoSpaceDN w:val="0"/>
        <w:adjustRightInd w:val="0"/>
        <w:spacing w:line="360" w:lineRule="auto"/>
        <w:ind w:firstLine="560" w:firstLineChars="200"/>
        <w:rPr>
          <w:rFonts w:ascii="仿宋" w:hAnsi="仿宋" w:eastAsia="仿宋"/>
          <w:kern w:val="0"/>
          <w:sz w:val="28"/>
          <w:szCs w:val="28"/>
        </w:rPr>
      </w:pPr>
      <w:r>
        <w:rPr>
          <w:rFonts w:hint="eastAsia" w:ascii="仿宋" w:hAnsi="仿宋" w:eastAsia="仿宋" w:cs="宋体"/>
          <w:kern w:val="0"/>
          <w:sz w:val="28"/>
          <w:szCs w:val="28"/>
          <w:lang w:val="zh-CN"/>
        </w:rPr>
        <w:t>我单位</w:t>
      </w:r>
      <w:r>
        <w:rPr>
          <w:rFonts w:ascii="仿宋" w:hAnsi="仿宋" w:eastAsia="仿宋"/>
          <w:kern w:val="0"/>
          <w:sz w:val="28"/>
          <w:szCs w:val="28"/>
        </w:rPr>
        <w:t>2019</w:t>
      </w:r>
      <w:r>
        <w:rPr>
          <w:rFonts w:hint="eastAsia" w:ascii="仿宋" w:hAnsi="仿宋" w:eastAsia="仿宋" w:cs="宋体"/>
          <w:kern w:val="0"/>
          <w:sz w:val="28"/>
          <w:szCs w:val="28"/>
          <w:lang w:val="zh-CN"/>
        </w:rPr>
        <w:t>年年初预算为</w:t>
      </w:r>
      <w:r>
        <w:rPr>
          <w:rFonts w:ascii="仿宋" w:hAnsi="仿宋" w:eastAsia="仿宋"/>
          <w:kern w:val="0"/>
          <w:sz w:val="28"/>
          <w:szCs w:val="28"/>
        </w:rPr>
        <w:t>6676.21</w:t>
      </w:r>
      <w:r>
        <w:rPr>
          <w:rFonts w:hint="eastAsia" w:ascii="仿宋" w:hAnsi="仿宋" w:eastAsia="仿宋" w:cs="宋体"/>
          <w:kern w:val="0"/>
          <w:sz w:val="28"/>
          <w:szCs w:val="28"/>
          <w:lang w:val="zh-CN"/>
        </w:rPr>
        <w:t>万元，其中财政拨款</w:t>
      </w:r>
      <w:r>
        <w:rPr>
          <w:rFonts w:ascii="仿宋" w:hAnsi="仿宋" w:eastAsia="仿宋"/>
          <w:kern w:val="0"/>
          <w:sz w:val="28"/>
          <w:szCs w:val="28"/>
        </w:rPr>
        <w:t>6676.21</w:t>
      </w:r>
      <w:r>
        <w:rPr>
          <w:rFonts w:hint="eastAsia" w:ascii="仿宋" w:hAnsi="仿宋" w:eastAsia="仿宋" w:cs="宋体"/>
          <w:kern w:val="0"/>
          <w:sz w:val="28"/>
          <w:szCs w:val="28"/>
          <w:lang w:val="zh-CN"/>
        </w:rPr>
        <w:t>万元，占总预算的</w:t>
      </w:r>
      <w:r>
        <w:rPr>
          <w:rFonts w:ascii="仿宋" w:hAnsi="仿宋" w:eastAsia="仿宋"/>
          <w:kern w:val="0"/>
          <w:sz w:val="28"/>
          <w:szCs w:val="28"/>
        </w:rPr>
        <w:t>100%</w:t>
      </w:r>
      <w:r>
        <w:rPr>
          <w:rFonts w:hint="eastAsia" w:ascii="仿宋" w:hAnsi="仿宋" w:eastAsia="仿宋" w:cs="宋体"/>
          <w:kern w:val="0"/>
          <w:sz w:val="28"/>
          <w:szCs w:val="28"/>
          <w:lang w:val="zh-CN"/>
        </w:rPr>
        <w:t>。人员经费预算</w:t>
      </w:r>
      <w:r>
        <w:rPr>
          <w:rFonts w:ascii="仿宋" w:hAnsi="仿宋" w:eastAsia="仿宋"/>
          <w:kern w:val="0"/>
          <w:sz w:val="28"/>
          <w:szCs w:val="28"/>
        </w:rPr>
        <w:t>436</w:t>
      </w:r>
      <w:r>
        <w:rPr>
          <w:rFonts w:hint="eastAsia" w:ascii="仿宋" w:hAnsi="仿宋" w:eastAsia="仿宋" w:cs="宋体"/>
          <w:kern w:val="0"/>
          <w:sz w:val="28"/>
          <w:szCs w:val="28"/>
          <w:lang w:val="zh-CN"/>
        </w:rPr>
        <w:t>万元，日常公用经费预算</w:t>
      </w:r>
      <w:r>
        <w:rPr>
          <w:rFonts w:ascii="仿宋" w:hAnsi="仿宋" w:eastAsia="仿宋"/>
          <w:kern w:val="0"/>
          <w:sz w:val="28"/>
          <w:szCs w:val="28"/>
        </w:rPr>
        <w:t>107.81</w:t>
      </w:r>
      <w:r>
        <w:rPr>
          <w:rFonts w:hint="eastAsia" w:ascii="仿宋" w:hAnsi="仿宋" w:eastAsia="仿宋" w:cs="宋体"/>
          <w:kern w:val="0"/>
          <w:sz w:val="28"/>
          <w:szCs w:val="28"/>
          <w:lang w:val="zh-CN"/>
        </w:rPr>
        <w:t>万元（包含“三公经费”预算</w:t>
      </w:r>
      <w:r>
        <w:rPr>
          <w:rFonts w:ascii="仿宋" w:hAnsi="仿宋" w:eastAsia="仿宋"/>
          <w:kern w:val="0"/>
          <w:sz w:val="28"/>
          <w:szCs w:val="28"/>
        </w:rPr>
        <w:t>2</w:t>
      </w:r>
      <w:r>
        <w:rPr>
          <w:rFonts w:hint="eastAsia" w:ascii="仿宋" w:hAnsi="仿宋" w:eastAsia="仿宋" w:cs="宋体"/>
          <w:kern w:val="0"/>
          <w:sz w:val="28"/>
          <w:szCs w:val="28"/>
          <w:lang w:val="zh-CN"/>
        </w:rPr>
        <w:t>万元），项目经费预算</w:t>
      </w:r>
      <w:r>
        <w:rPr>
          <w:rFonts w:ascii="仿宋" w:hAnsi="仿宋" w:eastAsia="仿宋"/>
          <w:kern w:val="0"/>
          <w:sz w:val="28"/>
          <w:szCs w:val="28"/>
        </w:rPr>
        <w:t>6132.40</w:t>
      </w:r>
      <w:r>
        <w:rPr>
          <w:rFonts w:hint="eastAsia" w:ascii="仿宋" w:hAnsi="仿宋" w:eastAsia="仿宋" w:cs="宋体"/>
          <w:kern w:val="0"/>
          <w:sz w:val="28"/>
          <w:szCs w:val="28"/>
          <w:lang w:val="zh-CN"/>
        </w:rPr>
        <w:t>万元。</w:t>
      </w:r>
    </w:p>
    <w:p>
      <w:pPr>
        <w:autoSpaceDE w:val="0"/>
        <w:autoSpaceDN w:val="0"/>
        <w:adjustRightInd w:val="0"/>
        <w:spacing w:line="360" w:lineRule="auto"/>
        <w:ind w:firstLine="560" w:firstLineChars="200"/>
        <w:rPr>
          <w:rFonts w:ascii="仿宋" w:hAnsi="仿宋" w:eastAsia="仿宋" w:cs="仿宋"/>
          <w:kern w:val="0"/>
          <w:sz w:val="28"/>
          <w:szCs w:val="28"/>
          <w:highlight w:val="white"/>
          <w:lang w:val="zh-CN"/>
        </w:rPr>
      </w:pPr>
      <w:r>
        <w:rPr>
          <w:rFonts w:ascii="仿宋" w:hAnsi="仿宋" w:eastAsia="仿宋"/>
          <w:kern w:val="0"/>
          <w:sz w:val="28"/>
          <w:szCs w:val="28"/>
        </w:rPr>
        <w:t>2019</w:t>
      </w:r>
      <w:r>
        <w:rPr>
          <w:rFonts w:hint="eastAsia" w:ascii="仿宋" w:hAnsi="仿宋" w:eastAsia="仿宋"/>
          <w:kern w:val="0"/>
          <w:sz w:val="28"/>
          <w:szCs w:val="28"/>
        </w:rPr>
        <w:t>年年初结转</w:t>
      </w:r>
      <w:r>
        <w:rPr>
          <w:rFonts w:ascii="仿宋" w:hAnsi="仿宋" w:eastAsia="仿宋"/>
          <w:kern w:val="0"/>
          <w:sz w:val="28"/>
          <w:szCs w:val="28"/>
        </w:rPr>
        <w:t>10659.57</w:t>
      </w:r>
      <w:r>
        <w:rPr>
          <w:rFonts w:hint="eastAsia" w:ascii="仿宋" w:hAnsi="仿宋" w:eastAsia="仿宋"/>
          <w:kern w:val="0"/>
          <w:sz w:val="28"/>
          <w:szCs w:val="28"/>
        </w:rPr>
        <w:t>万元，</w:t>
      </w:r>
      <w:r>
        <w:rPr>
          <w:rFonts w:ascii="仿宋" w:hAnsi="仿宋" w:eastAsia="仿宋"/>
          <w:kern w:val="0"/>
          <w:sz w:val="28"/>
          <w:szCs w:val="28"/>
        </w:rPr>
        <w:t>2019</w:t>
      </w:r>
      <w:r>
        <w:rPr>
          <w:rFonts w:hint="eastAsia" w:ascii="仿宋" w:hAnsi="仿宋" w:eastAsia="仿宋" w:cs="宋体"/>
          <w:kern w:val="0"/>
          <w:sz w:val="28"/>
          <w:szCs w:val="28"/>
          <w:lang w:val="zh-CN"/>
        </w:rPr>
        <w:t>年度实际预算收入</w:t>
      </w:r>
      <w:r>
        <w:rPr>
          <w:rFonts w:ascii="仿宋" w:hAnsi="仿宋" w:eastAsia="仿宋"/>
          <w:kern w:val="0"/>
          <w:sz w:val="28"/>
          <w:szCs w:val="28"/>
        </w:rPr>
        <w:t>15446.79</w:t>
      </w:r>
      <w:r>
        <w:rPr>
          <w:rFonts w:hint="eastAsia" w:ascii="仿宋" w:hAnsi="仿宋" w:eastAsia="仿宋" w:cs="宋体"/>
          <w:kern w:val="0"/>
          <w:sz w:val="28"/>
          <w:szCs w:val="28"/>
          <w:lang w:val="zh-CN"/>
        </w:rPr>
        <w:t>万元，其中财政拨款收入</w:t>
      </w:r>
      <w:r>
        <w:rPr>
          <w:rFonts w:ascii="仿宋" w:hAnsi="仿宋" w:eastAsia="仿宋"/>
          <w:kern w:val="0"/>
          <w:sz w:val="28"/>
          <w:szCs w:val="28"/>
        </w:rPr>
        <w:t>13370.15</w:t>
      </w:r>
      <w:r>
        <w:rPr>
          <w:rFonts w:hint="eastAsia" w:ascii="仿宋" w:hAnsi="仿宋" w:eastAsia="仿宋" w:cs="宋体"/>
          <w:kern w:val="0"/>
          <w:sz w:val="28"/>
          <w:szCs w:val="28"/>
          <w:lang w:val="zh-CN"/>
        </w:rPr>
        <w:t>万元，其他收入</w:t>
      </w:r>
      <w:r>
        <w:rPr>
          <w:rFonts w:ascii="仿宋" w:hAnsi="仿宋" w:eastAsia="仿宋" w:cs="宋体"/>
          <w:kern w:val="0"/>
          <w:sz w:val="28"/>
          <w:szCs w:val="28"/>
          <w:lang w:val="zh-CN"/>
        </w:rPr>
        <w:t>2076.64</w:t>
      </w:r>
      <w:r>
        <w:rPr>
          <w:rFonts w:hint="eastAsia" w:ascii="仿宋" w:hAnsi="仿宋" w:eastAsia="仿宋" w:cs="宋体"/>
          <w:kern w:val="0"/>
          <w:sz w:val="28"/>
          <w:szCs w:val="28"/>
          <w:lang w:val="zh-CN"/>
        </w:rPr>
        <w:t>万元，预算到位率为</w:t>
      </w:r>
      <w:r>
        <w:rPr>
          <w:rFonts w:ascii="仿宋" w:hAnsi="仿宋" w:eastAsia="仿宋"/>
          <w:kern w:val="0"/>
          <w:sz w:val="28"/>
          <w:szCs w:val="28"/>
        </w:rPr>
        <w:t>100%</w:t>
      </w:r>
      <w:r>
        <w:rPr>
          <w:rFonts w:hint="eastAsia" w:ascii="仿宋" w:hAnsi="仿宋" w:eastAsia="仿宋" w:cs="宋体"/>
          <w:kern w:val="0"/>
          <w:sz w:val="28"/>
          <w:szCs w:val="28"/>
          <w:lang w:val="zh-CN"/>
        </w:rPr>
        <w:t>。</w:t>
      </w:r>
    </w:p>
    <w:p>
      <w:pPr>
        <w:autoSpaceDE w:val="0"/>
        <w:autoSpaceDN w:val="0"/>
        <w:adjustRightInd w:val="0"/>
        <w:spacing w:line="360" w:lineRule="auto"/>
        <w:ind w:firstLine="560" w:firstLineChars="200"/>
        <w:rPr>
          <w:rFonts w:ascii="仿宋" w:hAnsi="仿宋" w:eastAsia="仿宋" w:cs="宋体"/>
          <w:kern w:val="0"/>
          <w:sz w:val="28"/>
          <w:szCs w:val="28"/>
          <w:lang w:val="zh-CN"/>
        </w:rPr>
      </w:pPr>
      <w:r>
        <w:rPr>
          <w:rFonts w:ascii="仿宋" w:hAnsi="仿宋" w:eastAsia="仿宋"/>
          <w:kern w:val="0"/>
          <w:sz w:val="28"/>
          <w:szCs w:val="28"/>
        </w:rPr>
        <w:t>2019</w:t>
      </w:r>
      <w:r>
        <w:rPr>
          <w:rFonts w:hint="eastAsia" w:ascii="仿宋" w:hAnsi="仿宋" w:eastAsia="仿宋" w:cs="宋体"/>
          <w:kern w:val="0"/>
          <w:sz w:val="28"/>
          <w:szCs w:val="28"/>
          <w:lang w:val="zh-CN"/>
        </w:rPr>
        <w:t>年整体支出为</w:t>
      </w:r>
      <w:r>
        <w:rPr>
          <w:rFonts w:ascii="仿宋" w:hAnsi="仿宋" w:eastAsia="仿宋"/>
          <w:kern w:val="0"/>
          <w:sz w:val="28"/>
          <w:szCs w:val="28"/>
        </w:rPr>
        <w:t>20563.29</w:t>
      </w:r>
      <w:r>
        <w:rPr>
          <w:rFonts w:hint="eastAsia" w:ascii="仿宋" w:hAnsi="仿宋" w:eastAsia="仿宋" w:cs="宋体"/>
          <w:kern w:val="0"/>
          <w:sz w:val="28"/>
          <w:szCs w:val="28"/>
          <w:lang w:val="zh-CN"/>
        </w:rPr>
        <w:t>万元，项目支出结转</w:t>
      </w:r>
      <w:r>
        <w:rPr>
          <w:rFonts w:ascii="仿宋" w:hAnsi="仿宋" w:eastAsia="仿宋"/>
          <w:kern w:val="0"/>
          <w:sz w:val="28"/>
          <w:szCs w:val="28"/>
        </w:rPr>
        <w:t>5543.07</w:t>
      </w:r>
      <w:r>
        <w:rPr>
          <w:rFonts w:hint="eastAsia" w:ascii="仿宋" w:hAnsi="仿宋" w:eastAsia="仿宋" w:cs="宋体"/>
          <w:kern w:val="0"/>
          <w:sz w:val="28"/>
          <w:szCs w:val="28"/>
          <w:lang w:val="zh-CN"/>
        </w:rPr>
        <w:t>万元已上缴县财政。</w:t>
      </w:r>
    </w:p>
    <w:p>
      <w:pPr>
        <w:autoSpaceDE w:val="0"/>
        <w:autoSpaceDN w:val="0"/>
        <w:adjustRightInd w:val="0"/>
        <w:spacing w:line="360" w:lineRule="auto"/>
        <w:ind w:firstLine="560" w:firstLineChars="200"/>
        <w:rPr>
          <w:rFonts w:eastAsia="仿宋"/>
          <w:color w:val="000000"/>
          <w:sz w:val="28"/>
          <w:szCs w:val="28"/>
          <w:shd w:val="clear" w:color="auto" w:fill="FFFFFF"/>
        </w:rPr>
      </w:pPr>
      <w:r>
        <w:rPr>
          <w:rFonts w:eastAsia="仿宋"/>
          <w:color w:val="000000"/>
          <w:sz w:val="28"/>
          <w:szCs w:val="28"/>
          <w:shd w:val="clear" w:color="auto" w:fill="FFFFFF"/>
        </w:rPr>
        <w:t>1</w:t>
      </w:r>
      <w:r>
        <w:rPr>
          <w:rFonts w:hint="eastAsia" w:eastAsia="仿宋"/>
          <w:color w:val="000000"/>
          <w:sz w:val="28"/>
          <w:szCs w:val="28"/>
          <w:shd w:val="clear" w:color="auto" w:fill="FFFFFF"/>
        </w:rPr>
        <w:t>、项目支出情况</w:t>
      </w:r>
    </w:p>
    <w:p>
      <w:pPr>
        <w:ind w:firstLine="560" w:firstLineChars="200"/>
        <w:rPr>
          <w:rFonts w:eastAsia="仿宋"/>
          <w:color w:val="000000"/>
          <w:sz w:val="28"/>
          <w:szCs w:val="28"/>
          <w:shd w:val="clear" w:color="auto" w:fill="FFFFFF"/>
        </w:rPr>
      </w:pPr>
      <w:r>
        <w:rPr>
          <w:rFonts w:hint="eastAsia" w:eastAsia="仿宋"/>
          <w:color w:val="000000"/>
          <w:sz w:val="28"/>
          <w:szCs w:val="28"/>
          <w:shd w:val="clear" w:color="auto" w:fill="FFFFFF"/>
        </w:rPr>
        <w:t>项目支出是在基本支出之外为完成特定行政任务和事业发展目标所发生的支出，主要包括道路、公园等基础设施建设。</w:t>
      </w:r>
    </w:p>
    <w:p>
      <w:pPr>
        <w:autoSpaceDE w:val="0"/>
        <w:autoSpaceDN w:val="0"/>
        <w:adjustRightInd w:val="0"/>
        <w:spacing w:line="360" w:lineRule="auto"/>
        <w:ind w:firstLine="560" w:firstLineChars="200"/>
        <w:rPr>
          <w:rFonts w:eastAsia="仿宋"/>
          <w:color w:val="000000"/>
          <w:sz w:val="28"/>
          <w:szCs w:val="28"/>
          <w:shd w:val="clear" w:color="auto" w:fill="FFFFFF"/>
        </w:rPr>
      </w:pPr>
      <w:r>
        <w:rPr>
          <w:rFonts w:eastAsia="仿宋"/>
          <w:color w:val="000000"/>
          <w:sz w:val="28"/>
          <w:szCs w:val="28"/>
          <w:shd w:val="clear" w:color="auto" w:fill="FFFFFF"/>
        </w:rPr>
        <w:t>2</w:t>
      </w:r>
      <w:r>
        <w:rPr>
          <w:rFonts w:hint="eastAsia" w:eastAsia="仿宋"/>
          <w:color w:val="000000"/>
          <w:sz w:val="28"/>
          <w:szCs w:val="28"/>
          <w:shd w:val="clear" w:color="auto" w:fill="FFFFFF"/>
        </w:rPr>
        <w:t>、评价结论</w:t>
      </w:r>
    </w:p>
    <w:p>
      <w:pPr>
        <w:ind w:firstLine="560" w:firstLineChars="200"/>
      </w:pPr>
      <w:r>
        <w:rPr>
          <w:rFonts w:eastAsia="仿宋"/>
          <w:color w:val="000000"/>
          <w:sz w:val="28"/>
          <w:szCs w:val="28"/>
          <w:shd w:val="clear" w:color="auto" w:fill="FFFFFF"/>
        </w:rPr>
        <w:t>2019</w:t>
      </w:r>
      <w:r>
        <w:rPr>
          <w:rFonts w:hint="eastAsia" w:eastAsia="仿宋"/>
          <w:color w:val="000000"/>
          <w:sz w:val="28"/>
          <w:szCs w:val="28"/>
          <w:shd w:val="clear" w:color="auto" w:fill="FFFFFF"/>
        </w:rPr>
        <w:t>年单位积极履职，通过加强预算收支管理，不断梳理内部管理流程，建立健全内部管理制度，部门整体支出管理水平得到提升。经自评，项目自评得分均在</w:t>
      </w:r>
      <w:r>
        <w:rPr>
          <w:rFonts w:eastAsia="仿宋"/>
          <w:color w:val="000000"/>
          <w:sz w:val="28"/>
          <w:szCs w:val="28"/>
          <w:shd w:val="clear" w:color="auto" w:fill="FFFFFF"/>
        </w:rPr>
        <w:t>90</w:t>
      </w:r>
      <w:r>
        <w:rPr>
          <w:rFonts w:hint="eastAsia" w:eastAsia="仿宋"/>
          <w:color w:val="000000"/>
          <w:sz w:val="28"/>
          <w:szCs w:val="28"/>
          <w:shd w:val="clear" w:color="auto" w:fill="FFFFFF"/>
        </w:rPr>
        <w:t>分以上，较好的完成了年度工作目标，综合评价等级为“优秀”。</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ind w:firstLine="560" w:firstLineChars="200"/>
        <w:rPr>
          <w:rFonts w:eastAsia="仿宋"/>
          <w:color w:val="000000"/>
          <w:sz w:val="28"/>
          <w:szCs w:val="28"/>
          <w:shd w:val="clear" w:color="auto" w:fill="FFFFFF"/>
        </w:rPr>
      </w:pPr>
      <w:r>
        <w:rPr>
          <w:rFonts w:hint="eastAsia" w:eastAsia="仿宋"/>
          <w:color w:val="000000"/>
          <w:sz w:val="28"/>
          <w:szCs w:val="28"/>
          <w:shd w:val="clear" w:color="auto" w:fill="FFFFFF"/>
        </w:rPr>
        <w:t>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ind w:firstLine="560" w:firstLineChars="200"/>
        <w:rPr>
          <w:rFonts w:eastAsia="仿宋"/>
          <w:color w:val="000000"/>
          <w:sz w:val="28"/>
          <w:szCs w:val="28"/>
          <w:shd w:val="clear" w:color="auto" w:fill="FFFFFF"/>
        </w:rPr>
      </w:pPr>
      <w:r>
        <w:rPr>
          <w:rFonts w:eastAsia="仿宋"/>
          <w:color w:val="000000"/>
          <w:sz w:val="28"/>
          <w:szCs w:val="28"/>
          <w:shd w:val="clear" w:color="auto" w:fill="FFFFFF"/>
        </w:rPr>
        <w:t>1</w:t>
      </w:r>
      <w:r>
        <w:rPr>
          <w:rFonts w:hint="eastAsia" w:eastAsia="仿宋"/>
          <w:color w:val="000000"/>
          <w:sz w:val="28"/>
          <w:szCs w:val="28"/>
          <w:shd w:val="clear" w:color="auto" w:fill="FFFFFF"/>
        </w:rPr>
        <w:t>、部分绩效指标设定不易量化，只能用定性方法考核，造成评分具有一定主观性；</w:t>
      </w:r>
    </w:p>
    <w:p>
      <w:pPr>
        <w:ind w:firstLine="560" w:firstLineChars="200"/>
        <w:rPr>
          <w:rFonts w:eastAsia="仿宋"/>
          <w:color w:val="000000"/>
          <w:sz w:val="28"/>
          <w:szCs w:val="28"/>
          <w:shd w:val="clear" w:color="auto" w:fill="FFFFFF"/>
        </w:rPr>
      </w:pPr>
      <w:r>
        <w:rPr>
          <w:rFonts w:eastAsia="仿宋"/>
          <w:color w:val="000000"/>
          <w:sz w:val="28"/>
          <w:szCs w:val="28"/>
          <w:shd w:val="clear" w:color="auto" w:fill="FFFFFF"/>
        </w:rPr>
        <w:t>2</w:t>
      </w:r>
      <w:r>
        <w:rPr>
          <w:rFonts w:hint="eastAsia" w:eastAsia="仿宋"/>
          <w:color w:val="000000"/>
          <w:sz w:val="28"/>
          <w:szCs w:val="28"/>
          <w:shd w:val="clear" w:color="auto" w:fill="FFFFFF"/>
        </w:rPr>
        <w:t>、部分评价指标的设置不够合理和科学，主要原因是设置评价指标时，和主管科室的沟通不及时。</w:t>
      </w:r>
    </w:p>
    <w:p>
      <w:pPr>
        <w:ind w:firstLine="560" w:firstLineChars="200"/>
        <w:rPr>
          <w:rFonts w:eastAsia="仿宋"/>
          <w:color w:val="000000"/>
          <w:sz w:val="28"/>
          <w:szCs w:val="28"/>
          <w:shd w:val="clear" w:color="auto" w:fill="FFFFFF"/>
        </w:rPr>
      </w:pPr>
      <w:r>
        <w:rPr>
          <w:rFonts w:eastAsia="仿宋"/>
          <w:color w:val="000000"/>
          <w:sz w:val="28"/>
          <w:szCs w:val="28"/>
          <w:shd w:val="clear" w:color="auto" w:fill="FFFFFF"/>
        </w:rPr>
        <w:t>3</w:t>
      </w:r>
      <w:r>
        <w:rPr>
          <w:rFonts w:hint="eastAsia" w:eastAsia="仿宋"/>
          <w:color w:val="000000"/>
          <w:sz w:val="28"/>
          <w:szCs w:val="28"/>
          <w:shd w:val="clear" w:color="auto" w:fill="FFFFFF"/>
        </w:rPr>
        <w:t>、评价指标不够祥细，主要原因是未从多方面考虑绩效评价指标。</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pPr>
        <w:ind w:firstLine="562" w:firstLineChars="200"/>
        <w:rPr>
          <w:rFonts w:eastAsia="仿宋"/>
          <w:b/>
          <w:bCs/>
          <w:color w:val="000000"/>
          <w:sz w:val="28"/>
          <w:szCs w:val="28"/>
          <w:shd w:val="clear" w:color="auto" w:fill="FFFFFF"/>
        </w:rPr>
      </w:pPr>
      <w:r>
        <w:rPr>
          <w:rFonts w:hint="eastAsia" w:eastAsia="仿宋"/>
          <w:b/>
          <w:bCs/>
          <w:color w:val="000000"/>
          <w:sz w:val="28"/>
          <w:szCs w:val="28"/>
          <w:shd w:val="clear" w:color="auto" w:fill="FFFFFF"/>
        </w:rPr>
        <w:t>（一）整改措施</w:t>
      </w:r>
    </w:p>
    <w:p>
      <w:pPr>
        <w:ind w:firstLine="560" w:firstLineChars="200"/>
        <w:rPr>
          <w:rFonts w:eastAsia="仿宋"/>
          <w:color w:val="000000"/>
          <w:sz w:val="28"/>
          <w:szCs w:val="28"/>
          <w:shd w:val="clear" w:color="auto" w:fill="FFFFFF"/>
        </w:rPr>
      </w:pPr>
      <w:r>
        <w:rPr>
          <w:rFonts w:eastAsia="仿宋"/>
          <w:color w:val="000000"/>
          <w:sz w:val="28"/>
          <w:szCs w:val="28"/>
          <w:shd w:val="clear" w:color="auto" w:fill="FFFFFF"/>
        </w:rPr>
        <w:t>1</w:t>
      </w:r>
      <w:r>
        <w:rPr>
          <w:rFonts w:hint="eastAsia" w:eastAsia="仿宋"/>
          <w:color w:val="000000"/>
          <w:sz w:val="28"/>
          <w:szCs w:val="28"/>
          <w:shd w:val="clear" w:color="auto" w:fill="FFFFFF"/>
        </w:rPr>
        <w:t>、在工作中根据不断出现的新情况和发现的新问题，逐步完善项目绩效评价管理体系，进一步提高项目绩效管理水平；</w:t>
      </w:r>
    </w:p>
    <w:p>
      <w:pPr>
        <w:pStyle w:val="6"/>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2</w:t>
      </w:r>
      <w:r>
        <w:rPr>
          <w:rFonts w:hint="eastAsia" w:ascii="Times New Roman" w:hAnsi="Times New Roman" w:eastAsia="仿宋" w:cs="Times New Roman"/>
          <w:color w:val="000000"/>
          <w:sz w:val="28"/>
          <w:szCs w:val="28"/>
          <w:shd w:val="clear" w:color="auto" w:fill="FFFFFF"/>
        </w:rPr>
        <w:t>、对相关人员加强培训，特别是针对《中华人民共和国预算法》，《政府会计制度》，项目立项规范，绩效评价相</w:t>
      </w:r>
      <w:r>
        <w:rPr>
          <w:rFonts w:hint="eastAsia" w:ascii="仿宋" w:hAnsi="仿宋" w:eastAsia="仿宋" w:cs="Times New Roman"/>
          <w:color w:val="000000"/>
          <w:sz w:val="28"/>
          <w:szCs w:val="28"/>
          <w:shd w:val="clear" w:color="auto" w:fill="FFFFFF"/>
        </w:rPr>
        <w:t>关方针、政策以及市财政有关规定</w:t>
      </w:r>
      <w:r>
        <w:rPr>
          <w:rFonts w:hint="eastAsia" w:ascii="Times New Roman" w:hAnsi="Times New Roman" w:eastAsia="仿宋" w:cs="Times New Roman"/>
          <w:color w:val="000000"/>
          <w:sz w:val="28"/>
          <w:szCs w:val="28"/>
          <w:shd w:val="clear" w:color="auto" w:fill="FFFFFF"/>
        </w:rPr>
        <w:t>等的学习培训，切实提高部门预算收支管理水平、项目立项管理水平和绩效目标管理水平。</w:t>
      </w:r>
    </w:p>
    <w:p>
      <w:pPr>
        <w:pStyle w:val="6"/>
        <w:shd w:val="clear" w:color="auto" w:fill="FFFFFF"/>
        <w:spacing w:before="0" w:beforeAutospacing="0" w:after="0" w:afterAutospacing="0"/>
        <w:ind w:firstLine="562" w:firstLineChars="200"/>
        <w:jc w:val="both"/>
        <w:rPr>
          <w:rFonts w:ascii="Times New Roman" w:hAnsi="Times New Roman" w:eastAsia="仿宋" w:cs="Times New Roman"/>
          <w:b/>
          <w:bCs/>
          <w:color w:val="000000"/>
          <w:sz w:val="28"/>
          <w:szCs w:val="28"/>
          <w:shd w:val="clear" w:color="auto" w:fill="FFFFFF"/>
        </w:rPr>
      </w:pPr>
      <w:r>
        <w:rPr>
          <w:rFonts w:hint="eastAsia" w:ascii="Times New Roman" w:hAnsi="Times New Roman" w:eastAsia="仿宋" w:cs="Times New Roman"/>
          <w:b/>
          <w:bCs/>
          <w:color w:val="000000"/>
          <w:sz w:val="28"/>
          <w:szCs w:val="28"/>
          <w:shd w:val="clear" w:color="auto" w:fill="FFFFFF"/>
        </w:rPr>
        <w:t>（二）结果应用</w:t>
      </w:r>
    </w:p>
    <w:p>
      <w:pPr>
        <w:pStyle w:val="6"/>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通过年度绩效评价，有效了解预算编制、预算执行、绩效目标实现等相关情况，对以后的年度预算安排和预算收支管理工作具有指导性意义。</w:t>
      </w:r>
    </w:p>
    <w:p>
      <w:pPr>
        <w:snapToGrid w:val="0"/>
        <w:spacing w:line="360" w:lineRule="auto"/>
        <w:rPr>
          <w:rFonts w:ascii="仿宋" w:hAnsi="仿宋" w:eastAsia="仿宋" w:cs="仿宋"/>
          <w:sz w:val="32"/>
          <w:szCs w:val="32"/>
        </w:rPr>
      </w:pPr>
    </w:p>
    <w:bookmarkEnd w:id="1"/>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PhfpLEBAABOAwAADgAAAGRycy9lMm9Eb2MueG1srVPBbtswDL0P2D8I&#10;ui9yAmwIjDhFi6LFgGEr0O0DFFmKBUiiICmx8wPbH+y0S+/9rnzHKMVOt/ZW9CJTJPX4HkmvLgZr&#10;yF6GqME1dD6rKJFOQKvdtqE/vt98WFISE3ctN+BkQw8y0ov1+3er3tdyAR2YVgaCIC7WvW9ol5Kv&#10;GYuik5bHGXjpMKggWJ7wGrasDbxHdGvYoqo+sR5C6wMIGSN6r09Bui74SkmRvikVZSKmocgtlTOU&#10;c5NPtl7xehu477QYafBXsLBcOyx6hrrmiZNd0C+grBYBIqg0E2AZKKWFLBpQzbx6pua+414WLdic&#10;6M9tim8HK77u7wLRLc6OEsctjuj4+9fxz+Px4SeZV4uPuUO9jzUm3ntMTcMVDDl79Ed0ZuGDCjZ/&#10;URLBOPb6cO6vHBIR+dFysVxWGBIYmy6Iw56e+xDTrQRLstHQgAMsfeX7LzGdUqeUXM3BjTYG/bw2&#10;7j8HYmYPy9xPHLOVhs0wEt9Ae0A9Pc6+oQ6XkxLz2WFr85pMRpiMzWTsfNDbDqnNC6/oL3cJSRRu&#10;ucIJdiyMQyvqxgXLW/HvvWQ9/Qbr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0+F+ksQEA&#10;AE4DAAAOAAAAAAAAAAEAIAAAAB4BAABkcnMvZTJvRG9jLnhtbFBLBQYAAAAABgAGAFkBAABBBQAA&#10;AAA=&#10;">
          <v:path/>
          <v:fill on="f" focussize="0,0"/>
          <v:stroke on="f" joinstyle="miter"/>
          <v:imagedata o:title=""/>
          <o:lock v:ext="edit"/>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- 5 -</w:t>
                </w:r>
                <w:r>
                  <w:rPr>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D53057"/>
    <w:multiLevelType w:val="singleLevel"/>
    <w:tmpl w:val="26D53057"/>
    <w:lvl w:ilvl="0" w:tentative="0">
      <w:start w:val="2"/>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1232F"/>
    <w:rsid w:val="000178C9"/>
    <w:rsid w:val="00025DA4"/>
    <w:rsid w:val="0004041E"/>
    <w:rsid w:val="00044641"/>
    <w:rsid w:val="00044DCC"/>
    <w:rsid w:val="00082F3D"/>
    <w:rsid w:val="000976C3"/>
    <w:rsid w:val="000D29F1"/>
    <w:rsid w:val="000D67E4"/>
    <w:rsid w:val="000E2411"/>
    <w:rsid w:val="000F68F9"/>
    <w:rsid w:val="00114EAE"/>
    <w:rsid w:val="001201CF"/>
    <w:rsid w:val="001312E8"/>
    <w:rsid w:val="001450E1"/>
    <w:rsid w:val="00153FF0"/>
    <w:rsid w:val="001627CF"/>
    <w:rsid w:val="00163C00"/>
    <w:rsid w:val="00176210"/>
    <w:rsid w:val="00197BF8"/>
    <w:rsid w:val="001B62EE"/>
    <w:rsid w:val="001C1F3F"/>
    <w:rsid w:val="001C2064"/>
    <w:rsid w:val="001C294B"/>
    <w:rsid w:val="001D08A2"/>
    <w:rsid w:val="001D2D4C"/>
    <w:rsid w:val="00201955"/>
    <w:rsid w:val="002176C4"/>
    <w:rsid w:val="0028289B"/>
    <w:rsid w:val="002C4E2B"/>
    <w:rsid w:val="002D0D41"/>
    <w:rsid w:val="002E7241"/>
    <w:rsid w:val="002F3E1B"/>
    <w:rsid w:val="002F4478"/>
    <w:rsid w:val="00312F7F"/>
    <w:rsid w:val="00315F04"/>
    <w:rsid w:val="0031678A"/>
    <w:rsid w:val="00374693"/>
    <w:rsid w:val="00376B47"/>
    <w:rsid w:val="003777E0"/>
    <w:rsid w:val="00380F1A"/>
    <w:rsid w:val="00383AC5"/>
    <w:rsid w:val="00396CE2"/>
    <w:rsid w:val="003A3175"/>
    <w:rsid w:val="003B2634"/>
    <w:rsid w:val="003B412A"/>
    <w:rsid w:val="003C1049"/>
    <w:rsid w:val="003D037B"/>
    <w:rsid w:val="003F290D"/>
    <w:rsid w:val="0041223F"/>
    <w:rsid w:val="00432709"/>
    <w:rsid w:val="00444D21"/>
    <w:rsid w:val="00456397"/>
    <w:rsid w:val="00456451"/>
    <w:rsid w:val="00465F69"/>
    <w:rsid w:val="00486942"/>
    <w:rsid w:val="00491FCD"/>
    <w:rsid w:val="004B0EB0"/>
    <w:rsid w:val="004E4FD0"/>
    <w:rsid w:val="004E6C05"/>
    <w:rsid w:val="004F6F9F"/>
    <w:rsid w:val="00514C67"/>
    <w:rsid w:val="005150E7"/>
    <w:rsid w:val="00523682"/>
    <w:rsid w:val="00523930"/>
    <w:rsid w:val="00526679"/>
    <w:rsid w:val="00534328"/>
    <w:rsid w:val="0053489C"/>
    <w:rsid w:val="005402B3"/>
    <w:rsid w:val="00546BCB"/>
    <w:rsid w:val="005516A4"/>
    <w:rsid w:val="00557584"/>
    <w:rsid w:val="00566639"/>
    <w:rsid w:val="0058594A"/>
    <w:rsid w:val="00595612"/>
    <w:rsid w:val="005B23ED"/>
    <w:rsid w:val="005C236C"/>
    <w:rsid w:val="005C3FEB"/>
    <w:rsid w:val="005C58D1"/>
    <w:rsid w:val="005C6805"/>
    <w:rsid w:val="005E6EC9"/>
    <w:rsid w:val="00620161"/>
    <w:rsid w:val="00651F4F"/>
    <w:rsid w:val="00665896"/>
    <w:rsid w:val="006658BD"/>
    <w:rsid w:val="00672913"/>
    <w:rsid w:val="006C0C2C"/>
    <w:rsid w:val="006C3A56"/>
    <w:rsid w:val="006C3CA2"/>
    <w:rsid w:val="006C5147"/>
    <w:rsid w:val="006E6073"/>
    <w:rsid w:val="006F2A04"/>
    <w:rsid w:val="00703077"/>
    <w:rsid w:val="0071336C"/>
    <w:rsid w:val="0071475B"/>
    <w:rsid w:val="00757282"/>
    <w:rsid w:val="00763805"/>
    <w:rsid w:val="007804E0"/>
    <w:rsid w:val="00780DEB"/>
    <w:rsid w:val="00793214"/>
    <w:rsid w:val="007A1839"/>
    <w:rsid w:val="007C441F"/>
    <w:rsid w:val="007D2531"/>
    <w:rsid w:val="007D43DA"/>
    <w:rsid w:val="007E50DB"/>
    <w:rsid w:val="007E661D"/>
    <w:rsid w:val="007F5EE6"/>
    <w:rsid w:val="0080578D"/>
    <w:rsid w:val="00812F19"/>
    <w:rsid w:val="0081530B"/>
    <w:rsid w:val="00827631"/>
    <w:rsid w:val="00834B4F"/>
    <w:rsid w:val="0084203E"/>
    <w:rsid w:val="0085082B"/>
    <w:rsid w:val="00871A91"/>
    <w:rsid w:val="0089786C"/>
    <w:rsid w:val="008A2165"/>
    <w:rsid w:val="008C173F"/>
    <w:rsid w:val="008C31C3"/>
    <w:rsid w:val="008E0E58"/>
    <w:rsid w:val="008E682E"/>
    <w:rsid w:val="00900344"/>
    <w:rsid w:val="00927E2D"/>
    <w:rsid w:val="00933988"/>
    <w:rsid w:val="00941865"/>
    <w:rsid w:val="00941F71"/>
    <w:rsid w:val="0094662C"/>
    <w:rsid w:val="00980C5E"/>
    <w:rsid w:val="00986803"/>
    <w:rsid w:val="0099577A"/>
    <w:rsid w:val="009A37A3"/>
    <w:rsid w:val="009A6EB9"/>
    <w:rsid w:val="009C0C35"/>
    <w:rsid w:val="009E7A28"/>
    <w:rsid w:val="009F1522"/>
    <w:rsid w:val="009F36C4"/>
    <w:rsid w:val="009F7EBD"/>
    <w:rsid w:val="00A06D88"/>
    <w:rsid w:val="00A1327C"/>
    <w:rsid w:val="00A15F52"/>
    <w:rsid w:val="00A353AD"/>
    <w:rsid w:val="00A37BE9"/>
    <w:rsid w:val="00A37C91"/>
    <w:rsid w:val="00A761DF"/>
    <w:rsid w:val="00A91491"/>
    <w:rsid w:val="00AA2925"/>
    <w:rsid w:val="00AB70A8"/>
    <w:rsid w:val="00AD3412"/>
    <w:rsid w:val="00AF5C06"/>
    <w:rsid w:val="00B10FC1"/>
    <w:rsid w:val="00B35AEA"/>
    <w:rsid w:val="00B37ABD"/>
    <w:rsid w:val="00B43A01"/>
    <w:rsid w:val="00B75856"/>
    <w:rsid w:val="00B8177D"/>
    <w:rsid w:val="00B86365"/>
    <w:rsid w:val="00B96FB6"/>
    <w:rsid w:val="00BC4397"/>
    <w:rsid w:val="00BE032C"/>
    <w:rsid w:val="00BE4E69"/>
    <w:rsid w:val="00C15F45"/>
    <w:rsid w:val="00C242EC"/>
    <w:rsid w:val="00C2683A"/>
    <w:rsid w:val="00C428C3"/>
    <w:rsid w:val="00C472F6"/>
    <w:rsid w:val="00C50BF1"/>
    <w:rsid w:val="00C75BCF"/>
    <w:rsid w:val="00C87A0A"/>
    <w:rsid w:val="00C90270"/>
    <w:rsid w:val="00C97340"/>
    <w:rsid w:val="00CA78F0"/>
    <w:rsid w:val="00CD76AC"/>
    <w:rsid w:val="00CE156F"/>
    <w:rsid w:val="00CE7668"/>
    <w:rsid w:val="00D11ACE"/>
    <w:rsid w:val="00D230D7"/>
    <w:rsid w:val="00D47B2E"/>
    <w:rsid w:val="00D664CF"/>
    <w:rsid w:val="00D70CF7"/>
    <w:rsid w:val="00D969E1"/>
    <w:rsid w:val="00DB6C0D"/>
    <w:rsid w:val="00DB6CF2"/>
    <w:rsid w:val="00DD1C10"/>
    <w:rsid w:val="00DD49C7"/>
    <w:rsid w:val="00DD767A"/>
    <w:rsid w:val="00DE0EFE"/>
    <w:rsid w:val="00DE50A2"/>
    <w:rsid w:val="00DF6FF4"/>
    <w:rsid w:val="00E17D5D"/>
    <w:rsid w:val="00E219A3"/>
    <w:rsid w:val="00E345F2"/>
    <w:rsid w:val="00E51F40"/>
    <w:rsid w:val="00E61BFC"/>
    <w:rsid w:val="00E72541"/>
    <w:rsid w:val="00E841B7"/>
    <w:rsid w:val="00EA151E"/>
    <w:rsid w:val="00ED2C74"/>
    <w:rsid w:val="00ED5E84"/>
    <w:rsid w:val="00EE2E50"/>
    <w:rsid w:val="00EF1636"/>
    <w:rsid w:val="00EF16A3"/>
    <w:rsid w:val="00EF7290"/>
    <w:rsid w:val="00F32D0F"/>
    <w:rsid w:val="00F50C37"/>
    <w:rsid w:val="00F57E52"/>
    <w:rsid w:val="00F67AAD"/>
    <w:rsid w:val="00F90076"/>
    <w:rsid w:val="00FC0CC8"/>
    <w:rsid w:val="00FD4115"/>
    <w:rsid w:val="00FE03A8"/>
    <w:rsid w:val="00FE213A"/>
    <w:rsid w:val="00FF4119"/>
    <w:rsid w:val="06B872EA"/>
    <w:rsid w:val="0F345043"/>
    <w:rsid w:val="13B61930"/>
    <w:rsid w:val="17336CA1"/>
    <w:rsid w:val="1F9677A3"/>
    <w:rsid w:val="24D76624"/>
    <w:rsid w:val="3AEF6FE7"/>
    <w:rsid w:val="493B718D"/>
    <w:rsid w:val="53A42ADD"/>
    <w:rsid w:val="558030E4"/>
    <w:rsid w:val="5D2E2B46"/>
    <w:rsid w:val="63037534"/>
    <w:rsid w:val="67B31A5B"/>
    <w:rsid w:val="6C1A032B"/>
    <w:rsid w:val="7866009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0"/>
    <w:qFormat/>
    <w:uiPriority w:val="99"/>
    <w:pPr>
      <w:spacing w:before="100" w:beforeAutospacing="1"/>
      <w:ind w:firstLine="420" w:firstLineChars="200"/>
    </w:pPr>
  </w:style>
  <w:style w:type="paragraph" w:styleId="3">
    <w:name w:val="Body Text Indent"/>
    <w:basedOn w:val="1"/>
    <w:link w:val="9"/>
    <w:uiPriority w:val="99"/>
    <w:pPr>
      <w:spacing w:after="120"/>
      <w:ind w:left="420" w:leftChars="200"/>
    </w:pPr>
  </w:style>
  <w:style w:type="paragraph" w:styleId="4">
    <w:name w:val="footer"/>
    <w:basedOn w:val="1"/>
    <w:link w:val="11"/>
    <w:uiPriority w:val="99"/>
    <w:pPr>
      <w:tabs>
        <w:tab w:val="center" w:pos="4153"/>
        <w:tab w:val="right" w:pos="8306"/>
      </w:tabs>
      <w:snapToGrid w:val="0"/>
      <w:jc w:val="left"/>
    </w:pPr>
    <w:rPr>
      <w:rFonts w:ascii="Calibri" w:hAnsi="Calibri"/>
      <w:kern w:val="0"/>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rFonts w:ascii="Calibri" w:hAnsi="Calibri"/>
      <w:kern w:val="0"/>
      <w:sz w:val="18"/>
      <w:szCs w:val="18"/>
    </w:rPr>
  </w:style>
  <w:style w:type="paragraph" w:styleId="6">
    <w:name w:val="Normal (Web)"/>
    <w:basedOn w:val="1"/>
    <w:uiPriority w:val="99"/>
    <w:pPr>
      <w:widowControl/>
      <w:spacing w:before="100" w:beforeAutospacing="1" w:after="100" w:afterAutospacing="1"/>
      <w:jc w:val="left"/>
    </w:pPr>
    <w:rPr>
      <w:rFonts w:ascii="宋体" w:hAnsi="宋体" w:cs="宋体"/>
      <w:kern w:val="0"/>
      <w:sz w:val="24"/>
    </w:rPr>
  </w:style>
  <w:style w:type="character" w:customStyle="1" w:styleId="9">
    <w:name w:val="Body Text Indent Char"/>
    <w:basedOn w:val="8"/>
    <w:link w:val="3"/>
    <w:semiHidden/>
    <w:qFormat/>
    <w:locked/>
    <w:uiPriority w:val="99"/>
    <w:rPr>
      <w:rFonts w:ascii="Times New Roman" w:hAnsi="Times New Roman" w:cs="Times New Roman"/>
      <w:sz w:val="24"/>
      <w:szCs w:val="24"/>
    </w:rPr>
  </w:style>
  <w:style w:type="character" w:customStyle="1" w:styleId="10">
    <w:name w:val="Body Text First Indent 2 Char"/>
    <w:basedOn w:val="9"/>
    <w:link w:val="2"/>
    <w:semiHidden/>
    <w:qFormat/>
    <w:locked/>
    <w:uiPriority w:val="99"/>
  </w:style>
  <w:style w:type="character" w:customStyle="1" w:styleId="11">
    <w:name w:val="Footer Char"/>
    <w:basedOn w:val="8"/>
    <w:link w:val="4"/>
    <w:locked/>
    <w:uiPriority w:val="99"/>
    <w:rPr>
      <w:rFonts w:cs="Times New Roman"/>
      <w:sz w:val="18"/>
    </w:rPr>
  </w:style>
  <w:style w:type="character" w:customStyle="1" w:styleId="12">
    <w:name w:val="Header Char"/>
    <w:basedOn w:val="8"/>
    <w:link w:val="5"/>
    <w:qFormat/>
    <w:locked/>
    <w:uiPriority w:val="99"/>
    <w:rPr>
      <w:rFonts w:cs="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Lenovo</Company>
  <Pages>5</Pages>
  <Words>357</Words>
  <Characters>2041</Characters>
  <Lines>0</Lines>
  <Paragraphs>0</Paragraphs>
  <TotalTime>96</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zzz</cp:lastModifiedBy>
  <cp:lastPrinted>2019-01-01T16:29:00Z</cp:lastPrinted>
  <dcterms:modified xsi:type="dcterms:W3CDTF">2024-09-14T03:33:28Z</dcterms:modified>
  <dc:title>附件2： </dc:title>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F2FDCFF70F0944C88F0EC7F9A2C8DD43</vt:lpwstr>
  </property>
</Properties>
</file>