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both"/>
        <w:textAlignment w:val="auto"/>
        <w:outlineLvl w:val="9"/>
        <w:rPr>
          <w:rFonts w:ascii="Arial"/>
          <w:color w:val="auto"/>
          <w:sz w:val="21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2：</w:t>
      </w:r>
    </w:p>
    <w:p>
      <w:pPr>
        <w:tabs>
          <w:tab w:val="left" w:pos="3816"/>
        </w:tabs>
        <w:spacing w:before="55" w:line="208" w:lineRule="auto"/>
        <w:jc w:val="center"/>
        <w:outlineLvl w:val="0"/>
        <w:rPr>
          <w:rFonts w:hint="eastAsia" w:asciiTheme="majorEastAsia" w:hAnsiTheme="majorEastAsia" w:eastAsiaTheme="majorEastAsia" w:cstheme="majorEastAsia"/>
          <w:b/>
          <w:bCs/>
          <w:color w:val="auto"/>
          <w:spacing w:val="-2"/>
          <w:sz w:val="43"/>
          <w:szCs w:val="43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auto"/>
          <w:spacing w:val="-2"/>
          <w:sz w:val="43"/>
          <w:szCs w:val="43"/>
          <w:lang w:val="en-US" w:eastAsia="zh-CN"/>
        </w:rPr>
        <w:t>高邑县</w:t>
      </w:r>
      <w:r>
        <w:rPr>
          <w:rFonts w:hint="eastAsia" w:asciiTheme="majorEastAsia" w:hAnsiTheme="majorEastAsia" w:eastAsiaTheme="majorEastAsia" w:cstheme="majorEastAsia"/>
          <w:b/>
          <w:bCs/>
          <w:color w:val="auto"/>
          <w:spacing w:val="-2"/>
          <w:sz w:val="43"/>
          <w:szCs w:val="43"/>
        </w:rPr>
        <w:t>2024 年度随机抽查工作计划</w:t>
      </w:r>
      <w:r>
        <w:rPr>
          <w:rFonts w:hint="eastAsia" w:asciiTheme="majorEastAsia" w:hAnsiTheme="majorEastAsia" w:eastAsiaTheme="majorEastAsia" w:cstheme="majorEastAsia"/>
          <w:b/>
          <w:bCs/>
          <w:color w:val="auto"/>
          <w:spacing w:val="-2"/>
          <w:sz w:val="43"/>
          <w:szCs w:val="43"/>
          <w:lang w:eastAsia="zh-CN"/>
        </w:rPr>
        <w:t>（</w:t>
      </w:r>
      <w:r>
        <w:rPr>
          <w:rFonts w:hint="eastAsia" w:asciiTheme="majorEastAsia" w:hAnsiTheme="majorEastAsia" w:eastAsiaTheme="majorEastAsia" w:cstheme="majorEastAsia"/>
          <w:b/>
          <w:bCs/>
          <w:color w:val="auto"/>
          <w:spacing w:val="-2"/>
          <w:sz w:val="43"/>
          <w:szCs w:val="43"/>
          <w:lang w:val="en-US" w:eastAsia="zh-CN"/>
        </w:rPr>
        <w:t>各乡镇</w:t>
      </w:r>
      <w:r>
        <w:rPr>
          <w:rFonts w:hint="eastAsia" w:asciiTheme="majorEastAsia" w:hAnsiTheme="majorEastAsia" w:eastAsiaTheme="majorEastAsia" w:cstheme="majorEastAsia"/>
          <w:b/>
          <w:bCs/>
          <w:color w:val="auto"/>
          <w:spacing w:val="-2"/>
          <w:sz w:val="43"/>
          <w:szCs w:val="43"/>
          <w:lang w:eastAsia="zh-CN"/>
        </w:rPr>
        <w:t>）</w:t>
      </w:r>
    </w:p>
    <w:tbl>
      <w:tblPr>
        <w:tblStyle w:val="4"/>
        <w:tblW w:w="1478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54"/>
        <w:gridCol w:w="1799"/>
        <w:gridCol w:w="1350"/>
        <w:gridCol w:w="1529"/>
        <w:gridCol w:w="825"/>
        <w:gridCol w:w="810"/>
        <w:gridCol w:w="1544"/>
        <w:gridCol w:w="1589"/>
        <w:gridCol w:w="1185"/>
        <w:gridCol w:w="1350"/>
        <w:gridCol w:w="144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</w:trPr>
        <w:tc>
          <w:tcPr>
            <w:tcW w:w="14782" w:type="dxa"/>
            <w:gridSpan w:val="11"/>
            <w:vAlign w:val="top"/>
          </w:tcPr>
          <w:p>
            <w:pPr>
              <w:spacing w:before="88" w:line="221" w:lineRule="auto"/>
              <w:ind w:left="4759" w:firstLine="476" w:firstLineChars="200"/>
              <w:rPr>
                <w:rFonts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auto"/>
                <w:spacing w:val="-1"/>
                <w:sz w:val="24"/>
                <w:szCs w:val="24"/>
                <w:lang w:val="en-US" w:eastAsia="zh-CN"/>
              </w:rPr>
              <w:t>高邑县</w:t>
            </w:r>
            <w:r>
              <w:rPr>
                <w:rFonts w:ascii="黑体" w:hAnsi="黑体" w:eastAsia="黑体" w:cs="黑体"/>
                <w:color w:val="auto"/>
                <w:spacing w:val="-1"/>
                <w:sz w:val="24"/>
                <w:szCs w:val="24"/>
              </w:rPr>
              <w:t>发起的部门联合随机抽查工作计划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354" w:type="dxa"/>
            <w:vAlign w:val="top"/>
          </w:tcPr>
          <w:p>
            <w:pPr>
              <w:spacing w:before="40" w:line="222" w:lineRule="auto"/>
              <w:ind w:left="441" w:right="195" w:hanging="237"/>
              <w:rPr>
                <w:rFonts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ascii="黑体" w:hAnsi="黑体" w:eastAsia="黑体" w:cs="黑体"/>
                <w:color w:val="auto"/>
                <w:spacing w:val="-3"/>
                <w:sz w:val="24"/>
                <w:szCs w:val="24"/>
              </w:rPr>
              <w:t>抽查计划</w:t>
            </w:r>
            <w:r>
              <w:rPr>
                <w:rFonts w:ascii="黑体" w:hAnsi="黑体" w:eastAsia="黑体" w:cs="黑体"/>
                <w:color w:val="auto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color w:val="auto"/>
                <w:spacing w:val="-4"/>
                <w:sz w:val="24"/>
                <w:szCs w:val="24"/>
              </w:rPr>
              <w:t>编号</w:t>
            </w:r>
          </w:p>
        </w:tc>
        <w:tc>
          <w:tcPr>
            <w:tcW w:w="1799" w:type="dxa"/>
            <w:vAlign w:val="top"/>
          </w:tcPr>
          <w:p>
            <w:pPr>
              <w:spacing w:before="193" w:line="222" w:lineRule="auto"/>
              <w:ind w:left="186"/>
              <w:rPr>
                <w:rFonts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ascii="黑体" w:hAnsi="黑体" w:eastAsia="黑体" w:cs="黑体"/>
                <w:color w:val="auto"/>
                <w:spacing w:val="-2"/>
                <w:sz w:val="24"/>
                <w:szCs w:val="24"/>
              </w:rPr>
              <w:t>抽查计划名称</w:t>
            </w:r>
          </w:p>
        </w:tc>
        <w:tc>
          <w:tcPr>
            <w:tcW w:w="1350" w:type="dxa"/>
            <w:vAlign w:val="top"/>
          </w:tcPr>
          <w:p>
            <w:pPr>
              <w:spacing w:before="40" w:line="222" w:lineRule="auto"/>
              <w:ind w:left="439" w:right="193" w:hanging="237"/>
              <w:rPr>
                <w:rFonts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ascii="黑体" w:hAnsi="黑体" w:eastAsia="黑体" w:cs="黑体"/>
                <w:color w:val="auto"/>
                <w:spacing w:val="-3"/>
                <w:sz w:val="24"/>
                <w:szCs w:val="24"/>
              </w:rPr>
              <w:t>抽查任务</w:t>
            </w:r>
            <w:r>
              <w:rPr>
                <w:rFonts w:ascii="黑体" w:hAnsi="黑体" w:eastAsia="黑体" w:cs="黑体"/>
                <w:color w:val="auto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color w:val="auto"/>
                <w:spacing w:val="-4"/>
                <w:sz w:val="24"/>
                <w:szCs w:val="24"/>
              </w:rPr>
              <w:t>编号</w:t>
            </w:r>
          </w:p>
        </w:tc>
        <w:tc>
          <w:tcPr>
            <w:tcW w:w="1529" w:type="dxa"/>
            <w:vAlign w:val="top"/>
          </w:tcPr>
          <w:p>
            <w:pPr>
              <w:spacing w:before="40" w:line="222" w:lineRule="auto"/>
              <w:ind w:left="532" w:right="282" w:hanging="240"/>
              <w:rPr>
                <w:rFonts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ascii="黑体" w:hAnsi="黑体" w:eastAsia="黑体" w:cs="黑体"/>
                <w:color w:val="auto"/>
                <w:spacing w:val="-3"/>
                <w:sz w:val="24"/>
                <w:szCs w:val="24"/>
              </w:rPr>
              <w:t>抽查任务</w:t>
            </w:r>
            <w:r>
              <w:rPr>
                <w:rFonts w:ascii="黑体" w:hAnsi="黑体" w:eastAsia="黑体" w:cs="黑体"/>
                <w:color w:val="auto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color w:val="auto"/>
                <w:spacing w:val="-6"/>
                <w:sz w:val="24"/>
                <w:szCs w:val="24"/>
              </w:rPr>
              <w:t>名称</w:t>
            </w:r>
          </w:p>
        </w:tc>
        <w:tc>
          <w:tcPr>
            <w:tcW w:w="825" w:type="dxa"/>
            <w:vAlign w:val="top"/>
          </w:tcPr>
          <w:p>
            <w:pPr>
              <w:spacing w:before="40" w:line="238" w:lineRule="auto"/>
              <w:ind w:left="179"/>
              <w:rPr>
                <w:rFonts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ascii="黑体" w:hAnsi="黑体" w:eastAsia="黑体" w:cs="黑体"/>
                <w:color w:val="auto"/>
                <w:spacing w:val="-6"/>
                <w:sz w:val="24"/>
                <w:szCs w:val="24"/>
              </w:rPr>
              <w:t>抽查</w:t>
            </w:r>
          </w:p>
          <w:p>
            <w:pPr>
              <w:spacing w:before="1" w:line="205" w:lineRule="auto"/>
              <w:ind w:left="186"/>
              <w:rPr>
                <w:rFonts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ascii="黑体" w:hAnsi="黑体" w:eastAsia="黑体" w:cs="黑体"/>
                <w:color w:val="auto"/>
                <w:spacing w:val="-9"/>
                <w:sz w:val="24"/>
                <w:szCs w:val="24"/>
              </w:rPr>
              <w:t>类型</w:t>
            </w:r>
          </w:p>
        </w:tc>
        <w:tc>
          <w:tcPr>
            <w:tcW w:w="810" w:type="dxa"/>
            <w:vAlign w:val="top"/>
          </w:tcPr>
          <w:p>
            <w:pPr>
              <w:spacing w:before="40" w:line="238" w:lineRule="auto"/>
              <w:ind w:left="172"/>
              <w:rPr>
                <w:rFonts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ascii="黑体" w:hAnsi="黑体" w:eastAsia="黑体" w:cs="黑体"/>
                <w:color w:val="auto"/>
                <w:spacing w:val="-6"/>
                <w:sz w:val="24"/>
                <w:szCs w:val="24"/>
              </w:rPr>
              <w:t>抽查</w:t>
            </w:r>
          </w:p>
          <w:p>
            <w:pPr>
              <w:spacing w:before="1" w:line="205" w:lineRule="auto"/>
              <w:ind w:left="183"/>
              <w:rPr>
                <w:rFonts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ascii="黑体" w:hAnsi="黑体" w:eastAsia="黑体" w:cs="黑体"/>
                <w:color w:val="auto"/>
                <w:spacing w:val="-11"/>
                <w:sz w:val="24"/>
                <w:szCs w:val="24"/>
              </w:rPr>
              <w:t>比例</w:t>
            </w:r>
          </w:p>
        </w:tc>
        <w:tc>
          <w:tcPr>
            <w:tcW w:w="1544" w:type="dxa"/>
            <w:vAlign w:val="top"/>
          </w:tcPr>
          <w:p>
            <w:pPr>
              <w:spacing w:before="40" w:line="238" w:lineRule="auto"/>
              <w:ind w:left="541"/>
              <w:rPr>
                <w:rFonts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ascii="黑体" w:hAnsi="黑体" w:eastAsia="黑体" w:cs="黑体"/>
                <w:color w:val="auto"/>
                <w:spacing w:val="-6"/>
                <w:sz w:val="24"/>
                <w:szCs w:val="24"/>
              </w:rPr>
              <w:t>抽查</w:t>
            </w:r>
          </w:p>
          <w:p>
            <w:pPr>
              <w:spacing w:before="1" w:line="205" w:lineRule="auto"/>
              <w:ind w:left="546"/>
              <w:rPr>
                <w:rFonts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ascii="黑体" w:hAnsi="黑体" w:eastAsia="黑体" w:cs="黑体"/>
                <w:color w:val="auto"/>
                <w:spacing w:val="-8"/>
                <w:sz w:val="24"/>
                <w:szCs w:val="24"/>
              </w:rPr>
              <w:t>事项</w:t>
            </w:r>
          </w:p>
        </w:tc>
        <w:tc>
          <w:tcPr>
            <w:tcW w:w="1589" w:type="dxa"/>
            <w:vAlign w:val="top"/>
          </w:tcPr>
          <w:p>
            <w:pPr>
              <w:spacing w:before="40" w:line="222" w:lineRule="auto"/>
              <w:ind w:left="566" w:right="310" w:hanging="242"/>
              <w:rPr>
                <w:rFonts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ascii="黑体" w:hAnsi="黑体" w:eastAsia="黑体" w:cs="黑体"/>
                <w:color w:val="auto"/>
                <w:spacing w:val="-3"/>
                <w:sz w:val="24"/>
                <w:szCs w:val="24"/>
              </w:rPr>
              <w:t>抽查对象</w:t>
            </w:r>
            <w:r>
              <w:rPr>
                <w:rFonts w:ascii="黑体" w:hAnsi="黑体" w:eastAsia="黑体" w:cs="黑体"/>
                <w:color w:val="auto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color w:val="auto"/>
                <w:spacing w:val="-7"/>
                <w:sz w:val="24"/>
                <w:szCs w:val="24"/>
              </w:rPr>
              <w:t>范围</w:t>
            </w:r>
          </w:p>
        </w:tc>
        <w:tc>
          <w:tcPr>
            <w:tcW w:w="1185" w:type="dxa"/>
            <w:vAlign w:val="top"/>
          </w:tcPr>
          <w:p>
            <w:pPr>
              <w:spacing w:before="194" w:line="221" w:lineRule="auto"/>
              <w:ind w:left="123"/>
              <w:rPr>
                <w:rFonts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ascii="黑体" w:hAnsi="黑体" w:eastAsia="黑体" w:cs="黑体"/>
                <w:color w:val="auto"/>
                <w:spacing w:val="-3"/>
                <w:sz w:val="24"/>
                <w:szCs w:val="24"/>
              </w:rPr>
              <w:t>发起部门</w:t>
            </w:r>
          </w:p>
        </w:tc>
        <w:tc>
          <w:tcPr>
            <w:tcW w:w="1350" w:type="dxa"/>
            <w:vAlign w:val="top"/>
          </w:tcPr>
          <w:p>
            <w:pPr>
              <w:spacing w:before="193" w:line="222" w:lineRule="auto"/>
              <w:ind w:left="204"/>
              <w:rPr>
                <w:rFonts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ascii="黑体" w:hAnsi="黑体" w:eastAsia="黑体" w:cs="黑体"/>
                <w:color w:val="auto"/>
                <w:spacing w:val="-3"/>
                <w:sz w:val="24"/>
                <w:szCs w:val="24"/>
              </w:rPr>
              <w:t>联合部门</w:t>
            </w:r>
          </w:p>
        </w:tc>
        <w:tc>
          <w:tcPr>
            <w:tcW w:w="1447" w:type="dxa"/>
            <w:vAlign w:val="top"/>
          </w:tcPr>
          <w:p>
            <w:pPr>
              <w:spacing w:before="194" w:line="223" w:lineRule="auto"/>
              <w:ind w:left="251"/>
              <w:rPr>
                <w:rFonts w:ascii="黑体" w:hAnsi="黑体" w:eastAsia="黑体" w:cs="黑体"/>
                <w:color w:val="auto"/>
                <w:sz w:val="24"/>
                <w:szCs w:val="24"/>
              </w:rPr>
            </w:pPr>
            <w:r>
              <w:rPr>
                <w:rFonts w:ascii="黑体" w:hAnsi="黑体" w:eastAsia="黑体" w:cs="黑体"/>
                <w:color w:val="auto"/>
                <w:spacing w:val="-3"/>
                <w:sz w:val="24"/>
                <w:szCs w:val="24"/>
              </w:rPr>
              <w:t>抽查时间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</w:trPr>
        <w:tc>
          <w:tcPr>
            <w:tcW w:w="135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联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2024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179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2024年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高邑县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联合抽查</w:t>
            </w:r>
          </w:p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联00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152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2024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年度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高邑县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第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二十八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次跨部门联合抽查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定向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不低于5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%</w:t>
            </w:r>
          </w:p>
        </w:tc>
        <w:tc>
          <w:tcPr>
            <w:tcW w:w="1544" w:type="dxa"/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乡镇：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无害化处理场所的监督检查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，种子生产经营企业监督检查，对林草种苗生产经营及林草种质资源的监管，对林地及林木资源的监管，对违反《河北省清真食品管理条例》的处罚，对餐饮具集中消毒服务单位的监督检查，对公共场所卫生的监督检查。</w:t>
            </w:r>
          </w:p>
          <w:p>
            <w:pP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市场监管部门：登记事项检查；公示信息检查。</w:t>
            </w:r>
          </w:p>
        </w:tc>
        <w:tc>
          <w:tcPr>
            <w:tcW w:w="158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农资企业、食品企业</w:t>
            </w:r>
          </w:p>
        </w:tc>
        <w:tc>
          <w:tcPr>
            <w:tcW w:w="118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高邑镇综合行政执法队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高邑县市场监督管理局</w:t>
            </w:r>
          </w:p>
        </w:tc>
        <w:tc>
          <w:tcPr>
            <w:tcW w:w="144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2024年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月至11月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</w:trPr>
        <w:tc>
          <w:tcPr>
            <w:tcW w:w="135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联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2024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179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2024年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高邑县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联合抽查</w:t>
            </w:r>
          </w:p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联00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152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2024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年度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高邑县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第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二十九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次跨部门联合抽查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定向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不低于10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%</w:t>
            </w:r>
          </w:p>
        </w:tc>
        <w:tc>
          <w:tcPr>
            <w:tcW w:w="1544" w:type="dxa"/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乡镇：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无害化处理场所的监督检查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，种子生产经营企业监督检查，对林草种苗生产经营及林草种质资源的监管，对林地及林木资源的监管，对违反《河北省清真食品管理条例》的处罚，对餐饮具集中消毒服务单位的监督检查，对公共场所卫生的监督检查。</w:t>
            </w:r>
          </w:p>
          <w:p>
            <w:pP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市场监管部门：登记事项检查；公示信息检查。</w:t>
            </w:r>
          </w:p>
        </w:tc>
        <w:tc>
          <w:tcPr>
            <w:tcW w:w="158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农资企业、食品企业</w:t>
            </w:r>
          </w:p>
        </w:tc>
        <w:tc>
          <w:tcPr>
            <w:tcW w:w="118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大营镇综合行政执法队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高邑县市场监督管理局</w:t>
            </w:r>
          </w:p>
        </w:tc>
        <w:tc>
          <w:tcPr>
            <w:tcW w:w="144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2024年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月至11月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</w:trPr>
        <w:tc>
          <w:tcPr>
            <w:tcW w:w="135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联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2024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179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2024年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高邑县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联合抽查</w:t>
            </w:r>
          </w:p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联00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152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2024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年度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高邑县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第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三十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次跨部门联合抽查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定向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不低于10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%</w:t>
            </w:r>
          </w:p>
        </w:tc>
        <w:tc>
          <w:tcPr>
            <w:tcW w:w="1544" w:type="dxa"/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乡镇：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无害化处理场所的监督检查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，种子生产经营企业监督检查，对林草种苗生产经营及林草种质资源的监管，对林地及林木资源的监管，对违反《河北省清真食品管理条例》的处罚，对餐饮具集中消毒服务单位的监督检查，对公共场所卫生的监督检查。</w:t>
            </w:r>
          </w:p>
          <w:p>
            <w:pP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市场监管部门：登记事项检查；公示信息检查。</w:t>
            </w:r>
          </w:p>
        </w:tc>
        <w:tc>
          <w:tcPr>
            <w:tcW w:w="158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农资企业、食品企业</w:t>
            </w:r>
          </w:p>
        </w:tc>
        <w:tc>
          <w:tcPr>
            <w:tcW w:w="118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万城镇综合行政执法队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高邑县市场监督管理局</w:t>
            </w:r>
          </w:p>
        </w:tc>
        <w:tc>
          <w:tcPr>
            <w:tcW w:w="144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2024年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月至11月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</w:trPr>
        <w:tc>
          <w:tcPr>
            <w:tcW w:w="135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联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2024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31</w:t>
            </w:r>
          </w:p>
        </w:tc>
        <w:tc>
          <w:tcPr>
            <w:tcW w:w="179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2024年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高邑县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联合抽查</w:t>
            </w:r>
          </w:p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31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联00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31</w:t>
            </w:r>
          </w:p>
        </w:tc>
        <w:tc>
          <w:tcPr>
            <w:tcW w:w="152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2024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年度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高邑县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第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三十一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次跨部门联合抽查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定向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不低于10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%</w:t>
            </w:r>
          </w:p>
        </w:tc>
        <w:tc>
          <w:tcPr>
            <w:tcW w:w="1544" w:type="dxa"/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乡镇：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无害化处理场所的监督检查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，种子生产经营企业监督检查，对林草种苗生产经营及林草种质资源的监管，对林地及林木资源的监管，对违反《河北省清真食品管理条例》的处罚，对餐饮具集中消毒服务单位的监督检查，对公共场所卫生的监督检查。</w:t>
            </w:r>
          </w:p>
          <w:p>
            <w:pP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市场监管部门：登记事项检查；公示信息检查。</w:t>
            </w:r>
          </w:p>
        </w:tc>
        <w:tc>
          <w:tcPr>
            <w:tcW w:w="158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农资企业、食品企业</w:t>
            </w:r>
          </w:p>
        </w:tc>
        <w:tc>
          <w:tcPr>
            <w:tcW w:w="118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/>
              </w:rPr>
              <w:t>中韩镇综合行政执法队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高邑县市场监督管理局</w:t>
            </w:r>
          </w:p>
        </w:tc>
        <w:tc>
          <w:tcPr>
            <w:tcW w:w="144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2024年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月至11月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atLeast"/>
        </w:trPr>
        <w:tc>
          <w:tcPr>
            <w:tcW w:w="1354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联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2024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179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2024年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高邑县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联合抽查</w:t>
            </w:r>
          </w:p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联00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152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2024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年度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高邑县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第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三十二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次跨部门联合抽查</w:t>
            </w:r>
          </w:p>
        </w:tc>
        <w:tc>
          <w:tcPr>
            <w:tcW w:w="82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napToGrid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定向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不低于10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%</w:t>
            </w:r>
          </w:p>
        </w:tc>
        <w:tc>
          <w:tcPr>
            <w:tcW w:w="1544" w:type="dxa"/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乡镇：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无害化处理场所的监督检查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eastAsia="zh-CN"/>
              </w:rPr>
              <w:t>，种子生产经营企业监督检查，对林草种苗生产经营及林草种质资源的监管，对林地及林木资源的监管，对违反《河北省清真食品管理条例》的处罚，对餐饮具集中消毒服务单位的监督检查，对公共场所卫生的监督检查。</w:t>
            </w:r>
          </w:p>
          <w:p>
            <w:pP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市场监管部门：登记事项检查；公示信息检查。</w:t>
            </w:r>
            <w:bookmarkStart w:id="0" w:name="_GoBack"/>
            <w:bookmarkEnd w:id="0"/>
          </w:p>
        </w:tc>
        <w:tc>
          <w:tcPr>
            <w:tcW w:w="158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农资企业、食品企业</w:t>
            </w:r>
          </w:p>
        </w:tc>
        <w:tc>
          <w:tcPr>
            <w:tcW w:w="118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4"/>
                <w:szCs w:val="24"/>
                <w:lang w:val="en-US" w:eastAsia="zh-CN"/>
              </w:rPr>
              <w:t>富村镇综合行政执法队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 w:val="22"/>
                <w:szCs w:val="22"/>
                <w:lang w:val="en-US" w:eastAsia="zh-CN" w:bidi="ar-SA"/>
              </w:rPr>
              <w:t>高邑县市场监督管理局</w:t>
            </w:r>
          </w:p>
        </w:tc>
        <w:tc>
          <w:tcPr>
            <w:tcW w:w="1447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2024年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月至11月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UxYmJhYzM5YTk3NjZkN2FjYzc1NzcyYjY5OTMwMjMifQ=="/>
  </w:docVars>
  <w:rsids>
    <w:rsidRoot w:val="6CBE7C10"/>
    <w:rsid w:val="6CBE7C10"/>
    <w:rsid w:val="7CA70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974</Words>
  <Characters>1091</Characters>
  <Lines>0</Lines>
  <Paragraphs>0</Paragraphs>
  <TotalTime>3</TotalTime>
  <ScaleCrop>false</ScaleCrop>
  <LinksUpToDate>false</LinksUpToDate>
  <CharactersWithSpaces>1096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2024-07-08T06:22:00Z</dcterms:created>
  <dc:creator>完美风暴</dc:creator>
  <cp:lastModifiedBy>完美风暴</cp:lastModifiedBy>
  <dcterms:modified xsi:type="dcterms:W3CDTF">2024-07-11T01:58:46Z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FFD11960672245B7AA4209CAC67C1B46_11</vt:lpwstr>
  </property>
</Properties>
</file>