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937D61">
      <w:pPr>
        <w:pStyle w:val="2"/>
        <w:widowControl/>
        <w:spacing w:beforeLines="0" w:afterLines="0"/>
        <w:jc w:val="center"/>
        <w:rPr>
          <w:rFonts w:hint="default"/>
          <w:sz w:val="24"/>
          <w:szCs w:val="24"/>
        </w:rPr>
      </w:pPr>
      <w:bookmarkStart w:id="0" w:name="_GoBack"/>
      <w:r>
        <w:rPr>
          <w:rFonts w:hint="eastAsia"/>
          <w:b/>
          <w:sz w:val="24"/>
          <w:szCs w:val="24"/>
        </w:rPr>
        <w:t>关于延续实施全国中小企业股份转让系统挂牌公司股息红利差别化个人所得税政策的公告 </w:t>
      </w:r>
      <w:r>
        <w:rPr>
          <w:rFonts w:hint="default"/>
          <w:sz w:val="24"/>
          <w:szCs w:val="24"/>
        </w:rPr>
        <w:t> </w:t>
      </w:r>
    </w:p>
    <w:bookmarkEnd w:id="0"/>
    <w:p w14:paraId="18994A6F">
      <w:pPr>
        <w:pStyle w:val="2"/>
        <w:widowControl/>
        <w:spacing w:beforeLines="0" w:afterLines="0"/>
        <w:jc w:val="both"/>
        <w:rPr>
          <w:rFonts w:hint="default"/>
          <w:sz w:val="24"/>
          <w:szCs w:val="24"/>
        </w:rPr>
      </w:pPr>
      <w:r>
        <w:rPr>
          <w:rFonts w:hint="eastAsia"/>
          <w:sz w:val="24"/>
          <w:szCs w:val="24"/>
        </w:rPr>
        <w:t>　　为促进资本市场平稳健康发展，支持中小微企业成长，现就继续实施全国中小企业股份转让系统挂牌公司（以下简称挂牌公司）股息红利差别化个人所得税政策公告如下： </w:t>
      </w:r>
    </w:p>
    <w:p w14:paraId="6BCB6CA4">
      <w:pPr>
        <w:pStyle w:val="2"/>
        <w:widowControl/>
        <w:spacing w:beforeLines="0" w:afterLines="0"/>
        <w:jc w:val="both"/>
        <w:rPr>
          <w:rFonts w:hint="default"/>
          <w:sz w:val="24"/>
          <w:szCs w:val="24"/>
        </w:rPr>
      </w:pPr>
      <w:r>
        <w:rPr>
          <w:rFonts w:hint="eastAsia"/>
          <w:sz w:val="24"/>
          <w:szCs w:val="24"/>
        </w:rPr>
        <w:t>　　一、个人持有挂牌公司的股票，持股期限超过1年的，对股息红利所得暂免征收个人所得税。  </w:t>
      </w:r>
    </w:p>
    <w:p w14:paraId="51A195C6">
      <w:pPr>
        <w:pStyle w:val="2"/>
        <w:widowControl/>
        <w:spacing w:beforeLines="0" w:afterLines="0"/>
        <w:jc w:val="both"/>
        <w:rPr>
          <w:rFonts w:hint="default"/>
          <w:sz w:val="24"/>
          <w:szCs w:val="24"/>
        </w:rPr>
      </w:pPr>
      <w:r>
        <w:rPr>
          <w:rFonts w:hint="eastAsia"/>
          <w:sz w:val="24"/>
          <w:szCs w:val="24"/>
        </w:rPr>
        <w:t>　　个人持有挂牌公司的股票，持股期限在1个月以内（含1个月）的，其股息红利所得全额计入应纳税所得额；持股期限在1个月以上至1年（含1年）的，其股息红利所得暂减按50%计入应纳税所得额；上述所得统一适用20%的税率计征个人所得税。  </w:t>
      </w:r>
    </w:p>
    <w:p w14:paraId="30C224B2">
      <w:pPr>
        <w:pStyle w:val="2"/>
        <w:widowControl/>
        <w:spacing w:beforeLines="0" w:afterLines="0"/>
        <w:jc w:val="both"/>
        <w:rPr>
          <w:rFonts w:hint="default"/>
          <w:sz w:val="24"/>
          <w:szCs w:val="24"/>
        </w:rPr>
      </w:pPr>
      <w:r>
        <w:rPr>
          <w:rFonts w:hint="eastAsia"/>
          <w:sz w:val="24"/>
          <w:szCs w:val="24"/>
        </w:rPr>
        <w:t>　　本公告所称挂牌公司是指股票在全国中小企业股份转让系统公开转让的非上市公众公司；持股期限是指个人取得挂牌公司股票之日至转让交割该股票之日前一日的持有时间。  </w:t>
      </w:r>
    </w:p>
    <w:p w14:paraId="46D72C0E">
      <w:pPr>
        <w:pStyle w:val="2"/>
        <w:widowControl/>
        <w:spacing w:beforeLines="0" w:afterLines="0"/>
        <w:jc w:val="both"/>
        <w:rPr>
          <w:rFonts w:hint="default"/>
          <w:sz w:val="24"/>
          <w:szCs w:val="24"/>
        </w:rPr>
      </w:pPr>
      <w:r>
        <w:rPr>
          <w:rFonts w:hint="eastAsia"/>
          <w:sz w:val="24"/>
          <w:szCs w:val="24"/>
        </w:rPr>
        <w:t>　　二、挂牌公司派发股息红利时，对截至股权登记日个人持股1年以内（含1年）且尚未转让的，挂牌公司暂不扣缴个人所得税；待个人转让股票时，证券登记结算公司根据其持股期限计算应纳税额，由证券公司等股票托管机构从个人资金账户中扣收并划付证券登记结算公司，证券登记结算公司应于次月5个工作日内划付挂牌公司，挂牌公司在收到税款当月的法定申报期内向主管税务机关申报缴纳，并应办理全员全额扣缴申报。  </w:t>
      </w:r>
    </w:p>
    <w:p w14:paraId="25EDB0F6">
      <w:pPr>
        <w:pStyle w:val="2"/>
        <w:widowControl/>
        <w:spacing w:beforeLines="0" w:afterLines="0"/>
        <w:jc w:val="both"/>
        <w:rPr>
          <w:rFonts w:hint="default"/>
          <w:sz w:val="24"/>
          <w:szCs w:val="24"/>
        </w:rPr>
      </w:pPr>
      <w:r>
        <w:rPr>
          <w:rFonts w:hint="eastAsia"/>
          <w:sz w:val="24"/>
          <w:szCs w:val="24"/>
        </w:rPr>
        <w:t>　　个人应在资金账户留足资金，依法履行纳税义务。证券公司等股票托管机构应依法划扣税款，对个人资金账户暂无资金或资金不足的，证券公司等股票托管机构应当及时通知个人补足资金，并划扣税款。  </w:t>
      </w:r>
    </w:p>
    <w:p w14:paraId="507D1ED4">
      <w:pPr>
        <w:pStyle w:val="2"/>
        <w:widowControl/>
        <w:spacing w:beforeLines="0" w:afterLines="0"/>
        <w:jc w:val="both"/>
        <w:rPr>
          <w:rFonts w:hint="default"/>
          <w:sz w:val="24"/>
          <w:szCs w:val="24"/>
        </w:rPr>
      </w:pPr>
      <w:r>
        <w:rPr>
          <w:rFonts w:hint="eastAsia"/>
          <w:sz w:val="24"/>
          <w:szCs w:val="24"/>
        </w:rPr>
        <w:t>　　三、个人转让股票时，按照先进先出的原则计算持股期限，即证券账户中先取得的股票视为先转让。  </w:t>
      </w:r>
    </w:p>
    <w:p w14:paraId="547E31CD">
      <w:pPr>
        <w:pStyle w:val="2"/>
        <w:widowControl/>
        <w:spacing w:beforeLines="0" w:afterLines="0"/>
        <w:jc w:val="both"/>
        <w:rPr>
          <w:rFonts w:hint="default"/>
          <w:sz w:val="24"/>
          <w:szCs w:val="24"/>
        </w:rPr>
      </w:pPr>
      <w:r>
        <w:rPr>
          <w:rFonts w:hint="eastAsia"/>
          <w:sz w:val="24"/>
          <w:szCs w:val="24"/>
        </w:rPr>
        <w:t>　　应纳税所得额以个人投资者证券账户为单位计算，持股数量以每日日终结算后个人投资者证券账户的持有记录为准，证券账户取得或转让的股票数为每日日终结算后的净增（减）股票数。  </w:t>
      </w:r>
    </w:p>
    <w:p w14:paraId="3B41411F">
      <w:pPr>
        <w:pStyle w:val="2"/>
        <w:widowControl/>
        <w:spacing w:beforeLines="0" w:afterLines="0"/>
        <w:jc w:val="both"/>
        <w:rPr>
          <w:rFonts w:hint="default"/>
          <w:sz w:val="24"/>
          <w:szCs w:val="24"/>
        </w:rPr>
      </w:pPr>
      <w:r>
        <w:rPr>
          <w:rFonts w:hint="eastAsia"/>
          <w:sz w:val="24"/>
          <w:szCs w:val="24"/>
        </w:rPr>
        <w:t>　　四、对证券投资基金从挂牌公司取得的股息红利所得，按照本公告规定计征个人所得税。  </w:t>
      </w:r>
    </w:p>
    <w:p w14:paraId="6A428F79">
      <w:pPr>
        <w:pStyle w:val="2"/>
        <w:widowControl/>
        <w:spacing w:beforeLines="0" w:afterLines="0"/>
        <w:jc w:val="both"/>
        <w:rPr>
          <w:rFonts w:hint="default"/>
          <w:sz w:val="24"/>
          <w:szCs w:val="24"/>
        </w:rPr>
      </w:pPr>
      <w:r>
        <w:rPr>
          <w:rFonts w:hint="eastAsia"/>
          <w:sz w:val="24"/>
          <w:szCs w:val="24"/>
        </w:rPr>
        <w:t>　　五、本公告所称个人持有挂牌公司的股票包括：  </w:t>
      </w:r>
    </w:p>
    <w:p w14:paraId="478F40FE">
      <w:pPr>
        <w:pStyle w:val="2"/>
        <w:widowControl/>
        <w:spacing w:beforeLines="0" w:afterLines="0"/>
        <w:jc w:val="both"/>
        <w:rPr>
          <w:rFonts w:hint="default"/>
          <w:sz w:val="24"/>
          <w:szCs w:val="24"/>
        </w:rPr>
      </w:pPr>
      <w:r>
        <w:rPr>
          <w:rFonts w:hint="eastAsia"/>
          <w:sz w:val="24"/>
          <w:szCs w:val="24"/>
        </w:rPr>
        <w:t>　　（一）在全国中小企业股份转让系统挂牌前取得的股票；  </w:t>
      </w:r>
    </w:p>
    <w:p w14:paraId="0DA44C91">
      <w:pPr>
        <w:pStyle w:val="2"/>
        <w:widowControl/>
        <w:spacing w:beforeLines="0" w:afterLines="0"/>
        <w:jc w:val="both"/>
        <w:rPr>
          <w:rFonts w:hint="default"/>
          <w:sz w:val="24"/>
          <w:szCs w:val="24"/>
        </w:rPr>
      </w:pPr>
      <w:r>
        <w:rPr>
          <w:rFonts w:hint="eastAsia"/>
          <w:sz w:val="24"/>
          <w:szCs w:val="24"/>
        </w:rPr>
        <w:t>　　（二）通过全国中小企业股份转让系统转让取得的股票；  </w:t>
      </w:r>
    </w:p>
    <w:p w14:paraId="7BDBF79C">
      <w:pPr>
        <w:pStyle w:val="2"/>
        <w:widowControl/>
        <w:spacing w:beforeLines="0" w:afterLines="0"/>
        <w:jc w:val="both"/>
        <w:rPr>
          <w:rFonts w:hint="default"/>
          <w:sz w:val="24"/>
          <w:szCs w:val="24"/>
        </w:rPr>
      </w:pPr>
      <w:r>
        <w:rPr>
          <w:rFonts w:hint="eastAsia"/>
          <w:sz w:val="24"/>
          <w:szCs w:val="24"/>
        </w:rPr>
        <w:t>　　（三）因司法扣划取得的股票；  </w:t>
      </w:r>
    </w:p>
    <w:p w14:paraId="228A2CCF">
      <w:pPr>
        <w:pStyle w:val="2"/>
        <w:widowControl/>
        <w:spacing w:beforeLines="0" w:afterLines="0"/>
        <w:jc w:val="both"/>
        <w:rPr>
          <w:rFonts w:hint="default"/>
          <w:sz w:val="24"/>
          <w:szCs w:val="24"/>
        </w:rPr>
      </w:pPr>
      <w:r>
        <w:rPr>
          <w:rFonts w:hint="eastAsia"/>
          <w:sz w:val="24"/>
          <w:szCs w:val="24"/>
        </w:rPr>
        <w:t>　　（四）因依法继承或家庭财产分割取得的股票；  </w:t>
      </w:r>
    </w:p>
    <w:p w14:paraId="4A30D706">
      <w:pPr>
        <w:pStyle w:val="2"/>
        <w:widowControl/>
        <w:spacing w:beforeLines="0" w:afterLines="0"/>
        <w:jc w:val="both"/>
        <w:rPr>
          <w:rFonts w:hint="default"/>
          <w:sz w:val="24"/>
          <w:szCs w:val="24"/>
        </w:rPr>
      </w:pPr>
      <w:r>
        <w:rPr>
          <w:rFonts w:hint="eastAsia"/>
          <w:sz w:val="24"/>
          <w:szCs w:val="24"/>
        </w:rPr>
        <w:t>　　（五）通过收购取得的股票；  </w:t>
      </w:r>
    </w:p>
    <w:p w14:paraId="285AB353">
      <w:pPr>
        <w:pStyle w:val="2"/>
        <w:widowControl/>
        <w:spacing w:beforeLines="0" w:afterLines="0"/>
        <w:jc w:val="both"/>
        <w:rPr>
          <w:rFonts w:hint="default"/>
          <w:sz w:val="24"/>
          <w:szCs w:val="24"/>
        </w:rPr>
      </w:pPr>
      <w:r>
        <w:rPr>
          <w:rFonts w:hint="eastAsia"/>
          <w:sz w:val="24"/>
          <w:szCs w:val="24"/>
        </w:rPr>
        <w:t>　　（六）权证行权取得的股票；  </w:t>
      </w:r>
    </w:p>
    <w:p w14:paraId="03B7F623">
      <w:pPr>
        <w:pStyle w:val="2"/>
        <w:widowControl/>
        <w:spacing w:beforeLines="0" w:afterLines="0"/>
        <w:jc w:val="both"/>
        <w:rPr>
          <w:rFonts w:hint="default"/>
          <w:sz w:val="24"/>
          <w:szCs w:val="24"/>
        </w:rPr>
      </w:pPr>
      <w:r>
        <w:rPr>
          <w:rFonts w:hint="eastAsia"/>
          <w:sz w:val="24"/>
          <w:szCs w:val="24"/>
        </w:rPr>
        <w:t>　　（七）使用附认股权、可转换成股份条款的公司债券认购或者转换的股票；  </w:t>
      </w:r>
    </w:p>
    <w:p w14:paraId="7CA31AE1">
      <w:pPr>
        <w:pStyle w:val="2"/>
        <w:widowControl/>
        <w:spacing w:beforeLines="0" w:afterLines="0"/>
        <w:jc w:val="both"/>
        <w:rPr>
          <w:rFonts w:hint="default"/>
          <w:sz w:val="24"/>
          <w:szCs w:val="24"/>
        </w:rPr>
      </w:pPr>
      <w:r>
        <w:rPr>
          <w:rFonts w:hint="eastAsia"/>
          <w:sz w:val="24"/>
          <w:szCs w:val="24"/>
        </w:rPr>
        <w:t>　　（八）取得发行的股票、配股、股票股利及公积金转增股本；  </w:t>
      </w:r>
    </w:p>
    <w:p w14:paraId="1D315551">
      <w:pPr>
        <w:pStyle w:val="2"/>
        <w:widowControl/>
        <w:spacing w:beforeLines="0" w:afterLines="0"/>
        <w:jc w:val="both"/>
        <w:rPr>
          <w:rFonts w:hint="default"/>
          <w:sz w:val="24"/>
          <w:szCs w:val="24"/>
        </w:rPr>
      </w:pPr>
      <w:r>
        <w:rPr>
          <w:rFonts w:hint="eastAsia"/>
          <w:sz w:val="24"/>
          <w:szCs w:val="24"/>
        </w:rPr>
        <w:t>　　（九）挂牌公司合并，个人持有的被合并公司股票转换的合并后公司股票；  </w:t>
      </w:r>
    </w:p>
    <w:p w14:paraId="22E8AB54">
      <w:pPr>
        <w:pStyle w:val="2"/>
        <w:widowControl/>
        <w:spacing w:beforeLines="0" w:afterLines="0"/>
        <w:jc w:val="both"/>
        <w:rPr>
          <w:rFonts w:hint="default"/>
          <w:sz w:val="24"/>
          <w:szCs w:val="24"/>
        </w:rPr>
      </w:pPr>
      <w:r>
        <w:rPr>
          <w:rFonts w:hint="eastAsia"/>
          <w:sz w:val="24"/>
          <w:szCs w:val="24"/>
        </w:rPr>
        <w:t>　　（十）挂牌公司分立，个人持有的被分立公司股票转换的分立后公司股票；  </w:t>
      </w:r>
    </w:p>
    <w:p w14:paraId="02F0F6DF">
      <w:pPr>
        <w:pStyle w:val="2"/>
        <w:widowControl/>
        <w:spacing w:beforeLines="0" w:afterLines="0"/>
        <w:jc w:val="both"/>
        <w:rPr>
          <w:rFonts w:hint="default"/>
          <w:sz w:val="24"/>
          <w:szCs w:val="24"/>
        </w:rPr>
      </w:pPr>
      <w:r>
        <w:rPr>
          <w:rFonts w:hint="eastAsia"/>
          <w:sz w:val="24"/>
          <w:szCs w:val="24"/>
        </w:rPr>
        <w:t>　　（十一）其他从全国中小企业股份转让系统取得的股票。  </w:t>
      </w:r>
    </w:p>
    <w:p w14:paraId="18DB68BF">
      <w:pPr>
        <w:pStyle w:val="2"/>
        <w:widowControl/>
        <w:spacing w:beforeLines="0" w:afterLines="0"/>
        <w:jc w:val="both"/>
        <w:rPr>
          <w:rFonts w:hint="default"/>
          <w:sz w:val="24"/>
          <w:szCs w:val="24"/>
        </w:rPr>
      </w:pPr>
      <w:r>
        <w:rPr>
          <w:rFonts w:hint="eastAsia"/>
          <w:sz w:val="24"/>
          <w:szCs w:val="24"/>
        </w:rPr>
        <w:t>　　六、本公告所称转让股票包括下列情形：  </w:t>
      </w:r>
    </w:p>
    <w:p w14:paraId="756E4D0A">
      <w:pPr>
        <w:pStyle w:val="2"/>
        <w:widowControl/>
        <w:spacing w:beforeLines="0" w:afterLines="0"/>
        <w:jc w:val="both"/>
        <w:rPr>
          <w:rFonts w:hint="default"/>
          <w:sz w:val="24"/>
          <w:szCs w:val="24"/>
        </w:rPr>
      </w:pPr>
      <w:r>
        <w:rPr>
          <w:rFonts w:hint="eastAsia"/>
          <w:sz w:val="24"/>
          <w:szCs w:val="24"/>
        </w:rPr>
        <w:t>　　（一）通过全国中小企业股份转让系统转让股票；  </w:t>
      </w:r>
    </w:p>
    <w:p w14:paraId="715FA2D3">
      <w:pPr>
        <w:pStyle w:val="2"/>
        <w:widowControl/>
        <w:spacing w:beforeLines="0" w:afterLines="0"/>
        <w:jc w:val="both"/>
        <w:rPr>
          <w:rFonts w:hint="default"/>
          <w:sz w:val="24"/>
          <w:szCs w:val="24"/>
        </w:rPr>
      </w:pPr>
      <w:r>
        <w:rPr>
          <w:rFonts w:hint="eastAsia"/>
          <w:sz w:val="24"/>
          <w:szCs w:val="24"/>
        </w:rPr>
        <w:t>　　（二）持有的股票被司法扣划；  </w:t>
      </w:r>
    </w:p>
    <w:p w14:paraId="75C9F37B">
      <w:pPr>
        <w:pStyle w:val="2"/>
        <w:widowControl/>
        <w:spacing w:beforeLines="0" w:afterLines="0"/>
        <w:jc w:val="both"/>
        <w:rPr>
          <w:rFonts w:hint="default"/>
          <w:sz w:val="24"/>
          <w:szCs w:val="24"/>
        </w:rPr>
      </w:pPr>
      <w:r>
        <w:rPr>
          <w:rFonts w:hint="eastAsia"/>
          <w:sz w:val="24"/>
          <w:szCs w:val="24"/>
        </w:rPr>
        <w:t>　　　　（三）因依法继承、捐赠或家庭财产分割让渡股票所有权；      </w:t>
      </w:r>
    </w:p>
    <w:p w14:paraId="5C354883">
      <w:pPr>
        <w:pStyle w:val="2"/>
        <w:widowControl/>
        <w:spacing w:beforeLines="0" w:afterLines="0"/>
        <w:jc w:val="both"/>
        <w:rPr>
          <w:rFonts w:hint="default"/>
          <w:sz w:val="24"/>
          <w:szCs w:val="24"/>
        </w:rPr>
      </w:pPr>
      <w:r>
        <w:rPr>
          <w:rFonts w:hint="eastAsia"/>
          <w:sz w:val="24"/>
          <w:szCs w:val="24"/>
        </w:rPr>
        <w:t>　　（四）用股票接受要约收购；  </w:t>
      </w:r>
    </w:p>
    <w:p w14:paraId="66BB3A6B">
      <w:pPr>
        <w:pStyle w:val="2"/>
        <w:widowControl/>
        <w:spacing w:beforeLines="0" w:afterLines="0"/>
        <w:jc w:val="both"/>
        <w:rPr>
          <w:rFonts w:hint="default"/>
          <w:sz w:val="24"/>
          <w:szCs w:val="24"/>
        </w:rPr>
      </w:pPr>
      <w:r>
        <w:rPr>
          <w:rFonts w:hint="eastAsia"/>
          <w:sz w:val="24"/>
          <w:szCs w:val="24"/>
        </w:rPr>
        <w:t>　　（五）行使现金选择权将股票转让给提供现金选择权的第三方；  </w:t>
      </w:r>
    </w:p>
    <w:p w14:paraId="15E50D32">
      <w:pPr>
        <w:pStyle w:val="2"/>
        <w:widowControl/>
        <w:spacing w:beforeLines="0" w:afterLines="0"/>
        <w:jc w:val="both"/>
        <w:rPr>
          <w:rFonts w:hint="default"/>
          <w:sz w:val="24"/>
          <w:szCs w:val="24"/>
        </w:rPr>
      </w:pPr>
      <w:r>
        <w:rPr>
          <w:rFonts w:hint="eastAsia"/>
          <w:sz w:val="24"/>
          <w:szCs w:val="24"/>
        </w:rPr>
        <w:t>　　（六）用股票认购或申购交易型开放式指数基金（ETF）份额；  </w:t>
      </w:r>
    </w:p>
    <w:p w14:paraId="270E2728">
      <w:pPr>
        <w:pStyle w:val="2"/>
        <w:widowControl/>
        <w:spacing w:beforeLines="0" w:afterLines="0"/>
        <w:jc w:val="both"/>
        <w:rPr>
          <w:rFonts w:hint="default"/>
          <w:sz w:val="24"/>
          <w:szCs w:val="24"/>
        </w:rPr>
      </w:pPr>
      <w:r>
        <w:rPr>
          <w:rFonts w:hint="eastAsia"/>
          <w:sz w:val="24"/>
          <w:szCs w:val="24"/>
        </w:rPr>
        <w:t>　　（七）其他具有转让实质的情形。  </w:t>
      </w:r>
    </w:p>
    <w:p w14:paraId="65F50E98">
      <w:pPr>
        <w:pStyle w:val="2"/>
        <w:widowControl/>
        <w:spacing w:beforeLines="0" w:afterLines="0"/>
        <w:jc w:val="both"/>
        <w:rPr>
          <w:rFonts w:hint="default"/>
          <w:sz w:val="24"/>
          <w:szCs w:val="24"/>
        </w:rPr>
      </w:pPr>
      <w:r>
        <w:rPr>
          <w:rFonts w:hint="eastAsia"/>
          <w:sz w:val="24"/>
          <w:szCs w:val="24"/>
        </w:rPr>
        <w:t>　　七、对个人和证券投资基金从全国中小企业股份转让系统挂牌的原STAQ、NET系统挂牌公司（以下统称两网公司）以及全国中小企业股份转让系统挂牌的退市公司取得的股息红利所得，按照本公告规定计征个人所得税，但退市公司的限售股按照《财政部 国家税务总局 证监会关于实施上市公司股息红利差别化个人所得税政策有关问题的通知》（财税〔2012〕85号）第四条规定执行。  </w:t>
      </w:r>
    </w:p>
    <w:p w14:paraId="14D47630">
      <w:pPr>
        <w:pStyle w:val="2"/>
        <w:widowControl/>
        <w:spacing w:beforeLines="0" w:afterLines="0"/>
        <w:jc w:val="both"/>
        <w:rPr>
          <w:rFonts w:hint="default"/>
          <w:sz w:val="24"/>
          <w:szCs w:val="24"/>
        </w:rPr>
      </w:pPr>
      <w:r>
        <w:rPr>
          <w:rFonts w:hint="eastAsia"/>
          <w:sz w:val="24"/>
          <w:szCs w:val="24"/>
        </w:rPr>
        <w:t>　　八、本公告所称年（月）是指自然年（月），即持股一年是指从上一年某月某日至本年同月同日的前一日连续持股，持股一个月是指从上月某日至本月同日的前一日连续持股。  </w:t>
      </w:r>
    </w:p>
    <w:p w14:paraId="6B950F96">
      <w:pPr>
        <w:pStyle w:val="2"/>
        <w:widowControl/>
        <w:spacing w:beforeLines="0" w:afterLines="0"/>
        <w:jc w:val="both"/>
        <w:rPr>
          <w:rFonts w:hint="default"/>
          <w:sz w:val="24"/>
          <w:szCs w:val="24"/>
        </w:rPr>
      </w:pPr>
      <w:r>
        <w:rPr>
          <w:rFonts w:hint="eastAsia"/>
          <w:sz w:val="24"/>
          <w:szCs w:val="24"/>
        </w:rPr>
        <w:t>　　九、财政、税务、证监等部门要加强协调、通力合作，切实做好政策实施的各项工作。  </w:t>
      </w:r>
    </w:p>
    <w:p w14:paraId="1FE48DAF">
      <w:pPr>
        <w:pStyle w:val="2"/>
        <w:widowControl/>
        <w:spacing w:beforeLines="0" w:afterLines="0"/>
        <w:jc w:val="both"/>
        <w:rPr>
          <w:rFonts w:hint="default"/>
          <w:sz w:val="24"/>
          <w:szCs w:val="24"/>
        </w:rPr>
      </w:pPr>
      <w:r>
        <w:rPr>
          <w:rFonts w:hint="eastAsia"/>
          <w:sz w:val="24"/>
          <w:szCs w:val="24"/>
        </w:rPr>
        <w:t>　　挂牌公司、两网公司、退市公司，证券登记结算公司以及证券公司等股票托管机构应积极配合税务机关做好股息红利个人所得税征收管理工作。  </w:t>
      </w:r>
    </w:p>
    <w:p w14:paraId="7C0BB561">
      <w:pPr>
        <w:pStyle w:val="2"/>
        <w:widowControl/>
        <w:spacing w:beforeLines="0" w:afterLines="0"/>
        <w:jc w:val="both"/>
        <w:rPr>
          <w:rFonts w:hint="default"/>
          <w:sz w:val="24"/>
          <w:szCs w:val="24"/>
        </w:rPr>
      </w:pPr>
      <w:r>
        <w:rPr>
          <w:rFonts w:hint="eastAsia"/>
          <w:sz w:val="24"/>
          <w:szCs w:val="24"/>
        </w:rPr>
        <w:t>　　十、本公告自2024年7月1日起至2027年12月31日执行，挂牌公司、两网公司、退市公司派发股息红利，股权登记日在2024年7月1日起至2027年12月31日的，股息红利所得按照本公告的规定执行。本公告实施之日个人投资者证券账户已持有的挂牌公司、两网公司、退市公司股票，其持股时间自取得之日起计算。  </w:t>
      </w:r>
    </w:p>
    <w:p w14:paraId="67A48692">
      <w:pPr>
        <w:pStyle w:val="2"/>
        <w:widowControl/>
        <w:spacing w:beforeLines="0" w:afterLines="0"/>
        <w:jc w:val="both"/>
        <w:rPr>
          <w:rFonts w:hint="default"/>
          <w:sz w:val="24"/>
          <w:szCs w:val="24"/>
        </w:rPr>
      </w:pPr>
      <w:r>
        <w:rPr>
          <w:rFonts w:hint="eastAsia"/>
          <w:sz w:val="24"/>
          <w:szCs w:val="24"/>
        </w:rPr>
        <w:t>　　特此公告。  </w:t>
      </w:r>
    </w:p>
    <w:p w14:paraId="2D5AC9F4">
      <w:pPr>
        <w:pStyle w:val="2"/>
        <w:widowControl/>
        <w:spacing w:beforeLines="0" w:afterLines="0"/>
        <w:jc w:val="both"/>
        <w:rPr>
          <w:rFonts w:hint="default"/>
          <w:sz w:val="24"/>
          <w:szCs w:val="24"/>
        </w:rPr>
      </w:pPr>
      <w:r>
        <w:rPr>
          <w:rFonts w:hint="eastAsia"/>
          <w:sz w:val="24"/>
          <w:szCs w:val="24"/>
        </w:rPr>
        <w:t>　　  </w:t>
      </w:r>
    </w:p>
    <w:p w14:paraId="2F2928BD">
      <w:pPr>
        <w:pStyle w:val="2"/>
        <w:widowControl/>
        <w:spacing w:beforeLines="0" w:afterLines="0"/>
        <w:jc w:val="right"/>
        <w:rPr>
          <w:rFonts w:hint="default"/>
          <w:sz w:val="24"/>
          <w:szCs w:val="24"/>
        </w:rPr>
      </w:pPr>
      <w:r>
        <w:rPr>
          <w:rFonts w:hint="eastAsia"/>
          <w:sz w:val="24"/>
          <w:szCs w:val="24"/>
        </w:rPr>
        <w:t>　　财政部 税务总局  </w:t>
      </w:r>
    </w:p>
    <w:p w14:paraId="79614076">
      <w:pPr>
        <w:pStyle w:val="2"/>
        <w:widowControl/>
        <w:spacing w:beforeLines="0" w:afterLines="0"/>
        <w:jc w:val="right"/>
        <w:rPr>
          <w:rFonts w:hint="default"/>
          <w:sz w:val="24"/>
          <w:szCs w:val="24"/>
        </w:rPr>
      </w:pPr>
      <w:r>
        <w:rPr>
          <w:rFonts w:hint="eastAsia"/>
          <w:sz w:val="24"/>
          <w:szCs w:val="24"/>
        </w:rPr>
        <w:t>　　2024年6月28日 </w:t>
      </w:r>
    </w:p>
    <w:p w14:paraId="47B43678">
      <w:pPr>
        <w:spacing w:beforeLines="0" w:afterLines="0"/>
        <w:rPr>
          <w:rFonts w:hint="default"/>
          <w:sz w:val="21"/>
          <w:szCs w:val="24"/>
        </w:rPr>
      </w:pPr>
    </w:p>
    <w:p w14:paraId="1C0A2961"/>
    <w:sectPr>
      <w:pgSz w:w="11906" w:h="16838"/>
      <w:pgMar w:top="1440" w:right="1800" w:bottom="1440" w:left="1800" w:header="851" w:footer="992"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NWNlOTczZWViMjAxNDdkZWViMDZhMzA3MTM4MjIifQ=="/>
  </w:docVars>
  <w:rsids>
    <w:rsidRoot w:val="00000000"/>
    <w:rsid w:val="7C4A48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spacing w:beforeLines="0" w:afterLines="0"/>
      <w:jc w:val="both"/>
    </w:pPr>
    <w:rPr>
      <w:rFonts w:hint="default"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pPr>
      <w:spacing w:before="100" w:beforeLines="0" w:beforeAutospacing="1" w:after="100" w:afterLines="0" w:afterAutospacing="1"/>
      <w:jc w:val="left"/>
    </w:pPr>
    <w:rPr>
      <w:rFonts w:hint="default"/>
      <w:kern w:val="0"/>
      <w:sz w:val="24"/>
      <w:szCs w:val="24"/>
      <w:lang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2024-07-15T07:45:00Z</dcterms:created>
  <dc:creator>002</dc:creator>
  <cp:lastModifiedBy>呀拉索</cp:lastModifiedBy>
  <dcterms:modified xsi:type="dcterms:W3CDTF">2024-07-15T07:45:11Z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E301C747365447A1BDEF36C19A281C39_12</vt:lpwstr>
  </property>
</Properties>
</file>