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高  邑  县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年国民经济和社会发展统计公报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2023年是全面贯彻党的二十大精神的开局之年，这一年，在县委、县政府的坚强领导下，全县上下坚持以习近平新时代中国特色社会主义思想为指导，全面贯彻党的二十大和二十届二中全会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精神，坚决落实习近平总书记在视察河北、视察石家庄时的重要讲话精神，坚持稳中求进工作总基调，完整、准确、全面贯彻新发展理念，统筹稳增长、调结构、惠民生、防污染等各项工作，经济发展稳中向好，民生福祉稳步提升，生态环境明显改善，高质量发展迈出坚实步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一、综合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初步核算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，2023年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县生产总值100.8亿元，同比增长8.5%。其中，第一产业增加值25.5亿元，同比增长8.9%；第二产业增加值27.7亿元，同比增长7.2%；第三产业增加值47.5亿元，同比增长9%。第一产业对经济增长的贡献率为24.3%，第二产业贡献率为22.4%，第三产业贡献率为53.3%。三次产业结构比为25.3:27.5:47.2。全年人均生产总值56618元，同比增长8.3%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全年全县民营经济增加值63.6亿元，同比增长7.8%。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年末全县常住总人口178086人，比上年末增加290人。其中，城镇常住人口103608人，比上年末增加2000人；占总人口比重（常住人口城镇化率）为58.2%，比上年末提高1个百分点。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全年全县城镇新增就业2124人，失业人员再就业690人，困难人员实现再就业260人。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二、农业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全年粮食播种面积36.3万亩，同比增长0.1%；粮食总产量17.2万吨，同比增长1.4%。其中，夏粮面积17.2万亩，增长0.1%；总产量84750吨，同比增长0.8%。秋粮面积19.1万亩，同比增长0.1%；总产量87341吨，增长2%。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蔬菜播种总面积为6385.2公顷，同比增长3.5%；蔬菜总产量513960.9吨，同比增长8.8%。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园林水果总产量4665吨，同比增长16%。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县肉类（猪牛羊家禽）产量11404.7吨，同比增长17.2%。其中：猪肉产量8912吨，同比增长26%；牛肉产量437吨，同比增长22%；羊肉产量223吨，同比增长1.5%；禽肉产量1831吨，同比下降12%；禽蛋产量12789吨，与去年产量基本持平；牛奶产量5286吨，同比增长6.4%。年末生猪出栏127319头，同比增长19.9%；牛出栏2312头，同比增长3.7%；羊出栏17615头，同比增长0.3%；家禽出栏150.4万只，同比增长5.7%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三、工业和建筑业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全年全县规模以上工业增加值同比增长8.6%。从门类看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陶瓷制品制造类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增加值同比增长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78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%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，占规上工业增加值的比重为42.8%；基础化学原料制造类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增加值同比增长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44.5%，占规上工业增加值的比重为10.5%；通用零部件制造类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增加值同比增长59.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9%，占规上工业增加值的比重为8.5%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从重点拉动行业看，通用设备制造业同比增长52.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%；纺织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业同比增长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48.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5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%；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非金属矿物业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同比增长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37.3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%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这三大行业共拉动规上工业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增加值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增长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19.7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个百分点，是拉动全县规上工业增长的主要力量。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全年资质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内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建筑业企业房屋施工面积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98995平方米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同比下降13.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7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四、固定资产投资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全县固定资产投资同比增长1%。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固定资产投资中，第一产业投资同比增长3.9%；第二产业投资同比增长40.2%；第三产业投资同比下降6%。基础设施投资同比增长91.9%，占固定资产投资的比重为18.5%。工业技改投资同比增长72.3%，占工业投资的比重为51.2%。高新技术产业投资同比下降62.4%，占固定资产投资的比重为4%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FF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在固定资产投资项目中，总投资额亿元以上项目完成投资</w:t>
      </w:r>
      <w:r>
        <w:rPr>
          <w:rFonts w:hint="default" w:ascii="仿宋_GB2312" w:hAnsi="仿宋_GB2312" w:eastAsia="仿宋_GB2312" w:cs="仿宋_GB2312"/>
          <w:sz w:val="32"/>
          <w:szCs w:val="32"/>
          <w:lang w:eastAsia="zh-CN"/>
        </w:rPr>
        <w:t>同比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下降0.5%，占固定资产投资的比重</w:t>
      </w:r>
      <w:r>
        <w:rPr>
          <w:rFonts w:hint="default" w:ascii="仿宋_GB2312" w:hAnsi="仿宋_GB2312" w:eastAsia="仿宋_GB2312" w:cs="仿宋_GB2312"/>
          <w:sz w:val="32"/>
          <w:szCs w:val="32"/>
          <w:lang w:eastAsia="zh-CN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84%。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全年全县建设项目投资同比增长21.8%，房地产开发投资同比下降50.5%。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五、国内贸易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全年全县社会消费品零售总额完成17.8亿元，同比增长16.1%。全县限额以上消费品零售额12014万元，同比增长38.9%。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限额以上单位商品零售额中，石油及制品类（零售）同比增长81.9%；粮油、食品类零售额同比增长72.5%；文化办公用品类同比增长51%；日用品类同比增长36.1%；建筑及装潢材料类同比增长26.6%；金银珠宝类同比增长17.3%；服装、鞋帽、针纺织品类同比增长3.1%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六、对外经济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全年全县进出口总值3.7亿元，同比增长7.3%。其中，出口总值3.3亿元，同比下降 1.1%；进口总值0.4亿元，同比增长409%。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全年全县实际使用外资67万美元，同比增长116%。新设外资企业2家。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七、交通、旅游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全年公路货物运输总量为1388.2万吨，公路货物运输周转量为277640万吨公里。公路旅客运输总量为66970人次，公路旅客运输周转量为334.9万人公里。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年末县域公共汽车营运线路8条；营运线路长度319公里。营运车辆50辆；客运总量22.2万人次。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，石家庄国际陆港已成功获批全国一级铁路物流基地、陆港型国家物流枢纽、国家多式联运示范工程、全国二手车出口业务资质、国家综合货运枢纽补链强链试点工程、进境粮食指定监管场地、保税物流中心（B型），是京津冀地区最大的内陆港，已成为河北省对外开放的重要平台。2023年国际班列发行数量继续稳居京津冀首位。中远海运期货贸易仓储物流、跨境电商交易中心项目完成建设，省供销社农资仓储物流项目主体完工，中远海运医药仓储物流、河北国际陆港冷链仓储物流、常山集团纺织仓储物流、上海德邦物流先后落户陆港。园区累计注册企业超80家，新增限上、规上企业10家，累计出口二手车201辆，全县外贸进出口额预计完成3.5亿元，进一步凸显了陆港经济效益和拉动作用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2023年，凤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凰不夜城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荣获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“省级旅游休闲街区”“第二批省级夜间文化和旅游消费集聚区”“石家庄市市级示范2档街区”等荣誉称号。多次组织举办旅游文化活动，积极响应“山水之间”活动政策，举办三场“石家庄市摇滚音乐演出季——山水之间”演出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八、财政、金融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全年全县一般公共预算收入7.2亿元，同比增长4%。一般公共预算支出18.3亿元，同比下降15.3%。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年末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全县银行业金融机构各项贷款余额82.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9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亿元，较年初增加14.7亿元，同比增速21.6%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。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各项存款余额182.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亿元，较年初增加28.6亿元，同比增速18.5%。存贷比45.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九、教育和文化体育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全县共有各级各类学校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所，其中小学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所（完全小学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38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所，教学点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个)，初中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所，九年一贯制学校1所，完全中学1所，特教学校1所，普通高中1所，职教中心1所，</w:t>
      </w:r>
      <w:r>
        <w:rPr>
          <w:rFonts w:hint="eastAsia" w:ascii="仿宋_GB2312" w:eastAsia="仿宋_GB2312"/>
          <w:color w:val="auto"/>
          <w:sz w:val="32"/>
          <w:szCs w:val="32"/>
        </w:rPr>
        <w:t>教师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发展中心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1所。共有学生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32573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人，其中小学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16877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人，初中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9969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人，高中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4289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人，职教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1354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人，特教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84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人。九年义务教育入学率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%，巩固率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99.2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%，高中阶段毛入学率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95.5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%。中小学在职教师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2164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人，其中小学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1090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人，初中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616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人，高中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376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人，职教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70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人，特教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人。幼儿园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所（其中公办幼儿园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所，民办幼儿园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所），在园幼儿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4692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人,幼儿教师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599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人，学前三年毛入学率98.7%。全县现有在校特殊儿童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128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人，其中特教学校就读的学生共计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84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人（在校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人，送教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人），在义务教育阶段学校就读共有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人，其中普校随班就读学生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人、送教上门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人。改善办学条件资金投入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1700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目前，高邑县已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Hans" w:bidi="ar-SA"/>
        </w:rPr>
        <w:t>实现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文化站乡镇（社区）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Hans" w:bidi="ar-SA"/>
        </w:rPr>
        <w:t>全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覆盖，共建有5个乡镇文化站，共建有村（社区）综合性文化服务中心112个，覆盖率100%，站内均配有多功能文化活动室、文体广场、图书阅览室、音响设备、文艺器材及群众体育活动器材设备。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2023年，我县被市体育局评选为全民健身实施计划（2021-2025年）考核优秀县。共更新群众身边的全民健身场地设施45处，其中，更新健身设施40处，修缮提升高邑县奥林匹克体育公园，建设健身步道1条，足球、篮球、羽毛球场地各1个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十、卫生和社会服务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末全县共有医疗卫生机构（含诊所）166个。其中，医院6个，疾病预防控制中心（防疫站）1个，妇幼保健院（所、站）1个，乡镇卫生院5个，社区卫生服务中心（站）1个，村卫生室108个。年末卫生机构实有床位752张。其中，医院拥有床位625张，乡镇卫生院96张。全县拥有卫生技术人员1148人。其中，执业医师366人，执业助理医师136人，注册护士486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年末全县养老服务机构5个，床位386张；各类社区服务机构2个。其中，社区服务中心1个，社区服务站1个。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十一、居民收入和社会保障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城镇居民人均可支配收入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37518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元，增长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6.9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%；农村居民人均可支配收入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20574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元，增长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7.2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%。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firstLine="640" w:firstLineChars="200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年末城乡居民参加养老保险人数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97062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人，比上年末增加138人。城镇职工参加养老保险人数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16462万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人，比上年末增加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1068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人。其中在岗职工参保人数为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11843万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人，离退休人员参保人数为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4619万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人。参加基本医疗保险人数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171081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人。其中参加城镇职工基本医疗保险人数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12672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人；参加城乡居民基本医疗保险人数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158408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人。参加失业保险的人数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7821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人，增加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502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人。参加工伤保险的人数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16855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人,其中参加工伤保险农民工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9117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人。参加生育保险人数为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12672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人。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 w:firstLine="0" w:firstLineChars="0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注释：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[1]本公报中数据主要为初步统计数。由于单位换算、四舍五入等原因产生的计算误差，均未作机械调整，存在总计与分项合计不等的情况。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[2]地区生产总值、三次产业增加值、民营经济增加值绝对值按现行价格计算，增长速度按不变价格计算。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[3]按照我国地区生产总值统一核算和数据发布制度规定，地区生产总值核算包括初步核算和最终核实两个步骤。最终核实数据确定后，初步核算数据不再使用。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[4]就业、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进出口、实际使用外资、新设外资企业、交通、旅游、财政、金融、教育、科技、文化、体育、卫生、社会服务、社会保障等指标均为相关部门提供数据。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 xml:space="preserve"> 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leftChars="0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E25903"/>
    <w:rsid w:val="051F2311"/>
    <w:rsid w:val="05673499"/>
    <w:rsid w:val="072B0044"/>
    <w:rsid w:val="11BC1E30"/>
    <w:rsid w:val="195F6809"/>
    <w:rsid w:val="1CBC3459"/>
    <w:rsid w:val="202004F9"/>
    <w:rsid w:val="21E563B7"/>
    <w:rsid w:val="37636C46"/>
    <w:rsid w:val="3BF15713"/>
    <w:rsid w:val="43511948"/>
    <w:rsid w:val="47C04E99"/>
    <w:rsid w:val="4C5A1BE8"/>
    <w:rsid w:val="57313514"/>
    <w:rsid w:val="58AA691C"/>
    <w:rsid w:val="61A05BF3"/>
    <w:rsid w:val="66C17F1B"/>
    <w:rsid w:val="6EDD0072"/>
    <w:rsid w:val="758362D5"/>
    <w:rsid w:val="7DE25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99"/>
    <w:pPr>
      <w:ind w:firstLine="420" w:firstLineChars="200"/>
    </w:pPr>
  </w:style>
  <w:style w:type="paragraph" w:styleId="3">
    <w:name w:val="Body Text Indent"/>
    <w:basedOn w:val="1"/>
    <w:qFormat/>
    <w:uiPriority w:val="99"/>
    <w:pPr>
      <w:spacing w:after="120"/>
      <w:ind w:left="420" w:leftChars="200"/>
    </w:p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FollowedHyperlink"/>
    <w:basedOn w:val="6"/>
    <w:qFormat/>
    <w:uiPriority w:val="0"/>
    <w:rPr>
      <w:color w:val="333333"/>
      <w:u w:val="none"/>
    </w:rPr>
  </w:style>
  <w:style w:type="character" w:styleId="8">
    <w:name w:val="Hyperlink"/>
    <w:basedOn w:val="6"/>
    <w:qFormat/>
    <w:uiPriority w:val="0"/>
    <w:rPr>
      <w:color w:val="33333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2024-03-25T06:32:00Z</dcterms:created>
  <dc:creator>Administrator</dc:creator>
  <cp:lastModifiedBy>Administrator</cp:lastModifiedBy>
  <dcterms:modified xsi:type="dcterms:W3CDTF">2024-04-16T00:49:16Z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2052-11.8.2.11500</vt:lpwstr>
  </property>
  <property fmtid="{D5CDD505-2E9C-101B-9397-08002B2CF9AE}" pid="3" name="ICV">
    <vt:lpwstr>EF33AD28F9964553B91937EFF578F02D</vt:lpwstr>
  </property>
</Properties>
</file>