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4DA398">
      <w:pPr>
        <w:widowControl/>
        <w:shd w:val="clear" w:color="auto" w:fill="FFFFFF"/>
        <w:spacing w:after="150" w:line="540" w:lineRule="atLeast"/>
        <w:jc w:val="center"/>
        <w:rPr>
          <w:rFonts w:ascii="方正小标宋简体" w:hAnsi="方正小标宋简体" w:eastAsia="方正小标宋简体" w:cs="方正小标宋简体"/>
          <w:color w:val="424242"/>
          <w:kern w:val="0"/>
          <w:sz w:val="44"/>
          <w:szCs w:val="44"/>
          <w:shd w:val="clear" w:color="auto" w:fill="FFFFFF"/>
        </w:rPr>
      </w:pPr>
      <w:r>
        <w:rPr>
          <w:rFonts w:hint="eastAsia" w:ascii="方正小标宋简体" w:hAnsi="方正小标宋简体" w:eastAsia="方正小标宋简体" w:cs="方正小标宋简体"/>
          <w:color w:val="424242"/>
          <w:kern w:val="0"/>
          <w:sz w:val="44"/>
          <w:szCs w:val="44"/>
          <w:shd w:val="clear" w:color="auto" w:fill="FFFFFF"/>
        </w:rPr>
        <w:t>高邑县乡镇综合行政执法</w:t>
      </w:r>
    </w:p>
    <w:p w14:paraId="33B6D410">
      <w:pPr>
        <w:widowControl/>
        <w:shd w:val="clear" w:color="auto" w:fill="FFFFFF"/>
        <w:spacing w:after="150" w:line="540" w:lineRule="atLeast"/>
        <w:jc w:val="center"/>
        <w:rPr>
          <w:rFonts w:ascii="微软雅黑" w:hAnsi="微软雅黑" w:eastAsia="微软雅黑" w:cs="微软雅黑"/>
          <w:color w:val="424242"/>
          <w:sz w:val="27"/>
          <w:szCs w:val="27"/>
        </w:rPr>
      </w:pPr>
      <w:r>
        <w:rPr>
          <w:rFonts w:ascii="方正小标宋简体" w:hAnsi="方正小标宋简体" w:eastAsia="方正小标宋简体" w:cs="方正小标宋简体"/>
          <w:color w:val="424242"/>
          <w:kern w:val="0"/>
          <w:sz w:val="44"/>
          <w:szCs w:val="44"/>
          <w:shd w:val="clear" w:color="auto" w:fill="FFFFFF"/>
        </w:rPr>
        <w:t>行政</w:t>
      </w:r>
      <w:r>
        <w:rPr>
          <w:rFonts w:hint="eastAsia" w:ascii="方正小标宋简体" w:hAnsi="方正小标宋简体" w:eastAsia="方正小标宋简体" w:cs="方正小标宋简体"/>
          <w:color w:val="424242"/>
          <w:kern w:val="0"/>
          <w:sz w:val="44"/>
          <w:szCs w:val="44"/>
          <w:shd w:val="clear" w:color="auto" w:fill="FFFFFF"/>
        </w:rPr>
        <w:t>处罚自由</w:t>
      </w:r>
      <w:r>
        <w:rPr>
          <w:rFonts w:ascii="方正小标宋简体" w:hAnsi="方正小标宋简体" w:eastAsia="方正小标宋简体" w:cs="方正小标宋简体"/>
          <w:color w:val="424242"/>
          <w:kern w:val="0"/>
          <w:sz w:val="44"/>
          <w:szCs w:val="44"/>
          <w:shd w:val="clear" w:color="auto" w:fill="FFFFFF"/>
        </w:rPr>
        <w:t>裁量权基准制度</w:t>
      </w:r>
    </w:p>
    <w:p w14:paraId="69D69241">
      <w:pPr>
        <w:pStyle w:val="4"/>
        <w:widowControl/>
        <w:shd w:val="clear" w:color="auto" w:fill="FFFFFF"/>
        <w:spacing w:beforeAutospacing="0" w:after="150" w:afterAutospacing="0" w:line="580" w:lineRule="atLeast"/>
        <w:ind w:firstLine="641"/>
        <w:jc w:val="center"/>
        <w:rPr>
          <w:rFonts w:ascii="微软雅黑" w:hAnsi="微软雅黑" w:eastAsia="微软雅黑" w:cs="微软雅黑"/>
          <w:color w:val="424242"/>
          <w:sz w:val="27"/>
          <w:szCs w:val="27"/>
        </w:rPr>
      </w:pPr>
      <w:r>
        <w:rPr>
          <w:rFonts w:ascii="黑体" w:hAnsi="宋体" w:eastAsia="黑体" w:cs="黑体"/>
          <w:color w:val="424242"/>
          <w:sz w:val="30"/>
          <w:szCs w:val="30"/>
          <w:shd w:val="clear" w:color="auto" w:fill="FFFFFF"/>
        </w:rPr>
        <w:t>第一章</w:t>
      </w:r>
      <w:r>
        <w:rPr>
          <w:rFonts w:hint="eastAsia" w:ascii="黑体" w:hAnsi="宋体" w:eastAsia="黑体" w:cs="黑体"/>
          <w:color w:val="424242"/>
          <w:sz w:val="30"/>
          <w:szCs w:val="30"/>
          <w:shd w:val="clear" w:color="auto" w:fill="FFFFFF"/>
        </w:rPr>
        <w:t> 总则</w:t>
      </w:r>
    </w:p>
    <w:p w14:paraId="6C8FAF75">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第一条  为提高我县乡镇行政执法工作水平，规范自由裁量权的实施，确保依法行使行政权力，保障公民、法人和其他组织的合法权益，根据《中华人民共和国行政处罚法》、</w:t>
      </w:r>
      <w:bookmarkStart w:id="0" w:name="_GoBack"/>
      <w:bookmarkEnd w:id="0"/>
      <w:r>
        <w:rPr>
          <w:rFonts w:hint="eastAsia" w:ascii="宋体" w:hAnsi="宋体" w:eastAsia="宋体" w:cs="宋体"/>
          <w:color w:val="424242"/>
          <w:sz w:val="30"/>
          <w:szCs w:val="30"/>
          <w:shd w:val="clear" w:color="auto" w:fill="FFFFFF"/>
          <w:lang w:eastAsia="zh-CN"/>
        </w:rPr>
        <w:t>《中华人民共和国行政强制法》</w:t>
      </w:r>
      <w:r>
        <w:rPr>
          <w:rFonts w:hint="eastAsia" w:ascii="宋体" w:hAnsi="宋体" w:eastAsia="宋体" w:cs="宋体"/>
          <w:color w:val="424242"/>
          <w:sz w:val="30"/>
          <w:szCs w:val="30"/>
          <w:shd w:val="clear" w:color="auto" w:fill="FFFFFF"/>
        </w:rPr>
        <w:t>等有关法律、法规和规章规定，结合我县乡镇行政执法工作实际，制定本制度。</w:t>
      </w:r>
      <w:r>
        <w:rPr>
          <w:rFonts w:ascii="Calibri" w:hAnsi="Calibri" w:eastAsia="微软雅黑" w:cs="Calibri"/>
          <w:color w:val="424242"/>
          <w:shd w:val="clear" w:color="auto" w:fill="FFFFFF"/>
        </w:rPr>
        <w:t> </w:t>
      </w:r>
    </w:p>
    <w:p w14:paraId="2BD634A8">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第二条  本制度所称自由裁量权，是指执法机关在行使行政处罚权力时，在法律、法规和规章规定的范围内，可以自主决定处理行政事务的条件、种类和幅度等权力。</w:t>
      </w:r>
    </w:p>
    <w:p w14:paraId="0270569A">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第三条  行使行政处罚自由裁量权，应当遵循以下原则：</w:t>
      </w:r>
      <w:r>
        <w:rPr>
          <w:rFonts w:ascii="Calibri" w:hAnsi="Calibri" w:eastAsia="微软雅黑" w:cs="Calibri"/>
          <w:color w:val="424242"/>
          <w:shd w:val="clear" w:color="auto" w:fill="FFFFFF"/>
        </w:rPr>
        <w:t> </w:t>
      </w:r>
    </w:p>
    <w:p w14:paraId="4AE6C2FF">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（一）合法性原则。行政自由裁量权的行使必须依据法律、法规、规章的原则和目的，对行为幅度、方式、时限的选择和事实性质、情节轻重的认定作出规范安排。</w:t>
      </w:r>
      <w:r>
        <w:rPr>
          <w:rFonts w:ascii="Calibri" w:hAnsi="Calibri" w:eastAsia="微软雅黑" w:cs="Calibri"/>
          <w:color w:val="424242"/>
          <w:shd w:val="clear" w:color="auto" w:fill="FFFFFF"/>
        </w:rPr>
        <w:t> </w:t>
      </w:r>
    </w:p>
    <w:p w14:paraId="600E6CD8">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（二）公平、公正、公开原则。对违法事实、性质、情节及社会危害程度等因素基本相同的同类违法行为，所适用的法律依据、行为方式和幅度应当基本相同，做到公平、公正，一视同仁。</w:t>
      </w:r>
      <w:r>
        <w:rPr>
          <w:rFonts w:ascii="Calibri" w:hAnsi="Calibri" w:eastAsia="微软雅黑" w:cs="Calibri"/>
          <w:color w:val="424242"/>
          <w:shd w:val="clear" w:color="auto" w:fill="FFFFFF"/>
        </w:rPr>
        <w:t> </w:t>
      </w:r>
    </w:p>
    <w:p w14:paraId="6C36A09E">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（三）合理性原则。行政自由裁量的行使要做到合情、合理、恰当和适度。</w:t>
      </w:r>
      <w:r>
        <w:rPr>
          <w:rFonts w:ascii="Calibri" w:hAnsi="Calibri" w:eastAsia="微软雅黑" w:cs="Calibri"/>
          <w:color w:val="424242"/>
          <w:shd w:val="clear" w:color="auto" w:fill="FFFFFF"/>
        </w:rPr>
        <w:t> </w:t>
      </w:r>
    </w:p>
    <w:p w14:paraId="067C5999">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（四）比例原则。行政自由裁量权的行使应兼顾行政目标的实现和相对人的权益的保护，行政目标的实现可能对相对人的权益造成不利影响，应将这种不利影响限制在尽可能小的范围和限度之内。</w:t>
      </w:r>
      <w:r>
        <w:rPr>
          <w:rFonts w:ascii="Calibri" w:hAnsi="Calibri" w:eastAsia="微软雅黑" w:cs="Calibri"/>
          <w:color w:val="424242"/>
          <w:shd w:val="clear" w:color="auto" w:fill="FFFFFF"/>
        </w:rPr>
        <w:t> </w:t>
      </w:r>
    </w:p>
    <w:p w14:paraId="2E23E013">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（五）诚信与信赖保护原则。行政自由裁量权的行使应当遵循诚实信用原则，保护行政相对人对行政机关正当合理的信赖。</w:t>
      </w:r>
      <w:r>
        <w:rPr>
          <w:rFonts w:ascii="Calibri" w:hAnsi="Calibri" w:eastAsia="微软雅黑" w:cs="Calibri"/>
          <w:color w:val="424242"/>
          <w:shd w:val="clear" w:color="auto" w:fill="FFFFFF"/>
        </w:rPr>
        <w:t>  </w:t>
      </w:r>
    </w:p>
    <w:p w14:paraId="645DCE3A">
      <w:pPr>
        <w:pStyle w:val="4"/>
        <w:widowControl/>
        <w:shd w:val="clear" w:color="auto" w:fill="FFFFFF"/>
        <w:spacing w:beforeAutospacing="0" w:after="150" w:afterAutospacing="0" w:line="580" w:lineRule="atLeast"/>
        <w:ind w:firstLine="641"/>
        <w:jc w:val="center"/>
        <w:rPr>
          <w:rFonts w:ascii="微软雅黑" w:hAnsi="微软雅黑" w:eastAsia="微软雅黑" w:cs="微软雅黑"/>
          <w:color w:val="424242"/>
          <w:sz w:val="27"/>
          <w:szCs w:val="27"/>
        </w:rPr>
      </w:pPr>
      <w:r>
        <w:rPr>
          <w:rFonts w:hint="eastAsia" w:ascii="黑体" w:hAnsi="宋体" w:eastAsia="黑体" w:cs="黑体"/>
          <w:color w:val="424242"/>
          <w:sz w:val="30"/>
          <w:szCs w:val="30"/>
          <w:shd w:val="clear" w:color="auto" w:fill="FFFFFF"/>
        </w:rPr>
        <w:t>第二章  行政处罚</w:t>
      </w:r>
    </w:p>
    <w:p w14:paraId="572CCF54">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第四条  本制度所称的行政处罚自由裁量权，是乡镇在作出行政处罚时，在法律、法规和规章规定的范围内，确定与违法行为事实、性质、情节和后果相适应的处罚，具体包括：</w:t>
      </w:r>
      <w:r>
        <w:rPr>
          <w:rFonts w:ascii="Calibri" w:hAnsi="Calibri" w:eastAsia="微软雅黑" w:cs="Calibri"/>
          <w:color w:val="424242"/>
          <w:shd w:val="clear" w:color="auto" w:fill="FFFFFF"/>
        </w:rPr>
        <w:t> </w:t>
      </w:r>
    </w:p>
    <w:p w14:paraId="049D2833">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(一)是否对违法行为进行处罚；</w:t>
      </w:r>
      <w:r>
        <w:rPr>
          <w:rFonts w:ascii="Calibri" w:hAnsi="Calibri" w:eastAsia="微软雅黑" w:cs="Calibri"/>
          <w:color w:val="424242"/>
          <w:shd w:val="clear" w:color="auto" w:fill="FFFFFF"/>
        </w:rPr>
        <w:t> </w:t>
      </w:r>
    </w:p>
    <w:p w14:paraId="4D39F5A6">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(二)实施行政处罚的种类；</w:t>
      </w:r>
      <w:r>
        <w:rPr>
          <w:rFonts w:ascii="Calibri" w:hAnsi="Calibri" w:eastAsia="微软雅黑" w:cs="Calibri"/>
          <w:color w:val="424242"/>
          <w:shd w:val="clear" w:color="auto" w:fill="FFFFFF"/>
        </w:rPr>
        <w:t> </w:t>
      </w:r>
    </w:p>
    <w:p w14:paraId="29EE8DCC">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(三)实施行政处罚的幅度；</w:t>
      </w:r>
      <w:r>
        <w:rPr>
          <w:rFonts w:ascii="Calibri" w:hAnsi="Calibri" w:eastAsia="微软雅黑" w:cs="Calibri"/>
          <w:color w:val="424242"/>
          <w:shd w:val="clear" w:color="auto" w:fill="FFFFFF"/>
        </w:rPr>
        <w:t> </w:t>
      </w:r>
    </w:p>
    <w:p w14:paraId="100C6B12">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(四)是否依法从轻或不予行政处罚；</w:t>
      </w:r>
      <w:r>
        <w:rPr>
          <w:rFonts w:ascii="Calibri" w:hAnsi="Calibri" w:eastAsia="微软雅黑" w:cs="Calibri"/>
          <w:color w:val="424242"/>
          <w:shd w:val="clear" w:color="auto" w:fill="FFFFFF"/>
        </w:rPr>
        <w:t> </w:t>
      </w:r>
    </w:p>
    <w:p w14:paraId="600D0044">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(五)依法规定的其他情况。</w:t>
      </w:r>
      <w:r>
        <w:rPr>
          <w:rFonts w:ascii="Calibri" w:hAnsi="Calibri" w:eastAsia="微软雅黑" w:cs="Calibri"/>
          <w:color w:val="424242"/>
          <w:shd w:val="clear" w:color="auto" w:fill="FFFFFF"/>
        </w:rPr>
        <w:t> </w:t>
      </w:r>
    </w:p>
    <w:p w14:paraId="4FA2F3C8">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第五条 高邑县乡镇镇执法部门应当按照本办法的规定适用自由裁量权。</w:t>
      </w:r>
      <w:r>
        <w:rPr>
          <w:rFonts w:ascii="Calibri" w:hAnsi="Calibri" w:eastAsia="微软雅黑" w:cs="Calibri"/>
          <w:color w:val="424242"/>
          <w:shd w:val="clear" w:color="auto" w:fill="FFFFFF"/>
        </w:rPr>
        <w:t> </w:t>
      </w:r>
    </w:p>
    <w:p w14:paraId="5ED8F265">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第六条 同一违法行为违反了不同的法律规范的，应当优先适用效力高的法律规范；效力相同时，优先适用属于特别法规定的法律规范；效力相同且都不属于特别规定的，优先适用生效时间在后的法律规范，不得自由选择法律规范进行轻或重的处罚。</w:t>
      </w:r>
      <w:r>
        <w:rPr>
          <w:rFonts w:ascii="Calibri" w:hAnsi="Calibri" w:eastAsia="微软雅黑" w:cs="Calibri"/>
          <w:color w:val="424242"/>
          <w:shd w:val="clear" w:color="auto" w:fill="FFFFFF"/>
        </w:rPr>
        <w:t> </w:t>
      </w:r>
    </w:p>
    <w:p w14:paraId="325CF530">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对于相同性质的违法行为，应当适用相同的法律规范予以处罚。</w:t>
      </w:r>
      <w:r>
        <w:rPr>
          <w:rFonts w:ascii="Calibri" w:hAnsi="Calibri" w:eastAsia="微软雅黑" w:cs="Calibri"/>
          <w:color w:val="424242"/>
          <w:shd w:val="clear" w:color="auto" w:fill="FFFFFF"/>
        </w:rPr>
        <w:t> </w:t>
      </w:r>
    </w:p>
    <w:p w14:paraId="1E2595EC">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第七条  法律规范中规定处罚种类可以单处或者可以并处的，可以选择适用。规定应当并处的，不得选择适用。法律规范中规定应当先作没收处罚，再作其他处罚的，不得选择适用。</w:t>
      </w:r>
      <w:r>
        <w:rPr>
          <w:rFonts w:ascii="Calibri" w:hAnsi="Calibri" w:eastAsia="微软雅黑" w:cs="Calibri"/>
          <w:color w:val="424242"/>
          <w:shd w:val="clear" w:color="auto" w:fill="FFFFFF"/>
        </w:rPr>
        <w:t> </w:t>
      </w:r>
    </w:p>
    <w:p w14:paraId="4FCD2A39">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第八条  本制度所称的不予行政处罚是指因有法定事由存在，行政机关依法对特定的违法行为不给予处罚； </w:t>
      </w:r>
      <w:r>
        <w:rPr>
          <w:rFonts w:ascii="Calibri" w:hAnsi="Calibri" w:eastAsia="微软雅黑" w:cs="Calibri"/>
          <w:color w:val="424242"/>
          <w:shd w:val="clear" w:color="auto" w:fill="FFFFFF"/>
        </w:rPr>
        <w:t> </w:t>
      </w:r>
    </w:p>
    <w:p w14:paraId="356AC32F">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本制度所称的从轻处罚，是指在法定的处罚种类和幅度内，适用较轻的处罚种类，或者选择法定幅度中较低的部分予以处罚。</w:t>
      </w:r>
      <w:r>
        <w:rPr>
          <w:rFonts w:ascii="Calibri" w:hAnsi="Calibri" w:eastAsia="微软雅黑" w:cs="Calibri"/>
          <w:color w:val="424242"/>
          <w:shd w:val="clear" w:color="auto" w:fill="FFFFFF"/>
        </w:rPr>
        <w:t> </w:t>
      </w:r>
    </w:p>
    <w:p w14:paraId="2B9B96E7">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本制度所称的从重处罚，是指在法定的处罚种类和幅度内，适用较重的处罚种类，或者选择法定幅度中较高的部分予以处罚。</w:t>
      </w:r>
      <w:r>
        <w:rPr>
          <w:rFonts w:ascii="Calibri" w:hAnsi="Calibri" w:eastAsia="微软雅黑" w:cs="Calibri"/>
          <w:color w:val="424242"/>
          <w:shd w:val="clear" w:color="auto" w:fill="FFFFFF"/>
        </w:rPr>
        <w:t> </w:t>
      </w:r>
    </w:p>
    <w:p w14:paraId="127049BD">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第九条  当事人有下列情形之一的，应当依法不予行政处罚：</w:t>
      </w:r>
      <w:r>
        <w:rPr>
          <w:rFonts w:ascii="Calibri" w:hAnsi="Calibri" w:eastAsia="微软雅黑" w:cs="Calibri"/>
          <w:color w:val="424242"/>
          <w:shd w:val="clear" w:color="auto" w:fill="FFFFFF"/>
        </w:rPr>
        <w:t> </w:t>
      </w:r>
    </w:p>
    <w:p w14:paraId="3B45CCD2">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（一）不满14周岁的；</w:t>
      </w:r>
      <w:r>
        <w:rPr>
          <w:rFonts w:ascii="Calibri" w:hAnsi="Calibri" w:eastAsia="微软雅黑" w:cs="Calibri"/>
          <w:color w:val="424242"/>
          <w:shd w:val="clear" w:color="auto" w:fill="FFFFFF"/>
        </w:rPr>
        <w:t> </w:t>
      </w:r>
    </w:p>
    <w:p w14:paraId="37E3B44F">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（二）精神病人不能辨认或者不能控制自己行为的；</w:t>
      </w:r>
      <w:r>
        <w:rPr>
          <w:rFonts w:ascii="Calibri" w:hAnsi="Calibri" w:eastAsia="微软雅黑" w:cs="Calibri"/>
          <w:color w:val="424242"/>
          <w:shd w:val="clear" w:color="auto" w:fill="FFFFFF"/>
        </w:rPr>
        <w:t> </w:t>
      </w:r>
    </w:p>
    <w:p w14:paraId="5C0B922F">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（三）违法行为轻微并及时纠正，没有造成危害后果的；</w:t>
      </w:r>
      <w:r>
        <w:rPr>
          <w:rFonts w:ascii="Calibri" w:hAnsi="Calibri" w:eastAsia="微软雅黑" w:cs="Calibri"/>
          <w:color w:val="424242"/>
          <w:shd w:val="clear" w:color="auto" w:fill="FFFFFF"/>
        </w:rPr>
        <w:t> </w:t>
      </w:r>
    </w:p>
    <w:p w14:paraId="50B2A7F8">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（四）除法律另有规定的外，违法行为在二年内未被发现的。</w:t>
      </w:r>
      <w:r>
        <w:rPr>
          <w:rFonts w:ascii="Calibri" w:hAnsi="Calibri" w:eastAsia="微软雅黑" w:cs="Calibri"/>
          <w:color w:val="424242"/>
          <w:shd w:val="clear" w:color="auto" w:fill="FFFFFF"/>
        </w:rPr>
        <w:t> </w:t>
      </w:r>
    </w:p>
    <w:p w14:paraId="6FC04E36">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第十条 当事人有下列情形之一的，应当从轻处罚：</w:t>
      </w:r>
      <w:r>
        <w:rPr>
          <w:rFonts w:ascii="Calibri" w:hAnsi="Calibri" w:eastAsia="微软雅黑" w:cs="Calibri"/>
          <w:color w:val="424242"/>
          <w:shd w:val="clear" w:color="auto" w:fill="FFFFFF"/>
        </w:rPr>
        <w:t> </w:t>
      </w:r>
    </w:p>
    <w:p w14:paraId="609F33DF">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（一）已满14周岁不满18周岁的；</w:t>
      </w:r>
      <w:r>
        <w:rPr>
          <w:rFonts w:ascii="Calibri" w:hAnsi="Calibri" w:eastAsia="微软雅黑" w:cs="Calibri"/>
          <w:color w:val="424242"/>
          <w:shd w:val="clear" w:color="auto" w:fill="FFFFFF"/>
        </w:rPr>
        <w:t> </w:t>
      </w:r>
    </w:p>
    <w:p w14:paraId="74A0989B">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（二）违法行为轻微，并主动减轻危害后果的；</w:t>
      </w:r>
      <w:r>
        <w:rPr>
          <w:rFonts w:ascii="Calibri" w:hAnsi="Calibri" w:eastAsia="微软雅黑" w:cs="Calibri"/>
          <w:color w:val="424242"/>
          <w:shd w:val="clear" w:color="auto" w:fill="FFFFFF"/>
        </w:rPr>
        <w:t> </w:t>
      </w:r>
    </w:p>
    <w:p w14:paraId="6F4AAC71">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（三）配合查处其他当事人的违法行为，经查证属实的；</w:t>
      </w:r>
      <w:r>
        <w:rPr>
          <w:rFonts w:ascii="Calibri" w:hAnsi="Calibri" w:eastAsia="微软雅黑" w:cs="Calibri"/>
          <w:color w:val="424242"/>
          <w:shd w:val="clear" w:color="auto" w:fill="FFFFFF"/>
        </w:rPr>
        <w:t> </w:t>
      </w:r>
    </w:p>
    <w:p w14:paraId="60DCAD60">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（四）领取最低生活保障金、生活确属困难的；</w:t>
      </w:r>
      <w:r>
        <w:rPr>
          <w:rFonts w:ascii="Calibri" w:hAnsi="Calibri" w:eastAsia="微软雅黑" w:cs="Calibri"/>
          <w:color w:val="424242"/>
          <w:shd w:val="clear" w:color="auto" w:fill="FFFFFF"/>
        </w:rPr>
        <w:t> </w:t>
      </w:r>
    </w:p>
    <w:p w14:paraId="3873E603">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（五）有聋、哑、盲等残障的；</w:t>
      </w:r>
      <w:r>
        <w:rPr>
          <w:rFonts w:ascii="Calibri" w:hAnsi="Calibri" w:eastAsia="微软雅黑" w:cs="Calibri"/>
          <w:color w:val="424242"/>
          <w:shd w:val="clear" w:color="auto" w:fill="FFFFFF"/>
        </w:rPr>
        <w:t> </w:t>
      </w:r>
    </w:p>
    <w:p w14:paraId="490B199B">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（六）符合法律、法规、规章规定的应当从轻处罚情节的。</w:t>
      </w:r>
      <w:r>
        <w:rPr>
          <w:rFonts w:ascii="Calibri" w:hAnsi="Calibri" w:eastAsia="微软雅黑" w:cs="Calibri"/>
          <w:color w:val="424242"/>
          <w:shd w:val="clear" w:color="auto" w:fill="FFFFFF"/>
        </w:rPr>
        <w:t> </w:t>
      </w:r>
    </w:p>
    <w:p w14:paraId="7E8681CC">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第十一条 当事人有下列情形之一的，应当从重处罚：</w:t>
      </w:r>
      <w:r>
        <w:rPr>
          <w:rFonts w:ascii="Calibri" w:hAnsi="Calibri" w:eastAsia="微软雅黑" w:cs="Calibri"/>
          <w:color w:val="424242"/>
          <w:shd w:val="clear" w:color="auto" w:fill="FFFFFF"/>
        </w:rPr>
        <w:t> </w:t>
      </w:r>
    </w:p>
    <w:p w14:paraId="07670F0C">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（一）有悖于党和国家方针、政策规定的阶段性工作重点的；</w:t>
      </w:r>
      <w:r>
        <w:rPr>
          <w:rFonts w:ascii="Calibri" w:hAnsi="Calibri" w:eastAsia="微软雅黑" w:cs="Calibri"/>
          <w:color w:val="424242"/>
          <w:shd w:val="clear" w:color="auto" w:fill="FFFFFF"/>
        </w:rPr>
        <w:t> </w:t>
      </w:r>
    </w:p>
    <w:p w14:paraId="7736A660">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（二）政府、社会关注，群众反映强烈，造成社会不良影响的；</w:t>
      </w:r>
      <w:r>
        <w:rPr>
          <w:rFonts w:ascii="Calibri" w:hAnsi="Calibri" w:eastAsia="微软雅黑" w:cs="Calibri"/>
          <w:color w:val="424242"/>
          <w:shd w:val="clear" w:color="auto" w:fill="FFFFFF"/>
        </w:rPr>
        <w:t> </w:t>
      </w:r>
    </w:p>
    <w:p w14:paraId="49FC528B">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（三）危及公共安全、人身健康和生命财产安全的；</w:t>
      </w:r>
      <w:r>
        <w:rPr>
          <w:rFonts w:ascii="Calibri" w:hAnsi="Calibri" w:eastAsia="微软雅黑" w:cs="Calibri"/>
          <w:color w:val="424242"/>
          <w:shd w:val="clear" w:color="auto" w:fill="FFFFFF"/>
        </w:rPr>
        <w:t> </w:t>
      </w:r>
    </w:p>
    <w:p w14:paraId="7D6300C2">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（四）利用自然灾害、疾病流行等突发事件实施违法行为的；</w:t>
      </w:r>
      <w:r>
        <w:rPr>
          <w:rFonts w:ascii="Calibri" w:hAnsi="Calibri" w:eastAsia="微软雅黑" w:cs="Calibri"/>
          <w:color w:val="424242"/>
          <w:shd w:val="clear" w:color="auto" w:fill="FFFFFF"/>
        </w:rPr>
        <w:t> </w:t>
      </w:r>
    </w:p>
    <w:p w14:paraId="283FE711">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（五）违法行为被行政处罚或刑事处罚后，又实施同类违法行为的；</w:t>
      </w:r>
      <w:r>
        <w:rPr>
          <w:rFonts w:ascii="Calibri" w:hAnsi="Calibri" w:eastAsia="微软雅黑" w:cs="Calibri"/>
          <w:color w:val="424242"/>
          <w:shd w:val="clear" w:color="auto" w:fill="FFFFFF"/>
        </w:rPr>
        <w:t> </w:t>
      </w:r>
    </w:p>
    <w:p w14:paraId="010876D4">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（六）符合法律、法规、规章规定的其他应当从重处罚的。</w:t>
      </w:r>
      <w:r>
        <w:rPr>
          <w:rFonts w:ascii="Calibri" w:hAnsi="Calibri" w:eastAsia="微软雅黑" w:cs="Calibri"/>
          <w:color w:val="424242"/>
          <w:shd w:val="clear" w:color="auto" w:fill="FFFFFF"/>
        </w:rPr>
        <w:t> </w:t>
      </w:r>
    </w:p>
    <w:p w14:paraId="75394237">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第十二条 对当事人不予行政处罚的，应当经相应的法制机构审核后，由办案人员、法制机构负责人及机关负责人集体讨论研究决定。</w:t>
      </w:r>
      <w:r>
        <w:rPr>
          <w:rFonts w:ascii="Calibri" w:hAnsi="Calibri" w:eastAsia="微软雅黑" w:cs="Calibri"/>
          <w:color w:val="424242"/>
          <w:shd w:val="clear" w:color="auto" w:fill="FFFFFF"/>
        </w:rPr>
        <w:t> </w:t>
      </w:r>
    </w:p>
    <w:p w14:paraId="24FF9C62">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第十三条  在告知当事人后，行政处罚进行变更的，应当经相应的法制机构审核后，报请机关负责人审批。案件重大、情节复杂或者对违法行为从重处罚的，应当由办案人员、法制机构负责人和机关负责人集体讨论研究决定。</w:t>
      </w:r>
      <w:r>
        <w:rPr>
          <w:rFonts w:ascii="Calibri" w:hAnsi="Calibri" w:eastAsia="微软雅黑" w:cs="Calibri"/>
          <w:color w:val="424242"/>
          <w:shd w:val="clear" w:color="auto" w:fill="FFFFFF"/>
        </w:rPr>
        <w:t> </w:t>
      </w:r>
    </w:p>
    <w:p w14:paraId="2929AB25">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第十四条  对当事人不予处罚、减轻处罚、从轻处罚、从重处罚、变更处罚以及暂缓执行或者分期缴纳罚款的，办案人员应当收集相应的证据和材料。</w:t>
      </w:r>
      <w:r>
        <w:rPr>
          <w:rFonts w:ascii="Calibri" w:hAnsi="Calibri" w:eastAsia="微软雅黑" w:cs="Calibri"/>
          <w:color w:val="424242"/>
          <w:shd w:val="clear" w:color="auto" w:fill="FFFFFF"/>
        </w:rPr>
        <w:t> </w:t>
      </w:r>
    </w:p>
    <w:p w14:paraId="01CB2E5F">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第十五条  依法规定对违法行为应当处以没收违法所得并按违法所得法定倍数罚款的，应当核定违法所得，并按法定倍数罚款。</w:t>
      </w:r>
      <w:r>
        <w:rPr>
          <w:rFonts w:ascii="Calibri" w:hAnsi="Calibri" w:eastAsia="微软雅黑" w:cs="Calibri"/>
          <w:color w:val="424242"/>
          <w:shd w:val="clear" w:color="auto" w:fill="FFFFFF"/>
        </w:rPr>
        <w:t> </w:t>
      </w:r>
    </w:p>
    <w:p w14:paraId="33BD29A9">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第十六条  当事人违法行为已构成犯罪的，应当按法定权限、程序将案件移交司法机关处理。</w:t>
      </w:r>
      <w:r>
        <w:rPr>
          <w:rFonts w:ascii="Calibri" w:hAnsi="Calibri" w:eastAsia="微软雅黑" w:cs="Calibri"/>
          <w:color w:val="424242"/>
          <w:shd w:val="clear" w:color="auto" w:fill="FFFFFF"/>
        </w:rPr>
        <w:t> </w:t>
      </w:r>
    </w:p>
    <w:p w14:paraId="65532E6F">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第十七条 法律、法规、规章中规定了最高处罚金额，但未规定最低处罚金额的，适用时一般不得低于最高处罚金额的百分之五；</w:t>
      </w:r>
      <w:r>
        <w:rPr>
          <w:rFonts w:ascii="Calibri" w:hAnsi="Calibri" w:eastAsia="微软雅黑" w:cs="Calibri"/>
          <w:color w:val="424242"/>
          <w:shd w:val="clear" w:color="auto" w:fill="FFFFFF"/>
        </w:rPr>
        <w:t> </w:t>
      </w:r>
    </w:p>
    <w:p w14:paraId="0EE36488">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第十八条 违法行为涉嫌构成刑事犯罪的，必须及时移送司法机关处理，不得以行政处罚代替刑事处罚。</w:t>
      </w:r>
      <w:r>
        <w:rPr>
          <w:rFonts w:ascii="Calibri" w:hAnsi="Calibri" w:eastAsia="微软雅黑" w:cs="Calibri"/>
          <w:color w:val="424242"/>
          <w:shd w:val="clear" w:color="auto" w:fill="FFFFFF"/>
        </w:rPr>
        <w:t> </w:t>
      </w:r>
    </w:p>
    <w:p w14:paraId="04C3F4BA">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第十九条 案件中有从轻或从重情节的，均应当附有证据材料，以证明符合本制度的从轻或从重情形，同时在《行政处罚有关事项审批表》中载明行政处罚自由裁量的事实、理由和依据，并随案件材料一同履行审批程序。</w:t>
      </w:r>
      <w:r>
        <w:rPr>
          <w:rFonts w:ascii="Calibri" w:hAnsi="Calibri" w:eastAsia="微软雅黑" w:cs="Calibri"/>
          <w:color w:val="424242"/>
          <w:shd w:val="clear" w:color="auto" w:fill="FFFFFF"/>
        </w:rPr>
        <w:t>  </w:t>
      </w:r>
    </w:p>
    <w:p w14:paraId="1A805811">
      <w:pPr>
        <w:pStyle w:val="4"/>
        <w:widowControl/>
        <w:shd w:val="clear" w:color="auto" w:fill="FFFFFF"/>
        <w:spacing w:beforeAutospacing="0" w:after="150" w:afterAutospacing="0" w:line="580" w:lineRule="atLeast"/>
        <w:ind w:firstLine="641"/>
        <w:jc w:val="center"/>
        <w:rPr>
          <w:rFonts w:ascii="微软雅黑" w:hAnsi="微软雅黑" w:eastAsia="微软雅黑" w:cs="微软雅黑"/>
          <w:color w:val="424242"/>
          <w:sz w:val="27"/>
          <w:szCs w:val="27"/>
        </w:rPr>
      </w:pPr>
      <w:r>
        <w:rPr>
          <w:rFonts w:hint="eastAsia" w:ascii="黑体" w:hAnsi="宋体" w:eastAsia="黑体" w:cs="黑体"/>
          <w:color w:val="424242"/>
          <w:sz w:val="30"/>
          <w:szCs w:val="30"/>
          <w:shd w:val="clear" w:color="auto" w:fill="FFFFFF"/>
        </w:rPr>
        <w:t>第三章  附则</w:t>
      </w:r>
    </w:p>
    <w:p w14:paraId="30E93988">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第二十条 行政处罚自由裁量权行使时的具体基准、条件、方式等，按照高邑县乡镇行政处罚自由裁量权基准执行。本制度未列入的其他行政权力，应当按照国家相关规定执行。</w:t>
      </w:r>
      <w:r>
        <w:rPr>
          <w:rFonts w:ascii="Calibri" w:hAnsi="Calibri" w:eastAsia="微软雅黑" w:cs="Calibri"/>
          <w:color w:val="424242"/>
          <w:shd w:val="clear" w:color="auto" w:fill="FFFFFF"/>
        </w:rPr>
        <w:t> </w:t>
      </w:r>
    </w:p>
    <w:p w14:paraId="29F9CA69">
      <w:pPr>
        <w:pStyle w:val="4"/>
        <w:widowControl/>
        <w:shd w:val="clear" w:color="auto" w:fill="FFFFFF"/>
        <w:spacing w:beforeAutospacing="0" w:after="150" w:afterAutospacing="0" w:line="580" w:lineRule="atLeast"/>
        <w:ind w:firstLine="641"/>
        <w:jc w:val="both"/>
        <w:rPr>
          <w:rFonts w:ascii="微软雅黑" w:hAnsi="微软雅黑" w:eastAsia="微软雅黑" w:cs="微软雅黑"/>
          <w:color w:val="424242"/>
          <w:sz w:val="27"/>
          <w:szCs w:val="27"/>
        </w:rPr>
      </w:pPr>
      <w:r>
        <w:rPr>
          <w:rFonts w:hint="eastAsia" w:ascii="宋体" w:hAnsi="宋体" w:eastAsia="宋体" w:cs="宋体"/>
          <w:color w:val="424242"/>
          <w:sz w:val="30"/>
          <w:szCs w:val="30"/>
          <w:shd w:val="clear" w:color="auto" w:fill="FFFFFF"/>
        </w:rPr>
        <w:t>第二十一条 本制度由高邑县人民政府负责解释，自2020年6月1日起施行。</w:t>
      </w:r>
    </w:p>
    <w:p w14:paraId="07B127C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TMzZmIyODEyYmQwZGE2MGU2MDg2NjQ2ZDRlZTY2ODcifQ=="/>
  </w:docVars>
  <w:rsids>
    <w:rsidRoot w:val="009B4558"/>
    <w:rsid w:val="00013277"/>
    <w:rsid w:val="000E13F0"/>
    <w:rsid w:val="009B4558"/>
    <w:rsid w:val="3DE71D33"/>
    <w:rsid w:val="543E16C7"/>
    <w:rsid w:val="678336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customStyle="1" w:styleId="7">
    <w:name w:val="页眉 Char"/>
    <w:basedOn w:val="6"/>
    <w:link w:val="3"/>
    <w:uiPriority w:val="0"/>
    <w:rPr>
      <w:rFonts w:asciiTheme="minorHAnsi" w:hAnsiTheme="minorHAnsi" w:eastAsiaTheme="minorEastAsia" w:cstheme="minorBidi"/>
      <w:kern w:val="2"/>
      <w:sz w:val="18"/>
      <w:szCs w:val="18"/>
    </w:rPr>
  </w:style>
  <w:style w:type="character" w:customStyle="1" w:styleId="8">
    <w:name w:val="页脚 Char"/>
    <w:basedOn w:val="6"/>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2195</Words>
  <Characters>2201</Characters>
  <Lines>16</Lines>
  <Paragraphs>4</Paragraphs>
  <TotalTime>12</TotalTime>
  <ScaleCrop>false</ScaleCrop>
  <LinksUpToDate>false</LinksUpToDate>
  <CharactersWithSpaces>2289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2020-08-05T08:22:00Z</dcterms:created>
  <dc:creator>Administrator</dc:creator>
  <cp:lastModifiedBy> </cp:lastModifiedBy>
  <dcterms:modified xsi:type="dcterms:W3CDTF">2024-09-29T08:20:31Z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594E77902C164D7BBB58DAF6F2E31E0E_12</vt:lpwstr>
  </property>
</Properties>
</file>