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高邑县人民政府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关于</w:t>
      </w: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2022</w:t>
      </w:r>
      <w:r>
        <w:rPr>
          <w:rFonts w:hint="eastAsia" w:asciiTheme="majorEastAsia" w:hAnsiTheme="majorEastAsia" w:eastAsiaTheme="majorEastAsia" w:cstheme="majorEastAsia"/>
          <w:sz w:val="44"/>
          <w:szCs w:val="44"/>
        </w:rPr>
        <w:t>年</w:t>
      </w:r>
      <w:r>
        <w:rPr>
          <w:rFonts w:hint="eastAsia" w:asciiTheme="majorEastAsia" w:hAnsiTheme="majorEastAsia" w:eastAsiaTheme="majorEastAsia" w:cstheme="majorEastAsia"/>
          <w:sz w:val="44"/>
          <w:szCs w:val="44"/>
          <w:lang w:eastAsia="zh-CN"/>
        </w:rPr>
        <w:t>度</w:t>
      </w:r>
      <w:r>
        <w:rPr>
          <w:rFonts w:hint="eastAsia" w:asciiTheme="majorEastAsia" w:hAnsiTheme="majorEastAsia" w:eastAsiaTheme="majorEastAsia" w:cstheme="majorEastAsia"/>
          <w:sz w:val="44"/>
          <w:szCs w:val="44"/>
        </w:rPr>
        <w:t>国有资产管理情况的报告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主任、各位副主任、各位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委员</w:t>
      </w:r>
      <w:r>
        <w:rPr>
          <w:rFonts w:hint="eastAsia" w:ascii="仿宋" w:hAnsi="仿宋" w:eastAsia="仿宋" w:cs="仿宋"/>
          <w:sz w:val="32"/>
          <w:szCs w:val="32"/>
        </w:rPr>
        <w:t xml:space="preserve">：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受县政府委托，向县人大常委会报告202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年全县行政事业单位国有资产管理情况，请予审议。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一、基本情况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 w:bidi="ar-SA"/>
        </w:rPr>
        <w:t>（一）资产整体情况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高邑县行政事业单位</w:t>
      </w:r>
      <w:r>
        <w:rPr>
          <w:rFonts w:hint="eastAsia" w:ascii="仿宋" w:hAnsi="仿宋" w:eastAsia="仿宋" w:cs="仿宋"/>
          <w:sz w:val="32"/>
          <w:szCs w:val="32"/>
        </w:rPr>
        <w:t>资产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总额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250061.60</w:t>
      </w:r>
      <w:r>
        <w:rPr>
          <w:rFonts w:hint="eastAsia" w:ascii="仿宋" w:hAnsi="仿宋" w:eastAsia="仿宋" w:cs="仿宋"/>
          <w:sz w:val="32"/>
          <w:szCs w:val="32"/>
        </w:rPr>
        <w:t>万元，其中流动资产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41494.77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，占资产总额的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16.6%</w:t>
      </w:r>
      <w:r>
        <w:rPr>
          <w:rFonts w:hint="eastAsia" w:ascii="仿宋" w:hAnsi="仿宋" w:eastAsia="仿宋" w:cs="仿宋"/>
          <w:sz w:val="32"/>
          <w:szCs w:val="32"/>
        </w:rPr>
        <w:t>；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非流动资产208566.83万元，占资产总额的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83.4%。</w:t>
      </w:r>
    </w:p>
    <w:p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 w:bidi="ar-SA"/>
        </w:rPr>
        <w:t>（二）资产具体情况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固定资产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31291.06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，占资产总额的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12.51%，固定资产的主要构成：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房屋构筑物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15227.09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、设备14380.26万元、</w:t>
      </w:r>
      <w:r>
        <w:rPr>
          <w:rFonts w:hint="eastAsia" w:ascii="仿宋" w:hAnsi="仿宋" w:eastAsia="仿宋" w:cs="仿宋"/>
          <w:sz w:val="32"/>
          <w:szCs w:val="32"/>
        </w:rPr>
        <w:t>图书档案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414.14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家具用具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1267.50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。本年处置房屋构筑物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9.81万元、设备364.81万元、家具用具2.23万元。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无形资产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3533.52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，占资产总额的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1.41%，无形资产的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主要构成：土地使用权3285.48万元、计算机软件235.21万元；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在建工程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21819.80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，占资产总额的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8.73%；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公共基础设施142091.03万元，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占资产总额的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56.82%；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政府储备物资3295.98万元，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占资产总额的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1.32%；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保障性住房6407.52万元，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占资产总额的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2.56%；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其他非流动资产127.92万元，占资产总额的0.05%。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管理情况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我县行政事业单位国有资产管理工作在县委、县政府的领导下，在县人大的监督下，立足资产管理现状，不断完善制度体系，扎实做好基础管理，各项工作有序推进。</w:t>
      </w:r>
    </w:p>
    <w:p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 w:bidi="ar-SA"/>
        </w:rPr>
        <w:t>（一）夯实资产管理基础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一是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进一步细化各项规章制度，夯实制度基础，并抓好组织实施，提升了制度约束力和执行力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。二是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督促各行政事业单位完善预算管理一体化平台信息，为</w:t>
      </w:r>
      <w:r>
        <w:rPr>
          <w:rFonts w:hint="eastAsia" w:ascii="仿宋" w:hAnsi="仿宋" w:eastAsia="仿宋" w:cs="仿宋"/>
          <w:sz w:val="32"/>
          <w:szCs w:val="32"/>
        </w:rPr>
        <w:t>国有资产月报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年报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及</w:t>
      </w:r>
      <w:r>
        <w:rPr>
          <w:rFonts w:hint="eastAsia" w:ascii="仿宋" w:hAnsi="仿宋" w:eastAsia="仿宋" w:cs="仿宋"/>
          <w:sz w:val="32"/>
          <w:szCs w:val="32"/>
        </w:rPr>
        <w:t>产权登记年检工作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打下坚实的数据基础，且形成了从财政资金申请到实物资产形成的全过程链条，大大提高了工作效能和管理水平。</w:t>
      </w:r>
    </w:p>
    <w:p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 w:bidi="ar-SA"/>
        </w:rPr>
        <w:t>（二）细化资产管理责任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按照“行政事业性国有资产属于国家所有，实行政府分级监管、各部门及其所属单位直接支配”的管理体制，建立了“财政部门综合管理、主管部门监督管理、单位具体管理”的监管体系，形成各部门单位各司其职、各负其责、齐抓共管的工作格局。</w:t>
      </w:r>
    </w:p>
    <w:p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 w:bidi="ar-SA"/>
        </w:rPr>
        <w:t>（三）严格资产管理流程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坚持资产管理与预算管理、财务管理相结合，严格资产管理流程。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-SA"/>
        </w:rPr>
        <w:t>一是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优化资产配置，以存量制约增量，以增量调整存量，进一步提高资产配置的科学性和合理性；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-SA"/>
        </w:rPr>
        <w:t>二是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规范资产使用，在日常管理中规范核算入账、资产登记管理、清查盘点等工作，确保账账、账卡、账实相符，提高资产使用效益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-SA"/>
        </w:rPr>
        <w:t>；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  <w:lang w:val="en-US" w:eastAsia="zh-CN" w:bidi="ar-SA"/>
        </w:rPr>
        <w:t>三是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-SA"/>
        </w:rPr>
        <w:t>严格资产处置流程，按照规定权限履行报批程序，资产处置遵循公开、公平和竞争择优原则，处置完毕后的资产及时进行了账务核销；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  <w:lang w:val="en-US" w:eastAsia="zh-CN" w:bidi="ar-SA"/>
        </w:rPr>
        <w:t>四是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-SA"/>
        </w:rPr>
        <w:t>加强资产收入管理，对资产处置收入、出租出借收入按照政府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非税收入管理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的有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关规定，在扣除相关税费后及时上缴国库，实行“收支两条线”管理。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三、存在主要问题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主要是个别单位管理意识淡薄，对国有资产管理不重视，内部管理制度不完善。资产管理系统信息更新不及时，资产使用人、存放地点等发生调整后不能及时更新信息。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四、下一步工作措施</w:t>
      </w:r>
    </w:p>
    <w:p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 w:bidi="ar-SA"/>
        </w:rPr>
        <w:t>（一）强化思想认识，落实管理责任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围绕中央、省、市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、县关于</w:t>
      </w:r>
      <w:r>
        <w:rPr>
          <w:rFonts w:hint="eastAsia" w:ascii="仿宋" w:hAnsi="仿宋" w:eastAsia="仿宋" w:cs="仿宋"/>
          <w:sz w:val="32"/>
          <w:szCs w:val="32"/>
        </w:rPr>
        <w:t>国有资产管理要求，积极推进各单位内控机制的建立健全，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明确</w:t>
      </w:r>
      <w:r>
        <w:rPr>
          <w:rFonts w:hint="eastAsia" w:ascii="仿宋" w:hAnsi="仿宋" w:eastAsia="仿宋" w:cs="仿宋"/>
          <w:sz w:val="32"/>
          <w:szCs w:val="32"/>
        </w:rPr>
        <w:t>责任分工，切实履行好国有资产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管理</w:t>
      </w:r>
      <w:r>
        <w:rPr>
          <w:rFonts w:hint="eastAsia" w:ascii="仿宋" w:hAnsi="仿宋" w:eastAsia="仿宋" w:cs="仿宋"/>
          <w:sz w:val="32"/>
          <w:szCs w:val="32"/>
        </w:rPr>
        <w:t>主体责任。通过有效的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监管</w:t>
      </w:r>
      <w:r>
        <w:rPr>
          <w:rFonts w:hint="eastAsia" w:ascii="仿宋" w:hAnsi="仿宋" w:eastAsia="仿宋" w:cs="仿宋"/>
          <w:sz w:val="32"/>
          <w:szCs w:val="32"/>
        </w:rPr>
        <w:t>手段，增强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各单位</w:t>
      </w:r>
      <w:r>
        <w:rPr>
          <w:rFonts w:hint="eastAsia" w:ascii="仿宋" w:hAnsi="仿宋" w:eastAsia="仿宋" w:cs="仿宋"/>
          <w:sz w:val="32"/>
          <w:szCs w:val="32"/>
        </w:rPr>
        <w:t>国有资产管理意识，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转变“</w:t>
      </w:r>
      <w:r>
        <w:rPr>
          <w:rFonts w:hint="eastAsia" w:ascii="仿宋" w:hAnsi="仿宋" w:eastAsia="仿宋" w:cs="仿宋"/>
          <w:sz w:val="32"/>
          <w:szCs w:val="32"/>
        </w:rPr>
        <w:t>重资金、轻资产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”</w:t>
      </w:r>
      <w:r>
        <w:rPr>
          <w:rFonts w:hint="eastAsia" w:ascii="仿宋" w:hAnsi="仿宋" w:eastAsia="仿宋" w:cs="仿宋"/>
          <w:sz w:val="32"/>
          <w:szCs w:val="32"/>
        </w:rPr>
        <w:t>态度。</w:t>
      </w:r>
    </w:p>
    <w:p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 w:bidi="ar-SA"/>
        </w:rPr>
        <w:t>（二）加强信息化建设，完善监管机制。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进一步完善资产管理系统，督导各单位及时更新系统信息，实现从资产配置、日常使用到资产处置的全方位动态监管，利用系统数据信息全面掌握各单位国有资产管理情况。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3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>（三）加大培训力度，提升管理水平。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加大</w:t>
      </w:r>
      <w:r>
        <w:rPr>
          <w:rFonts w:hint="eastAsia" w:ascii="仿宋" w:hAnsi="仿宋" w:eastAsia="仿宋" w:cs="仿宋"/>
          <w:sz w:val="32"/>
          <w:szCs w:val="32"/>
        </w:rPr>
        <w:t>财务制度和资产管理制度的学习和培训，不断提高全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县</w:t>
      </w:r>
      <w:r>
        <w:rPr>
          <w:rFonts w:hint="eastAsia" w:ascii="仿宋" w:hAnsi="仿宋" w:eastAsia="仿宋" w:cs="仿宋"/>
          <w:sz w:val="32"/>
          <w:szCs w:val="32"/>
        </w:rPr>
        <w:t>国有资产管理人员业务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素质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和</w:t>
      </w:r>
      <w:r>
        <w:rPr>
          <w:rFonts w:hint="eastAsia" w:ascii="仿宋" w:hAnsi="仿宋" w:eastAsia="仿宋" w:cs="仿宋"/>
          <w:sz w:val="32"/>
          <w:szCs w:val="32"/>
        </w:rPr>
        <w:t>能力，进一步严格财务和资产管理制度，确保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国有</w:t>
      </w:r>
      <w:r>
        <w:rPr>
          <w:rFonts w:hint="eastAsia" w:ascii="仿宋" w:hAnsi="仿宋" w:eastAsia="仿宋" w:cs="仿宋"/>
          <w:sz w:val="32"/>
          <w:szCs w:val="32"/>
        </w:rPr>
        <w:t>资产从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配</w:t>
      </w:r>
      <w:r>
        <w:rPr>
          <w:rFonts w:hint="eastAsia" w:ascii="仿宋" w:hAnsi="仿宋" w:eastAsia="仿宋" w:cs="仿宋"/>
          <w:sz w:val="32"/>
          <w:szCs w:val="32"/>
        </w:rPr>
        <w:t>置、使用、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处置</w:t>
      </w:r>
      <w:r>
        <w:rPr>
          <w:rFonts w:hint="eastAsia" w:ascii="仿宋" w:hAnsi="仿宋" w:eastAsia="仿宋" w:cs="仿宋"/>
          <w:sz w:val="32"/>
          <w:szCs w:val="32"/>
        </w:rPr>
        <w:t>每个环节都由专人负责，通过规范有效的管理手段，确保国有资产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不浪费、</w:t>
      </w:r>
      <w:r>
        <w:rPr>
          <w:rFonts w:hint="eastAsia" w:ascii="仿宋" w:hAnsi="仿宋" w:eastAsia="仿宋" w:cs="仿宋"/>
          <w:sz w:val="32"/>
          <w:szCs w:val="32"/>
        </w:rPr>
        <w:t>不流失。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   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zh-CN" w:eastAsia="zh-CN" w:bidi="ar-SA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textAlignment w:val="auto"/>
        <w:rPr>
          <w:rFonts w:hint="eastAsia"/>
          <w:lang w:val="zh-CN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sectPr>
      <w:pgSz w:w="11906" w:h="16838"/>
      <w:pgMar w:top="1701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F58094B"/>
    <w:multiLevelType w:val="singleLevel"/>
    <w:tmpl w:val="CF58094B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VjNmRjZTQzZmEzZDA3ZWRiNzE1NjVjMWY0OGQ0NTMifQ=="/>
  </w:docVars>
  <w:rsids>
    <w:rsidRoot w:val="00000000"/>
    <w:rsid w:val="00D4731E"/>
    <w:rsid w:val="028F5F1F"/>
    <w:rsid w:val="08362B72"/>
    <w:rsid w:val="0FBB241D"/>
    <w:rsid w:val="10876484"/>
    <w:rsid w:val="14CB202B"/>
    <w:rsid w:val="19A435D1"/>
    <w:rsid w:val="1A0C111B"/>
    <w:rsid w:val="1BB04905"/>
    <w:rsid w:val="225F12B3"/>
    <w:rsid w:val="231D668E"/>
    <w:rsid w:val="37F17F91"/>
    <w:rsid w:val="3BFA2EDC"/>
    <w:rsid w:val="3CB26C63"/>
    <w:rsid w:val="3CF4023B"/>
    <w:rsid w:val="4C1550E2"/>
    <w:rsid w:val="5539794F"/>
    <w:rsid w:val="57D95DCE"/>
    <w:rsid w:val="5A2D76F2"/>
    <w:rsid w:val="61307CC4"/>
    <w:rsid w:val="61B76F96"/>
    <w:rsid w:val="629C7966"/>
    <w:rsid w:val="62E60560"/>
    <w:rsid w:val="66166018"/>
    <w:rsid w:val="71A8786A"/>
    <w:rsid w:val="74B60F95"/>
    <w:rsid w:val="74E63744"/>
    <w:rsid w:val="74F65788"/>
    <w:rsid w:val="75E74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widowControl w:val="0"/>
      <w:adjustRightInd/>
      <w:snapToGrid/>
      <w:spacing w:after="0"/>
      <w:ind w:firstLine="420" w:firstLineChars="200"/>
      <w:jc w:val="both"/>
    </w:pPr>
    <w:rPr>
      <w:rFonts w:ascii="Calibri" w:hAnsi="Calibri" w:eastAsia="仿宋_GB2312"/>
      <w:kern w:val="2"/>
      <w:sz w:val="30"/>
      <w:szCs w:val="24"/>
    </w:rPr>
  </w:style>
  <w:style w:type="paragraph" w:styleId="3">
    <w:name w:val="Subtitle"/>
    <w:basedOn w:val="1"/>
    <w:next w:val="1"/>
    <w:qFormat/>
    <w:uiPriority w:val="0"/>
    <w:pPr>
      <w:spacing w:before="240" w:beforeLines="0" w:after="60" w:afterLines="0" w:line="312" w:lineRule="auto"/>
      <w:jc w:val="center"/>
      <w:outlineLvl w:val="1"/>
    </w:pPr>
    <w:rPr>
      <w:b/>
      <w:bCs/>
      <w:kern w:val="28"/>
      <w:sz w:val="32"/>
      <w:szCs w:val="32"/>
    </w:rPr>
  </w:style>
  <w:style w:type="paragraph" w:customStyle="1" w:styleId="6">
    <w:name w:val="Normal Indent"/>
    <w:basedOn w:val="1"/>
    <w:next w:val="3"/>
    <w:qFormat/>
    <w:uiPriority w:val="0"/>
    <w:pPr>
      <w:ind w:firstLine="420" w:firstLineChars="200"/>
    </w:pPr>
    <w:rPr>
      <w:rFonts w:eastAsia="仿宋_GB2312"/>
      <w:sz w:val="3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1411</Words>
  <Characters>1570</Characters>
  <Lines>0</Lines>
  <Paragraphs>0</Paragraphs>
  <TotalTime>6</TotalTime>
  <ScaleCrop>false</ScaleCrop>
  <LinksUpToDate>false</LinksUpToDate>
  <CharactersWithSpaces>1576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2023-05-22T03:55:00Z</dcterms:created>
  <dc:creator>Administrator</dc:creator>
  <cp:lastModifiedBy>Stand with you for over</cp:lastModifiedBy>
  <cp:lastPrinted>2023-05-23T01:23:00Z</cp:lastPrinted>
  <dcterms:modified xsi:type="dcterms:W3CDTF">2023-11-27T06:35:43Z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A0BE2D3364EC46F09495A23157393489</vt:lpwstr>
  </property>
</Properties>
</file>