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shd w:val="clear" w:color="auto" w:fill="FFFFFF"/>
        <w:kinsoku/>
        <w:wordWrap/>
        <w:overflowPunct/>
        <w:topLinePunct w:val="0"/>
        <w:bidi w:val="0"/>
        <w:spacing w:after="0" w:line="600" w:lineRule="exact"/>
        <w:ind w:left="0" w:leftChars="0"/>
        <w:jc w:val="center"/>
        <w:textAlignment w:val="auto"/>
        <w:outlineLvl w:val="9"/>
        <w:rPr>
          <w:rFonts w:hint="eastAsia" w:ascii="方正小标宋简体" w:hAnsi="方正小标宋简体" w:eastAsia="方正小标宋简体" w:cs="方正小标宋简体"/>
          <w:color w:val="000000" w:themeColor="text1"/>
          <w:sz w:val="44"/>
          <w:szCs w:val="44"/>
          <w14:textFill>
            <w14:solidFill>
              <w14:schemeClr w14:val="tx1"/>
            </w14:solidFill>
          </w14:textFill>
        </w:rPr>
      </w:pPr>
    </w:p>
    <w:p>
      <w:pPr>
        <w:keepNext w:val="0"/>
        <w:keepLines w:val="0"/>
        <w:pageBreakBefore w:val="0"/>
        <w:widowControl w:val="0"/>
        <w:shd w:val="clear" w:color="auto" w:fill="FFFFFF"/>
        <w:kinsoku/>
        <w:wordWrap/>
        <w:overflowPunct/>
        <w:topLinePunct w:val="0"/>
        <w:bidi w:val="0"/>
        <w:spacing w:after="0" w:line="600" w:lineRule="exact"/>
        <w:ind w:left="0" w:leftChars="0"/>
        <w:jc w:val="center"/>
        <w:textAlignment w:val="auto"/>
        <w:outlineLvl w:val="9"/>
        <w:rPr>
          <w:rFonts w:hint="eastAsia" w:ascii="方正小标宋简体" w:hAnsi="方正小标宋简体" w:eastAsia="方正小标宋简体" w:cs="方正小标宋简体"/>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14:textFill>
            <w14:solidFill>
              <w14:schemeClr w14:val="tx1"/>
            </w14:solidFill>
          </w14:textFill>
        </w:rPr>
        <w:t>关于2021年国有资产管理情况的报告</w:t>
      </w:r>
    </w:p>
    <w:p>
      <w:pPr>
        <w:keepNext w:val="0"/>
        <w:keepLines w:val="0"/>
        <w:pageBreakBefore w:val="0"/>
        <w:widowControl w:val="0"/>
        <w:shd w:val="clear" w:color="auto" w:fill="FFFFFF"/>
        <w:kinsoku/>
        <w:wordWrap/>
        <w:overflowPunct/>
        <w:topLinePunct w:val="0"/>
        <w:bidi w:val="0"/>
        <w:spacing w:after="0" w:line="600" w:lineRule="exact"/>
        <w:ind w:left="0" w:leftChars="0"/>
        <w:jc w:val="center"/>
        <w:textAlignment w:val="auto"/>
        <w:outlineLvl w:val="9"/>
        <w:rPr>
          <w:rFonts w:hint="eastAsia" w:ascii="楷体_GB2312" w:hAnsi="楷体_GB2312" w:eastAsia="楷体_GB2312" w:cs="楷体_GB2312"/>
          <w:color w:val="000000" w:themeColor="text1"/>
          <w:sz w:val="44"/>
          <w:szCs w:val="44"/>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val="0"/>
        <w:snapToGrid w:val="0"/>
        <w:spacing w:after="0" w:line="600" w:lineRule="exact"/>
        <w:textAlignment w:val="auto"/>
        <w:outlineLvl w:val="9"/>
        <w:rPr>
          <w:rFonts w:ascii="仿宋_GB2312" w:hAnsi="仿宋" w:eastAsia="仿宋_GB2312"/>
          <w:sz w:val="32"/>
          <w:szCs w:val="32"/>
        </w:rPr>
      </w:pPr>
      <w:r>
        <w:rPr>
          <w:rFonts w:hint="eastAsia" w:ascii="仿宋_GB2312" w:hAnsi="仿宋" w:eastAsia="仿宋_GB2312"/>
          <w:sz w:val="32"/>
          <w:szCs w:val="32"/>
        </w:rPr>
        <w:t>主任、各位副主任，各位委员：</w:t>
      </w:r>
    </w:p>
    <w:p>
      <w:pPr>
        <w:keepNext w:val="0"/>
        <w:keepLines w:val="0"/>
        <w:pageBreakBefore w:val="0"/>
        <w:widowControl w:val="0"/>
        <w:kinsoku/>
        <w:wordWrap/>
        <w:overflowPunct/>
        <w:topLinePunct w:val="0"/>
        <w:autoSpaceDE/>
        <w:autoSpaceDN/>
        <w:bidi w:val="0"/>
        <w:adjustRightInd w:val="0"/>
        <w:snapToGrid w:val="0"/>
        <w:spacing w:after="0" w:line="600" w:lineRule="exact"/>
        <w:ind w:left="0" w:leftChars="0" w:firstLine="640" w:firstLineChars="200"/>
        <w:jc w:val="both"/>
        <w:textAlignment w:val="auto"/>
        <w:outlineLvl w:val="9"/>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受县政府委托，向县人大常委会报告</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2021</w:t>
      </w:r>
      <w:bookmarkStart w:id="0" w:name="_GoBack"/>
      <w:bookmarkEnd w:id="0"/>
      <w:r>
        <w:rPr>
          <w:rFonts w:hint="eastAsia" w:ascii="仿宋_GB2312" w:hAnsi="仿宋_GB2312" w:eastAsia="仿宋_GB2312" w:cs="仿宋_GB2312"/>
          <w:color w:val="000000" w:themeColor="text1"/>
          <w:sz w:val="32"/>
          <w:szCs w:val="32"/>
          <w14:textFill>
            <w14:solidFill>
              <w14:schemeClr w14:val="tx1"/>
            </w14:solidFill>
          </w14:textFill>
        </w:rPr>
        <w:t>年全县行政事业单位国有资产管理情况，请予审议。</w:t>
      </w:r>
    </w:p>
    <w:p>
      <w:pPr>
        <w:keepNext w:val="0"/>
        <w:keepLines w:val="0"/>
        <w:pageBreakBefore w:val="0"/>
        <w:widowControl w:val="0"/>
        <w:numPr>
          <w:ilvl w:val="0"/>
          <w:numId w:val="1"/>
        </w:numPr>
        <w:shd w:val="clear" w:color="auto" w:fill="FFFFFF"/>
        <w:kinsoku/>
        <w:wordWrap/>
        <w:overflowPunct/>
        <w:topLinePunct w:val="0"/>
        <w:autoSpaceDE/>
        <w:autoSpaceDN/>
        <w:bidi w:val="0"/>
        <w:spacing w:after="0" w:line="600" w:lineRule="exact"/>
        <w:ind w:left="0" w:leftChars="0" w:firstLine="640" w:firstLineChars="200"/>
        <w:textAlignment w:val="auto"/>
        <w:outlineLvl w:val="9"/>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行政事业</w:t>
      </w:r>
      <w:r>
        <w:rPr>
          <w:rFonts w:hint="eastAsia" w:ascii="黑体" w:hAnsi="黑体" w:eastAsia="黑体" w:cs="黑体"/>
          <w:color w:val="000000" w:themeColor="text1"/>
          <w:sz w:val="32"/>
          <w:szCs w:val="32"/>
          <w:lang w:eastAsia="zh-CN"/>
          <w14:textFill>
            <w14:solidFill>
              <w14:schemeClr w14:val="tx1"/>
            </w14:solidFill>
          </w14:textFill>
        </w:rPr>
        <w:t>单位</w:t>
      </w:r>
      <w:r>
        <w:rPr>
          <w:rFonts w:hint="eastAsia" w:ascii="黑体" w:hAnsi="黑体" w:eastAsia="黑体" w:cs="黑体"/>
          <w:color w:val="000000" w:themeColor="text1"/>
          <w:sz w:val="32"/>
          <w:szCs w:val="32"/>
          <w14:textFill>
            <w14:solidFill>
              <w14:schemeClr w14:val="tx1"/>
            </w14:solidFill>
          </w14:textFill>
        </w:rPr>
        <w:t>国有资产情况</w:t>
      </w:r>
    </w:p>
    <w:p>
      <w:pPr>
        <w:keepNext w:val="0"/>
        <w:keepLines w:val="0"/>
        <w:pageBreakBefore w:val="0"/>
        <w:widowControl w:val="0"/>
        <w:numPr>
          <w:ilvl w:val="0"/>
          <w:numId w:val="0"/>
        </w:numPr>
        <w:shd w:val="clear" w:color="auto" w:fill="FFFFFF"/>
        <w:kinsoku/>
        <w:wordWrap/>
        <w:overflowPunct/>
        <w:topLinePunct w:val="0"/>
        <w:autoSpaceDE/>
        <w:autoSpaceDN/>
        <w:bidi w:val="0"/>
        <w:adjustRightInd w:val="0"/>
        <w:snapToGrid w:val="0"/>
        <w:spacing w:after="0" w:line="600" w:lineRule="exact"/>
        <w:ind w:left="0" w:leftChars="0" w:firstLine="640" w:firstLineChars="200"/>
        <w:textAlignment w:val="auto"/>
        <w:outlineLvl w:val="9"/>
        <w:rPr>
          <w:rFonts w:hint="eastAsia" w:ascii="楷体_GB2312" w:hAnsi="楷体_GB2312" w:eastAsia="楷体_GB2312" w:cs="楷体_GB2312"/>
          <w:color w:val="000000" w:themeColor="text1"/>
          <w:sz w:val="32"/>
          <w:szCs w:val="32"/>
          <w:lang w:val="zh-CN"/>
          <w14:textFill>
            <w14:solidFill>
              <w14:schemeClr w14:val="tx1"/>
            </w14:solidFill>
          </w14:textFill>
        </w:rPr>
      </w:pPr>
      <w:r>
        <w:rPr>
          <w:rFonts w:hint="eastAsia" w:ascii="楷体_GB2312" w:hAnsi="楷体_GB2312" w:eastAsia="楷体_GB2312" w:cs="楷体_GB2312"/>
          <w:color w:val="000000" w:themeColor="text1"/>
          <w:sz w:val="32"/>
          <w:szCs w:val="32"/>
          <w:lang w:val="zh-CN"/>
          <w14:textFill>
            <w14:solidFill>
              <w14:schemeClr w14:val="tx1"/>
            </w14:solidFill>
          </w14:textFill>
        </w:rPr>
        <w:t>（一）机构人员情况</w:t>
      </w:r>
    </w:p>
    <w:p>
      <w:pPr>
        <w:keepNext w:val="0"/>
        <w:keepLines w:val="0"/>
        <w:pageBreakBefore w:val="0"/>
        <w:widowControl w:val="0"/>
        <w:shd w:val="clear" w:color="auto" w:fill="FFFFFF"/>
        <w:kinsoku/>
        <w:wordWrap/>
        <w:overflowPunct/>
        <w:topLinePunct w:val="0"/>
        <w:autoSpaceDE/>
        <w:autoSpaceDN/>
        <w:bidi w:val="0"/>
        <w:adjustRightInd/>
        <w:snapToGrid/>
        <w:spacing w:after="0" w:line="600" w:lineRule="exact"/>
        <w:ind w:left="0" w:leftChars="0" w:firstLine="640" w:firstLineChars="200"/>
        <w:jc w:val="both"/>
        <w:textAlignment w:val="auto"/>
        <w:outlineLvl w:val="9"/>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val="zh-CN"/>
          <w14:textFill>
            <w14:solidFill>
              <w14:schemeClr w14:val="tx1"/>
            </w14:solidFill>
          </w14:textFill>
        </w:rPr>
        <w:t>截止2021年底</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我县</w:t>
      </w:r>
      <w:r>
        <w:rPr>
          <w:rFonts w:hint="eastAsia" w:ascii="仿宋_GB2312" w:hAnsi="仿宋_GB2312" w:eastAsia="仿宋_GB2312" w:cs="仿宋_GB2312"/>
          <w:sz w:val="32"/>
          <w:szCs w:val="32"/>
          <w:lang w:eastAsia="zh-CN"/>
        </w:rPr>
        <w:t>编报行政事业</w:t>
      </w:r>
      <w:r>
        <w:rPr>
          <w:rFonts w:hint="eastAsia" w:ascii="仿宋_GB2312" w:hAnsi="仿宋_GB2312" w:eastAsia="仿宋_GB2312" w:cs="仿宋_GB2312"/>
          <w:color w:val="000000" w:themeColor="text1"/>
          <w:sz w:val="32"/>
          <w:szCs w:val="32"/>
          <w14:textFill>
            <w14:solidFill>
              <w14:schemeClr w14:val="tx1"/>
            </w14:solidFill>
          </w14:textFill>
        </w:rPr>
        <w:t xml:space="preserve">单位共89家，实有人数4719人。 </w:t>
      </w:r>
    </w:p>
    <w:p>
      <w:pPr>
        <w:keepNext w:val="0"/>
        <w:keepLines w:val="0"/>
        <w:pageBreakBefore w:val="0"/>
        <w:widowControl w:val="0"/>
        <w:numPr>
          <w:ilvl w:val="0"/>
          <w:numId w:val="0"/>
        </w:numPr>
        <w:shd w:val="clear" w:color="auto" w:fill="FFFFFF"/>
        <w:kinsoku/>
        <w:wordWrap/>
        <w:overflowPunct/>
        <w:topLinePunct w:val="0"/>
        <w:autoSpaceDE/>
        <w:autoSpaceDN/>
        <w:bidi w:val="0"/>
        <w:adjustRightInd w:val="0"/>
        <w:snapToGrid w:val="0"/>
        <w:spacing w:after="0" w:line="600" w:lineRule="exact"/>
        <w:ind w:left="0" w:leftChars="0" w:firstLine="640" w:firstLineChars="200"/>
        <w:textAlignment w:val="auto"/>
        <w:outlineLvl w:val="9"/>
        <w:rPr>
          <w:rFonts w:hint="eastAsia" w:ascii="楷体_GB2312" w:hAnsi="楷体_GB2312" w:eastAsia="楷体_GB2312" w:cs="楷体_GB2312"/>
          <w:color w:val="000000" w:themeColor="text1"/>
          <w:sz w:val="32"/>
          <w:szCs w:val="32"/>
          <w:lang w:val="zh-CN" w:eastAsia="zh-CN"/>
          <w14:textFill>
            <w14:solidFill>
              <w14:schemeClr w14:val="tx1"/>
            </w14:solidFill>
          </w14:textFill>
        </w:rPr>
      </w:pPr>
      <w:r>
        <w:rPr>
          <w:rFonts w:hint="eastAsia" w:ascii="楷体_GB2312" w:hAnsi="楷体_GB2312" w:eastAsia="楷体_GB2312" w:cs="楷体_GB2312"/>
          <w:color w:val="000000" w:themeColor="text1"/>
          <w:sz w:val="32"/>
          <w:szCs w:val="32"/>
          <w:lang w:val="zh-CN"/>
          <w14:textFill>
            <w14:solidFill>
              <w14:schemeClr w14:val="tx1"/>
            </w14:solidFill>
          </w14:textFill>
        </w:rPr>
        <w:t>（二）资产负债</w:t>
      </w:r>
      <w:r>
        <w:rPr>
          <w:rFonts w:hint="eastAsia" w:ascii="楷体_GB2312" w:hAnsi="楷体_GB2312" w:eastAsia="楷体_GB2312" w:cs="楷体_GB2312"/>
          <w:color w:val="000000" w:themeColor="text1"/>
          <w:sz w:val="32"/>
          <w:szCs w:val="32"/>
          <w:lang w:val="zh-CN" w:eastAsia="zh-CN"/>
          <w14:textFill>
            <w14:solidFill>
              <w14:schemeClr w14:val="tx1"/>
            </w14:solidFill>
          </w14:textFill>
        </w:rPr>
        <w:t>情况分析</w:t>
      </w:r>
    </w:p>
    <w:p>
      <w:pPr>
        <w:keepNext w:val="0"/>
        <w:keepLines w:val="0"/>
        <w:pageBreakBefore w:val="0"/>
        <w:widowControl w:val="0"/>
        <w:kinsoku/>
        <w:wordWrap/>
        <w:overflowPunct/>
        <w:topLinePunct w:val="0"/>
        <w:autoSpaceDE/>
        <w:autoSpaceDN/>
        <w:bidi w:val="0"/>
        <w:adjustRightInd w:val="0"/>
        <w:snapToGrid w:val="0"/>
        <w:spacing w:after="0" w:line="600" w:lineRule="exact"/>
        <w:ind w:left="0" w:lef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zh-CN"/>
          <w14:textFill>
            <w14:solidFill>
              <w14:schemeClr w14:val="tx1"/>
            </w14:solidFill>
          </w14:textFill>
        </w:rPr>
        <w:t>全</w:t>
      </w:r>
      <w:r>
        <w:rPr>
          <w:rFonts w:hint="eastAsia" w:ascii="仿宋_GB2312" w:hAnsi="仿宋_GB2312" w:eastAsia="仿宋_GB2312" w:cs="仿宋_GB2312"/>
          <w:color w:val="000000" w:themeColor="text1"/>
          <w:sz w:val="32"/>
          <w:szCs w:val="32"/>
          <w:lang w:val="zh-CN" w:eastAsia="zh-CN"/>
          <w14:textFill>
            <w14:solidFill>
              <w14:schemeClr w14:val="tx1"/>
            </w14:solidFill>
          </w14:textFill>
        </w:rPr>
        <w:t>县</w:t>
      </w:r>
      <w:r>
        <w:rPr>
          <w:rFonts w:hint="eastAsia" w:ascii="仿宋_GB2312" w:hAnsi="仿宋_GB2312" w:eastAsia="仿宋_GB2312" w:cs="仿宋_GB2312"/>
          <w:color w:val="000000" w:themeColor="text1"/>
          <w:sz w:val="32"/>
          <w:szCs w:val="32"/>
          <w:lang w:val="zh-CN"/>
          <w14:textFill>
            <w14:solidFill>
              <w14:schemeClr w14:val="tx1"/>
            </w14:solidFill>
          </w14:textFill>
        </w:rPr>
        <w:t>行政事业单位资产总额</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259713.57万元</w:t>
      </w:r>
      <w:r>
        <w:rPr>
          <w:rFonts w:hint="eastAsia" w:ascii="仿宋_GB2312" w:hAnsi="仿宋_GB2312" w:eastAsia="仿宋_GB2312" w:cs="仿宋_GB2312"/>
          <w:color w:val="000000" w:themeColor="text1"/>
          <w:sz w:val="32"/>
          <w:szCs w:val="32"/>
          <w:lang w:val="zh-CN"/>
          <w14:textFill>
            <w14:solidFill>
              <w14:schemeClr w14:val="tx1"/>
            </w14:solidFill>
          </w14:textFill>
        </w:rPr>
        <w:t>，负债总额25784.63</w:t>
      </w:r>
      <w:r>
        <w:rPr>
          <w:rFonts w:hint="eastAsia" w:ascii="仿宋_GB2312" w:hAnsi="仿宋_GB2312" w:eastAsia="仿宋_GB2312" w:cs="仿宋_GB2312"/>
          <w:color w:val="000000" w:themeColor="text1"/>
          <w:sz w:val="32"/>
          <w:szCs w:val="32"/>
          <w:lang w:val="zh-CN" w:eastAsia="zh-CN"/>
          <w14:textFill>
            <w14:solidFill>
              <w14:schemeClr w14:val="tx1"/>
            </w14:solidFill>
          </w14:textFill>
        </w:rPr>
        <w:t>万</w:t>
      </w:r>
      <w:r>
        <w:rPr>
          <w:rFonts w:hint="eastAsia" w:ascii="仿宋_GB2312" w:hAnsi="仿宋_GB2312" w:eastAsia="仿宋_GB2312" w:cs="仿宋_GB2312"/>
          <w:color w:val="000000" w:themeColor="text1"/>
          <w:sz w:val="32"/>
          <w:szCs w:val="32"/>
          <w:lang w:val="zh-CN"/>
          <w14:textFill>
            <w14:solidFill>
              <w14:schemeClr w14:val="tx1"/>
            </w14:solidFill>
          </w14:textFill>
        </w:rPr>
        <w:t>元，净资产总额233928.94</w:t>
      </w:r>
      <w:r>
        <w:rPr>
          <w:rFonts w:hint="eastAsia" w:ascii="仿宋_GB2312" w:hAnsi="仿宋_GB2312" w:eastAsia="仿宋_GB2312" w:cs="仿宋_GB2312"/>
          <w:color w:val="000000" w:themeColor="text1"/>
          <w:sz w:val="32"/>
          <w:szCs w:val="32"/>
          <w:lang w:val="zh-CN" w:eastAsia="zh-CN"/>
          <w14:textFill>
            <w14:solidFill>
              <w14:schemeClr w14:val="tx1"/>
            </w14:solidFill>
          </w14:textFill>
        </w:rPr>
        <w:t>万</w:t>
      </w:r>
      <w:r>
        <w:rPr>
          <w:rFonts w:hint="eastAsia" w:ascii="仿宋_GB2312" w:hAnsi="仿宋_GB2312" w:eastAsia="仿宋_GB2312" w:cs="仿宋_GB2312"/>
          <w:color w:val="000000" w:themeColor="text1"/>
          <w:sz w:val="32"/>
          <w:szCs w:val="32"/>
          <w:lang w:val="zh-CN"/>
          <w14:textFill>
            <w14:solidFill>
              <w14:schemeClr w14:val="tx1"/>
            </w14:solidFill>
          </w14:textFill>
        </w:rPr>
        <w:t>元</w:t>
      </w:r>
      <w:r>
        <w:rPr>
          <w:rFonts w:hint="eastAsia" w:ascii="仿宋_GB2312" w:hAnsi="仿宋_GB2312" w:eastAsia="仿宋_GB2312" w:cs="仿宋_GB2312"/>
          <w:color w:val="000000" w:themeColor="text1"/>
          <w:sz w:val="32"/>
          <w:szCs w:val="32"/>
          <w:lang w:val="zh-CN" w:eastAsia="zh-CN"/>
          <w14:textFill>
            <w14:solidFill>
              <w14:schemeClr w14:val="tx1"/>
            </w14:solidFill>
          </w14:textFill>
        </w:rPr>
        <w:t>。</w:t>
      </w:r>
    </w:p>
    <w:p>
      <w:pPr>
        <w:keepNext w:val="0"/>
        <w:keepLines w:val="0"/>
        <w:pageBreakBefore w:val="0"/>
        <w:widowControl w:val="0"/>
        <w:shd w:val="clear" w:color="auto" w:fill="FFFFFF"/>
        <w:kinsoku/>
        <w:wordWrap/>
        <w:overflowPunct/>
        <w:topLinePunct w:val="0"/>
        <w:bidi w:val="0"/>
        <w:adjustRightInd/>
        <w:snapToGrid/>
        <w:spacing w:after="0" w:line="600" w:lineRule="exact"/>
        <w:ind w:left="0" w:leftChars="0" w:firstLine="640" w:firstLineChars="200"/>
        <w:textAlignment w:val="auto"/>
        <w:outlineLvl w:val="9"/>
        <w:rPr>
          <w:rFonts w:hint="eastAsia" w:ascii="楷体_GB2312" w:hAnsi="楷体_GB2312" w:eastAsia="楷体_GB2312" w:cs="楷体_GB2312"/>
          <w:color w:val="000000" w:themeColor="text1"/>
          <w:sz w:val="32"/>
          <w:szCs w:val="32"/>
          <w:lang w:val="zh-CN"/>
          <w14:textFill>
            <w14:solidFill>
              <w14:schemeClr w14:val="tx1"/>
            </w14:solidFill>
          </w14:textFill>
        </w:rPr>
      </w:pPr>
      <w:r>
        <w:rPr>
          <w:rFonts w:hint="eastAsia" w:ascii="楷体_GB2312" w:hAnsi="楷体_GB2312" w:eastAsia="楷体_GB2312" w:cs="楷体_GB2312"/>
          <w:color w:val="000000" w:themeColor="text1"/>
          <w:sz w:val="32"/>
          <w:szCs w:val="32"/>
          <w:lang w:val="zh-CN"/>
          <w14:textFill>
            <w14:solidFill>
              <w14:schemeClr w14:val="tx1"/>
            </w14:solidFill>
          </w14:textFill>
        </w:rPr>
        <w:t>（三）资产情况分析</w:t>
      </w:r>
    </w:p>
    <w:p>
      <w:pPr>
        <w:keepNext w:val="0"/>
        <w:keepLines w:val="0"/>
        <w:pageBreakBefore w:val="0"/>
        <w:widowControl w:val="0"/>
        <w:shd w:val="clear" w:color="auto" w:fill="FFFFFF"/>
        <w:kinsoku/>
        <w:wordWrap/>
        <w:overflowPunct/>
        <w:topLinePunct w:val="0"/>
        <w:autoSpaceDE/>
        <w:autoSpaceDN/>
        <w:bidi w:val="0"/>
        <w:adjustRightInd/>
        <w:snapToGrid/>
        <w:spacing w:after="0" w:line="600" w:lineRule="exact"/>
        <w:ind w:left="0" w:leftChars="0" w:firstLine="640" w:firstLineChars="200"/>
        <w:jc w:val="both"/>
        <w:textAlignment w:val="auto"/>
        <w:outlineLvl w:val="9"/>
        <w:rPr>
          <w:rFonts w:hint="eastAsia" w:ascii="仿宋_GB2312" w:hAnsi="仿宋_GB2312" w:eastAsia="仿宋_GB2312" w:cs="仿宋_GB2312"/>
          <w:color w:val="000000" w:themeColor="text1"/>
          <w:sz w:val="32"/>
          <w:szCs w:val="32"/>
          <w:lang w:val="zh-CN"/>
          <w14:textFill>
            <w14:solidFill>
              <w14:schemeClr w14:val="tx1"/>
            </w14:solidFill>
          </w14:textFill>
        </w:rPr>
      </w:pPr>
      <w:r>
        <w:rPr>
          <w:rFonts w:hint="eastAsia" w:ascii="仿宋_GB2312" w:hAnsi="仿宋_GB2312" w:eastAsia="仿宋_GB2312" w:cs="仿宋_GB2312"/>
          <w:color w:val="000000" w:themeColor="text1"/>
          <w:sz w:val="32"/>
          <w:szCs w:val="32"/>
          <w:lang w:val="zh-CN"/>
          <w14:textFill>
            <w14:solidFill>
              <w14:schemeClr w14:val="tx1"/>
            </w14:solidFill>
          </w14:textFill>
        </w:rPr>
        <w:t>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zh-CN"/>
          <w14:textFill>
            <w14:solidFill>
              <w14:schemeClr w14:val="tx1"/>
            </w14:solidFill>
          </w14:textFill>
        </w:rPr>
        <w:t>资产整体情况。截至2021年底，全县行政事业性国有资产总额259713.57 万元。其中：流动资产45334.18万元，固定资产净值32564.92万元，无形资产净值3550.16万元，在建工程26693.09万元，政府储备物资3645.20万元，公共基础设施净值141406.53万元，保障性住房净值6407.52万元，其他非流动资产111.97万元。</w:t>
      </w:r>
    </w:p>
    <w:p>
      <w:pPr>
        <w:keepNext w:val="0"/>
        <w:keepLines w:val="0"/>
        <w:pageBreakBefore w:val="0"/>
        <w:widowControl w:val="0"/>
        <w:shd w:val="clear" w:color="auto" w:fill="FFFFFF"/>
        <w:kinsoku/>
        <w:wordWrap/>
        <w:overflowPunct/>
        <w:topLinePunct w:val="0"/>
        <w:autoSpaceDE/>
        <w:autoSpaceDN/>
        <w:bidi w:val="0"/>
        <w:adjustRightInd/>
        <w:snapToGrid/>
        <w:spacing w:after="0" w:line="600" w:lineRule="exact"/>
        <w:ind w:left="0" w:leftChars="0" w:firstLine="640" w:firstLineChars="200"/>
        <w:jc w:val="both"/>
        <w:textAlignment w:val="auto"/>
        <w:outlineLvl w:val="9"/>
        <w:rPr>
          <w:rFonts w:hint="eastAsia" w:ascii="仿宋_GB2312" w:hAnsi="仿宋_GB2312" w:eastAsia="仿宋_GB2312" w:cs="仿宋_GB2312"/>
          <w:color w:val="000000" w:themeColor="text1"/>
          <w:sz w:val="32"/>
          <w:szCs w:val="32"/>
          <w:lang w:val="zh-CN"/>
          <w14:textFill>
            <w14:solidFill>
              <w14:schemeClr w14:val="tx1"/>
            </w14:solidFill>
          </w14:textFill>
        </w:rPr>
      </w:pPr>
      <w:r>
        <w:rPr>
          <w:rFonts w:hint="eastAsia" w:ascii="仿宋_GB2312" w:hAnsi="仿宋_GB2312" w:eastAsia="仿宋_GB2312" w:cs="仿宋_GB2312"/>
          <w:color w:val="000000" w:themeColor="text1"/>
          <w:sz w:val="32"/>
          <w:szCs w:val="32"/>
          <w:lang w:val="zh-CN"/>
          <w14:textFill>
            <w14:solidFill>
              <w14:schemeClr w14:val="tx1"/>
            </w14:solidFill>
          </w14:textFill>
        </w:rPr>
        <w:t>（1）固定资产情况。经盘点统计，全县固定资产净值32564.92万元。其中</w:t>
      </w:r>
      <w:r>
        <w:rPr>
          <w:rFonts w:hint="eastAsia" w:ascii="仿宋_GB2312" w:hAnsi="仿宋_GB2312" w:eastAsia="仿宋_GB2312" w:cs="仿宋_GB2312"/>
          <w:color w:val="000000" w:themeColor="text1"/>
          <w:sz w:val="32"/>
          <w:szCs w:val="32"/>
          <w:lang w:val="zh-CN" w:eastAsia="zh-CN"/>
          <w14:textFill>
            <w14:solidFill>
              <w14:schemeClr w14:val="tx1"/>
            </w14:solidFill>
          </w14:textFill>
        </w:rPr>
        <w:t>重点构成</w:t>
      </w:r>
      <w:r>
        <w:rPr>
          <w:rFonts w:hint="eastAsia" w:ascii="仿宋_GB2312" w:hAnsi="仿宋_GB2312" w:eastAsia="仿宋_GB2312" w:cs="仿宋_GB2312"/>
          <w:color w:val="000000" w:themeColor="text1"/>
          <w:sz w:val="32"/>
          <w:szCs w:val="32"/>
          <w:lang w:val="zh-CN"/>
          <w14:textFill>
            <w14:solidFill>
              <w14:schemeClr w14:val="tx1"/>
            </w14:solidFill>
          </w14:textFill>
        </w:rPr>
        <w:t xml:space="preserve">：房屋及构筑物净值15431.67万元，通用设备净值7524.32万元，专用设备净值8018.37万元，图书档案净值386.47万元，家具用具装具动植物净值 1202.38万元。                            </w:t>
      </w:r>
    </w:p>
    <w:p>
      <w:pPr>
        <w:keepNext w:val="0"/>
        <w:keepLines w:val="0"/>
        <w:pageBreakBefore w:val="0"/>
        <w:widowControl w:val="0"/>
        <w:shd w:val="clear" w:color="auto" w:fill="FFFFFF"/>
        <w:kinsoku/>
        <w:wordWrap/>
        <w:overflowPunct/>
        <w:topLinePunct w:val="0"/>
        <w:autoSpaceDE/>
        <w:autoSpaceDN/>
        <w:bidi w:val="0"/>
        <w:adjustRightInd/>
        <w:snapToGrid/>
        <w:spacing w:after="0" w:line="600" w:lineRule="exact"/>
        <w:ind w:left="0" w:leftChars="0" w:firstLine="640" w:firstLineChars="200"/>
        <w:jc w:val="both"/>
        <w:textAlignment w:val="auto"/>
        <w:outlineLvl w:val="9"/>
        <w:rPr>
          <w:rFonts w:hint="eastAsia" w:ascii="仿宋_GB2312" w:hAnsi="仿宋_GB2312" w:eastAsia="仿宋_GB2312" w:cs="仿宋_GB2312"/>
          <w:color w:val="000000" w:themeColor="text1"/>
          <w:sz w:val="32"/>
          <w:szCs w:val="32"/>
          <w:lang w:val="zh-CN"/>
          <w14:textFill>
            <w14:solidFill>
              <w14:schemeClr w14:val="tx1"/>
            </w14:solidFill>
          </w14:textFill>
        </w:rPr>
      </w:pPr>
      <w:r>
        <w:rPr>
          <w:rFonts w:hint="eastAsia" w:ascii="仿宋_GB2312" w:hAnsi="仿宋_GB2312" w:eastAsia="仿宋_GB2312" w:cs="仿宋_GB2312"/>
          <w:color w:val="000000" w:themeColor="text1"/>
          <w:sz w:val="32"/>
          <w:szCs w:val="32"/>
          <w:lang w:val="zh-CN"/>
          <w14:textFill>
            <w14:solidFill>
              <w14:schemeClr w14:val="tx1"/>
            </w14:solidFill>
          </w14:textFill>
        </w:rPr>
        <w:t xml:space="preserve">（2）无形资产情况。全县无形资产净值为3550.16万元。其中重点构成：土地使用权3285.47万元，计算机软件250.48万元。                     </w:t>
      </w:r>
    </w:p>
    <w:p>
      <w:pPr>
        <w:keepNext w:val="0"/>
        <w:keepLines w:val="0"/>
        <w:pageBreakBefore w:val="0"/>
        <w:widowControl w:val="0"/>
        <w:shd w:val="clear" w:color="auto" w:fill="FFFFFF"/>
        <w:kinsoku/>
        <w:wordWrap/>
        <w:overflowPunct/>
        <w:topLinePunct w:val="0"/>
        <w:autoSpaceDE/>
        <w:autoSpaceDN/>
        <w:bidi w:val="0"/>
        <w:adjustRightInd/>
        <w:snapToGrid/>
        <w:spacing w:after="0" w:line="600" w:lineRule="exact"/>
        <w:ind w:left="0" w:leftChars="0" w:firstLine="640" w:firstLineChars="200"/>
        <w:jc w:val="both"/>
        <w:textAlignment w:val="auto"/>
        <w:outlineLvl w:val="9"/>
        <w:rPr>
          <w:rFonts w:hint="eastAsia" w:ascii="仿宋_GB2312" w:hAnsi="仿宋_GB2312" w:eastAsia="仿宋_GB2312" w:cs="仿宋_GB2312"/>
          <w:color w:val="000000" w:themeColor="text1"/>
          <w:sz w:val="32"/>
          <w:szCs w:val="32"/>
          <w:lang w:val="zh-CN"/>
          <w14:textFill>
            <w14:solidFill>
              <w14:schemeClr w14:val="tx1"/>
            </w14:solidFill>
          </w14:textFill>
        </w:rPr>
      </w:pPr>
      <w:r>
        <w:rPr>
          <w:rFonts w:hint="eastAsia" w:ascii="仿宋_GB2312" w:hAnsi="仿宋_GB2312" w:eastAsia="仿宋_GB2312" w:cs="仿宋_GB2312"/>
          <w:color w:val="000000" w:themeColor="text1"/>
          <w:sz w:val="32"/>
          <w:szCs w:val="32"/>
          <w:lang w:val="zh-CN"/>
          <w14:textFill>
            <w14:solidFill>
              <w14:schemeClr w14:val="tx1"/>
            </w14:solidFill>
          </w14:textFill>
        </w:rPr>
        <w:t>（3）政府储备物资3645.20万元。</w:t>
      </w:r>
    </w:p>
    <w:p>
      <w:pPr>
        <w:keepNext w:val="0"/>
        <w:keepLines w:val="0"/>
        <w:pageBreakBefore w:val="0"/>
        <w:widowControl w:val="0"/>
        <w:shd w:val="clear" w:color="auto" w:fill="FFFFFF"/>
        <w:kinsoku/>
        <w:wordWrap/>
        <w:overflowPunct/>
        <w:topLinePunct w:val="0"/>
        <w:autoSpaceDE/>
        <w:autoSpaceDN/>
        <w:bidi w:val="0"/>
        <w:adjustRightInd/>
        <w:snapToGrid/>
        <w:spacing w:after="0" w:line="600" w:lineRule="exact"/>
        <w:ind w:left="0" w:leftChars="0" w:firstLine="640" w:firstLineChars="200"/>
        <w:jc w:val="both"/>
        <w:textAlignment w:val="auto"/>
        <w:outlineLvl w:val="9"/>
        <w:rPr>
          <w:rFonts w:hint="eastAsia" w:ascii="仿宋_GB2312" w:hAnsi="仿宋_GB2312" w:eastAsia="仿宋_GB2312" w:cs="仿宋_GB2312"/>
          <w:color w:val="000000" w:themeColor="text1"/>
          <w:sz w:val="32"/>
          <w:szCs w:val="32"/>
          <w:lang w:val="zh-CN"/>
          <w14:textFill>
            <w14:solidFill>
              <w14:schemeClr w14:val="tx1"/>
            </w14:solidFill>
          </w14:textFill>
        </w:rPr>
      </w:pPr>
      <w:r>
        <w:rPr>
          <w:rFonts w:hint="eastAsia" w:ascii="仿宋_GB2312" w:hAnsi="仿宋_GB2312" w:eastAsia="仿宋_GB2312" w:cs="仿宋_GB2312"/>
          <w:color w:val="000000" w:themeColor="text1"/>
          <w:sz w:val="32"/>
          <w:szCs w:val="32"/>
          <w:lang w:val="zh-CN"/>
          <w14:textFill>
            <w14:solidFill>
              <w14:schemeClr w14:val="tx1"/>
            </w14:solidFill>
          </w14:textFill>
        </w:rPr>
        <w:t>（4）公共基础设施净值141406.53万元。</w:t>
      </w:r>
    </w:p>
    <w:p>
      <w:pPr>
        <w:keepNext w:val="0"/>
        <w:keepLines w:val="0"/>
        <w:pageBreakBefore w:val="0"/>
        <w:widowControl w:val="0"/>
        <w:shd w:val="clear" w:color="auto" w:fill="FFFFFF"/>
        <w:kinsoku/>
        <w:wordWrap/>
        <w:overflowPunct/>
        <w:topLinePunct w:val="0"/>
        <w:autoSpaceDE/>
        <w:autoSpaceDN/>
        <w:bidi w:val="0"/>
        <w:adjustRightInd/>
        <w:snapToGrid/>
        <w:spacing w:after="0" w:line="600" w:lineRule="exact"/>
        <w:ind w:left="0" w:leftChars="0" w:firstLine="640" w:firstLineChars="200"/>
        <w:jc w:val="both"/>
        <w:textAlignment w:val="auto"/>
        <w:outlineLvl w:val="9"/>
        <w:rPr>
          <w:rFonts w:hint="eastAsia" w:ascii="仿宋_GB2312" w:hAnsi="仿宋_GB2312" w:eastAsia="仿宋_GB2312" w:cs="仿宋_GB2312"/>
          <w:color w:val="000000" w:themeColor="text1"/>
          <w:sz w:val="32"/>
          <w:szCs w:val="32"/>
          <w:lang w:val="zh-CN"/>
          <w14:textFill>
            <w14:solidFill>
              <w14:schemeClr w14:val="tx1"/>
            </w14:solidFill>
          </w14:textFill>
        </w:rPr>
      </w:pPr>
      <w:r>
        <w:rPr>
          <w:rFonts w:hint="eastAsia" w:ascii="仿宋_GB2312" w:hAnsi="仿宋_GB2312" w:eastAsia="仿宋_GB2312" w:cs="仿宋_GB2312"/>
          <w:color w:val="000000" w:themeColor="text1"/>
          <w:sz w:val="32"/>
          <w:szCs w:val="32"/>
          <w:lang w:val="zh-CN"/>
          <w14:textFill>
            <w14:solidFill>
              <w14:schemeClr w14:val="tx1"/>
            </w14:solidFill>
          </w14:textFill>
        </w:rPr>
        <w:t>（5）文物文化资产146处。</w:t>
      </w:r>
    </w:p>
    <w:p>
      <w:pPr>
        <w:keepNext w:val="0"/>
        <w:keepLines w:val="0"/>
        <w:pageBreakBefore w:val="0"/>
        <w:widowControl w:val="0"/>
        <w:shd w:val="clear" w:color="auto" w:fill="FFFFFF"/>
        <w:kinsoku/>
        <w:wordWrap/>
        <w:overflowPunct/>
        <w:topLinePunct w:val="0"/>
        <w:autoSpaceDE/>
        <w:autoSpaceDN/>
        <w:bidi w:val="0"/>
        <w:adjustRightInd/>
        <w:snapToGrid/>
        <w:spacing w:after="0" w:line="600" w:lineRule="exact"/>
        <w:ind w:left="0" w:leftChars="0" w:firstLine="640" w:firstLineChars="200"/>
        <w:jc w:val="both"/>
        <w:textAlignment w:val="auto"/>
        <w:outlineLvl w:val="9"/>
        <w:rPr>
          <w:rFonts w:hint="eastAsia" w:ascii="仿宋_GB2312" w:hAnsi="仿宋_GB2312" w:eastAsia="仿宋_GB2312" w:cs="仿宋_GB2312"/>
          <w:color w:val="000000" w:themeColor="text1"/>
          <w:sz w:val="32"/>
          <w:szCs w:val="32"/>
          <w:lang w:val="zh-CN"/>
          <w14:textFill>
            <w14:solidFill>
              <w14:schemeClr w14:val="tx1"/>
            </w14:solidFill>
          </w14:textFill>
        </w:rPr>
      </w:pPr>
      <w:r>
        <w:rPr>
          <w:rFonts w:hint="eastAsia" w:ascii="仿宋_GB2312" w:hAnsi="仿宋_GB2312" w:eastAsia="仿宋_GB2312" w:cs="仿宋_GB2312"/>
          <w:color w:val="000000" w:themeColor="text1"/>
          <w:sz w:val="32"/>
          <w:szCs w:val="32"/>
          <w:lang w:val="zh-CN"/>
          <w14:textFill>
            <w14:solidFill>
              <w14:schemeClr w14:val="tx1"/>
            </w14:solidFill>
          </w14:textFill>
        </w:rPr>
        <w:t>（6）保障性住房6407.52万元。</w:t>
      </w:r>
    </w:p>
    <w:p>
      <w:pPr>
        <w:keepNext w:val="0"/>
        <w:keepLines w:val="0"/>
        <w:pageBreakBefore w:val="0"/>
        <w:widowControl w:val="0"/>
        <w:shd w:val="clear" w:color="auto" w:fill="FFFFFF"/>
        <w:kinsoku/>
        <w:wordWrap/>
        <w:overflowPunct/>
        <w:topLinePunct w:val="0"/>
        <w:autoSpaceDE/>
        <w:autoSpaceDN/>
        <w:bidi w:val="0"/>
        <w:adjustRightInd/>
        <w:snapToGrid/>
        <w:spacing w:after="0" w:line="600" w:lineRule="exact"/>
        <w:ind w:left="0" w:leftChars="0" w:firstLine="640" w:firstLineChars="200"/>
        <w:jc w:val="both"/>
        <w:textAlignment w:val="auto"/>
        <w:outlineLvl w:val="9"/>
        <w:rPr>
          <w:rFonts w:hint="eastAsia" w:ascii="仿宋_GB2312" w:hAnsi="仿宋_GB2312" w:eastAsia="仿宋_GB2312" w:cs="仿宋_GB2312"/>
          <w:bCs/>
          <w:color w:val="000000" w:themeColor="text1"/>
          <w:sz w:val="32"/>
          <w:szCs w:val="32"/>
          <w14:textFill>
            <w14:solidFill>
              <w14:schemeClr w14:val="tx1"/>
            </w14:solidFill>
          </w14:textFill>
        </w:rPr>
      </w:pPr>
      <w:r>
        <w:rPr>
          <w:rFonts w:hint="eastAsia" w:ascii="仿宋_GB2312" w:hAnsi="仿宋_GB2312" w:eastAsia="仿宋_GB2312" w:cs="仿宋_GB2312"/>
          <w:bCs/>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bCs/>
          <w:color w:val="000000" w:themeColor="text1"/>
          <w:sz w:val="32"/>
          <w:szCs w:val="32"/>
          <w14:textFill>
            <w14:solidFill>
              <w14:schemeClr w14:val="tx1"/>
            </w14:solidFill>
          </w14:textFill>
        </w:rPr>
        <w:t>资产处置情况。</w:t>
      </w:r>
    </w:p>
    <w:p>
      <w:pPr>
        <w:keepNext w:val="0"/>
        <w:keepLines w:val="0"/>
        <w:pageBreakBefore w:val="0"/>
        <w:widowControl w:val="0"/>
        <w:shd w:val="clear" w:color="auto" w:fill="FFFFFF"/>
        <w:kinsoku/>
        <w:wordWrap/>
        <w:overflowPunct/>
        <w:topLinePunct w:val="0"/>
        <w:autoSpaceDE/>
        <w:autoSpaceDN/>
        <w:bidi w:val="0"/>
        <w:adjustRightInd/>
        <w:snapToGrid/>
        <w:spacing w:after="0" w:line="600" w:lineRule="exact"/>
        <w:ind w:left="0" w:leftChars="0" w:firstLine="640" w:firstLineChars="200"/>
        <w:jc w:val="both"/>
        <w:textAlignment w:val="auto"/>
        <w:outlineLvl w:val="9"/>
        <w:rPr>
          <w:rFonts w:hint="eastAsia" w:ascii="仿宋_GB2312" w:hAnsi="仿宋_GB2312" w:eastAsia="仿宋_GB2312" w:cs="仿宋_GB2312"/>
          <w:color w:val="000000" w:themeColor="text1"/>
          <w:kern w:val="0"/>
          <w:sz w:val="32"/>
          <w:szCs w:val="32"/>
          <w:lang w:val="zh-CN" w:eastAsia="zh-CN" w:bidi="ar-SA"/>
          <w14:textFill>
            <w14:solidFill>
              <w14:schemeClr w14:val="tx1"/>
            </w14:solidFill>
          </w14:textFill>
        </w:rPr>
      </w:pPr>
      <w:r>
        <w:rPr>
          <w:rFonts w:hint="eastAsia" w:ascii="仿宋_GB2312" w:hAnsi="仿宋_GB2312" w:eastAsia="仿宋_GB2312" w:cs="仿宋_GB2312"/>
          <w:color w:val="000000" w:themeColor="text1"/>
          <w:kern w:val="0"/>
          <w:sz w:val="32"/>
          <w:szCs w:val="32"/>
          <w:lang w:val="zh-CN" w:eastAsia="zh-CN" w:bidi="ar-SA"/>
          <w14:textFill>
            <w14:solidFill>
              <w14:schemeClr w14:val="tx1"/>
            </w14:solidFill>
          </w14:textFill>
        </w:rPr>
        <w:t>2021年共处置资产原值549.76万元，处置通用设备  374件，原值为389.71万元；专用设备118件，原值为154.7万元；处置家具、用具、装具及动植物66件，原值为5.36万元。2021年资产处置收益为14.23万元。</w:t>
      </w:r>
    </w:p>
    <w:p>
      <w:pPr>
        <w:keepNext w:val="0"/>
        <w:keepLines w:val="0"/>
        <w:pageBreakBefore w:val="0"/>
        <w:widowControl w:val="0"/>
        <w:numPr>
          <w:ilvl w:val="0"/>
          <w:numId w:val="1"/>
        </w:numPr>
        <w:kinsoku/>
        <w:wordWrap/>
        <w:overflowPunct/>
        <w:topLinePunct w:val="0"/>
        <w:autoSpaceDE w:val="0"/>
        <w:autoSpaceDN w:val="0"/>
        <w:bidi w:val="0"/>
        <w:spacing w:after="0" w:line="600" w:lineRule="exact"/>
        <w:ind w:left="0" w:leftChars="0" w:firstLine="640" w:firstLineChars="200"/>
        <w:textAlignment w:val="auto"/>
        <w:outlineLvl w:val="9"/>
        <w:rPr>
          <w:rFonts w:hint="eastAsia" w:ascii="黑体" w:hAnsi="黑体" w:eastAsia="黑体" w:cs="黑体"/>
          <w:bCs/>
          <w:color w:val="000000" w:themeColor="text1"/>
          <w:sz w:val="32"/>
          <w:szCs w:val="32"/>
          <w:lang w:val="zh-CN"/>
          <w14:textFill>
            <w14:solidFill>
              <w14:schemeClr w14:val="tx1"/>
            </w14:solidFill>
          </w14:textFill>
        </w:rPr>
      </w:pPr>
      <w:r>
        <w:rPr>
          <w:rFonts w:hint="eastAsia" w:ascii="黑体" w:hAnsi="黑体" w:eastAsia="黑体" w:cs="黑体"/>
          <w:bCs/>
          <w:color w:val="000000" w:themeColor="text1"/>
          <w:sz w:val="32"/>
          <w:szCs w:val="32"/>
          <w:lang w:val="zh-CN"/>
          <w14:textFill>
            <w14:solidFill>
              <w14:schemeClr w14:val="tx1"/>
            </w14:solidFill>
          </w14:textFill>
        </w:rPr>
        <w:t>行政事业单位国有资产管理情况</w:t>
      </w:r>
    </w:p>
    <w:p>
      <w:pPr>
        <w:keepNext w:val="0"/>
        <w:keepLines w:val="0"/>
        <w:pageBreakBefore w:val="0"/>
        <w:widowControl w:val="0"/>
        <w:shd w:val="clear" w:color="auto" w:fill="FFFFFF"/>
        <w:kinsoku/>
        <w:wordWrap/>
        <w:overflowPunct/>
        <w:topLinePunct w:val="0"/>
        <w:autoSpaceDE/>
        <w:autoSpaceDN/>
        <w:bidi w:val="0"/>
        <w:adjustRightInd/>
        <w:snapToGrid/>
        <w:spacing w:after="0" w:line="600" w:lineRule="exact"/>
        <w:ind w:left="0" w:lef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一年来，我们深入贯彻落实党中央和省市县委决策部署，紧紧围绕“1359”强县思路，锐意进取、开拓创新，稳步推进行政事业单位国有资产集中统一监管改革，持续抓好国有资产盘活处置，国有资产管理能力和水平不断提高。</w:t>
      </w:r>
    </w:p>
    <w:p>
      <w:pPr>
        <w:keepNext w:val="0"/>
        <w:keepLines w:val="0"/>
        <w:pageBreakBefore w:val="0"/>
        <w:widowControl w:val="0"/>
        <w:shd w:val="clear" w:color="auto" w:fill="FFFFFF"/>
        <w:kinsoku/>
        <w:wordWrap/>
        <w:overflowPunct/>
        <w:topLinePunct w:val="0"/>
        <w:autoSpaceDE/>
        <w:autoSpaceDN/>
        <w:bidi w:val="0"/>
        <w:adjustRightInd/>
        <w:snapToGrid/>
        <w:spacing w:after="0" w:line="600" w:lineRule="exact"/>
        <w:ind w:left="0" w:leftChars="0" w:firstLine="640" w:firstLineChars="200"/>
        <w:jc w:val="both"/>
        <w:textAlignment w:val="auto"/>
        <w:outlineLvl w:val="9"/>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楷体_GB2312" w:hAnsi="楷体_GB2312" w:eastAsia="楷体_GB2312" w:cs="楷体_GB2312"/>
          <w:color w:val="000000" w:themeColor="text1"/>
          <w:kern w:val="2"/>
          <w:sz w:val="32"/>
          <w:szCs w:val="32"/>
          <w:lang w:eastAsia="zh-CN"/>
          <w14:textFill>
            <w14:solidFill>
              <w14:schemeClr w14:val="tx1"/>
            </w14:solidFill>
          </w14:textFill>
        </w:rPr>
        <w:t>（一）落实管理责任，加强内部控制。</w:t>
      </w:r>
      <w:r>
        <w:rPr>
          <w:rFonts w:hint="eastAsia" w:ascii="仿宋_GB2312" w:hAnsi="仿宋_GB2312" w:eastAsia="仿宋_GB2312" w:cs="仿宋_GB2312"/>
          <w:b/>
          <w:bCs/>
          <w:color w:val="000000" w:themeColor="text1"/>
          <w:kern w:val="2"/>
          <w:sz w:val="32"/>
          <w:szCs w:val="32"/>
          <w:lang w:eastAsia="zh-CN"/>
          <w14:textFill>
            <w14:solidFill>
              <w14:schemeClr w14:val="tx1"/>
            </w14:solidFill>
          </w14:textFill>
        </w:rPr>
        <w:t>一是</w:t>
      </w:r>
      <w:r>
        <w:rPr>
          <w:rFonts w:hint="eastAsia" w:ascii="仿宋_GB2312" w:hAnsi="仿宋_GB2312" w:eastAsia="仿宋_GB2312" w:cs="仿宋_GB2312"/>
          <w:color w:val="000000" w:themeColor="text1"/>
          <w:kern w:val="2"/>
          <w:sz w:val="32"/>
          <w:szCs w:val="32"/>
          <w:lang w:eastAsia="zh-CN"/>
          <w14:textFill>
            <w14:solidFill>
              <w14:schemeClr w14:val="tx1"/>
            </w14:solidFill>
          </w14:textFill>
        </w:rPr>
        <w:t>明晰工作责任。进一步强化和落实综合管理职责，明确固定资产管理要求。各部门切实履行固定资产监管职责，建立健全固定资产管理机制，组织落实固定资产管理各项工作。各单位对固定资产管理承担主体责任，并落实到人，确保固定资产安全完整，高效利用。</w:t>
      </w:r>
      <w:r>
        <w:rPr>
          <w:rFonts w:hint="eastAsia" w:ascii="仿宋_GB2312" w:hAnsi="仿宋_GB2312" w:eastAsia="仿宋_GB2312" w:cs="仿宋_GB2312"/>
          <w:b/>
          <w:bCs/>
          <w:color w:val="000000" w:themeColor="text1"/>
          <w:kern w:val="2"/>
          <w:sz w:val="32"/>
          <w:szCs w:val="32"/>
          <w:lang w:val="zh-CN"/>
          <w14:textFill>
            <w14:solidFill>
              <w14:schemeClr w14:val="tx1"/>
            </w14:solidFill>
          </w14:textFill>
        </w:rPr>
        <w:t>二</w:t>
      </w:r>
      <w:r>
        <w:rPr>
          <w:rFonts w:hint="eastAsia" w:ascii="仿宋_GB2312" w:hAnsi="仿宋_GB2312" w:eastAsia="仿宋_GB2312" w:cs="仿宋_GB2312"/>
          <w:b/>
          <w:bCs/>
          <w:color w:val="000000" w:themeColor="text1"/>
          <w:kern w:val="2"/>
          <w:sz w:val="32"/>
          <w:szCs w:val="32"/>
          <w14:textFill>
            <w14:solidFill>
              <w14:schemeClr w14:val="tx1"/>
            </w14:solidFill>
          </w14:textFill>
        </w:rPr>
        <w:t>是</w:t>
      </w:r>
      <w:r>
        <w:rPr>
          <w:rFonts w:hint="eastAsia" w:ascii="仿宋_GB2312" w:hAnsi="仿宋_GB2312" w:eastAsia="仿宋_GB2312" w:cs="仿宋_GB2312"/>
          <w:color w:val="000000" w:themeColor="text1"/>
          <w:kern w:val="2"/>
          <w:sz w:val="32"/>
          <w:szCs w:val="32"/>
          <w14:textFill>
            <w14:solidFill>
              <w14:schemeClr w14:val="tx1"/>
            </w14:solidFill>
          </w14:textFill>
        </w:rPr>
        <w:t>优化内部控制制度。对照管理职责和范围，进一步细化资产配置、处置、出租出借等事项审核以及收益收缴的办理流程。对涉及到的处置审核、处置变现、出租核准、收益监管等业务岗位设置和业务事项进行重新梳理定位，明确各自业务范围、责任分工、工作程序和权限，形成职权明确、相互制约、相互监督的</w:t>
      </w:r>
      <w:r>
        <w:rPr>
          <w:rFonts w:hint="eastAsia" w:ascii="仿宋_GB2312" w:hAnsi="仿宋_GB2312" w:eastAsia="仿宋_GB2312" w:cs="仿宋_GB2312"/>
          <w:color w:val="000000" w:themeColor="text1"/>
          <w:kern w:val="2"/>
          <w:sz w:val="32"/>
          <w:szCs w:val="32"/>
          <w:lang w:eastAsia="zh-CN"/>
          <w14:textFill>
            <w14:solidFill>
              <w14:schemeClr w14:val="tx1"/>
            </w14:solidFill>
          </w14:textFill>
        </w:rPr>
        <w:t>工作</w:t>
      </w:r>
      <w:r>
        <w:rPr>
          <w:rFonts w:hint="eastAsia" w:ascii="仿宋_GB2312" w:hAnsi="仿宋_GB2312" w:eastAsia="仿宋_GB2312" w:cs="仿宋_GB2312"/>
          <w:color w:val="000000" w:themeColor="text1"/>
          <w:kern w:val="2"/>
          <w:sz w:val="32"/>
          <w:szCs w:val="32"/>
          <w14:textFill>
            <w14:solidFill>
              <w14:schemeClr w14:val="tx1"/>
            </w14:solidFill>
          </w14:textFill>
        </w:rPr>
        <w:t xml:space="preserve">机制。 </w:t>
      </w: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firstLine="640" w:firstLineChars="200"/>
        <w:textAlignment w:val="auto"/>
        <w:outlineLvl w:val="9"/>
        <w:rPr>
          <w:rFonts w:hint="eastAsia" w:ascii="仿宋_GB2312" w:hAnsi="仿宋_GB2312" w:eastAsia="仿宋_GB2312" w:cs="仿宋_GB2312"/>
          <w:color w:val="000000" w:themeColor="text1"/>
          <w:sz w:val="32"/>
          <w:szCs w:val="32"/>
          <w:lang w:val="zh-CN"/>
          <w14:textFill>
            <w14:solidFill>
              <w14:schemeClr w14:val="tx1"/>
            </w14:solidFill>
          </w14:textFill>
        </w:rPr>
      </w:pPr>
      <w:r>
        <w:rPr>
          <w:rFonts w:hint="eastAsia" w:ascii="楷体_GB2312" w:hAnsi="楷体_GB2312" w:eastAsia="楷体_GB2312" w:cs="楷体_GB2312"/>
          <w:color w:val="000000" w:themeColor="text1"/>
          <w:kern w:val="2"/>
          <w:sz w:val="32"/>
          <w:szCs w:val="32"/>
          <w:lang w:val="en-US" w:eastAsia="zh-CN" w:bidi="ar-SA"/>
          <w14:textFill>
            <w14:solidFill>
              <w14:schemeClr w14:val="tx1"/>
            </w14:solidFill>
          </w14:textFill>
        </w:rPr>
        <w:t>（二）</w:t>
      </w:r>
      <w:r>
        <w:rPr>
          <w:rFonts w:hint="eastAsia" w:ascii="楷体_GB2312" w:hAnsi="楷体_GB2312" w:eastAsia="楷体_GB2312" w:cs="楷体_GB2312"/>
          <w:color w:val="000000" w:themeColor="text1"/>
          <w:kern w:val="2"/>
          <w:sz w:val="32"/>
          <w:szCs w:val="32"/>
          <w:lang w:val="zh-CN" w:eastAsia="zh-CN" w:bidi="ar-SA"/>
          <w14:textFill>
            <w14:solidFill>
              <w14:schemeClr w14:val="tx1"/>
            </w14:solidFill>
          </w14:textFill>
        </w:rPr>
        <w:t>优化资产配置使用处置全流程管理。</w:t>
      </w:r>
      <w:r>
        <w:rPr>
          <w:rFonts w:hint="eastAsia" w:ascii="仿宋_GB2312" w:hAnsi="仿宋_GB2312" w:eastAsia="仿宋_GB2312" w:cs="仿宋_GB2312"/>
          <w:b/>
          <w:bCs/>
          <w:color w:val="000000" w:themeColor="text1"/>
          <w:sz w:val="32"/>
          <w:szCs w:val="32"/>
          <w:lang w:val="zh-CN"/>
          <w14:textFill>
            <w14:solidFill>
              <w14:schemeClr w14:val="tx1"/>
            </w14:solidFill>
          </w14:textFill>
        </w:rPr>
        <w:t>一是</w:t>
      </w:r>
      <w:r>
        <w:rPr>
          <w:rFonts w:hint="eastAsia" w:ascii="仿宋_GB2312" w:hAnsi="仿宋_GB2312" w:eastAsia="仿宋_GB2312" w:cs="仿宋_GB2312"/>
          <w:color w:val="000000" w:themeColor="text1"/>
          <w:sz w:val="32"/>
          <w:szCs w:val="32"/>
          <w:lang w:val="zh-CN"/>
          <w14:textFill>
            <w14:solidFill>
              <w14:schemeClr w14:val="tx1"/>
            </w14:solidFill>
          </w14:textFill>
        </w:rPr>
        <w:t>优化新增资产配置。认真贯彻落实预算法，深入推进资产管理与预算管理相结合，将资产管理纳入财政预算管理核心环节，以存量制约增量，以增量调整存量，提高资产配置的科学性与合理性。</w:t>
      </w:r>
      <w:r>
        <w:rPr>
          <w:rFonts w:hint="eastAsia" w:ascii="仿宋_GB2312" w:hAnsi="仿宋_GB2312" w:eastAsia="仿宋_GB2312" w:cs="仿宋_GB2312"/>
          <w:b/>
          <w:bCs/>
          <w:color w:val="000000" w:themeColor="text1"/>
          <w:sz w:val="32"/>
          <w:szCs w:val="32"/>
          <w:lang w:val="zh-CN"/>
          <w14:textFill>
            <w14:solidFill>
              <w14:schemeClr w14:val="tx1"/>
            </w14:solidFill>
          </w14:textFill>
        </w:rPr>
        <w:t>二是</w:t>
      </w:r>
      <w:r>
        <w:rPr>
          <w:rFonts w:hint="eastAsia" w:ascii="仿宋_GB2312" w:hAnsi="仿宋_GB2312" w:eastAsia="仿宋_GB2312" w:cs="仿宋_GB2312"/>
          <w:color w:val="000000" w:themeColor="text1"/>
          <w:sz w:val="32"/>
          <w:szCs w:val="32"/>
          <w:lang w:val="zh-CN"/>
          <w14:textFill>
            <w14:solidFill>
              <w14:schemeClr w14:val="tx1"/>
            </w14:solidFill>
          </w14:textFill>
        </w:rPr>
        <w:t>加大资产调剂使用力度</w:t>
      </w:r>
      <w:r>
        <w:rPr>
          <w:rFonts w:hint="eastAsia" w:ascii="仿宋_GB2312" w:hAnsi="仿宋_GB2312" w:cs="仿宋_GB2312"/>
          <w:color w:val="000000" w:themeColor="text1"/>
          <w:sz w:val="32"/>
          <w:szCs w:val="32"/>
          <w:lang w:val="zh-CN"/>
          <w14:textFill>
            <w14:solidFill>
              <w14:schemeClr w14:val="tx1"/>
            </w14:solidFill>
          </w14:textFill>
        </w:rPr>
        <w:t>，</w:t>
      </w:r>
      <w:r>
        <w:rPr>
          <w:rFonts w:hint="eastAsia" w:ascii="仿宋_GB2312" w:hAnsi="仿宋_GB2312" w:eastAsia="仿宋_GB2312" w:cs="仿宋_GB2312"/>
          <w:color w:val="000000" w:themeColor="text1"/>
          <w:sz w:val="32"/>
          <w:szCs w:val="32"/>
          <w:lang w:val="zh-CN"/>
          <w14:textFill>
            <w14:solidFill>
              <w14:schemeClr w14:val="tx1"/>
            </w14:solidFill>
          </w14:textFill>
        </w:rPr>
        <w:t>对低效运转或者长期闲置资产进行调剂使用。</w:t>
      </w:r>
    </w:p>
    <w:p>
      <w:pPr>
        <w:keepNext w:val="0"/>
        <w:keepLines w:val="0"/>
        <w:pageBreakBefore w:val="0"/>
        <w:widowControl w:val="0"/>
        <w:kinsoku/>
        <w:wordWrap/>
        <w:overflowPunct/>
        <w:topLinePunct w:val="0"/>
        <w:autoSpaceDE/>
        <w:autoSpaceDN/>
        <w:bidi w:val="0"/>
        <w:adjustRightInd/>
        <w:snapToGrid/>
        <w:spacing w:after="0" w:line="600" w:lineRule="exact"/>
        <w:ind w:left="0" w:leftChars="0" w:firstLine="640" w:firstLineChars="200"/>
        <w:jc w:val="both"/>
        <w:textAlignment w:val="auto"/>
        <w:outlineLvl w:val="9"/>
        <w:rPr>
          <w:rFonts w:hint="eastAsia" w:ascii="仿宋_GB2312" w:hAnsi="仿宋_GB2312" w:eastAsia="仿宋_GB2312" w:cs="仿宋_GB2312"/>
          <w:color w:val="000000" w:themeColor="text1"/>
          <w:kern w:val="2"/>
          <w:sz w:val="32"/>
          <w:szCs w:val="32"/>
          <w14:textFill>
            <w14:solidFill>
              <w14:schemeClr w14:val="tx1"/>
            </w14:solidFill>
          </w14:textFill>
        </w:rPr>
      </w:pPr>
      <w:r>
        <w:rPr>
          <w:rFonts w:hint="eastAsia" w:ascii="楷体_GB2312" w:hAnsi="楷体_GB2312" w:eastAsia="楷体_GB2312" w:cs="楷体_GB2312"/>
          <w:color w:val="000000" w:themeColor="text1"/>
          <w:kern w:val="2"/>
          <w:sz w:val="32"/>
          <w:szCs w:val="32"/>
          <w:lang w:val="zh-CN" w:eastAsia="zh-CN"/>
          <w14:textFill>
            <w14:solidFill>
              <w14:schemeClr w14:val="tx1"/>
            </w14:solidFill>
          </w14:textFill>
        </w:rPr>
        <w:t>（三）夯实行政事业单位资产基础工作。</w:t>
      </w:r>
      <w:r>
        <w:rPr>
          <w:rFonts w:hint="eastAsia" w:ascii="仿宋_GB2312" w:hAnsi="仿宋_GB2312" w:eastAsia="仿宋_GB2312" w:cs="仿宋_GB2312"/>
          <w:color w:val="000000" w:themeColor="text1"/>
          <w:kern w:val="2"/>
          <w:sz w:val="32"/>
          <w:szCs w:val="32"/>
          <w:lang w:val="zh-CN"/>
          <w14:textFill>
            <w14:solidFill>
              <w14:schemeClr w14:val="tx1"/>
            </w14:solidFill>
          </w14:textFill>
        </w:rPr>
        <w:t>通过健全行政事业性国有资产年度报告制度、月报制度，督促各行政事业单位按照国家统一的会计制度规范国有资产核算和管理，确保行政事业性国有资产报告结果真实、准确。</w:t>
      </w:r>
      <w:r>
        <w:rPr>
          <w:rFonts w:hint="eastAsia" w:ascii="仿宋_GB2312" w:hAnsi="仿宋_GB2312" w:eastAsia="仿宋_GB2312" w:cs="仿宋_GB2312"/>
          <w:color w:val="000000" w:themeColor="text1"/>
          <w:kern w:val="2"/>
          <w:sz w:val="32"/>
          <w:szCs w:val="32"/>
          <w14:textFill>
            <w14:solidFill>
              <w14:schemeClr w14:val="tx1"/>
            </w14:solidFill>
          </w14:textFill>
        </w:rPr>
        <w:t xml:space="preserve">  </w:t>
      </w: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firstLine="640" w:firstLineChars="200"/>
        <w:textAlignment w:val="auto"/>
        <w:outlineLvl w:val="9"/>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一年来，我县国有资产管理工作取得了一些成绩</w:t>
      </w:r>
      <w:r>
        <w:rPr>
          <w:rFonts w:hint="eastAsia" w:ascii="仿宋_GB2312" w:hAnsi="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但是我们也要清醒地看到，</w:t>
      </w:r>
      <w:r>
        <w:rPr>
          <w:rFonts w:hint="eastAsia" w:ascii="仿宋_GB2312" w:hAnsi="仿宋_GB2312" w:cs="仿宋_GB2312"/>
          <w:color w:val="000000" w:themeColor="text1"/>
          <w:sz w:val="32"/>
          <w:szCs w:val="32"/>
          <w:lang w:eastAsia="zh-CN"/>
          <w14:textFill>
            <w14:solidFill>
              <w14:schemeClr w14:val="tx1"/>
            </w14:solidFill>
          </w14:textFill>
        </w:rPr>
        <w:t>国有资产</w:t>
      </w:r>
      <w:r>
        <w:rPr>
          <w:rFonts w:hint="eastAsia" w:ascii="仿宋_GB2312" w:hAnsi="仿宋_GB2312" w:eastAsia="仿宋_GB2312" w:cs="仿宋_GB2312"/>
          <w:color w:val="000000" w:themeColor="text1"/>
          <w:sz w:val="32"/>
          <w:szCs w:val="32"/>
          <w14:textFill>
            <w14:solidFill>
              <w14:schemeClr w14:val="tx1"/>
            </w14:solidFill>
          </w14:textFill>
        </w:rPr>
        <w:t>管理中还</w:t>
      </w:r>
      <w:r>
        <w:rPr>
          <w:rFonts w:hint="eastAsia" w:ascii="仿宋_GB2312" w:hAnsi="仿宋_GB2312" w:cs="仿宋_GB2312"/>
          <w:color w:val="000000" w:themeColor="text1"/>
          <w:sz w:val="32"/>
          <w:szCs w:val="32"/>
          <w:lang w:eastAsia="zh-CN"/>
          <w14:textFill>
            <w14:solidFill>
              <w14:schemeClr w14:val="tx1"/>
            </w14:solidFill>
          </w14:textFill>
        </w:rPr>
        <w:t>存在</w:t>
      </w:r>
      <w:r>
        <w:rPr>
          <w:rFonts w:hint="eastAsia" w:ascii="仿宋_GB2312" w:hAnsi="仿宋_GB2312" w:eastAsia="仿宋_GB2312" w:cs="仿宋_GB2312"/>
          <w:color w:val="000000" w:themeColor="text1"/>
          <w:sz w:val="32"/>
          <w:szCs w:val="32"/>
          <w14:textFill>
            <w14:solidFill>
              <w14:schemeClr w14:val="tx1"/>
            </w14:solidFill>
          </w14:textFill>
        </w:rPr>
        <w:t>一些问题</w:t>
      </w:r>
      <w:r>
        <w:rPr>
          <w:rFonts w:hint="eastAsia" w:ascii="仿宋_GB2312" w:hAnsi="仿宋_GB2312" w:cs="仿宋_GB2312"/>
          <w:color w:val="000000" w:themeColor="text1"/>
          <w:sz w:val="32"/>
          <w:szCs w:val="32"/>
          <w:lang w:eastAsia="zh-CN"/>
          <w14:textFill>
            <w14:solidFill>
              <w14:schemeClr w14:val="tx1"/>
            </w14:solidFill>
          </w14:textFill>
        </w:rPr>
        <w:t>，主要表现在：</w:t>
      </w:r>
      <w:r>
        <w:rPr>
          <w:rFonts w:hint="eastAsia" w:ascii="仿宋_GB2312" w:hAnsi="仿宋_GB2312" w:eastAsia="仿宋_GB2312" w:cs="仿宋_GB2312"/>
          <w:color w:val="000000" w:themeColor="text1"/>
          <w:sz w:val="32"/>
          <w:szCs w:val="32"/>
          <w14:textFill>
            <w14:solidFill>
              <w14:schemeClr w14:val="tx1"/>
            </w14:solidFill>
          </w14:textFill>
        </w:rPr>
        <w:t>部分单位“重资金、轻资产”现象仍然存在，资产管理人员大多由财务人员兼任，轮换频繁，业务交接连续性不够，日常管理不规范，信息更新不及时，造成资产底数不清、账实不符等现象。</w:t>
      </w:r>
    </w:p>
    <w:p>
      <w:pPr>
        <w:pStyle w:val="2"/>
        <w:keepNext w:val="0"/>
        <w:keepLines w:val="0"/>
        <w:pageBreakBefore w:val="0"/>
        <w:widowControl w:val="0"/>
        <w:kinsoku/>
        <w:wordWrap/>
        <w:overflowPunct/>
        <w:topLinePunct w:val="0"/>
        <w:bidi w:val="0"/>
        <w:spacing w:after="0" w:line="600" w:lineRule="exact"/>
        <w:ind w:left="0" w:leftChars="0" w:firstLine="640"/>
        <w:textAlignment w:val="auto"/>
        <w:outlineLvl w:val="9"/>
        <w:rPr>
          <w:rFonts w:hint="eastAsia" w:ascii="黑体" w:hAnsi="黑体" w:eastAsia="黑体" w:cs="黑体"/>
          <w:color w:val="000000" w:themeColor="text1"/>
          <w:sz w:val="32"/>
          <w:szCs w:val="32"/>
          <w:lang w:val="zh-CN"/>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三、</w:t>
      </w:r>
      <w:r>
        <w:rPr>
          <w:rFonts w:hint="eastAsia" w:ascii="黑体" w:hAnsi="黑体" w:eastAsia="黑体" w:cs="黑体"/>
          <w:color w:val="000000" w:themeColor="text1"/>
          <w:kern w:val="0"/>
          <w:sz w:val="32"/>
          <w:szCs w:val="32"/>
          <w14:textFill>
            <w14:solidFill>
              <w14:schemeClr w14:val="tx1"/>
            </w14:solidFill>
          </w14:textFill>
        </w:rPr>
        <w:t>下一</w:t>
      </w:r>
      <w:r>
        <w:rPr>
          <w:rFonts w:hint="eastAsia" w:ascii="黑体" w:hAnsi="黑体" w:eastAsia="黑体" w:cs="黑体"/>
          <w:color w:val="000000" w:themeColor="text1"/>
          <w:kern w:val="0"/>
          <w:sz w:val="32"/>
          <w:szCs w:val="32"/>
          <w:lang w:val="zh-CN"/>
          <w14:textFill>
            <w14:solidFill>
              <w14:schemeClr w14:val="tx1"/>
            </w14:solidFill>
          </w14:textFill>
        </w:rPr>
        <w:t>步思路及措施</w:t>
      </w:r>
    </w:p>
    <w:p>
      <w:pPr>
        <w:pStyle w:val="2"/>
        <w:keepNext w:val="0"/>
        <w:keepLines w:val="0"/>
        <w:pageBreakBefore w:val="0"/>
        <w:widowControl w:val="0"/>
        <w:kinsoku/>
        <w:wordWrap/>
        <w:overflowPunct/>
        <w:topLinePunct w:val="0"/>
        <w:bidi w:val="0"/>
        <w:adjustRightInd/>
        <w:snapToGrid/>
        <w:spacing w:after="0" w:line="600" w:lineRule="exact"/>
        <w:ind w:left="0" w:leftChars="0" w:firstLine="640"/>
        <w:textAlignment w:val="auto"/>
        <w:outlineLvl w:val="9"/>
        <w:rPr>
          <w:rFonts w:hint="eastAsia" w:ascii="仿宋_GB2312" w:hAnsi="仿宋_GB2312" w:eastAsia="仿宋_GB2312" w:cs="仿宋_GB2312"/>
          <w:color w:val="000000" w:themeColor="text1"/>
          <w:sz w:val="32"/>
          <w:szCs w:val="32"/>
          <w:lang w:val="zh-CN"/>
          <w14:textFill>
            <w14:solidFill>
              <w14:schemeClr w14:val="tx1"/>
            </w14:solidFill>
          </w14:textFill>
        </w:rPr>
      </w:pPr>
      <w:r>
        <w:rPr>
          <w:rFonts w:hint="eastAsia" w:ascii="仿宋_GB2312" w:hAnsi="仿宋_GB2312" w:eastAsia="仿宋_GB2312" w:cs="仿宋_GB2312"/>
          <w:color w:val="000000" w:themeColor="text1"/>
          <w:kern w:val="0"/>
          <w:sz w:val="32"/>
          <w:szCs w:val="32"/>
          <w:lang w:val="zh-CN"/>
          <w14:textFill>
            <w14:solidFill>
              <w14:schemeClr w14:val="tx1"/>
            </w14:solidFill>
          </w14:textFill>
        </w:rPr>
        <w:t>下一步，我们将深入学习贯彻习近平总书记重要讲话和党的十九届六中全会精神，按照</w:t>
      </w:r>
      <w:r>
        <w:rPr>
          <w:rFonts w:hint="eastAsia" w:ascii="仿宋_GB2312" w:hAnsi="仿宋_GB2312" w:eastAsia="仿宋_GB2312" w:cs="仿宋_GB2312"/>
          <w:color w:val="000000" w:themeColor="text1"/>
          <w:kern w:val="0"/>
          <w:sz w:val="32"/>
          <w:szCs w:val="32"/>
          <w14:textFill>
            <w14:solidFill>
              <w14:schemeClr w14:val="tx1"/>
            </w14:solidFill>
          </w14:textFill>
        </w:rPr>
        <w:t>县委</w:t>
      </w:r>
      <w:r>
        <w:rPr>
          <w:rFonts w:hint="eastAsia" w:ascii="仿宋_GB2312" w:hAnsi="仿宋_GB2312" w:cs="仿宋_GB2312"/>
          <w:color w:val="000000" w:themeColor="text1"/>
          <w:kern w:val="0"/>
          <w:sz w:val="32"/>
          <w:szCs w:val="32"/>
          <w:lang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14:textFill>
            <w14:solidFill>
              <w14:schemeClr w14:val="tx1"/>
            </w14:solidFill>
          </w14:textFill>
        </w:rPr>
        <w:t>县</w:t>
      </w:r>
      <w:r>
        <w:rPr>
          <w:rFonts w:hint="eastAsia" w:ascii="仿宋_GB2312" w:hAnsi="仿宋_GB2312" w:eastAsia="仿宋_GB2312" w:cs="仿宋_GB2312"/>
          <w:color w:val="000000" w:themeColor="text1"/>
          <w:kern w:val="0"/>
          <w:sz w:val="32"/>
          <w:szCs w:val="32"/>
          <w:lang w:val="zh-CN"/>
          <w14:textFill>
            <w14:solidFill>
              <w14:schemeClr w14:val="tx1"/>
            </w14:solidFill>
          </w14:textFill>
        </w:rPr>
        <w:t>政府决策部署，健全资产管理制度体系，完善国有资产报告机制，推动资产共享共用和有效调剂，努力实现“配置科学、使用有效、处置规范、监督到位”的全过程管理目标。具体做好以下几方面工作：</w:t>
      </w:r>
    </w:p>
    <w:p>
      <w:pPr>
        <w:pStyle w:val="2"/>
        <w:keepNext w:val="0"/>
        <w:keepLines w:val="0"/>
        <w:pageBreakBefore w:val="0"/>
        <w:widowControl w:val="0"/>
        <w:kinsoku/>
        <w:wordWrap/>
        <w:overflowPunct/>
        <w:topLinePunct w:val="0"/>
        <w:bidi w:val="0"/>
        <w:adjustRightInd/>
        <w:snapToGrid/>
        <w:spacing w:after="0" w:line="600" w:lineRule="exact"/>
        <w:ind w:left="0" w:leftChars="0" w:firstLine="640"/>
        <w:textAlignment w:val="auto"/>
        <w:outlineLvl w:val="9"/>
        <w:rPr>
          <w:rFonts w:hint="eastAsia" w:ascii="仿宋_GB2312" w:hAnsi="仿宋_GB2312" w:eastAsia="仿宋_GB2312" w:cs="仿宋_GB2312"/>
          <w:color w:val="000000" w:themeColor="text1"/>
          <w:sz w:val="32"/>
          <w:szCs w:val="32"/>
          <w:lang w:val="zh-CN"/>
          <w14:textFill>
            <w14:solidFill>
              <w14:schemeClr w14:val="tx1"/>
            </w14:solidFill>
          </w14:textFill>
        </w:rPr>
      </w:pPr>
      <w:r>
        <w:rPr>
          <w:rFonts w:hint="eastAsia" w:ascii="楷体_GB2312" w:hAnsi="楷体_GB2312" w:eastAsia="楷体_GB2312" w:cs="楷体_GB2312"/>
          <w:color w:val="000000" w:themeColor="text1"/>
          <w:kern w:val="2"/>
          <w:sz w:val="32"/>
          <w:szCs w:val="32"/>
          <w:lang w:val="zh-CN" w:eastAsia="zh-CN" w:bidi="ar-SA"/>
          <w14:textFill>
            <w14:solidFill>
              <w14:schemeClr w14:val="tx1"/>
            </w14:solidFill>
          </w14:textFill>
        </w:rPr>
        <w:t>（一）加强国有资产处置和有偿使用监管力度。</w:t>
      </w:r>
      <w:r>
        <w:rPr>
          <w:rFonts w:hint="eastAsia" w:ascii="仿宋_GB2312" w:hAnsi="仿宋_GB2312" w:eastAsia="仿宋_GB2312" w:cs="仿宋_GB2312"/>
          <w:color w:val="000000" w:themeColor="text1"/>
          <w:kern w:val="2"/>
          <w:sz w:val="32"/>
          <w:szCs w:val="32"/>
          <w:lang w:val="zh-CN" w:eastAsia="zh-CN" w:bidi="ar-SA"/>
          <w14:textFill>
            <w14:solidFill>
              <w14:schemeClr w14:val="tx1"/>
            </w14:solidFill>
          </w14:textFill>
        </w:rPr>
        <w:t>严格按照《行政事业性国有资产管理条例》的要求，</w:t>
      </w:r>
      <w:r>
        <w:rPr>
          <w:rFonts w:hint="eastAsia" w:ascii="仿宋_GB2312" w:hAnsi="仿宋_GB2312" w:eastAsia="仿宋_GB2312" w:cs="仿宋_GB2312"/>
          <w:color w:val="000000" w:themeColor="text1"/>
          <w:kern w:val="0"/>
          <w:sz w:val="32"/>
          <w:szCs w:val="32"/>
          <w:lang w:val="zh-CN"/>
          <w14:textFill>
            <w14:solidFill>
              <w14:schemeClr w14:val="tx1"/>
            </w14:solidFill>
          </w14:textFill>
        </w:rPr>
        <w:t>加强监督管理，完善监督和问责机制，加大惩处力度，确保国有资产管理制度的有效执行。</w:t>
      </w:r>
    </w:p>
    <w:p>
      <w:pPr>
        <w:keepNext w:val="0"/>
        <w:keepLines w:val="0"/>
        <w:pageBreakBefore w:val="0"/>
        <w:widowControl w:val="0"/>
        <w:kinsoku/>
        <w:wordWrap/>
        <w:overflowPunct/>
        <w:topLinePunct w:val="0"/>
        <w:autoSpaceDE w:val="0"/>
        <w:autoSpaceDN w:val="0"/>
        <w:bidi w:val="0"/>
        <w:adjustRightInd/>
        <w:snapToGrid/>
        <w:spacing w:after="0" w:line="600" w:lineRule="exact"/>
        <w:ind w:left="0" w:leftChars="0" w:firstLine="640" w:firstLineChars="200"/>
        <w:jc w:val="both"/>
        <w:textAlignment w:val="auto"/>
        <w:outlineLvl w:val="9"/>
        <w:rPr>
          <w:rFonts w:hint="eastAsia" w:ascii="仿宋_GB2312" w:hAnsi="仿宋_GB2312" w:eastAsia="仿宋_GB2312" w:cs="仿宋_GB2312"/>
          <w:color w:val="000000" w:themeColor="text1"/>
          <w:sz w:val="32"/>
          <w:szCs w:val="32"/>
          <w:lang w:val="zh-CN"/>
          <w14:textFill>
            <w14:solidFill>
              <w14:schemeClr w14:val="tx1"/>
            </w14:solidFill>
          </w14:textFill>
        </w:rPr>
      </w:pPr>
      <w:r>
        <w:rPr>
          <w:rFonts w:hint="eastAsia" w:ascii="楷体_GB2312" w:hAnsi="楷体_GB2312" w:eastAsia="楷体_GB2312" w:cs="楷体_GB2312"/>
          <w:color w:val="000000" w:themeColor="text1"/>
          <w:kern w:val="2"/>
          <w:sz w:val="32"/>
          <w:szCs w:val="32"/>
          <w:lang w:val="zh-CN" w:eastAsia="zh-CN"/>
          <w14:textFill>
            <w14:solidFill>
              <w14:schemeClr w14:val="tx1"/>
            </w14:solidFill>
          </w14:textFill>
        </w:rPr>
        <w:t>（二）加强资产预算管理。</w:t>
      </w:r>
      <w:r>
        <w:rPr>
          <w:rFonts w:hint="eastAsia" w:ascii="仿宋_GB2312" w:hAnsi="仿宋_GB2312" w:eastAsia="仿宋_GB2312" w:cs="仿宋_GB2312"/>
          <w:color w:val="000000" w:themeColor="text1"/>
          <w:sz w:val="32"/>
          <w:szCs w:val="32"/>
          <w:lang w:val="zh-CN"/>
          <w14:textFill>
            <w14:solidFill>
              <w14:schemeClr w14:val="tx1"/>
            </w14:solidFill>
          </w14:textFill>
        </w:rPr>
        <w:t>严格资产预算管理，源头控制，减少损失浪费，降低行政成本，提高资产效能。对行政事业单位经管的公共基础设施、政府储备物资、保障性住房等资产管理要优化配置，防范风险，防止流失。</w:t>
      </w:r>
    </w:p>
    <w:p>
      <w:pPr>
        <w:keepNext w:val="0"/>
        <w:keepLines w:val="0"/>
        <w:pageBreakBefore w:val="0"/>
        <w:widowControl w:val="0"/>
        <w:kinsoku/>
        <w:wordWrap/>
        <w:overflowPunct/>
        <w:topLinePunct w:val="0"/>
        <w:autoSpaceDE w:val="0"/>
        <w:autoSpaceDN w:val="0"/>
        <w:bidi w:val="0"/>
        <w:adjustRightInd/>
        <w:snapToGrid/>
        <w:spacing w:after="0" w:line="600" w:lineRule="exact"/>
        <w:ind w:left="0" w:leftChars="0" w:firstLine="640" w:firstLineChars="200"/>
        <w:jc w:val="both"/>
        <w:textAlignment w:val="auto"/>
        <w:outlineLvl w:val="9"/>
        <w:rPr>
          <w:color w:val="000000" w:themeColor="text1"/>
          <w14:textFill>
            <w14:solidFill>
              <w14:schemeClr w14:val="tx1"/>
            </w14:solidFill>
          </w14:textFill>
        </w:rPr>
      </w:pPr>
      <w:r>
        <w:rPr>
          <w:rFonts w:hint="eastAsia" w:ascii="楷体_GB2312" w:hAnsi="楷体_GB2312" w:eastAsia="楷体_GB2312" w:cs="楷体_GB2312"/>
          <w:color w:val="000000" w:themeColor="text1"/>
          <w:kern w:val="2"/>
          <w:sz w:val="32"/>
          <w:szCs w:val="32"/>
          <w:lang w:val="zh-CN" w:eastAsia="zh-CN"/>
          <w14:textFill>
            <w14:solidFill>
              <w14:schemeClr w14:val="tx1"/>
            </w14:solidFill>
          </w14:textFill>
        </w:rPr>
        <w:t>（</w:t>
      </w:r>
      <w:r>
        <w:rPr>
          <w:rFonts w:hint="eastAsia" w:ascii="楷体_GB2312" w:hAnsi="楷体_GB2312" w:eastAsia="楷体_GB2312" w:cs="楷体_GB2312"/>
          <w:color w:val="000000" w:themeColor="text1"/>
          <w:kern w:val="2"/>
          <w:sz w:val="32"/>
          <w:szCs w:val="32"/>
          <w:lang w:eastAsia="zh-CN"/>
          <w14:textFill>
            <w14:solidFill>
              <w14:schemeClr w14:val="tx1"/>
            </w14:solidFill>
          </w14:textFill>
        </w:rPr>
        <w:t>三</w:t>
      </w:r>
      <w:r>
        <w:rPr>
          <w:rFonts w:hint="eastAsia" w:ascii="楷体_GB2312" w:hAnsi="楷体_GB2312" w:eastAsia="楷体_GB2312" w:cs="楷体_GB2312"/>
          <w:color w:val="000000" w:themeColor="text1"/>
          <w:kern w:val="2"/>
          <w:sz w:val="32"/>
          <w:szCs w:val="32"/>
          <w:lang w:val="zh-CN" w:eastAsia="zh-CN"/>
          <w14:textFill>
            <w14:solidFill>
              <w14:schemeClr w14:val="tx1"/>
            </w14:solidFill>
          </w14:textFill>
        </w:rPr>
        <w:t>）加强资产管理</w:t>
      </w:r>
      <w:r>
        <w:rPr>
          <w:rFonts w:hint="eastAsia" w:ascii="楷体_GB2312" w:hAnsi="楷体_GB2312" w:eastAsia="楷体_GB2312" w:cs="楷体_GB2312"/>
          <w:color w:val="000000" w:themeColor="text1"/>
          <w:kern w:val="2"/>
          <w:sz w:val="32"/>
          <w:szCs w:val="32"/>
          <w:lang w:eastAsia="zh-CN"/>
          <w14:textFill>
            <w14:solidFill>
              <w14:schemeClr w14:val="tx1"/>
            </w14:solidFill>
          </w14:textFill>
        </w:rPr>
        <w:t>公开透明</w:t>
      </w:r>
      <w:r>
        <w:rPr>
          <w:rFonts w:hint="eastAsia" w:ascii="楷体_GB2312" w:hAnsi="楷体_GB2312" w:eastAsia="楷体_GB2312" w:cs="楷体_GB2312"/>
          <w:color w:val="000000" w:themeColor="text1"/>
          <w:kern w:val="2"/>
          <w:sz w:val="32"/>
          <w:szCs w:val="32"/>
          <w:lang w:val="zh-CN" w:eastAsia="zh-CN"/>
          <w14:textFill>
            <w14:solidFill>
              <w14:schemeClr w14:val="tx1"/>
            </w14:solidFill>
          </w14:textFill>
        </w:rPr>
        <w:t>化建设。</w:t>
      </w:r>
      <w:r>
        <w:rPr>
          <w:rFonts w:hint="eastAsia" w:ascii="仿宋_GB2312" w:hAnsi="仿宋_GB2312" w:eastAsia="仿宋_GB2312" w:cs="仿宋_GB2312"/>
          <w:color w:val="000000" w:themeColor="text1"/>
          <w:sz w:val="32"/>
          <w:szCs w:val="32"/>
          <w:lang w:val="zh-CN"/>
          <w14:textFill>
            <w14:solidFill>
              <w14:schemeClr w14:val="tx1"/>
            </w14:solidFill>
          </w14:textFill>
        </w:rPr>
        <w:t>及时总结国有资产管理情况，完善国有资产报告制度，定期向人大常委会报告国有资产情况，自觉接受人大监督和指导，不断推进国有资产管理制度化、科学化、规范化。</w:t>
      </w:r>
    </w:p>
    <w:p/>
    <w:sectPr>
      <w:footerReference r:id="rId5" w:type="default"/>
      <w:pgSz w:w="11906" w:h="16838"/>
      <w:pgMar w:top="1701" w:right="1531" w:bottom="1701" w:left="1531" w:header="964" w:footer="1304" w:gutter="0"/>
      <w:pgNumType w:fmt="numberInDash"/>
      <w:cols w:space="0" w:num="1"/>
      <w:rtlGutter w:val="0"/>
      <w:docGrid w:type="lines" w:linePitch="316"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Calibri Light">
    <w:panose1 w:val="020F0302020204030204"/>
    <w:charset w:val="00"/>
    <w:family w:val="auto"/>
    <w:pitch w:val="default"/>
    <w:sig w:usb0="A00002EF" w:usb1="4000207B" w:usb2="00000000" w:usb3="00000000" w:csb0="2000019F"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4"/>
                          </w:pPr>
                          <w:r>
                            <w:rPr>
                              <w:rFonts w:ascii="Courier New" w:hAnsi="Courier New" w:cs="Courier New"/>
                              <w:sz w:val="28"/>
                              <w:szCs w:val="28"/>
                            </w:rPr>
                            <w:fldChar w:fldCharType="begin"/>
                          </w:r>
                          <w:r>
                            <w:rPr>
                              <w:rFonts w:ascii="Courier New" w:hAnsi="Courier New" w:cs="Courier New"/>
                              <w:sz w:val="28"/>
                              <w:szCs w:val="28"/>
                            </w:rPr>
                            <w:instrText xml:space="preserve"> PAGE  \* MERGEFORMAT </w:instrText>
                          </w:r>
                          <w:r>
                            <w:rPr>
                              <w:rFonts w:ascii="Courier New" w:hAnsi="Courier New" w:cs="Courier New"/>
                              <w:sz w:val="28"/>
                              <w:szCs w:val="28"/>
                            </w:rPr>
                            <w:fldChar w:fldCharType="separate"/>
                          </w:r>
                          <w:r>
                            <w:rPr>
                              <w:rFonts w:ascii="Courier New" w:hAnsi="Courier New" w:cs="Courier New"/>
                              <w:sz w:val="28"/>
                              <w:szCs w:val="28"/>
                            </w:rPr>
                            <w:t>- 3 -</w:t>
                          </w:r>
                          <w:r>
                            <w:rPr>
                              <w:rFonts w:ascii="Courier New" w:hAnsi="Courier New" w:cs="Courier New"/>
                              <w:sz w:val="28"/>
                              <w:szCs w:val="2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pPr>
                      <w:pStyle w:val="4"/>
                    </w:pPr>
                    <w:r>
                      <w:rPr>
                        <w:rFonts w:ascii="Courier New" w:hAnsi="Courier New" w:cs="Courier New"/>
                        <w:sz w:val="28"/>
                        <w:szCs w:val="28"/>
                      </w:rPr>
                      <w:fldChar w:fldCharType="begin"/>
                    </w:r>
                    <w:r>
                      <w:rPr>
                        <w:rFonts w:ascii="Courier New" w:hAnsi="Courier New" w:cs="Courier New"/>
                        <w:sz w:val="28"/>
                        <w:szCs w:val="28"/>
                      </w:rPr>
                      <w:instrText xml:space="preserve"> PAGE  \* MERGEFORMAT </w:instrText>
                    </w:r>
                    <w:r>
                      <w:rPr>
                        <w:rFonts w:ascii="Courier New" w:hAnsi="Courier New" w:cs="Courier New"/>
                        <w:sz w:val="28"/>
                        <w:szCs w:val="28"/>
                      </w:rPr>
                      <w:fldChar w:fldCharType="separate"/>
                    </w:r>
                    <w:r>
                      <w:rPr>
                        <w:rFonts w:ascii="Courier New" w:hAnsi="Courier New" w:cs="Courier New"/>
                        <w:sz w:val="28"/>
                        <w:szCs w:val="28"/>
                      </w:rPr>
                      <w:t>- 3 -</w:t>
                    </w:r>
                    <w:r>
                      <w:rPr>
                        <w:rFonts w:ascii="Courier New" w:hAnsi="Courier New" w:cs="Courier New"/>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D434A6"/>
    <w:multiLevelType w:val="singleLevel"/>
    <w:tmpl w:val="83D434A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RiOWY4OWEzMDgyZTdlNjZlODZiNGU2NDhiYzNiMTUifQ=="/>
  </w:docVars>
  <w:rsids>
    <w:rsidRoot w:val="00000000"/>
    <w:rsid w:val="08BF382E"/>
    <w:rsid w:val="22E42C35"/>
    <w:rsid w:val="262E7548"/>
    <w:rsid w:val="280F3236"/>
    <w:rsid w:val="2B873E4F"/>
    <w:rsid w:val="4BA80FCE"/>
    <w:rsid w:val="57D141F5"/>
    <w:rsid w:val="60DB34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Normal Indent"/>
    <w:basedOn w:val="1"/>
    <w:next w:val="3"/>
    <w:qFormat/>
    <w:uiPriority w:val="0"/>
    <w:pPr>
      <w:widowControl w:val="0"/>
      <w:adjustRightInd/>
      <w:snapToGrid/>
      <w:spacing w:after="0"/>
      <w:ind w:firstLine="420" w:firstLineChars="200"/>
      <w:jc w:val="both"/>
    </w:pPr>
    <w:rPr>
      <w:rFonts w:eastAsia="仿宋_GB2312" w:asciiTheme="minorHAnsi" w:hAnsiTheme="minorHAnsi"/>
      <w:kern w:val="2"/>
      <w:sz w:val="30"/>
      <w:szCs w:val="24"/>
    </w:rPr>
  </w:style>
  <w:style w:type="paragraph" w:styleId="3">
    <w:name w:val="Subtitle"/>
    <w:basedOn w:val="1"/>
    <w:next w:val="1"/>
    <w:qFormat/>
    <w:uiPriority w:val="11"/>
    <w:pPr>
      <w:spacing w:before="240" w:after="60" w:line="312" w:lineRule="auto"/>
      <w:jc w:val="center"/>
      <w:outlineLvl w:val="1"/>
    </w:pPr>
    <w:rPr>
      <w:rFonts w:eastAsia="宋体" w:asciiTheme="majorHAnsi" w:hAnsiTheme="majorHAnsi" w:cstheme="majorBidi"/>
      <w:b/>
      <w:bCs/>
      <w:kern w:val="28"/>
      <w:sz w:val="32"/>
      <w:szCs w:val="32"/>
    </w:rPr>
  </w:style>
  <w:style w:type="paragraph" w:styleId="4">
    <w:name w:val="footer"/>
    <w:basedOn w:val="1"/>
    <w:unhideWhenUsed/>
    <w:qFormat/>
    <w:uiPriority w:val="99"/>
    <w:pPr>
      <w:tabs>
        <w:tab w:val="center" w:pos="4153"/>
        <w:tab w:val="right" w:pos="8306"/>
      </w:tabs>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1744</Words>
  <Characters>1955</Characters>
  <Lines>0</Lines>
  <Paragraphs>0</Paragraphs>
  <TotalTime>4</TotalTime>
  <ScaleCrop>false</ScaleCrop>
  <LinksUpToDate>false</LinksUpToDate>
  <CharactersWithSpaces>2012</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2023-06-01T01:14:00Z</dcterms:created>
  <dc:creator>Administrator</dc:creator>
  <cp:lastModifiedBy>Administrator</cp:lastModifiedBy>
  <dcterms:modified xsi:type="dcterms:W3CDTF">2022-05-30T02:42:21Z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73A1E4B41B734882A751828B3C45520F</vt:lpwstr>
  </property>
</Properties>
</file>