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jc w:val="distribute"/>
        <w:rPr>
          <w:rFonts w:hint="eastAsia" w:ascii="Times New Roman" w:hAnsi="Times New Roman" w:eastAsia="宋体" w:cs="Times New Roman"/>
          <w:b/>
          <w:kern w:val="15"/>
          <w:sz w:val="48"/>
          <w:szCs w:val="48"/>
          <w:lang w:eastAsia="zh-CN"/>
        </w:rPr>
      </w:pPr>
      <w:r>
        <w:rPr>
          <w:rFonts w:hint="eastAsia" w:ascii="Times New Roman" w:hAnsi="Times New Roman" w:eastAsia="宋体" w:cs="Times New Roman"/>
          <w:b/>
          <w:kern w:val="15"/>
          <w:sz w:val="48"/>
          <w:szCs w:val="48"/>
        </w:rPr>
        <w:t>河北</w:t>
      </w:r>
      <w:r>
        <w:rPr>
          <w:rFonts w:hint="eastAsia" w:ascii="Times New Roman" w:hAnsi="Times New Roman" w:eastAsia="宋体" w:cs="Times New Roman"/>
          <w:b/>
          <w:kern w:val="15"/>
          <w:sz w:val="48"/>
          <w:szCs w:val="48"/>
          <w:lang w:val="en-US" w:eastAsia="zh-CN"/>
        </w:rPr>
        <w:t>企融</w:t>
      </w:r>
      <w:r>
        <w:rPr>
          <w:rFonts w:hint="eastAsia" w:ascii="Times New Roman" w:hAnsi="Times New Roman" w:eastAsia="宋体" w:cs="Times New Roman"/>
          <w:b/>
          <w:kern w:val="15"/>
          <w:sz w:val="48"/>
          <w:szCs w:val="48"/>
        </w:rPr>
        <w:t>会计师事务所</w:t>
      </w:r>
      <w:r>
        <w:rPr>
          <w:rFonts w:hint="eastAsia" w:ascii="Times New Roman" w:hAnsi="Times New Roman" w:eastAsia="宋体" w:cs="Times New Roman"/>
          <w:b/>
          <w:kern w:val="15"/>
          <w:sz w:val="48"/>
          <w:szCs w:val="48"/>
          <w:lang w:eastAsia="zh-CN"/>
        </w:rPr>
        <w:t>（</w:t>
      </w:r>
      <w:r>
        <w:rPr>
          <w:rFonts w:hint="eastAsia" w:ascii="Times New Roman" w:hAnsi="Times New Roman" w:eastAsia="宋体" w:cs="Times New Roman"/>
          <w:b/>
          <w:kern w:val="15"/>
          <w:sz w:val="48"/>
          <w:szCs w:val="48"/>
          <w:lang w:val="en-US" w:eastAsia="zh-CN"/>
        </w:rPr>
        <w:t>普通合伙</w:t>
      </w:r>
      <w:r>
        <w:rPr>
          <w:rFonts w:hint="eastAsia" w:ascii="Times New Roman" w:hAnsi="Times New Roman" w:eastAsia="宋体" w:cs="Times New Roman"/>
          <w:b/>
          <w:kern w:val="15"/>
          <w:sz w:val="48"/>
          <w:szCs w:val="48"/>
          <w:lang w:eastAsia="zh-CN"/>
        </w:rPr>
        <w:t>）</w:t>
      </w:r>
    </w:p>
    <w:p>
      <w:pPr>
        <w:spacing w:line="320" w:lineRule="exact"/>
        <w:jc w:val="center"/>
        <w:rPr>
          <w:rFonts w:ascii="楷体" w:hAnsi="Times New Roman" w:eastAsia="楷体" w:cs="Times New Roman"/>
          <w:sz w:val="24"/>
          <w:szCs w:val="24"/>
        </w:rPr>
      </w:pPr>
    </w:p>
    <w:p>
      <w:pPr>
        <w:tabs>
          <w:tab w:val="left" w:pos="3150"/>
        </w:tabs>
        <w:spacing w:line="480" w:lineRule="exact"/>
        <w:jc w:val="center"/>
        <w:rPr>
          <w:rFonts w:ascii="宋体" w:hAnsi="Times New Roman" w:eastAsia="宋体" w:cs="Times New Roman"/>
          <w:sz w:val="24"/>
          <w:szCs w:val="24"/>
        </w:rPr>
      </w:pPr>
      <w:r>
        <w:rPr>
          <w:rFonts w:hint="eastAsia" w:ascii="宋体" w:hAnsi="Times New Roman" w:eastAsia="宋体" w:cs="Times New Roman"/>
          <w:sz w:val="24"/>
          <w:szCs w:val="24"/>
          <w:lang w:val="en-US" w:eastAsia="zh-CN"/>
        </w:rPr>
        <w:t>企融</w:t>
      </w:r>
      <w:r>
        <w:rPr>
          <w:rFonts w:hint="eastAsia" w:ascii="宋体" w:hAnsi="Times New Roman" w:eastAsia="宋体" w:cs="Times New Roman"/>
          <w:sz w:val="24"/>
          <w:szCs w:val="24"/>
        </w:rPr>
        <w:t>专字【2021】160</w:t>
      </w:r>
      <w:r>
        <w:rPr>
          <w:rFonts w:hint="eastAsia" w:ascii="宋体" w:hAnsi="Times New Roman" w:eastAsia="宋体" w:cs="Times New Roman"/>
          <w:sz w:val="24"/>
          <w:szCs w:val="24"/>
          <w:highlight w:val="none"/>
        </w:rPr>
        <w:t>号</w:t>
      </w:r>
    </w:p>
    <w:p>
      <w:pPr>
        <w:tabs>
          <w:tab w:val="left" w:pos="3150"/>
        </w:tabs>
        <w:jc w:val="center"/>
        <w:rPr>
          <w:rFonts w:ascii="Times New Roman" w:hAnsi="Times New Roman" w:eastAsia="宋体" w:cs="Times New Roman"/>
          <w:spacing w:val="70"/>
          <w:sz w:val="18"/>
          <w:szCs w:val="24"/>
        </w:rPr>
      </w:pPr>
      <w:r>
        <w:rPr>
          <w:rFonts w:ascii="Times New Roman" w:hAnsi="Times New Roman" w:eastAsia="宋体" w:cs="Times New Roman"/>
          <w:spacing w:val="70"/>
          <w:sz w:val="18"/>
          <w:szCs w:val="24"/>
        </w:rPr>
        <w:t>**************************************************</w:t>
      </w:r>
    </w:p>
    <w:p>
      <w:pPr>
        <w:spacing w:line="480" w:lineRule="auto"/>
        <w:jc w:val="center"/>
        <w:rPr>
          <w:rFonts w:ascii="黑体" w:hAnsi="Times New Roman" w:eastAsia="黑体" w:cs="Times New Roman"/>
          <w:bCs/>
          <w:kern w:val="0"/>
          <w:sz w:val="36"/>
          <w:szCs w:val="24"/>
        </w:rPr>
      </w:pPr>
      <w:r>
        <w:rPr>
          <w:rFonts w:hint="eastAsia" w:ascii="黑体" w:hAnsi="Times New Roman" w:eastAsia="黑体" w:cs="Times New Roman"/>
          <w:bCs/>
          <w:kern w:val="0"/>
          <w:sz w:val="36"/>
          <w:szCs w:val="24"/>
        </w:rPr>
        <w:t>关于高邑县</w:t>
      </w:r>
      <w:r>
        <w:rPr>
          <w:rStyle w:val="17"/>
          <w:rFonts w:ascii="宋体" w:hAnsi="宋体" w:eastAsia="宋体" w:cs="宋体"/>
          <w:b/>
          <w:bCs/>
          <w:kern w:val="0"/>
          <w:sz w:val="44"/>
          <w:szCs w:val="44"/>
        </w:rPr>
        <w:t>2021年病死动物无害化处理项目</w:t>
      </w:r>
      <w:r>
        <w:rPr>
          <w:rFonts w:hint="eastAsia" w:ascii="黑体" w:hAnsi="Times New Roman" w:eastAsia="黑体" w:cs="Times New Roman"/>
          <w:bCs/>
          <w:kern w:val="0"/>
          <w:sz w:val="36"/>
          <w:szCs w:val="24"/>
        </w:rPr>
        <w:t>绩效评价报告</w:t>
      </w:r>
    </w:p>
    <w:p>
      <w:pPr>
        <w:spacing w:line="520" w:lineRule="exact"/>
        <w:jc w:val="left"/>
        <w:rPr>
          <w:rFonts w:ascii="仿宋" w:hAnsi="仿宋" w:eastAsia="仿宋" w:cs="Times New Roman"/>
          <w:sz w:val="28"/>
          <w:szCs w:val="28"/>
        </w:rPr>
      </w:pPr>
      <w:r>
        <w:rPr>
          <w:rFonts w:hint="eastAsia" w:ascii="仿宋" w:hAnsi="仿宋" w:eastAsia="仿宋" w:cs="Times New Roman"/>
          <w:sz w:val="28"/>
          <w:szCs w:val="28"/>
        </w:rPr>
        <w:t>高邑县财政局：</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我们接受贵局委托，对高邑县2021年病死动物无害化处理项目资金的预算执行、项目资金使用及财务基础工作进行了绩效评价。</w:t>
      </w:r>
      <w:r>
        <w:rPr>
          <w:rFonts w:hint="eastAsia" w:ascii="仿宋" w:hAnsi="仿宋" w:eastAsia="仿宋" w:cs="Times New Roman"/>
          <w:sz w:val="28"/>
          <w:szCs w:val="28"/>
          <w:lang w:val="en-US" w:eastAsia="zh-CN"/>
        </w:rPr>
        <w:t>高邑县农业农村局（以下简称“农业农村局”）</w:t>
      </w:r>
      <w:r>
        <w:rPr>
          <w:rFonts w:hint="eastAsia" w:ascii="仿宋" w:hAnsi="仿宋" w:eastAsia="仿宋" w:cs="Times New Roman"/>
          <w:sz w:val="28"/>
          <w:szCs w:val="28"/>
        </w:rPr>
        <w:t>对其提供的财务会计资料以及其他相关资料的真实性和完整性负责，并对此做出了书面承诺。我们的责任是对此进行绩效评价并出具报告。</w:t>
      </w:r>
    </w:p>
    <w:p>
      <w:pPr>
        <w:spacing w:line="520" w:lineRule="exact"/>
        <w:ind w:firstLine="562" w:firstLineChars="200"/>
        <w:jc w:val="left"/>
        <w:rPr>
          <w:rFonts w:ascii="仿宋" w:hAnsi="仿宋" w:eastAsia="仿宋" w:cs="Times New Roman"/>
          <w:b/>
          <w:sz w:val="28"/>
          <w:szCs w:val="28"/>
        </w:rPr>
      </w:pPr>
      <w:r>
        <w:rPr>
          <w:rFonts w:hint="eastAsia" w:ascii="仿宋" w:hAnsi="仿宋" w:eastAsia="仿宋" w:cs="Times New Roman"/>
          <w:b/>
          <w:sz w:val="28"/>
          <w:szCs w:val="28"/>
        </w:rPr>
        <w:t>一、基本情况</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（一）项目概况</w:t>
      </w:r>
    </w:p>
    <w:p>
      <w:pPr>
        <w:spacing w:line="520" w:lineRule="exact"/>
        <w:ind w:firstLine="560" w:firstLineChars="200"/>
        <w:jc w:val="left"/>
        <w:rPr>
          <w:rFonts w:hint="eastAsia" w:ascii="仿宋" w:hAnsi="仿宋" w:eastAsia="仿宋" w:cs="Times New Roman"/>
          <w:sz w:val="28"/>
          <w:szCs w:val="28"/>
          <w:lang w:eastAsia="zh-CN"/>
        </w:rPr>
      </w:pPr>
      <w:r>
        <w:rPr>
          <w:rFonts w:hint="eastAsia" w:ascii="仿宋" w:hAnsi="仿宋" w:eastAsia="仿宋" w:cs="Times New Roman"/>
          <w:sz w:val="28"/>
          <w:szCs w:val="28"/>
        </w:rPr>
        <w:t>1、</w:t>
      </w:r>
      <w:r>
        <w:rPr>
          <w:rFonts w:hint="eastAsia" w:ascii="仿宋" w:hAnsi="仿宋" w:eastAsia="仿宋" w:cs="Times New Roman"/>
          <w:sz w:val="28"/>
          <w:szCs w:val="28"/>
          <w:lang w:val="en-US" w:eastAsia="zh-CN"/>
        </w:rPr>
        <w:t>农业农村局2021年病死动物无害化处理</w:t>
      </w:r>
      <w:r>
        <w:rPr>
          <w:rFonts w:hint="eastAsia" w:ascii="仿宋" w:hAnsi="仿宋" w:eastAsia="仿宋" w:cs="Times New Roman"/>
          <w:sz w:val="28"/>
          <w:szCs w:val="28"/>
        </w:rPr>
        <w:t>项目资金为155.56万元</w:t>
      </w:r>
      <w:r>
        <w:rPr>
          <w:rFonts w:hint="eastAsia" w:ascii="仿宋" w:hAnsi="仿宋" w:eastAsia="仿宋" w:cs="Times New Roman"/>
          <w:sz w:val="28"/>
          <w:szCs w:val="28"/>
          <w:lang w:eastAsia="zh-CN"/>
        </w:rPr>
        <w:t>。</w:t>
      </w:r>
    </w:p>
    <w:p>
      <w:pPr>
        <w:spacing w:line="520" w:lineRule="exact"/>
        <w:ind w:firstLine="560" w:firstLineChars="200"/>
        <w:jc w:val="left"/>
        <w:rPr>
          <w:rFonts w:hint="eastAsia" w:ascii="仿宋" w:hAnsi="仿宋" w:eastAsia="仿宋" w:cs="Times New Roman"/>
          <w:sz w:val="28"/>
          <w:szCs w:val="28"/>
        </w:rPr>
      </w:pPr>
      <w:r>
        <w:rPr>
          <w:rFonts w:hint="eastAsia" w:ascii="仿宋" w:hAnsi="仿宋" w:eastAsia="仿宋" w:cs="Times New Roman"/>
          <w:sz w:val="28"/>
          <w:szCs w:val="28"/>
        </w:rPr>
        <w:t>我们根据《项目支出绩效评价管理办法》（财政部预〔</w:t>
      </w:r>
      <w:r>
        <w:rPr>
          <w:rFonts w:ascii="仿宋" w:hAnsi="仿宋" w:eastAsia="仿宋" w:cs="Times New Roman"/>
          <w:sz w:val="28"/>
          <w:szCs w:val="28"/>
        </w:rPr>
        <w:t>2020〕10 号）对该项目资金进行绩效评价</w:t>
      </w:r>
      <w:r>
        <w:rPr>
          <w:rFonts w:hint="eastAsia" w:ascii="仿宋" w:hAnsi="仿宋" w:eastAsia="仿宋" w:cs="Times New Roman"/>
          <w:sz w:val="28"/>
          <w:szCs w:val="28"/>
        </w:rPr>
        <w:t>。</w:t>
      </w:r>
    </w:p>
    <w:p>
      <w:pPr>
        <w:numPr>
          <w:ilvl w:val="0"/>
          <w:numId w:val="1"/>
        </w:numPr>
        <w:spacing w:line="520" w:lineRule="exact"/>
        <w:ind w:firstLine="560" w:firstLineChars="200"/>
        <w:jc w:val="left"/>
        <w:rPr>
          <w:rFonts w:hint="eastAsia" w:ascii="仿宋" w:hAnsi="仿宋" w:eastAsia="仿宋" w:cs="Times New Roman"/>
          <w:sz w:val="28"/>
          <w:szCs w:val="28"/>
          <w:lang w:val="en-US" w:eastAsia="zh-CN"/>
        </w:rPr>
      </w:pPr>
      <w:r>
        <w:rPr>
          <w:rFonts w:hint="eastAsia" w:ascii="仿宋" w:hAnsi="仿宋" w:eastAsia="仿宋" w:cs="Times New Roman"/>
          <w:sz w:val="28"/>
          <w:szCs w:val="28"/>
        </w:rPr>
        <w:t>经核实2021年病死动物无害化处理项目的明细账、原始凭证及其他资料，</w:t>
      </w:r>
      <w:r>
        <w:rPr>
          <w:rFonts w:hint="eastAsia" w:ascii="仿宋" w:hAnsi="仿宋" w:eastAsia="仿宋" w:cs="Times New Roman"/>
          <w:sz w:val="28"/>
          <w:szCs w:val="28"/>
          <w:lang w:val="en-US" w:eastAsia="zh-CN"/>
        </w:rPr>
        <w:t>农业农村局2021年</w:t>
      </w:r>
      <w:r>
        <w:rPr>
          <w:rFonts w:hint="eastAsia" w:ascii="仿宋" w:hAnsi="仿宋" w:eastAsia="仿宋" w:cs="Times New Roman"/>
          <w:sz w:val="28"/>
          <w:szCs w:val="28"/>
        </w:rPr>
        <w:t>收到财政拨款155.56</w:t>
      </w:r>
      <w:r>
        <w:rPr>
          <w:rFonts w:hint="eastAsia" w:ascii="仿宋" w:hAnsi="仿宋" w:eastAsia="仿宋" w:cs="Times New Roman"/>
          <w:sz w:val="28"/>
          <w:szCs w:val="28"/>
          <w:lang w:val="en-US" w:eastAsia="zh-CN"/>
        </w:rPr>
        <w:t>万元</w:t>
      </w:r>
      <w:r>
        <w:rPr>
          <w:rFonts w:hint="eastAsia" w:ascii="仿宋" w:hAnsi="仿宋" w:eastAsia="仿宋" w:cs="Times New Roman"/>
          <w:sz w:val="28"/>
          <w:szCs w:val="28"/>
        </w:rPr>
        <w:t>、资金支出155.56</w:t>
      </w:r>
      <w:r>
        <w:rPr>
          <w:rFonts w:hint="eastAsia" w:ascii="仿宋" w:hAnsi="仿宋" w:eastAsia="仿宋" w:cs="Times New Roman"/>
          <w:sz w:val="28"/>
          <w:szCs w:val="28"/>
          <w:lang w:val="en-US" w:eastAsia="zh-CN"/>
        </w:rPr>
        <w:t>万元、</w:t>
      </w:r>
      <w:r>
        <w:rPr>
          <w:rFonts w:hint="eastAsia" w:ascii="仿宋" w:hAnsi="仿宋" w:eastAsia="仿宋" w:cs="Times New Roman"/>
          <w:sz w:val="28"/>
          <w:szCs w:val="28"/>
        </w:rPr>
        <w:t>资金结余</w:t>
      </w:r>
      <w:r>
        <w:rPr>
          <w:rFonts w:hint="eastAsia" w:ascii="仿宋" w:hAnsi="仿宋" w:eastAsia="仿宋" w:cs="Times New Roman"/>
          <w:sz w:val="28"/>
          <w:szCs w:val="28"/>
          <w:lang w:val="en-US" w:eastAsia="zh-CN"/>
        </w:rPr>
        <w:t>0万元。</w:t>
      </w:r>
    </w:p>
    <w:p>
      <w:pPr>
        <w:numPr>
          <w:ilvl w:val="0"/>
          <w:numId w:val="0"/>
        </w:numPr>
        <w:spacing w:line="520" w:lineRule="exact"/>
        <w:ind w:firstLine="280" w:firstLineChars="100"/>
        <w:jc w:val="left"/>
        <w:rPr>
          <w:rFonts w:ascii="仿宋" w:hAnsi="仿宋" w:eastAsia="仿宋" w:cs="Times New Roman"/>
          <w:sz w:val="28"/>
          <w:szCs w:val="28"/>
        </w:rPr>
      </w:pPr>
      <w:r>
        <w:rPr>
          <w:rFonts w:hint="eastAsia" w:ascii="仿宋" w:hAnsi="仿宋" w:eastAsia="仿宋" w:cs="Times New Roman"/>
          <w:sz w:val="28"/>
          <w:szCs w:val="28"/>
        </w:rPr>
        <w:t>（二）项目绩效目标</w:t>
      </w:r>
    </w:p>
    <w:p>
      <w:pPr>
        <w:spacing w:line="520" w:lineRule="exact"/>
        <w:ind w:firstLine="560" w:firstLineChars="200"/>
        <w:jc w:val="left"/>
        <w:rPr>
          <w:rFonts w:hint="eastAsia" w:ascii="仿宋" w:hAnsi="仿宋" w:eastAsia="仿宋" w:cs="Times New Roman"/>
          <w:sz w:val="28"/>
          <w:szCs w:val="28"/>
          <w:lang w:eastAsia="zh-CN"/>
        </w:rPr>
      </w:pPr>
      <w:bookmarkStart w:id="0" w:name="_Toc10111741"/>
      <w:r>
        <w:rPr>
          <w:rFonts w:hint="eastAsia" w:ascii="仿宋" w:hAnsi="仿宋" w:eastAsia="仿宋" w:cs="Times New Roman"/>
          <w:sz w:val="28"/>
          <w:szCs w:val="28"/>
        </w:rPr>
        <w:t>经查阅</w:t>
      </w:r>
      <w:r>
        <w:rPr>
          <w:rFonts w:hint="eastAsia" w:ascii="仿宋" w:hAnsi="仿宋" w:eastAsia="仿宋" w:cs="Times New Roman"/>
          <w:sz w:val="28"/>
          <w:szCs w:val="28"/>
          <w:lang w:val="en-US" w:eastAsia="zh-CN"/>
        </w:rPr>
        <w:t>农业农村局</w:t>
      </w:r>
      <w:r>
        <w:rPr>
          <w:rFonts w:hint="eastAsia" w:ascii="仿宋" w:hAnsi="仿宋" w:eastAsia="仿宋" w:cs="Times New Roman"/>
          <w:sz w:val="28"/>
          <w:szCs w:val="28"/>
        </w:rPr>
        <w:t>项目支出绩效自评表，项目总体绩效指标通过对病死畜禽无害化处理保证我县食品和环境安全，促进养殖业健康发展</w:t>
      </w:r>
      <w:r>
        <w:rPr>
          <w:rFonts w:hint="eastAsia" w:ascii="仿宋" w:hAnsi="仿宋" w:eastAsia="仿宋" w:cs="Times New Roman"/>
          <w:sz w:val="28"/>
          <w:szCs w:val="28"/>
          <w:lang w:eastAsia="zh-CN"/>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（三）项目评价政策依据</w:t>
      </w:r>
      <w:bookmarkEnd w:id="0"/>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1、《财政违法行为处罚处分条例》（国务院令第427号）；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2、《中华人民共和国预算法》；</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3、《财政部门监督办法》（财政部令〔</w:t>
      </w:r>
      <w:r>
        <w:rPr>
          <w:rFonts w:ascii="仿宋" w:hAnsi="仿宋" w:eastAsia="仿宋" w:cs="Times New Roman"/>
          <w:sz w:val="28"/>
          <w:szCs w:val="28"/>
        </w:rPr>
        <w:t>2012</w:t>
      </w:r>
      <w:r>
        <w:rPr>
          <w:rFonts w:hint="eastAsia" w:ascii="仿宋" w:hAnsi="仿宋" w:eastAsia="仿宋" w:cs="Times New Roman"/>
          <w:sz w:val="28"/>
          <w:szCs w:val="28"/>
        </w:rPr>
        <w:t>〕</w:t>
      </w:r>
      <w:r>
        <w:rPr>
          <w:rFonts w:ascii="仿宋" w:hAnsi="仿宋" w:eastAsia="仿宋" w:cs="Times New Roman"/>
          <w:sz w:val="28"/>
          <w:szCs w:val="28"/>
        </w:rPr>
        <w:t>69</w:t>
      </w:r>
      <w:r>
        <w:rPr>
          <w:rFonts w:hint="eastAsia" w:ascii="仿宋" w:hAnsi="仿宋" w:eastAsia="仿宋" w:cs="Times New Roman"/>
          <w:sz w:val="28"/>
          <w:szCs w:val="28"/>
        </w:rPr>
        <w:t>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4、《财政检查工作办法》（财政部令〔</w:t>
      </w:r>
      <w:r>
        <w:rPr>
          <w:rFonts w:ascii="仿宋" w:hAnsi="仿宋" w:eastAsia="仿宋" w:cs="Times New Roman"/>
          <w:sz w:val="28"/>
          <w:szCs w:val="28"/>
        </w:rPr>
        <w:t>2006</w:t>
      </w:r>
      <w:r>
        <w:rPr>
          <w:rFonts w:hint="eastAsia" w:ascii="仿宋" w:hAnsi="仿宋" w:eastAsia="仿宋" w:cs="Times New Roman"/>
          <w:sz w:val="28"/>
          <w:szCs w:val="28"/>
        </w:rPr>
        <w:t>〕</w:t>
      </w:r>
      <w:r>
        <w:rPr>
          <w:rFonts w:ascii="仿宋" w:hAnsi="仿宋" w:eastAsia="仿宋" w:cs="Times New Roman"/>
          <w:sz w:val="28"/>
          <w:szCs w:val="28"/>
        </w:rPr>
        <w:t>32</w:t>
      </w:r>
      <w:r>
        <w:rPr>
          <w:rFonts w:hint="eastAsia" w:ascii="仿宋" w:hAnsi="仿宋" w:eastAsia="仿宋" w:cs="Times New Roman"/>
          <w:sz w:val="28"/>
          <w:szCs w:val="28"/>
        </w:rPr>
        <w:t>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5、《项目支出绩效评价管理办法》（财政部预〔</w:t>
      </w:r>
      <w:r>
        <w:rPr>
          <w:rFonts w:ascii="仿宋" w:hAnsi="仿宋" w:eastAsia="仿宋" w:cs="Times New Roman"/>
          <w:sz w:val="28"/>
          <w:szCs w:val="28"/>
        </w:rPr>
        <w:t>2020〕10 号）</w:t>
      </w:r>
      <w:r>
        <w:rPr>
          <w:rFonts w:hint="eastAsia" w:ascii="仿宋" w:hAnsi="仿宋" w:eastAsia="仿宋" w:cs="Times New Roman"/>
          <w:sz w:val="28"/>
          <w:szCs w:val="28"/>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lang w:val="en-US" w:eastAsia="zh-CN"/>
        </w:rPr>
        <w:t>6</w:t>
      </w:r>
      <w:r>
        <w:rPr>
          <w:rFonts w:hint="eastAsia" w:ascii="仿宋" w:hAnsi="仿宋" w:eastAsia="仿宋" w:cs="Times New Roman"/>
          <w:sz w:val="28"/>
          <w:szCs w:val="28"/>
        </w:rPr>
        <w:t>、其他相关法律、法规、政策文件。</w:t>
      </w:r>
    </w:p>
    <w:p>
      <w:pPr>
        <w:spacing w:line="520" w:lineRule="exact"/>
        <w:ind w:firstLine="562" w:firstLineChars="200"/>
        <w:jc w:val="left"/>
        <w:rPr>
          <w:rFonts w:ascii="仿宋" w:hAnsi="仿宋" w:eastAsia="仿宋" w:cs="Times New Roman"/>
          <w:b/>
          <w:sz w:val="28"/>
          <w:szCs w:val="28"/>
        </w:rPr>
      </w:pPr>
      <w:bookmarkStart w:id="1" w:name="_Toc10111742"/>
      <w:r>
        <w:rPr>
          <w:rFonts w:hint="eastAsia" w:ascii="仿宋" w:hAnsi="仿宋" w:eastAsia="仿宋" w:cs="Times New Roman"/>
          <w:b/>
          <w:sz w:val="28"/>
          <w:szCs w:val="28"/>
        </w:rPr>
        <w:t>二、绩效评价工作开展情况</w:t>
      </w:r>
      <w:bookmarkEnd w:id="1"/>
    </w:p>
    <w:p>
      <w:pPr>
        <w:spacing w:line="520" w:lineRule="exact"/>
        <w:ind w:firstLine="560" w:firstLineChars="200"/>
        <w:jc w:val="left"/>
        <w:rPr>
          <w:rFonts w:ascii="仿宋" w:hAnsi="仿宋" w:eastAsia="仿宋" w:cs="Times New Roman"/>
          <w:sz w:val="28"/>
          <w:szCs w:val="28"/>
        </w:rPr>
      </w:pPr>
      <w:bookmarkStart w:id="2" w:name="_Toc10111743"/>
      <w:r>
        <w:rPr>
          <w:rFonts w:hint="eastAsia" w:ascii="仿宋" w:hAnsi="仿宋" w:eastAsia="仿宋" w:cs="Times New Roman"/>
          <w:sz w:val="28"/>
          <w:szCs w:val="28"/>
        </w:rPr>
        <w:t>（一）绩效评价目的</w:t>
      </w:r>
      <w:bookmarkEnd w:id="2"/>
      <w:r>
        <w:rPr>
          <w:rFonts w:hint="eastAsia" w:ascii="仿宋" w:hAnsi="仿宋" w:eastAsia="仿宋" w:cs="Times New Roman"/>
          <w:sz w:val="28"/>
          <w:szCs w:val="28"/>
        </w:rPr>
        <w:t>、对象和范围</w:t>
      </w:r>
    </w:p>
    <w:p>
      <w:pPr>
        <w:spacing w:line="520" w:lineRule="exact"/>
        <w:ind w:firstLine="560" w:firstLineChars="200"/>
        <w:jc w:val="left"/>
        <w:rPr>
          <w:rFonts w:ascii="仿宋" w:hAnsi="仿宋" w:eastAsia="仿宋" w:cs="Times New Roman"/>
          <w:sz w:val="28"/>
          <w:szCs w:val="28"/>
        </w:rPr>
      </w:pPr>
      <w:bookmarkStart w:id="3" w:name="_Toc10111744"/>
      <w:r>
        <w:rPr>
          <w:rFonts w:hint="eastAsia" w:ascii="仿宋" w:hAnsi="仿宋" w:eastAsia="仿宋" w:cs="Times New Roman"/>
          <w:sz w:val="28"/>
          <w:szCs w:val="28"/>
        </w:rPr>
        <w:t>对</w:t>
      </w:r>
      <w:r>
        <w:rPr>
          <w:rFonts w:hint="eastAsia" w:ascii="仿宋" w:hAnsi="仿宋" w:eastAsia="仿宋" w:cs="Times New Roman"/>
          <w:sz w:val="28"/>
          <w:szCs w:val="28"/>
          <w:lang w:val="en-US" w:eastAsia="zh-CN"/>
        </w:rPr>
        <w:t>高邑县农业农村局</w:t>
      </w:r>
      <w:r>
        <w:rPr>
          <w:rFonts w:hint="eastAsia" w:ascii="仿宋" w:hAnsi="仿宋" w:eastAsia="仿宋" w:cs="Times New Roman"/>
          <w:sz w:val="28"/>
          <w:szCs w:val="28"/>
        </w:rPr>
        <w:t>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年度“2021年病死动物无害化处理项目”进行绩效评价。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（二）绩效评价原则、评价指标体系、评价方法</w:t>
      </w:r>
      <w:bookmarkEnd w:id="3"/>
      <w:r>
        <w:rPr>
          <w:rFonts w:hint="eastAsia" w:ascii="仿宋" w:hAnsi="仿宋" w:eastAsia="仿宋" w:cs="Times New Roman"/>
          <w:sz w:val="28"/>
          <w:szCs w:val="28"/>
        </w:rPr>
        <w:t>和评价标准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绩效评价标准：该项目根据产出指标的各项标准作为绩效评价标准，对其进行评价。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评价方法：在评价实施过程中，我们首先明确了每个阶段应该收集的信息，然后由有关人员根据项目进度收集信息，及时进行汇总、整理，并对照绩效指标体系项目的完成情况。对于没有及时完成预期设定绩效指标的，及时调整工作方向和工作方法，确保绩效指标的顺利实施。</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我们依据《项目支出绩效评价管理办法》（财政部预〔</w:t>
      </w:r>
      <w:r>
        <w:rPr>
          <w:rFonts w:ascii="仿宋" w:hAnsi="仿宋" w:eastAsia="仿宋" w:cs="Times New Roman"/>
          <w:sz w:val="28"/>
          <w:szCs w:val="28"/>
        </w:rPr>
        <w:t>2020〕10 号）文中要求</w:t>
      </w:r>
      <w:r>
        <w:rPr>
          <w:rFonts w:hint="eastAsia" w:ascii="仿宋" w:hAnsi="仿宋" w:eastAsia="仿宋" w:cs="Times New Roman"/>
          <w:sz w:val="28"/>
          <w:szCs w:val="28"/>
        </w:rPr>
        <w:t>，</w:t>
      </w:r>
      <w:r>
        <w:rPr>
          <w:rFonts w:ascii="仿宋" w:hAnsi="仿宋" w:eastAsia="仿宋" w:cs="Times New Roman"/>
          <w:sz w:val="28"/>
          <w:szCs w:val="28"/>
        </w:rPr>
        <w:t>结合项目的实际情况制定了该项目的</w:t>
      </w:r>
      <w:r>
        <w:rPr>
          <w:rFonts w:hint="eastAsia" w:ascii="仿宋" w:hAnsi="仿宋" w:eastAsia="仿宋" w:cs="Times New Roman"/>
          <w:sz w:val="28"/>
          <w:szCs w:val="28"/>
        </w:rPr>
        <w:t>评价指标体系。</w:t>
      </w:r>
    </w:p>
    <w:tbl>
      <w:tblPr>
        <w:tblStyle w:val="7"/>
        <w:tblW w:w="9100" w:type="dxa"/>
        <w:tblInd w:w="93" w:type="dxa"/>
        <w:tblLayout w:type="autofit"/>
        <w:tblCellMar>
          <w:top w:w="0" w:type="dxa"/>
          <w:left w:w="108" w:type="dxa"/>
          <w:bottom w:w="0" w:type="dxa"/>
          <w:right w:w="108" w:type="dxa"/>
        </w:tblCellMar>
      </w:tblPr>
      <w:tblGrid>
        <w:gridCol w:w="534"/>
        <w:gridCol w:w="560"/>
        <w:gridCol w:w="580"/>
        <w:gridCol w:w="2260"/>
        <w:gridCol w:w="5166"/>
      </w:tblGrid>
      <w:tr>
        <w:tblPrEx>
          <w:tblCellMar>
            <w:top w:w="0" w:type="dxa"/>
            <w:left w:w="108" w:type="dxa"/>
            <w:bottom w:w="0" w:type="dxa"/>
            <w:right w:w="108" w:type="dxa"/>
          </w:tblCellMar>
        </w:tblPrEx>
        <w:trPr>
          <w:trHeight w:val="600" w:hRule="atLeast"/>
        </w:trPr>
        <w:tc>
          <w:tcPr>
            <w:tcW w:w="9100" w:type="dxa"/>
            <w:gridSpan w:val="5"/>
            <w:tcBorders>
              <w:top w:val="nil"/>
              <w:left w:val="nil"/>
              <w:bottom w:val="single" w:color="auto" w:sz="12" w:space="0"/>
              <w:right w:val="nil"/>
            </w:tcBorders>
            <w:shd w:val="clear" w:color="auto" w:fill="auto"/>
            <w:noWrap/>
            <w:vAlign w:val="center"/>
          </w:tcPr>
          <w:p>
            <w:pPr>
              <w:widowControl/>
              <w:jc w:val="center"/>
              <w:rPr>
                <w:rFonts w:ascii="仿宋" w:hAnsi="仿宋" w:eastAsia="仿宋" w:cs="宋体"/>
                <w:b/>
                <w:bCs/>
                <w:color w:val="000000"/>
                <w:kern w:val="0"/>
                <w:sz w:val="28"/>
                <w:szCs w:val="28"/>
              </w:rPr>
            </w:pPr>
            <w:r>
              <w:rPr>
                <w:rFonts w:hint="eastAsia" w:ascii="仿宋" w:hAnsi="仿宋" w:eastAsia="仿宋" w:cs="宋体"/>
                <w:b/>
                <w:bCs/>
                <w:color w:val="000000"/>
                <w:kern w:val="0"/>
                <w:sz w:val="28"/>
                <w:szCs w:val="28"/>
              </w:rPr>
              <w:t>项目支出绩效评价指标体系</w:t>
            </w:r>
          </w:p>
        </w:tc>
      </w:tr>
      <w:tr>
        <w:tblPrEx>
          <w:tblCellMar>
            <w:top w:w="0" w:type="dxa"/>
            <w:left w:w="108" w:type="dxa"/>
            <w:bottom w:w="0" w:type="dxa"/>
            <w:right w:w="108" w:type="dxa"/>
          </w:tblCellMar>
        </w:tblPrEx>
        <w:trPr>
          <w:trHeight w:val="480" w:hRule="atLeast"/>
        </w:trPr>
        <w:tc>
          <w:tcPr>
            <w:tcW w:w="534" w:type="dxa"/>
            <w:tcBorders>
              <w:top w:val="single" w:color="auto" w:sz="12" w:space="0"/>
              <w:bottom w:val="dotted" w:color="auto" w:sz="4" w:space="0"/>
              <w:right w:val="dotted" w:color="auto" w:sz="4" w:space="0"/>
            </w:tcBorders>
            <w:shd w:val="clear" w:color="auto" w:fill="auto"/>
            <w:vAlign w:val="bottom"/>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一级指标</w:t>
            </w:r>
          </w:p>
        </w:tc>
        <w:tc>
          <w:tcPr>
            <w:tcW w:w="560" w:type="dxa"/>
            <w:tcBorders>
              <w:top w:val="single" w:color="auto" w:sz="12"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二级指标</w:t>
            </w:r>
          </w:p>
        </w:tc>
        <w:tc>
          <w:tcPr>
            <w:tcW w:w="580" w:type="dxa"/>
            <w:tcBorders>
              <w:top w:val="single" w:color="auto" w:sz="12"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三级指标</w:t>
            </w:r>
          </w:p>
        </w:tc>
        <w:tc>
          <w:tcPr>
            <w:tcW w:w="2260" w:type="dxa"/>
            <w:tcBorders>
              <w:top w:val="single" w:color="auto" w:sz="12"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指标解释</w:t>
            </w:r>
          </w:p>
        </w:tc>
        <w:tc>
          <w:tcPr>
            <w:tcW w:w="5166" w:type="dxa"/>
            <w:tcBorders>
              <w:top w:val="single" w:color="auto" w:sz="12" w:space="0"/>
              <w:left w:val="dotted" w:color="auto" w:sz="4" w:space="0"/>
              <w:bottom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指标说明</w:t>
            </w:r>
          </w:p>
        </w:tc>
      </w:tr>
      <w:tr>
        <w:tblPrEx>
          <w:tblCellMar>
            <w:top w:w="0" w:type="dxa"/>
            <w:left w:w="108" w:type="dxa"/>
            <w:bottom w:w="0" w:type="dxa"/>
            <w:right w:w="108" w:type="dxa"/>
          </w:tblCellMar>
        </w:tblPrEx>
        <w:trPr>
          <w:trHeight w:val="280" w:hRule="atLeast"/>
        </w:trPr>
        <w:tc>
          <w:tcPr>
            <w:tcW w:w="534" w:type="dxa"/>
            <w:vMerge w:val="restart"/>
            <w:tcBorders>
              <w:top w:val="dotted" w:color="auto" w:sz="4" w:space="0"/>
              <w:bottom w:val="dotted" w:color="auto" w:sz="4" w:space="0"/>
              <w:right w:val="dotted" w:color="auto" w:sz="4" w:space="0"/>
            </w:tcBorders>
            <w:shd w:val="clear" w:color="auto" w:fill="auto"/>
            <w:noWrap/>
            <w:textDirection w:val="tbRlV"/>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项目决策</w:t>
            </w: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项目立项　</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立项依据充分性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项目立项是否符合法律法规、相关政策、发展规划以及部门职责，用以反映和考核项目立项依据情况。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①项目立项是否符合国家法律法规、国民经济发展规划和相关政策；</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②项目立项是否与部门职责范围相符，属于部门履职所需；</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立项程序规范性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项目申请、设立过程是否符合相关要求，用以反映和考核项目立项的规范情况。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①项目是否按照规定的程序申请设立；</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②审批文件、材料是否符合相关要求；</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绩效目标　</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绩效目标合理性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项目所设定的绩效目标是否依据充分，是否符合客观实际，用以反映和考核项目绩效目标与项目实施的相符情况。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tcPr>
          <w:p>
            <w:pPr>
              <w:rPr>
                <w:rFonts w:ascii="宋体" w:hAnsi="宋体" w:eastAsia="宋体" w:cs="宋体"/>
                <w:color w:val="000000"/>
                <w:kern w:val="0"/>
                <w:sz w:val="18"/>
                <w:szCs w:val="18"/>
              </w:rPr>
            </w:pPr>
            <w:r>
              <w:rPr>
                <w:rFonts w:hint="eastAsia" w:ascii="宋体" w:hAnsi="宋体" w:eastAsia="宋体" w:cs="宋体"/>
                <w:color w:val="000000"/>
                <w:kern w:val="0"/>
                <w:sz w:val="18"/>
                <w:szCs w:val="18"/>
              </w:rPr>
              <w:t>①项目是否有绩效目标；</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tcPr>
          <w:p>
            <w:pPr>
              <w:rPr>
                <w:rFonts w:ascii="宋体" w:hAnsi="宋体" w:eastAsia="宋体" w:cs="宋体"/>
                <w:color w:val="000000"/>
                <w:kern w:val="0"/>
                <w:sz w:val="18"/>
                <w:szCs w:val="18"/>
              </w:rPr>
            </w:pPr>
            <w:r>
              <w:rPr>
                <w:rFonts w:hint="eastAsia" w:ascii="宋体" w:hAnsi="宋体" w:eastAsia="宋体" w:cs="宋体"/>
                <w:color w:val="000000"/>
                <w:kern w:val="0"/>
                <w:sz w:val="18"/>
                <w:szCs w:val="18"/>
              </w:rPr>
              <w:t>②项目绩效目标与实际工作内容是否具有相关性；</w:t>
            </w:r>
          </w:p>
        </w:tc>
      </w:tr>
      <w:tr>
        <w:tblPrEx>
          <w:tblCellMar>
            <w:top w:w="0" w:type="dxa"/>
            <w:left w:w="108" w:type="dxa"/>
            <w:bottom w:w="0" w:type="dxa"/>
            <w:right w:w="108" w:type="dxa"/>
          </w:tblCellMar>
        </w:tblPrEx>
        <w:trPr>
          <w:trHeight w:val="27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tcPr>
          <w:p>
            <w:pPr>
              <w:rPr>
                <w:rFonts w:ascii="宋体" w:hAnsi="宋体" w:eastAsia="宋体" w:cs="宋体"/>
                <w:color w:val="000000"/>
                <w:kern w:val="0"/>
                <w:sz w:val="18"/>
                <w:szCs w:val="18"/>
              </w:rPr>
            </w:pPr>
            <w:r>
              <w:rPr>
                <w:rFonts w:hint="eastAsia" w:ascii="宋体" w:hAnsi="宋体" w:eastAsia="宋体" w:cs="宋体"/>
                <w:color w:val="000000"/>
                <w:kern w:val="0"/>
                <w:sz w:val="18"/>
                <w:szCs w:val="18"/>
              </w:rPr>
              <w:t>③项目预期产出效益和效果是否符合正常的业绩水平；</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tcPr>
          <w:p>
            <w:pPr>
              <w:rPr>
                <w:rFonts w:ascii="宋体" w:hAnsi="宋体" w:eastAsia="宋体" w:cs="宋体"/>
                <w:color w:val="000000"/>
                <w:kern w:val="0"/>
                <w:sz w:val="18"/>
                <w:szCs w:val="18"/>
              </w:rPr>
            </w:pPr>
            <w:r>
              <w:rPr>
                <w:rFonts w:hint="eastAsia" w:ascii="宋体" w:hAnsi="宋体" w:eastAsia="宋体" w:cs="宋体"/>
                <w:color w:val="000000"/>
                <w:kern w:val="0"/>
                <w:sz w:val="18"/>
                <w:szCs w:val="18"/>
              </w:rPr>
              <w:t>④是否与预算确定的项目投资额或资金量相匹配。</w:t>
            </w:r>
          </w:p>
        </w:tc>
      </w:tr>
      <w:tr>
        <w:tblPrEx>
          <w:tblCellMar>
            <w:top w:w="0" w:type="dxa"/>
            <w:left w:w="108" w:type="dxa"/>
            <w:bottom w:w="0" w:type="dxa"/>
            <w:right w:w="108" w:type="dxa"/>
          </w:tblCellMar>
        </w:tblPrEx>
        <w:trPr>
          <w:trHeight w:val="36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绩效指标明确性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依据绩效目标设定的绩效指标是否清晰、细化、可衡量等，用以反映和考核项目绩效目标的明细化情况。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①是否将项目绩效目标细化分解为具体的绩效指标；</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②是否通过清晰、可衡量的指标值予以体现；</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③是否与项目目标任务数或计划数相对应。</w:t>
            </w:r>
          </w:p>
        </w:tc>
      </w:tr>
      <w:tr>
        <w:tblPrEx>
          <w:tblCellMar>
            <w:top w:w="0" w:type="dxa"/>
            <w:left w:w="108" w:type="dxa"/>
            <w:bottom w:w="0" w:type="dxa"/>
            <w:right w:w="108" w:type="dxa"/>
          </w:tblCellMar>
        </w:tblPrEx>
        <w:trPr>
          <w:trHeight w:val="550" w:hRule="atLeast"/>
        </w:trPr>
        <w:tc>
          <w:tcPr>
            <w:tcW w:w="534" w:type="dxa"/>
            <w:vMerge w:val="restart"/>
            <w:tcBorders>
              <w:top w:val="dotted" w:color="auto" w:sz="4" w:space="0"/>
              <w:bottom w:val="dotted" w:color="auto" w:sz="4" w:space="0"/>
              <w:right w:val="dotted" w:color="auto" w:sz="4" w:space="0"/>
            </w:tcBorders>
            <w:shd w:val="clear" w:color="auto" w:fill="auto"/>
            <w:noWrap/>
            <w:textDirection w:val="tbRlV"/>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项目过程</w:t>
            </w: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资金投入</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预算编制科学性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项目预算编制是否经过科学论证、有明确标准，资金额度与年度目标是否相适应，用以反映和考核项目预算编制的科学性、合理性情况。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①预算编制是否经过科学论证；</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②预算内容与项目内容是否匹配；</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③预算额度测算依据是否充分，是否按照标准编制；</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④预算确定的项目投资额或资金量是否与工作任务相匹配。</w:t>
            </w:r>
          </w:p>
        </w:tc>
      </w:tr>
      <w:tr>
        <w:tblPrEx>
          <w:tblCellMar>
            <w:top w:w="0" w:type="dxa"/>
            <w:left w:w="108" w:type="dxa"/>
            <w:bottom w:w="0" w:type="dxa"/>
            <w:right w:w="108" w:type="dxa"/>
          </w:tblCellMar>
        </w:tblPrEx>
        <w:trPr>
          <w:trHeight w:val="32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资金分配合理性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项目预算资金分配是否有测算依据，与补助单位或地方实际是否相适应，用以反映和考核项目预算资金分配的科学性、合理性情况。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①预算资金分配依据是否充分；</w:t>
            </w:r>
          </w:p>
        </w:tc>
      </w:tr>
      <w:tr>
        <w:tblPrEx>
          <w:tblCellMar>
            <w:top w:w="0" w:type="dxa"/>
            <w:left w:w="108" w:type="dxa"/>
            <w:bottom w:w="0" w:type="dxa"/>
            <w:right w:w="108" w:type="dxa"/>
          </w:tblCellMar>
        </w:tblPrEx>
        <w:trPr>
          <w:trHeight w:val="57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②资金分配额度是否合理，与项目单位或地方实际是否相适应。</w:t>
            </w:r>
          </w:p>
        </w:tc>
      </w:tr>
      <w:tr>
        <w:tblPrEx>
          <w:tblCellMar>
            <w:top w:w="0" w:type="dxa"/>
            <w:left w:w="108" w:type="dxa"/>
            <w:bottom w:w="0" w:type="dxa"/>
            <w:right w:w="108" w:type="dxa"/>
          </w:tblCellMar>
        </w:tblPrEx>
        <w:trPr>
          <w:trHeight w:val="34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资金管理</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资金到位率</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实际到位资金与预算资金的比率，用以反映和考核资金落实情况对项目实施的总体保障程度。</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资金到位率=（实际到位资金/预算资金）×100%。</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实际到位资金：一定时期（本年度或项目期）内落实到具体项目的资金。</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预算资金：一定时期（本年度或项目期）内预算安排到具体项目的资金。</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预算执行率</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项目预算资金是否按照计划执行，用以反映或考核项目预算执行情况。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预算执行率=（实际支出资金/实际到位资金）×100%。</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实际支出资金：一定时期（本年度或项目期）内项目实际拨付的资金。</w:t>
            </w:r>
          </w:p>
        </w:tc>
      </w:tr>
      <w:tr>
        <w:tblPrEx>
          <w:tblCellMar>
            <w:top w:w="0" w:type="dxa"/>
            <w:left w:w="108" w:type="dxa"/>
            <w:bottom w:w="0" w:type="dxa"/>
            <w:right w:w="108" w:type="dxa"/>
          </w:tblCellMar>
        </w:tblPrEx>
        <w:trPr>
          <w:trHeight w:val="20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资金使用合规性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项目资金使用是否符合相关的财务管理制度规定，用以反映和考核项目资金的规范运行情况。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①是否符合国家财经法规和财务管理制度以及有关专项资金管理办法的规定；</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②资金的拨付是否有完整的审批程序和手续；</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③是否符合项目预算批复或合同规定的用途；</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④是否存在截留、挤占、挪用、虚列支出等情况。</w:t>
            </w:r>
          </w:p>
        </w:tc>
      </w:tr>
      <w:tr>
        <w:tblPrEx>
          <w:tblCellMar>
            <w:top w:w="0" w:type="dxa"/>
            <w:left w:w="108" w:type="dxa"/>
            <w:bottom w:w="0" w:type="dxa"/>
            <w:right w:w="108" w:type="dxa"/>
          </w:tblCellMar>
        </w:tblPrEx>
        <w:trPr>
          <w:trHeight w:val="32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组织实施</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管理制度健全性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项目实施单位的财务和业务管理制度是否健全，用以反映和考核财务和业务管理制度对项目顺利实施的保障情况。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44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①是否已制定或具有相应的财务和业务管理制度；</w:t>
            </w:r>
          </w:p>
        </w:tc>
      </w:tr>
      <w:tr>
        <w:tblPrEx>
          <w:tblCellMar>
            <w:top w:w="0" w:type="dxa"/>
            <w:left w:w="108" w:type="dxa"/>
            <w:bottom w:w="0" w:type="dxa"/>
            <w:right w:w="108" w:type="dxa"/>
          </w:tblCellMar>
        </w:tblPrEx>
        <w:trPr>
          <w:trHeight w:val="44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②财务和业务管理制度是否合法、合规、完整。</w:t>
            </w:r>
          </w:p>
        </w:tc>
      </w:tr>
      <w:tr>
        <w:tblPrEx>
          <w:tblCellMar>
            <w:top w:w="0" w:type="dxa"/>
            <w:left w:w="108" w:type="dxa"/>
            <w:bottom w:w="0" w:type="dxa"/>
            <w:right w:w="108" w:type="dxa"/>
          </w:tblCellMar>
        </w:tblPrEx>
        <w:trPr>
          <w:trHeight w:val="23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制度执行有效性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项目实施是否符合相关管理规定，用以反映和考核相关管理制度的有效执行情况。</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评价要点：</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①是否遵守相关法律法规和相关管理规定；</w:t>
            </w:r>
          </w:p>
        </w:tc>
      </w:tr>
      <w:tr>
        <w:tblPrEx>
          <w:tblCellMar>
            <w:top w:w="0" w:type="dxa"/>
            <w:left w:w="108" w:type="dxa"/>
            <w:bottom w:w="0" w:type="dxa"/>
            <w:right w:w="108" w:type="dxa"/>
          </w:tblCellMar>
        </w:tblPrEx>
        <w:trPr>
          <w:trHeight w:val="2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②项目调整及支出调整手续是否完备；</w:t>
            </w:r>
          </w:p>
        </w:tc>
      </w:tr>
      <w:tr>
        <w:tblPrEx>
          <w:tblCellMar>
            <w:top w:w="0" w:type="dxa"/>
            <w:left w:w="108" w:type="dxa"/>
            <w:bottom w:w="0" w:type="dxa"/>
            <w:right w:w="108" w:type="dxa"/>
          </w:tblCellMar>
        </w:tblPrEx>
        <w:trPr>
          <w:trHeight w:val="480" w:hRule="atLeast"/>
        </w:trPr>
        <w:tc>
          <w:tcPr>
            <w:tcW w:w="534" w:type="dxa"/>
            <w:vMerge w:val="continue"/>
            <w:tcBorders>
              <w:top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③项目原始资料是否齐全并及时归档；</w:t>
            </w:r>
          </w:p>
        </w:tc>
      </w:tr>
      <w:tr>
        <w:tblPrEx>
          <w:tblCellMar>
            <w:top w:w="0" w:type="dxa"/>
            <w:left w:w="108" w:type="dxa"/>
            <w:bottom w:w="0" w:type="dxa"/>
            <w:right w:w="108" w:type="dxa"/>
          </w:tblCellMar>
        </w:tblPrEx>
        <w:trPr>
          <w:trHeight w:val="280" w:hRule="atLeast"/>
        </w:trPr>
        <w:tc>
          <w:tcPr>
            <w:tcW w:w="534" w:type="dxa"/>
            <w:vMerge w:val="restart"/>
            <w:tcBorders>
              <w:top w:val="dotted" w:color="auto" w:sz="4" w:space="0"/>
              <w:right w:val="dotted" w:color="auto" w:sz="4" w:space="0"/>
            </w:tcBorders>
            <w:shd w:val="clear" w:color="auto" w:fill="auto"/>
            <w:noWrap/>
            <w:textDirection w:val="tbRlV"/>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项目产出</w:t>
            </w: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产出数量</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实际完成率</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项目实施的实际产出数与计划产出数的比率，用以反映和考核项目产出数量目标的实现程度。</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实际完成率=（实际产出数/计划产出数）×100%。</w:t>
            </w:r>
          </w:p>
        </w:tc>
      </w:tr>
      <w:tr>
        <w:tblPrEx>
          <w:tblCellMar>
            <w:top w:w="0" w:type="dxa"/>
            <w:left w:w="108" w:type="dxa"/>
            <w:bottom w:w="0" w:type="dxa"/>
            <w:right w:w="108" w:type="dxa"/>
          </w:tblCellMar>
        </w:tblPrEx>
        <w:trPr>
          <w:trHeight w:val="480" w:hRule="atLeast"/>
        </w:trPr>
        <w:tc>
          <w:tcPr>
            <w:tcW w:w="534" w:type="dxa"/>
            <w:vMerge w:val="continue"/>
            <w:tcBorders>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实际产出数：一定时期（本年度或项目期）内项目实际产出的产品或提供的服务数量。</w:t>
            </w:r>
          </w:p>
        </w:tc>
      </w:tr>
      <w:tr>
        <w:tblPrEx>
          <w:tblCellMar>
            <w:top w:w="0" w:type="dxa"/>
            <w:left w:w="108" w:type="dxa"/>
            <w:bottom w:w="0" w:type="dxa"/>
            <w:right w:w="108" w:type="dxa"/>
          </w:tblCellMar>
        </w:tblPrEx>
        <w:trPr>
          <w:trHeight w:val="480" w:hRule="atLeast"/>
        </w:trPr>
        <w:tc>
          <w:tcPr>
            <w:tcW w:w="534" w:type="dxa"/>
            <w:vMerge w:val="continue"/>
            <w:tcBorders>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计划产出数：项目绩效目标确定的在一定时期（本年度或项目期）内计划产出的产品或提供的服务数量。</w:t>
            </w:r>
          </w:p>
        </w:tc>
      </w:tr>
      <w:tr>
        <w:tblPrEx>
          <w:tblCellMar>
            <w:top w:w="0" w:type="dxa"/>
            <w:left w:w="108" w:type="dxa"/>
            <w:bottom w:w="0" w:type="dxa"/>
            <w:right w:w="108" w:type="dxa"/>
          </w:tblCellMar>
        </w:tblPrEx>
        <w:trPr>
          <w:trHeight w:val="280" w:hRule="atLeast"/>
        </w:trPr>
        <w:tc>
          <w:tcPr>
            <w:tcW w:w="534" w:type="dxa"/>
            <w:vMerge w:val="continue"/>
            <w:tcBorders>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产出质量</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质量达标率</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项目完成的质量达标产出数与实际产出数的比率，用以反映和考核项目产出质量目标的实现程度。</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质量达标率=（质量达标产出数/实际产出数）×100%。</w:t>
            </w:r>
          </w:p>
        </w:tc>
      </w:tr>
      <w:tr>
        <w:tblPrEx>
          <w:tblCellMar>
            <w:top w:w="0" w:type="dxa"/>
            <w:left w:w="108" w:type="dxa"/>
            <w:bottom w:w="0" w:type="dxa"/>
            <w:right w:w="108" w:type="dxa"/>
          </w:tblCellMar>
        </w:tblPrEx>
        <w:trPr>
          <w:trHeight w:val="960" w:hRule="atLeast"/>
        </w:trPr>
        <w:tc>
          <w:tcPr>
            <w:tcW w:w="534" w:type="dxa"/>
            <w:vMerge w:val="continue"/>
            <w:tcBorders>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质量达标产出数：一定时期（本年度或项目期）内实际达到既定质量标准的产品或服务数量。既定质量标准是指项目实施单位设立绩效目标时依据计划标准、行业标准、历史标准或其他标准而设定的绩效指标值。</w:t>
            </w:r>
          </w:p>
        </w:tc>
      </w:tr>
      <w:tr>
        <w:tblPrEx>
          <w:tblCellMar>
            <w:top w:w="0" w:type="dxa"/>
            <w:left w:w="108" w:type="dxa"/>
            <w:bottom w:w="0" w:type="dxa"/>
            <w:right w:w="108" w:type="dxa"/>
          </w:tblCellMar>
        </w:tblPrEx>
        <w:trPr>
          <w:trHeight w:val="580" w:hRule="atLeast"/>
        </w:trPr>
        <w:tc>
          <w:tcPr>
            <w:tcW w:w="534" w:type="dxa"/>
            <w:vMerge w:val="continue"/>
            <w:tcBorders>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产出时效</w:t>
            </w:r>
          </w:p>
        </w:tc>
        <w:tc>
          <w:tcPr>
            <w:tcW w:w="58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完成及时性</w:t>
            </w:r>
          </w:p>
        </w:tc>
        <w:tc>
          <w:tcPr>
            <w:tcW w:w="2260" w:type="dxa"/>
            <w:vMerge w:val="restart"/>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项目实际完成时间与计划完成时间的比较，用以反映和考核项目产出时效目标的实现程度。</w:t>
            </w: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实际完成时间：项目实施单位完成该项目实际所耗用的时间。</w:t>
            </w:r>
          </w:p>
        </w:tc>
      </w:tr>
      <w:tr>
        <w:tblPrEx>
          <w:tblCellMar>
            <w:top w:w="0" w:type="dxa"/>
            <w:left w:w="108" w:type="dxa"/>
            <w:bottom w:w="0" w:type="dxa"/>
            <w:right w:w="108" w:type="dxa"/>
          </w:tblCellMar>
        </w:tblPrEx>
        <w:trPr>
          <w:trHeight w:val="480" w:hRule="atLeast"/>
        </w:trPr>
        <w:tc>
          <w:tcPr>
            <w:tcW w:w="534" w:type="dxa"/>
            <w:vMerge w:val="continue"/>
            <w:tcBorders>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8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2260" w:type="dxa"/>
            <w:vMerge w:val="continue"/>
            <w:tcBorders>
              <w:top w:val="dotted" w:color="auto" w:sz="4" w:space="0"/>
              <w:left w:val="dotted" w:color="auto" w:sz="4" w:space="0"/>
              <w:bottom w:val="dotted" w:color="auto" w:sz="4" w:space="0"/>
              <w:right w:val="dotted" w:color="auto" w:sz="4" w:space="0"/>
            </w:tcBorders>
            <w:vAlign w:val="center"/>
          </w:tcPr>
          <w:p>
            <w:pPr>
              <w:widowControl/>
              <w:jc w:val="left"/>
              <w:rPr>
                <w:rFonts w:ascii="宋体" w:hAnsi="宋体" w:eastAsia="宋体" w:cs="宋体"/>
                <w:color w:val="000000"/>
                <w:kern w:val="0"/>
                <w:sz w:val="18"/>
                <w:szCs w:val="18"/>
              </w:rPr>
            </w:pPr>
          </w:p>
        </w:tc>
        <w:tc>
          <w:tcPr>
            <w:tcW w:w="5166" w:type="dxa"/>
            <w:tcBorders>
              <w:top w:val="dotted" w:color="auto" w:sz="4" w:space="0"/>
              <w:left w:val="dotted" w:color="auto" w:sz="4" w:space="0"/>
              <w:bottom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计划完成时间：按照项目实施计划或相关规定完成该项目所需的时间。</w:t>
            </w:r>
          </w:p>
        </w:tc>
      </w:tr>
      <w:tr>
        <w:tblPrEx>
          <w:tblCellMar>
            <w:top w:w="0" w:type="dxa"/>
            <w:left w:w="108" w:type="dxa"/>
            <w:bottom w:w="0" w:type="dxa"/>
            <w:right w:w="108" w:type="dxa"/>
          </w:tblCellMar>
        </w:tblPrEx>
        <w:trPr>
          <w:trHeight w:val="480" w:hRule="atLeast"/>
        </w:trPr>
        <w:tc>
          <w:tcPr>
            <w:tcW w:w="534" w:type="dxa"/>
            <w:vMerge w:val="restart"/>
            <w:tcBorders>
              <w:top w:val="dotted" w:color="auto" w:sz="4" w:space="0"/>
              <w:right w:val="dotted" w:color="auto" w:sz="4" w:space="0"/>
            </w:tcBorders>
            <w:shd w:val="clear" w:color="auto" w:fill="auto"/>
            <w:noWrap/>
            <w:textDirection w:val="tbRlV"/>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效益</w:t>
            </w:r>
          </w:p>
        </w:tc>
        <w:tc>
          <w:tcPr>
            <w:tcW w:w="560" w:type="dxa"/>
            <w:vMerge w:val="restart"/>
            <w:tcBorders>
              <w:top w:val="dotted" w:color="auto" w:sz="4" w:space="0"/>
              <w:left w:val="dotted" w:color="auto" w:sz="4" w:space="0"/>
              <w:right w:val="dotted" w:color="auto" w:sz="4" w:space="0"/>
            </w:tcBorders>
            <w:shd w:val="clear" w:color="000000" w:fill="FFFFFF"/>
            <w:vAlign w:val="center"/>
          </w:tcPr>
          <w:p>
            <w:pPr>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项目效益　</w:t>
            </w:r>
          </w:p>
        </w:tc>
        <w:tc>
          <w:tcPr>
            <w:tcW w:w="580" w:type="dxa"/>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社会效益</w:t>
            </w:r>
          </w:p>
        </w:tc>
        <w:tc>
          <w:tcPr>
            <w:tcW w:w="2260" w:type="dxa"/>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项目实施对社会发展所带来的直接或间接影响情况。</w:t>
            </w:r>
          </w:p>
        </w:tc>
        <w:tc>
          <w:tcPr>
            <w:tcW w:w="5166" w:type="dxa"/>
            <w:tcBorders>
              <w:top w:val="dotted" w:color="auto" w:sz="4" w:space="0"/>
              <w:left w:val="dotted" w:color="auto" w:sz="4" w:space="0"/>
              <w:bottom w:val="dotted" w:color="auto" w:sz="4" w:space="0"/>
            </w:tcBorders>
            <w:shd w:val="clear" w:color="000000" w:fill="FFFFFF"/>
            <w:vAlign w:val="center"/>
          </w:tcPr>
          <w:p>
            <w:pPr>
              <w:jc w:val="left"/>
              <w:rPr>
                <w:rFonts w:cs="宋体" w:asciiTheme="minorEastAsia" w:hAnsiTheme="minorEastAsia"/>
                <w:sz w:val="18"/>
                <w:szCs w:val="18"/>
              </w:rPr>
            </w:pPr>
            <w:r>
              <w:rPr>
                <w:rFonts w:hint="eastAsia" w:asciiTheme="minorEastAsia" w:hAnsiTheme="minorEastAsia"/>
                <w:sz w:val="18"/>
                <w:szCs w:val="18"/>
              </w:rPr>
              <w:t>有效防止了病死畜禽流向市场、流入餐桌，防止随意处置病死动物造成重大以上级别突发环境事件。</w:t>
            </w:r>
          </w:p>
        </w:tc>
      </w:tr>
      <w:tr>
        <w:tblPrEx>
          <w:tblCellMar>
            <w:top w:w="0" w:type="dxa"/>
            <w:left w:w="108" w:type="dxa"/>
            <w:bottom w:w="0" w:type="dxa"/>
            <w:right w:w="108" w:type="dxa"/>
          </w:tblCellMar>
        </w:tblPrEx>
        <w:trPr>
          <w:trHeight w:val="480" w:hRule="atLeast"/>
        </w:trPr>
        <w:tc>
          <w:tcPr>
            <w:tcW w:w="534" w:type="dxa"/>
            <w:vMerge w:val="continue"/>
            <w:tcBorders>
              <w:right w:val="dotted" w:color="auto" w:sz="4" w:space="0"/>
            </w:tcBorders>
            <w:shd w:val="clear" w:color="auto" w:fill="auto"/>
            <w:noWrap/>
            <w:textDirection w:val="tbRlV"/>
            <w:vAlign w:val="center"/>
          </w:tcPr>
          <w:p>
            <w:pPr>
              <w:jc w:val="center"/>
              <w:rPr>
                <w:rFonts w:ascii="宋体" w:hAnsi="宋体" w:eastAsia="宋体" w:cs="宋体"/>
                <w:color w:val="000000"/>
                <w:kern w:val="0"/>
                <w:sz w:val="18"/>
                <w:szCs w:val="18"/>
              </w:rPr>
            </w:pPr>
          </w:p>
        </w:tc>
        <w:tc>
          <w:tcPr>
            <w:tcW w:w="560" w:type="dxa"/>
            <w:vMerge w:val="continue"/>
            <w:tcBorders>
              <w:left w:val="dotted" w:color="auto" w:sz="4" w:space="0"/>
              <w:right w:val="dotted" w:color="auto" w:sz="4" w:space="0"/>
            </w:tcBorders>
            <w:shd w:val="clear" w:color="000000" w:fill="FFFFFF"/>
            <w:vAlign w:val="center"/>
          </w:tcPr>
          <w:p>
            <w:pPr>
              <w:jc w:val="center"/>
              <w:rPr>
                <w:rFonts w:ascii="宋体" w:hAnsi="宋体" w:eastAsia="宋体" w:cs="宋体"/>
                <w:color w:val="000000"/>
                <w:kern w:val="0"/>
                <w:sz w:val="18"/>
                <w:szCs w:val="18"/>
              </w:rPr>
            </w:pPr>
          </w:p>
        </w:tc>
        <w:tc>
          <w:tcPr>
            <w:tcW w:w="580" w:type="dxa"/>
            <w:tcBorders>
              <w:top w:val="dotted" w:color="auto" w:sz="4" w:space="0"/>
              <w:left w:val="dotted" w:color="auto" w:sz="4" w:space="0"/>
              <w:bottom w:val="dotted" w:color="auto" w:sz="4"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生态效益</w:t>
            </w:r>
          </w:p>
        </w:tc>
        <w:tc>
          <w:tcPr>
            <w:tcW w:w="2260" w:type="dxa"/>
            <w:tcBorders>
              <w:top w:val="dotted" w:color="auto" w:sz="4" w:space="0"/>
              <w:left w:val="dotted" w:color="auto" w:sz="4" w:space="0"/>
              <w:bottom w:val="dotted" w:color="auto" w:sz="4"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项目实施对生态环境所带来的直接或间接影响。</w:t>
            </w:r>
          </w:p>
        </w:tc>
        <w:tc>
          <w:tcPr>
            <w:tcW w:w="5166" w:type="dxa"/>
            <w:tcBorders>
              <w:top w:val="dotted" w:color="auto" w:sz="4" w:space="0"/>
              <w:left w:val="dotted" w:color="auto" w:sz="4" w:space="0"/>
              <w:bottom w:val="dotted" w:color="auto" w:sz="4" w:space="0"/>
            </w:tcBorders>
            <w:shd w:val="clear" w:color="000000" w:fill="FFFFFF"/>
            <w:vAlign w:val="center"/>
          </w:tcPr>
          <w:p>
            <w:pPr>
              <w:jc w:val="left"/>
              <w:rPr>
                <w:rFonts w:cs="宋体" w:asciiTheme="minorEastAsia" w:hAnsiTheme="minorEastAsia"/>
                <w:sz w:val="18"/>
                <w:szCs w:val="18"/>
              </w:rPr>
            </w:pPr>
            <w:r>
              <w:rPr>
                <w:rFonts w:hint="eastAsia" w:asciiTheme="minorEastAsia" w:hAnsiTheme="minorEastAsia"/>
                <w:sz w:val="18"/>
                <w:szCs w:val="18"/>
              </w:rPr>
              <w:t>项目实施所产生的社会效益、经济效益、生态效益、可持续影响等。</w:t>
            </w:r>
          </w:p>
        </w:tc>
      </w:tr>
      <w:tr>
        <w:tblPrEx>
          <w:tblCellMar>
            <w:top w:w="0" w:type="dxa"/>
            <w:left w:w="108" w:type="dxa"/>
            <w:bottom w:w="0" w:type="dxa"/>
            <w:right w:w="108" w:type="dxa"/>
          </w:tblCellMar>
        </w:tblPrEx>
        <w:trPr>
          <w:trHeight w:val="480" w:hRule="atLeast"/>
        </w:trPr>
        <w:tc>
          <w:tcPr>
            <w:tcW w:w="534" w:type="dxa"/>
            <w:vMerge w:val="continue"/>
            <w:tcBorders>
              <w:bottom w:val="single" w:color="auto" w:sz="12" w:space="0"/>
              <w:right w:val="dotted" w:color="auto" w:sz="4" w:space="0"/>
            </w:tcBorders>
            <w:shd w:val="clear" w:color="auto" w:fill="auto"/>
            <w:noWrap/>
            <w:textDirection w:val="tbRlV"/>
            <w:vAlign w:val="center"/>
          </w:tcPr>
          <w:p>
            <w:pPr>
              <w:widowControl/>
              <w:jc w:val="center"/>
              <w:rPr>
                <w:rFonts w:ascii="宋体" w:hAnsi="宋体" w:eastAsia="宋体" w:cs="宋体"/>
                <w:color w:val="000000"/>
                <w:kern w:val="0"/>
                <w:sz w:val="18"/>
                <w:szCs w:val="18"/>
              </w:rPr>
            </w:pPr>
          </w:p>
        </w:tc>
        <w:tc>
          <w:tcPr>
            <w:tcW w:w="560" w:type="dxa"/>
            <w:vMerge w:val="continue"/>
            <w:tcBorders>
              <w:left w:val="dotted" w:color="auto" w:sz="4" w:space="0"/>
              <w:bottom w:val="single" w:color="auto" w:sz="12"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p>
        </w:tc>
        <w:tc>
          <w:tcPr>
            <w:tcW w:w="580" w:type="dxa"/>
            <w:tcBorders>
              <w:top w:val="dotted" w:color="auto" w:sz="4" w:space="0"/>
              <w:left w:val="dotted" w:color="auto" w:sz="4" w:space="0"/>
              <w:bottom w:val="single" w:color="auto" w:sz="12" w:space="0"/>
              <w:right w:val="dotted" w:color="auto" w:sz="4" w:space="0"/>
            </w:tcBorders>
            <w:shd w:val="clear" w:color="000000" w:fill="FFFFFF"/>
            <w:vAlign w:val="center"/>
          </w:tcPr>
          <w:p>
            <w:pPr>
              <w:widowControl/>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满意度</w:t>
            </w:r>
          </w:p>
        </w:tc>
        <w:tc>
          <w:tcPr>
            <w:tcW w:w="2260" w:type="dxa"/>
            <w:tcBorders>
              <w:top w:val="dotted" w:color="auto" w:sz="4" w:space="0"/>
              <w:left w:val="dotted" w:color="auto" w:sz="4" w:space="0"/>
              <w:bottom w:val="single" w:color="auto" w:sz="12" w:space="0"/>
              <w:right w:val="dotted" w:color="auto" w:sz="4" w:space="0"/>
            </w:tcBorders>
            <w:shd w:val="clear" w:color="000000" w:fill="FFFFFF"/>
            <w:vAlign w:val="center"/>
          </w:tcPr>
          <w:p>
            <w:pPr>
              <w:widowControl/>
              <w:rPr>
                <w:rFonts w:ascii="宋体" w:hAnsi="宋体" w:eastAsia="宋体" w:cs="宋体"/>
                <w:color w:val="000000"/>
                <w:kern w:val="0"/>
                <w:sz w:val="18"/>
                <w:szCs w:val="18"/>
              </w:rPr>
            </w:pPr>
            <w:r>
              <w:rPr>
                <w:rFonts w:hint="eastAsia" w:ascii="宋体" w:hAnsi="宋体" w:eastAsia="宋体" w:cs="宋体"/>
                <w:color w:val="000000"/>
                <w:kern w:val="0"/>
                <w:sz w:val="18"/>
                <w:szCs w:val="18"/>
              </w:rPr>
              <w:t>社会公众或服务对象对项目实施效果的满意程度。</w:t>
            </w:r>
          </w:p>
        </w:tc>
        <w:tc>
          <w:tcPr>
            <w:tcW w:w="5166" w:type="dxa"/>
            <w:tcBorders>
              <w:top w:val="dotted" w:color="auto" w:sz="4" w:space="0"/>
              <w:left w:val="dotted" w:color="auto" w:sz="4" w:space="0"/>
              <w:bottom w:val="single" w:color="auto" w:sz="12" w:space="0"/>
            </w:tcBorders>
            <w:shd w:val="clear" w:color="000000" w:fill="FFFFFF"/>
            <w:vAlign w:val="center"/>
          </w:tcPr>
          <w:p>
            <w:pPr>
              <w:widowControl/>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受益群众满意度。</w:t>
            </w:r>
          </w:p>
        </w:tc>
      </w:tr>
    </w:tbl>
    <w:p>
      <w:pPr>
        <w:spacing w:line="520" w:lineRule="exact"/>
        <w:ind w:firstLine="560" w:firstLineChars="200"/>
        <w:jc w:val="left"/>
        <w:rPr>
          <w:rFonts w:ascii="仿宋" w:hAnsi="仿宋" w:eastAsia="仿宋" w:cs="Times New Roman"/>
          <w:sz w:val="28"/>
          <w:szCs w:val="28"/>
        </w:rPr>
      </w:pPr>
      <w:bookmarkStart w:id="4" w:name="_Toc10111745"/>
      <w:r>
        <w:rPr>
          <w:rFonts w:hint="eastAsia" w:ascii="仿宋" w:hAnsi="仿宋" w:eastAsia="仿宋" w:cs="Times New Roman"/>
          <w:sz w:val="28"/>
          <w:szCs w:val="28"/>
        </w:rPr>
        <w:t>（三）绩效评价实施过程</w:t>
      </w:r>
      <w:bookmarkEnd w:id="4"/>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1、前期准备</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按照高邑县财政局有关文件要求，为做好统一评价工作，赴</w:t>
      </w:r>
      <w:r>
        <w:rPr>
          <w:rFonts w:hint="eastAsia" w:ascii="仿宋" w:hAnsi="仿宋" w:eastAsia="仿宋" w:cs="Times New Roman"/>
          <w:sz w:val="28"/>
          <w:szCs w:val="28"/>
          <w:lang w:val="en-US" w:eastAsia="zh-CN"/>
        </w:rPr>
        <w:t>农业农村局</w:t>
      </w:r>
      <w:r>
        <w:rPr>
          <w:rFonts w:hint="eastAsia" w:ascii="仿宋" w:hAnsi="仿宋" w:eastAsia="仿宋" w:cs="Times New Roman"/>
          <w:sz w:val="28"/>
          <w:szCs w:val="28"/>
        </w:rPr>
        <w:t>现场收集有关资料，并听取</w:t>
      </w:r>
      <w:r>
        <w:rPr>
          <w:rFonts w:hint="eastAsia" w:ascii="仿宋" w:hAnsi="仿宋" w:eastAsia="仿宋" w:cs="Times New Roman"/>
          <w:sz w:val="28"/>
          <w:szCs w:val="28"/>
          <w:lang w:val="en-US" w:eastAsia="zh-CN"/>
        </w:rPr>
        <w:t>农业农村局</w:t>
      </w:r>
      <w:r>
        <w:rPr>
          <w:rFonts w:hint="eastAsia" w:ascii="仿宋" w:hAnsi="仿宋" w:eastAsia="仿宋" w:cs="Times New Roman"/>
          <w:sz w:val="28"/>
          <w:szCs w:val="28"/>
        </w:rPr>
        <w:t>负责“2021年病死动物无害化处理项目”同志对项目</w:t>
      </w:r>
      <w:r>
        <w:rPr>
          <w:rFonts w:hint="eastAsia" w:ascii="仿宋" w:hAnsi="仿宋" w:eastAsia="仿宋" w:cs="Times New Roman"/>
          <w:sz w:val="28"/>
          <w:szCs w:val="28"/>
          <w:lang w:val="en-US" w:eastAsia="zh-CN"/>
        </w:rPr>
        <w:t>的</w:t>
      </w:r>
      <w:r>
        <w:rPr>
          <w:rFonts w:hint="eastAsia" w:ascii="仿宋" w:hAnsi="仿宋" w:eastAsia="仿宋" w:cs="Times New Roman"/>
          <w:sz w:val="28"/>
          <w:szCs w:val="28"/>
        </w:rPr>
        <w:t>介绍。</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2、组织实施</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对</w:t>
      </w:r>
      <w:r>
        <w:rPr>
          <w:rFonts w:hint="eastAsia" w:ascii="仿宋" w:hAnsi="仿宋" w:eastAsia="仿宋" w:cs="Times New Roman"/>
          <w:sz w:val="28"/>
          <w:szCs w:val="28"/>
          <w:lang w:val="en-US" w:eastAsia="zh-CN"/>
        </w:rPr>
        <w:t>农业农村局</w:t>
      </w:r>
      <w:r>
        <w:rPr>
          <w:rFonts w:hint="eastAsia" w:ascii="仿宋" w:hAnsi="仿宋" w:eastAsia="仿宋" w:cs="Times New Roman"/>
          <w:sz w:val="28"/>
          <w:szCs w:val="28"/>
        </w:rPr>
        <w:t>提供的数据及相关资料进行审核、确认，调查走访，严格按照文件要求，实事求是，客观公正的进行本次绩效评价工作。</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3、分析评价</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各部门共同讨论、组织统一评价报告，严格按照文件要求，实事求是，客观公正地进行本次绩效评价工作。</w:t>
      </w:r>
    </w:p>
    <w:p>
      <w:pPr>
        <w:spacing w:line="520" w:lineRule="exact"/>
        <w:ind w:firstLine="562" w:firstLineChars="200"/>
        <w:jc w:val="left"/>
        <w:rPr>
          <w:rFonts w:ascii="仿宋" w:hAnsi="仿宋" w:eastAsia="仿宋" w:cs="Times New Roman"/>
          <w:b/>
          <w:sz w:val="28"/>
          <w:szCs w:val="28"/>
        </w:rPr>
      </w:pPr>
      <w:bookmarkStart w:id="5" w:name="_Toc10111749"/>
      <w:r>
        <w:rPr>
          <w:rFonts w:hint="eastAsia" w:ascii="仿宋" w:hAnsi="仿宋" w:eastAsia="仿宋" w:cs="Times New Roman"/>
          <w:b/>
          <w:sz w:val="28"/>
          <w:szCs w:val="28"/>
        </w:rPr>
        <w:t>三、综合评价情况</w:t>
      </w:r>
      <w:bookmarkEnd w:id="5"/>
      <w:r>
        <w:rPr>
          <w:rFonts w:hint="eastAsia" w:ascii="仿宋" w:hAnsi="仿宋" w:eastAsia="仿宋" w:cs="Times New Roman"/>
          <w:b/>
          <w:sz w:val="28"/>
          <w:szCs w:val="28"/>
        </w:rPr>
        <w:t>及评价结论</w:t>
      </w:r>
    </w:p>
    <w:p>
      <w:pPr>
        <w:spacing w:line="520" w:lineRule="exact"/>
        <w:ind w:firstLine="560" w:firstLineChars="200"/>
        <w:jc w:val="left"/>
        <w:rPr>
          <w:rFonts w:ascii="仿宋" w:hAnsi="仿宋" w:eastAsia="仿宋" w:cs="Times New Roman"/>
          <w:sz w:val="28"/>
          <w:szCs w:val="28"/>
          <w:highlight w:val="none"/>
        </w:rPr>
      </w:pPr>
      <w:r>
        <w:rPr>
          <w:rFonts w:hint="eastAsia" w:ascii="仿宋" w:hAnsi="仿宋" w:eastAsia="仿宋" w:cs="Times New Roman"/>
          <w:sz w:val="28"/>
          <w:szCs w:val="28"/>
        </w:rPr>
        <w:t>根据《项目支出绩效评价管理办法》（财政部预〔</w:t>
      </w:r>
      <w:r>
        <w:rPr>
          <w:rFonts w:ascii="仿宋" w:hAnsi="仿宋" w:eastAsia="仿宋" w:cs="Times New Roman"/>
          <w:sz w:val="28"/>
          <w:szCs w:val="28"/>
        </w:rPr>
        <w:t>2020〕10 号）文中要求</w:t>
      </w:r>
      <w:r>
        <w:rPr>
          <w:rFonts w:hint="eastAsia" w:ascii="仿宋" w:hAnsi="仿宋" w:eastAsia="仿宋" w:cs="Times New Roman"/>
          <w:sz w:val="28"/>
          <w:szCs w:val="28"/>
        </w:rPr>
        <w:t>，为全面实施预算绩效管理，建立科学、合理的项目支出绩效评价管理体系，提高财政资源配置效率和使用效益，根据《中华人民共和国预算法》和《中共中央</w:t>
      </w:r>
      <w:r>
        <w:rPr>
          <w:rFonts w:ascii="仿宋" w:hAnsi="仿宋" w:eastAsia="仿宋" w:cs="Times New Roman"/>
          <w:sz w:val="28"/>
          <w:szCs w:val="28"/>
        </w:rPr>
        <w:t>国务院关于全面实施预算绩效管理的意见》等有关规定。受</w:t>
      </w:r>
      <w:r>
        <w:rPr>
          <w:rFonts w:hint="eastAsia" w:ascii="仿宋" w:hAnsi="仿宋" w:eastAsia="仿宋" w:cs="Times New Roman"/>
          <w:sz w:val="28"/>
          <w:szCs w:val="28"/>
        </w:rPr>
        <w:t>高邑县财政局的委托</w:t>
      </w:r>
      <w:r>
        <w:rPr>
          <w:rFonts w:ascii="仿宋" w:hAnsi="仿宋" w:eastAsia="仿宋" w:cs="Times New Roman"/>
          <w:sz w:val="28"/>
          <w:szCs w:val="28"/>
        </w:rPr>
        <w:t>，我们承担了“</w:t>
      </w:r>
      <w:r>
        <w:rPr>
          <w:rFonts w:hint="eastAsia" w:ascii="仿宋" w:hAnsi="仿宋" w:eastAsia="仿宋" w:cs="Times New Roman"/>
          <w:sz w:val="28"/>
          <w:szCs w:val="28"/>
        </w:rPr>
        <w:t>2021年病死动物无害化处理项目</w:t>
      </w:r>
      <w:r>
        <w:rPr>
          <w:rFonts w:ascii="仿宋" w:hAnsi="仿宋" w:eastAsia="仿宋" w:cs="Times New Roman"/>
          <w:sz w:val="28"/>
          <w:szCs w:val="28"/>
        </w:rPr>
        <w:t>”的绩效</w:t>
      </w:r>
      <w:r>
        <w:rPr>
          <w:rFonts w:hint="eastAsia" w:ascii="仿宋" w:hAnsi="仿宋" w:eastAsia="仿宋" w:cs="Times New Roman"/>
          <w:sz w:val="28"/>
          <w:szCs w:val="28"/>
        </w:rPr>
        <w:t>评价</w:t>
      </w:r>
      <w:r>
        <w:rPr>
          <w:rFonts w:ascii="仿宋" w:hAnsi="仿宋" w:eastAsia="仿宋" w:cs="Times New Roman"/>
          <w:sz w:val="28"/>
          <w:szCs w:val="28"/>
        </w:rPr>
        <w:t>工作。通过查阅资料、实地调研、召开会议等多种方式，独立、客观、公正地开展评价工作，对项目的投入、过程控制、产出、效果方面进行了充分论证，</w:t>
      </w:r>
      <w:r>
        <w:rPr>
          <w:rFonts w:ascii="仿宋" w:hAnsi="仿宋" w:eastAsia="仿宋" w:cs="Times New Roman"/>
          <w:sz w:val="28"/>
          <w:szCs w:val="28"/>
          <w:highlight w:val="none"/>
        </w:rPr>
        <w:t>最终绩效评价</w:t>
      </w:r>
      <w:r>
        <w:rPr>
          <w:rFonts w:hint="eastAsia" w:ascii="仿宋" w:hAnsi="仿宋" w:eastAsia="仿宋" w:cs="Times New Roman"/>
          <w:sz w:val="28"/>
          <w:szCs w:val="28"/>
          <w:highlight w:val="none"/>
        </w:rPr>
        <w:t>得分</w:t>
      </w:r>
      <w:r>
        <w:rPr>
          <w:rFonts w:hint="eastAsia" w:ascii="仿宋" w:hAnsi="仿宋" w:eastAsia="仿宋" w:cs="Times New Roman"/>
          <w:sz w:val="28"/>
          <w:szCs w:val="28"/>
          <w:highlight w:val="none"/>
          <w:lang w:val="en-US" w:eastAsia="zh-CN"/>
        </w:rPr>
        <w:t>96分，</w:t>
      </w:r>
      <w:r>
        <w:rPr>
          <w:rFonts w:hint="eastAsia" w:ascii="仿宋" w:hAnsi="仿宋" w:eastAsia="仿宋" w:cs="Times New Roman"/>
          <w:sz w:val="28"/>
          <w:szCs w:val="28"/>
          <w:highlight w:val="none"/>
        </w:rPr>
        <w:t>等级</w:t>
      </w:r>
      <w:r>
        <w:rPr>
          <w:rFonts w:hint="eastAsia" w:ascii="仿宋" w:hAnsi="仿宋" w:eastAsia="仿宋" w:cs="Times New Roman"/>
          <w:sz w:val="28"/>
          <w:szCs w:val="28"/>
          <w:highlight w:val="none"/>
          <w:lang w:val="en-US" w:eastAsia="zh-CN"/>
        </w:rPr>
        <w:t>优秀。</w:t>
      </w:r>
    </w:p>
    <w:p>
      <w:pPr>
        <w:spacing w:line="520" w:lineRule="exact"/>
        <w:ind w:firstLine="562" w:firstLineChars="200"/>
        <w:jc w:val="left"/>
        <w:rPr>
          <w:rFonts w:ascii="仿宋" w:hAnsi="仿宋" w:eastAsia="仿宋" w:cs="Times New Roman"/>
          <w:b/>
          <w:sz w:val="28"/>
          <w:szCs w:val="28"/>
        </w:rPr>
      </w:pPr>
      <w:r>
        <w:rPr>
          <w:rFonts w:hint="eastAsia" w:ascii="仿宋" w:hAnsi="仿宋" w:eastAsia="仿宋" w:cs="Times New Roman"/>
          <w:b/>
          <w:sz w:val="28"/>
          <w:szCs w:val="28"/>
        </w:rPr>
        <w:t>四、绩效评价指标分析</w:t>
      </w:r>
    </w:p>
    <w:p>
      <w:pPr>
        <w:spacing w:line="520" w:lineRule="exact"/>
        <w:ind w:firstLine="560" w:firstLineChars="200"/>
        <w:jc w:val="left"/>
        <w:rPr>
          <w:rFonts w:ascii="仿宋" w:hAnsi="仿宋" w:eastAsia="仿宋" w:cs="Times New Roman"/>
          <w:sz w:val="28"/>
          <w:szCs w:val="28"/>
        </w:rPr>
      </w:pPr>
      <w:bookmarkStart w:id="6" w:name="_Toc10111752"/>
      <w:r>
        <w:rPr>
          <w:rFonts w:hint="eastAsia" w:ascii="仿宋" w:hAnsi="仿宋" w:eastAsia="仿宋" w:cs="Times New Roman"/>
          <w:sz w:val="28"/>
          <w:szCs w:val="28"/>
        </w:rPr>
        <w:t>（一）项目决策（10分）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1、项目立项（2</w:t>
      </w:r>
      <w:r>
        <w:rPr>
          <w:rFonts w:ascii="仿宋" w:hAnsi="仿宋" w:eastAsia="仿宋" w:cs="Times New Roman"/>
          <w:sz w:val="28"/>
          <w:szCs w:val="28"/>
        </w:rPr>
        <w:t>分）　</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（1）立项依据充分性（1分）</w:t>
      </w:r>
    </w:p>
    <w:p>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lang w:val="en-US" w:eastAsia="zh-CN"/>
        </w:rPr>
        <w:t>农业农村局根据</w:t>
      </w:r>
      <w:r>
        <w:rPr>
          <w:rFonts w:hint="eastAsia" w:ascii="仿宋" w:hAnsi="仿宋" w:eastAsia="仿宋" w:cs="Times New Roman"/>
          <w:sz w:val="28"/>
          <w:szCs w:val="28"/>
        </w:rPr>
        <w:t>河北省农业厅 河北省财政厅《关于转发农业部、财政部做好生猪规模化养殖场无害化处理补助相关工作的通知》（冀农计发[2012]19号）</w:t>
      </w:r>
      <w:r>
        <w:rPr>
          <w:rFonts w:hint="eastAsia" w:ascii="仿宋" w:hAnsi="仿宋" w:eastAsia="仿宋" w:cs="Times New Roman"/>
          <w:sz w:val="28"/>
          <w:szCs w:val="28"/>
          <w:lang w:val="en-US" w:eastAsia="zh-CN"/>
        </w:rPr>
        <w:t>立项</w:t>
      </w:r>
      <w:r>
        <w:rPr>
          <w:rFonts w:hint="eastAsia" w:ascii="仿宋" w:hAnsi="仿宋" w:eastAsia="仿宋" w:cs="Times New Roman"/>
          <w:sz w:val="28"/>
          <w:szCs w:val="28"/>
        </w:rPr>
        <w:t>，该项得分</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（2）立项程序规范性（1分）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经核实</w:t>
      </w:r>
      <w:r>
        <w:rPr>
          <w:rFonts w:hint="eastAsia" w:ascii="仿宋" w:hAnsi="仿宋" w:eastAsia="仿宋" w:cs="Times New Roman"/>
          <w:sz w:val="28"/>
          <w:szCs w:val="28"/>
          <w:lang w:val="en-US" w:eastAsia="zh-CN"/>
        </w:rPr>
        <w:t>农业农村局,该项目为延续性、经常项目，符合相关要求</w:t>
      </w:r>
      <w:r>
        <w:rPr>
          <w:rFonts w:hint="eastAsia" w:ascii="仿宋" w:hAnsi="仿宋" w:eastAsia="仿宋" w:cs="Times New Roman"/>
          <w:sz w:val="28"/>
          <w:szCs w:val="28"/>
        </w:rPr>
        <w:t>，该项得分</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2、绩效目标（</w:t>
      </w:r>
      <w:r>
        <w:rPr>
          <w:rFonts w:hint="eastAsia" w:ascii="仿宋" w:hAnsi="仿宋" w:eastAsia="仿宋" w:cs="Times New Roman"/>
          <w:sz w:val="28"/>
          <w:szCs w:val="28"/>
          <w:lang w:val="en-US" w:eastAsia="zh-CN"/>
        </w:rPr>
        <w:t>4</w:t>
      </w:r>
      <w:r>
        <w:rPr>
          <w:rFonts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（1）绩效目标合理性（</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r>
        <w:rPr>
          <w:rFonts w:ascii="仿宋" w:hAnsi="仿宋" w:eastAsia="仿宋" w:cs="Times New Roman"/>
          <w:sz w:val="28"/>
          <w:szCs w:val="28"/>
        </w:rPr>
        <w:t>　</w:t>
      </w:r>
    </w:p>
    <w:p>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lang w:val="en-US" w:eastAsia="zh-CN"/>
        </w:rPr>
        <w:t>农业农村局</w:t>
      </w:r>
      <w:r>
        <w:rPr>
          <w:rFonts w:ascii="仿宋" w:hAnsi="仿宋" w:eastAsia="仿宋" w:cs="Times New Roman"/>
          <w:sz w:val="28"/>
          <w:szCs w:val="28"/>
        </w:rPr>
        <w:t>针对</w:t>
      </w:r>
      <w:r>
        <w:rPr>
          <w:rFonts w:hint="eastAsia" w:ascii="仿宋" w:hAnsi="仿宋" w:eastAsia="仿宋" w:cs="Times New Roman"/>
          <w:sz w:val="28"/>
          <w:szCs w:val="28"/>
        </w:rPr>
        <w:t>2021年病死动物无害化处理项目，依据《项目支出绩效评价管理办法》（财政部预〔</w:t>
      </w:r>
      <w:r>
        <w:rPr>
          <w:rFonts w:ascii="仿宋" w:hAnsi="仿宋" w:eastAsia="仿宋" w:cs="Times New Roman"/>
          <w:sz w:val="28"/>
          <w:szCs w:val="28"/>
        </w:rPr>
        <w:t>2020〕10号）制定了合理的</w:t>
      </w:r>
      <w:r>
        <w:rPr>
          <w:rFonts w:hint="eastAsia" w:ascii="仿宋" w:hAnsi="仿宋" w:eastAsia="仿宋" w:cs="Times New Roman"/>
          <w:sz w:val="28"/>
          <w:szCs w:val="28"/>
        </w:rPr>
        <w:t>绩效指标，</w:t>
      </w:r>
      <w:r>
        <w:rPr>
          <w:rFonts w:hint="eastAsia" w:ascii="仿宋" w:hAnsi="仿宋" w:eastAsia="仿宋" w:cs="Times New Roman"/>
          <w:sz w:val="28"/>
          <w:szCs w:val="28"/>
          <w:lang w:val="en-US" w:eastAsia="zh-CN"/>
        </w:rPr>
        <w:t>较</w:t>
      </w:r>
      <w:r>
        <w:rPr>
          <w:rFonts w:hint="eastAsia" w:ascii="仿宋" w:hAnsi="仿宋" w:eastAsia="仿宋" w:cs="Times New Roman"/>
          <w:sz w:val="28"/>
          <w:szCs w:val="28"/>
        </w:rPr>
        <w:t>符合客观实际，与实际工作内容具有相关性，该项得分</w:t>
      </w:r>
      <w:r>
        <w:rPr>
          <w:rFonts w:hint="eastAsia" w:ascii="仿宋" w:hAnsi="仿宋" w:eastAsia="仿宋" w:cs="Times New Roman"/>
          <w:sz w:val="28"/>
          <w:szCs w:val="28"/>
          <w:lang w:val="en-US" w:eastAsia="zh-CN"/>
        </w:rPr>
        <w:t>1.5</w:t>
      </w:r>
      <w:r>
        <w:rPr>
          <w:rFonts w:hint="eastAsia" w:ascii="仿宋" w:hAnsi="仿宋" w:eastAsia="仿宋" w:cs="Times New Roman"/>
          <w:sz w:val="28"/>
          <w:szCs w:val="28"/>
        </w:rPr>
        <w:t>分。</w:t>
      </w:r>
      <w:r>
        <w:rPr>
          <w:rFonts w:ascii="仿宋" w:hAnsi="仿宋" w:eastAsia="仿宋" w:cs="Times New Roman"/>
          <w:sz w:val="28"/>
          <w:szCs w:val="28"/>
        </w:rPr>
        <w:t xml:space="preserve"> </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（2）绩效指标明确性（</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经核实绩效指标清晰、细化、可衡量性稍差，该项得分1</w:t>
      </w:r>
      <w:r>
        <w:rPr>
          <w:rFonts w:hint="eastAsia" w:ascii="仿宋" w:hAnsi="仿宋" w:eastAsia="仿宋" w:cs="Times New Roman"/>
          <w:sz w:val="28"/>
          <w:szCs w:val="28"/>
          <w:lang w:val="en-US" w:eastAsia="zh-CN"/>
        </w:rPr>
        <w:t>.5</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r>
        <w:rPr>
          <w:rFonts w:hint="eastAsia" w:ascii="仿宋" w:hAnsi="仿宋" w:eastAsia="仿宋" w:cs="Times New Roman"/>
          <w:sz w:val="28"/>
          <w:szCs w:val="28"/>
          <w:lang w:val="en-US" w:eastAsia="zh-CN"/>
        </w:rPr>
        <w:t>扣0.5分</w:t>
      </w:r>
      <w:r>
        <w:rPr>
          <w:rFonts w:hint="eastAsia" w:ascii="仿宋" w:hAnsi="仿宋" w:eastAsia="仿宋" w:cs="Times New Roman"/>
          <w:sz w:val="28"/>
          <w:szCs w:val="28"/>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3、资金投入（</w:t>
      </w:r>
      <w:r>
        <w:rPr>
          <w:rFonts w:hint="eastAsia" w:ascii="仿宋" w:hAnsi="仿宋" w:eastAsia="仿宋" w:cs="Times New Roman"/>
          <w:sz w:val="28"/>
          <w:szCs w:val="28"/>
          <w:lang w:val="en-US" w:eastAsia="zh-CN"/>
        </w:rPr>
        <w:t>4</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（1）预算编制科学性（</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该项目按照国家相关政策规定编制预算，标准明确，依据充分，该项得分</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bookmarkStart w:id="8" w:name="_GoBack"/>
      <w:bookmarkEnd w:id="8"/>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（2）资金分配合理性（2分）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该项目预算资金分配依据充分，分配额度</w:t>
      </w:r>
      <w:r>
        <w:rPr>
          <w:rFonts w:hint="eastAsia" w:ascii="仿宋" w:hAnsi="仿宋" w:eastAsia="仿宋" w:cs="Times New Roman"/>
          <w:sz w:val="28"/>
          <w:szCs w:val="28"/>
          <w:lang w:val="en-US" w:eastAsia="zh-CN"/>
        </w:rPr>
        <w:t>较</w:t>
      </w:r>
      <w:r>
        <w:rPr>
          <w:rFonts w:hint="eastAsia" w:ascii="仿宋" w:hAnsi="仿宋" w:eastAsia="仿宋" w:cs="Times New Roman"/>
          <w:sz w:val="28"/>
          <w:szCs w:val="28"/>
        </w:rPr>
        <w:t>合理，该项得分</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.5分</w:t>
      </w:r>
      <w:r>
        <w:rPr>
          <w:rFonts w:hint="eastAsia" w:ascii="仿宋" w:hAnsi="仿宋" w:eastAsia="仿宋" w:cs="Times New Roman"/>
          <w:sz w:val="28"/>
          <w:szCs w:val="28"/>
          <w:lang w:eastAsia="zh-CN"/>
        </w:rPr>
        <w:t>，</w:t>
      </w:r>
      <w:r>
        <w:rPr>
          <w:rFonts w:hint="eastAsia" w:ascii="仿宋" w:hAnsi="仿宋" w:eastAsia="仿宋" w:cs="Times New Roman"/>
          <w:sz w:val="28"/>
          <w:szCs w:val="28"/>
          <w:lang w:val="en-US" w:eastAsia="zh-CN"/>
        </w:rPr>
        <w:t>扣0.5分</w:t>
      </w:r>
      <w:r>
        <w:rPr>
          <w:rFonts w:hint="eastAsia" w:ascii="仿宋" w:hAnsi="仿宋" w:eastAsia="仿宋" w:cs="Times New Roman"/>
          <w:sz w:val="28"/>
          <w:szCs w:val="28"/>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（二）项目过程（10分）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1、资金管理（</w:t>
      </w:r>
      <w:r>
        <w:rPr>
          <w:rFonts w:hint="eastAsia" w:ascii="仿宋" w:hAnsi="仿宋" w:eastAsia="仿宋" w:cs="Times New Roman"/>
          <w:sz w:val="28"/>
          <w:szCs w:val="28"/>
          <w:lang w:val="en-US" w:eastAsia="zh-CN"/>
        </w:rPr>
        <w:t>6</w:t>
      </w:r>
      <w:r>
        <w:rPr>
          <w:rFonts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（1）资金到位率（</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p>
    <w:p>
      <w:pPr>
        <w:spacing w:line="520" w:lineRule="exact"/>
        <w:ind w:firstLine="560" w:firstLineChars="200"/>
        <w:jc w:val="left"/>
        <w:rPr>
          <w:rFonts w:hint="eastAsia" w:ascii="仿宋" w:hAnsi="仿宋" w:eastAsia="仿宋" w:cs="Times New Roman"/>
          <w:sz w:val="28"/>
          <w:szCs w:val="28"/>
          <w:lang w:eastAsia="zh-CN"/>
        </w:rPr>
      </w:pPr>
      <w:r>
        <w:rPr>
          <w:rFonts w:hint="eastAsia" w:ascii="仿宋" w:hAnsi="仿宋" w:eastAsia="仿宋" w:cs="Times New Roman"/>
          <w:sz w:val="28"/>
          <w:szCs w:val="28"/>
        </w:rPr>
        <w:t>该项目202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年申请预算资金</w:t>
      </w:r>
      <w:r>
        <w:rPr>
          <w:rFonts w:hint="eastAsia" w:ascii="仿宋" w:hAnsi="仿宋" w:eastAsia="仿宋" w:cs="Times New Roman"/>
          <w:sz w:val="28"/>
          <w:szCs w:val="28"/>
          <w:lang w:val="en-US" w:eastAsia="zh-CN"/>
        </w:rPr>
        <w:t>155.65</w:t>
      </w:r>
      <w:r>
        <w:rPr>
          <w:rFonts w:hint="eastAsia" w:ascii="仿宋" w:hAnsi="仿宋" w:eastAsia="仿宋" w:cs="Times New Roman"/>
          <w:sz w:val="28"/>
          <w:szCs w:val="28"/>
        </w:rPr>
        <w:t>万元，实际到位</w:t>
      </w:r>
      <w:r>
        <w:rPr>
          <w:rFonts w:hint="eastAsia" w:ascii="仿宋" w:hAnsi="仿宋" w:eastAsia="仿宋" w:cs="Times New Roman"/>
          <w:sz w:val="28"/>
          <w:szCs w:val="28"/>
          <w:lang w:val="en-US" w:eastAsia="zh-CN"/>
        </w:rPr>
        <w:t>155.65</w:t>
      </w:r>
      <w:r>
        <w:rPr>
          <w:rFonts w:hint="eastAsia" w:ascii="仿宋" w:hAnsi="仿宋" w:eastAsia="仿宋" w:cs="Times New Roman"/>
          <w:sz w:val="28"/>
          <w:szCs w:val="28"/>
        </w:rPr>
        <w:t>万元，资金到位率100%，该项得分</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（2）预算执行率（2分）</w:t>
      </w:r>
    </w:p>
    <w:p>
      <w:pPr>
        <w:spacing w:line="520" w:lineRule="exact"/>
        <w:ind w:firstLine="560" w:firstLineChars="200"/>
        <w:jc w:val="left"/>
        <w:rPr>
          <w:rFonts w:hint="eastAsia" w:ascii="仿宋" w:hAnsi="仿宋" w:eastAsia="仿宋" w:cs="Times New Roman"/>
          <w:sz w:val="28"/>
          <w:szCs w:val="28"/>
          <w:lang w:eastAsia="zh-CN"/>
        </w:rPr>
      </w:pPr>
      <w:r>
        <w:rPr>
          <w:rFonts w:hint="eastAsia" w:ascii="仿宋" w:hAnsi="仿宋" w:eastAsia="仿宋" w:cs="Times New Roman"/>
          <w:sz w:val="28"/>
          <w:szCs w:val="28"/>
        </w:rPr>
        <w:t>该项目202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年度实际到位资金</w:t>
      </w:r>
      <w:r>
        <w:rPr>
          <w:rFonts w:hint="eastAsia" w:ascii="仿宋" w:hAnsi="仿宋" w:eastAsia="仿宋" w:cs="Times New Roman"/>
          <w:sz w:val="28"/>
          <w:szCs w:val="28"/>
          <w:lang w:val="en-US" w:eastAsia="zh-CN"/>
        </w:rPr>
        <w:t>155.65</w:t>
      </w:r>
      <w:r>
        <w:rPr>
          <w:rFonts w:hint="eastAsia" w:ascii="仿宋" w:hAnsi="仿宋" w:eastAsia="仿宋" w:cs="Times New Roman"/>
          <w:sz w:val="28"/>
          <w:szCs w:val="28"/>
        </w:rPr>
        <w:t>万元，实际支出资金</w:t>
      </w:r>
      <w:r>
        <w:rPr>
          <w:rFonts w:hint="eastAsia" w:ascii="仿宋" w:hAnsi="仿宋" w:eastAsia="仿宋" w:cs="Times New Roman"/>
          <w:sz w:val="28"/>
          <w:szCs w:val="28"/>
          <w:lang w:val="en-US" w:eastAsia="zh-CN"/>
        </w:rPr>
        <w:t>155.65</w:t>
      </w:r>
      <w:r>
        <w:rPr>
          <w:rFonts w:hint="eastAsia" w:ascii="仿宋" w:hAnsi="仿宋" w:eastAsia="仿宋" w:cs="Times New Roman"/>
          <w:sz w:val="28"/>
          <w:szCs w:val="28"/>
        </w:rPr>
        <w:t>万元，年末结余</w:t>
      </w:r>
      <w:r>
        <w:rPr>
          <w:rFonts w:hint="eastAsia" w:ascii="仿宋" w:hAnsi="仿宋" w:eastAsia="仿宋" w:cs="Times New Roman"/>
          <w:sz w:val="28"/>
          <w:szCs w:val="28"/>
          <w:lang w:val="en-US" w:eastAsia="zh-CN"/>
        </w:rPr>
        <w:t>0.00</w:t>
      </w:r>
      <w:r>
        <w:rPr>
          <w:rFonts w:hint="eastAsia" w:ascii="仿宋" w:hAnsi="仿宋" w:eastAsia="仿宋" w:cs="Times New Roman"/>
          <w:sz w:val="28"/>
          <w:szCs w:val="28"/>
        </w:rPr>
        <w:t>万元，预算执行率为</w:t>
      </w:r>
      <w:r>
        <w:rPr>
          <w:rFonts w:hint="eastAsia" w:ascii="仿宋" w:hAnsi="仿宋" w:eastAsia="仿宋" w:cs="Times New Roman"/>
          <w:sz w:val="28"/>
          <w:szCs w:val="28"/>
          <w:lang w:val="en-US" w:eastAsia="zh-CN"/>
        </w:rPr>
        <w:t>100</w:t>
      </w:r>
      <w:r>
        <w:rPr>
          <w:rFonts w:hint="eastAsia" w:ascii="仿宋" w:hAnsi="仿宋" w:eastAsia="仿宋" w:cs="Times New Roman"/>
          <w:sz w:val="28"/>
          <w:szCs w:val="28"/>
        </w:rPr>
        <w:t>.</w:t>
      </w:r>
      <w:r>
        <w:rPr>
          <w:rFonts w:hint="eastAsia" w:ascii="仿宋" w:hAnsi="仿宋" w:eastAsia="仿宋" w:cs="Times New Roman"/>
          <w:sz w:val="28"/>
          <w:szCs w:val="28"/>
          <w:lang w:val="en-US" w:eastAsia="zh-CN"/>
        </w:rPr>
        <w:t>00</w:t>
      </w:r>
      <w:r>
        <w:rPr>
          <w:rFonts w:hint="eastAsia" w:ascii="仿宋" w:hAnsi="仿宋" w:eastAsia="仿宋" w:cs="Times New Roman"/>
          <w:sz w:val="28"/>
          <w:szCs w:val="28"/>
        </w:rPr>
        <w:t>%，该项得分</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（3）资金使用合规性（2分）</w:t>
      </w:r>
    </w:p>
    <w:p>
      <w:pPr>
        <w:spacing w:line="520" w:lineRule="exact"/>
        <w:ind w:firstLine="560" w:firstLineChars="200"/>
        <w:jc w:val="left"/>
        <w:rPr>
          <w:rFonts w:hint="eastAsia" w:ascii="仿宋" w:hAnsi="仿宋" w:eastAsia="仿宋" w:cs="Times New Roman"/>
          <w:sz w:val="28"/>
          <w:szCs w:val="28"/>
          <w:highlight w:val="none"/>
          <w:lang w:val="en-US" w:eastAsia="zh-CN"/>
        </w:rPr>
      </w:pPr>
      <w:r>
        <w:rPr>
          <w:rFonts w:hint="eastAsia" w:ascii="仿宋" w:hAnsi="仿宋" w:eastAsia="仿宋" w:cs="Times New Roman"/>
          <w:sz w:val="28"/>
          <w:szCs w:val="28"/>
        </w:rPr>
        <w:t>经核实，项目资金使用符合国家财经法规和财务管理制度;资金的拨付有完整的审批程序和手续;符合项目预算批复规定的用途；未发现截留、挤占、挪用、虚列支出等情况，该项得分</w:t>
      </w:r>
      <w:r>
        <w:rPr>
          <w:rFonts w:hint="eastAsia" w:ascii="仿宋" w:hAnsi="仿宋" w:eastAsia="仿宋" w:cs="Times New Roman"/>
          <w:sz w:val="28"/>
          <w:szCs w:val="28"/>
          <w:highlight w:val="none"/>
          <w:lang w:val="en-US" w:eastAsia="zh-CN"/>
        </w:rPr>
        <w:t>2</w:t>
      </w:r>
      <w:r>
        <w:rPr>
          <w:rFonts w:hint="eastAsia" w:ascii="仿宋" w:hAnsi="仿宋" w:eastAsia="仿宋" w:cs="Times New Roman"/>
          <w:sz w:val="28"/>
          <w:szCs w:val="28"/>
          <w:highlight w:val="none"/>
        </w:rPr>
        <w:t>分</w:t>
      </w:r>
      <w:r>
        <w:rPr>
          <w:rFonts w:hint="eastAsia" w:ascii="仿宋" w:hAnsi="仿宋" w:eastAsia="仿宋" w:cs="Times New Roman"/>
          <w:sz w:val="28"/>
          <w:szCs w:val="28"/>
          <w:highlight w:val="none"/>
          <w:lang w:eastAsia="zh-CN"/>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2、组织实施（</w:t>
      </w:r>
      <w:r>
        <w:rPr>
          <w:rFonts w:hint="eastAsia" w:ascii="仿宋" w:hAnsi="仿宋" w:eastAsia="仿宋" w:cs="Times New Roman"/>
          <w:sz w:val="28"/>
          <w:szCs w:val="28"/>
          <w:lang w:val="en-US" w:eastAsia="zh-CN"/>
        </w:rPr>
        <w:t>4</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（1）管理制度健全性（2分）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经核实单位已制定了合法、合规、完整的财务和业务管理制度，该项得分</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（2）制度执行有效性（</w:t>
      </w:r>
      <w:r>
        <w:rPr>
          <w:rFonts w:hint="eastAsia" w:ascii="仿宋" w:hAnsi="仿宋" w:eastAsia="仿宋" w:cs="Times New Roman"/>
          <w:sz w:val="28"/>
          <w:szCs w:val="28"/>
          <w:lang w:val="en-US" w:eastAsia="zh-CN"/>
        </w:rPr>
        <w:t>2</w:t>
      </w:r>
      <w:r>
        <w:rPr>
          <w:rFonts w:hint="eastAsia" w:ascii="仿宋" w:hAnsi="仿宋" w:eastAsia="仿宋" w:cs="Times New Roman"/>
          <w:sz w:val="28"/>
          <w:szCs w:val="28"/>
        </w:rPr>
        <w:t>分）</w:t>
      </w:r>
    </w:p>
    <w:p>
      <w:pPr>
        <w:spacing w:line="520" w:lineRule="exact"/>
        <w:ind w:firstLine="560" w:firstLineChars="200"/>
        <w:jc w:val="left"/>
        <w:rPr>
          <w:rFonts w:hint="eastAsia" w:ascii="仿宋" w:hAnsi="仿宋" w:eastAsia="仿宋" w:cs="Times New Roman"/>
          <w:sz w:val="28"/>
          <w:szCs w:val="28"/>
          <w:lang w:eastAsia="zh-CN"/>
        </w:rPr>
      </w:pPr>
      <w:r>
        <w:rPr>
          <w:rFonts w:hint="eastAsia" w:ascii="仿宋" w:hAnsi="仿宋" w:eastAsia="仿宋" w:cs="Times New Roman"/>
          <w:sz w:val="28"/>
          <w:szCs w:val="28"/>
        </w:rPr>
        <w:t>我们根据国家相关法律法规和</w:t>
      </w:r>
      <w:r>
        <w:rPr>
          <w:rFonts w:hint="eastAsia" w:ascii="仿宋" w:hAnsi="仿宋" w:eastAsia="仿宋" w:cs="Times New Roman"/>
          <w:sz w:val="28"/>
          <w:szCs w:val="28"/>
          <w:lang w:val="en-US" w:eastAsia="zh-CN"/>
        </w:rPr>
        <w:t>农业农村局</w:t>
      </w:r>
      <w:r>
        <w:rPr>
          <w:rFonts w:hint="eastAsia" w:ascii="仿宋" w:hAnsi="仿宋" w:eastAsia="仿宋" w:cs="Times New Roman"/>
          <w:sz w:val="28"/>
          <w:szCs w:val="28"/>
        </w:rPr>
        <w:t>相关财务和业务管理制度；我们审查了</w:t>
      </w:r>
      <w:r>
        <w:rPr>
          <w:rFonts w:hint="eastAsia" w:ascii="仿宋" w:hAnsi="仿宋" w:eastAsia="仿宋" w:cs="Times New Roman"/>
          <w:sz w:val="28"/>
          <w:szCs w:val="28"/>
          <w:lang w:val="en-US" w:eastAsia="zh-CN"/>
        </w:rPr>
        <w:t>农业农村局</w:t>
      </w:r>
      <w:r>
        <w:rPr>
          <w:rFonts w:hint="eastAsia" w:ascii="仿宋" w:hAnsi="仿宋" w:eastAsia="仿宋" w:cs="Times New Roman"/>
          <w:sz w:val="28"/>
          <w:szCs w:val="28"/>
        </w:rPr>
        <w:t>提供的2021年病死动物无害化处理项目</w:t>
      </w:r>
      <w:r>
        <w:rPr>
          <w:rFonts w:hint="eastAsia" w:ascii="仿宋" w:hAnsi="仿宋" w:eastAsia="仿宋" w:cs="Times New Roman"/>
          <w:sz w:val="28"/>
          <w:szCs w:val="28"/>
          <w:lang w:val="en-US" w:eastAsia="zh-CN"/>
        </w:rPr>
        <w:t>资金</w:t>
      </w:r>
      <w:r>
        <w:rPr>
          <w:rFonts w:hint="eastAsia" w:ascii="仿宋" w:hAnsi="仿宋" w:eastAsia="仿宋" w:cs="Times New Roman"/>
          <w:sz w:val="28"/>
          <w:szCs w:val="28"/>
        </w:rPr>
        <w:t>明细账、相关原始凭证以及其他业务资料，我们认为</w:t>
      </w:r>
      <w:r>
        <w:rPr>
          <w:rFonts w:hint="eastAsia" w:ascii="仿宋" w:hAnsi="仿宋" w:eastAsia="仿宋" w:cs="Times New Roman"/>
          <w:sz w:val="28"/>
          <w:szCs w:val="28"/>
          <w:lang w:val="en-US" w:eastAsia="zh-CN"/>
        </w:rPr>
        <w:t>农业农村局</w:t>
      </w:r>
      <w:r>
        <w:rPr>
          <w:rFonts w:hint="eastAsia" w:ascii="仿宋" w:hAnsi="仿宋" w:eastAsia="仿宋" w:cs="Times New Roman"/>
          <w:sz w:val="28"/>
          <w:szCs w:val="28"/>
        </w:rPr>
        <w:t>基本能够遵守相关法律法规和相关管理规定</w:t>
      </w:r>
      <w:r>
        <w:rPr>
          <w:rFonts w:hint="eastAsia" w:ascii="仿宋" w:hAnsi="仿宋" w:eastAsia="仿宋" w:cs="Times New Roman"/>
          <w:sz w:val="28"/>
          <w:szCs w:val="28"/>
          <w:lang w:eastAsia="zh-CN"/>
        </w:rPr>
        <w:t>，</w:t>
      </w:r>
      <w:r>
        <w:rPr>
          <w:rFonts w:hint="eastAsia" w:ascii="仿宋" w:hAnsi="仿宋" w:eastAsia="仿宋" w:cs="Times New Roman"/>
          <w:sz w:val="28"/>
          <w:szCs w:val="28"/>
          <w:lang w:val="en-US" w:eastAsia="zh-CN"/>
        </w:rPr>
        <w:t>档案资料存在1处填写不完整情况，</w:t>
      </w:r>
      <w:r>
        <w:rPr>
          <w:rFonts w:hint="eastAsia" w:ascii="仿宋" w:hAnsi="仿宋" w:eastAsia="仿宋" w:cs="Times New Roman"/>
          <w:sz w:val="28"/>
          <w:szCs w:val="28"/>
        </w:rPr>
        <w:t>该项得分</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r>
        <w:rPr>
          <w:rFonts w:hint="eastAsia" w:ascii="仿宋" w:hAnsi="仿宋" w:eastAsia="仿宋" w:cs="Times New Roman"/>
          <w:sz w:val="28"/>
          <w:szCs w:val="28"/>
          <w:lang w:val="en-US" w:eastAsia="zh-CN"/>
        </w:rPr>
        <w:t>扣1分</w:t>
      </w:r>
      <w:r>
        <w:rPr>
          <w:rFonts w:hint="eastAsia" w:ascii="仿宋" w:hAnsi="仿宋" w:eastAsia="仿宋" w:cs="Times New Roman"/>
          <w:sz w:val="28"/>
          <w:szCs w:val="28"/>
          <w:lang w:eastAsia="zh-CN"/>
        </w:rPr>
        <w:t>。</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（三）项目产出（40分）</w:t>
      </w:r>
    </w:p>
    <w:p>
      <w:pPr>
        <w:spacing w:line="520" w:lineRule="exact"/>
        <w:ind w:firstLine="560" w:firstLineChars="200"/>
        <w:jc w:val="left"/>
        <w:rPr>
          <w:rFonts w:ascii="仿宋" w:hAnsi="仿宋" w:eastAsia="仿宋" w:cs="Times New Roman"/>
          <w:sz w:val="28"/>
          <w:szCs w:val="28"/>
        </w:rPr>
      </w:pPr>
      <w:r>
        <w:rPr>
          <w:rFonts w:hint="eastAsia" w:ascii="仿宋" w:hAnsi="仿宋" w:eastAsia="仿宋" w:cs="Times New Roman"/>
          <w:sz w:val="28"/>
          <w:szCs w:val="28"/>
        </w:rPr>
        <w:t>1、产出数量（</w:t>
      </w:r>
      <w:r>
        <w:rPr>
          <w:rFonts w:ascii="仿宋" w:hAnsi="仿宋" w:eastAsia="仿宋" w:cs="Times New Roman"/>
          <w:sz w:val="28"/>
          <w:szCs w:val="28"/>
        </w:rPr>
        <w:t>1</w:t>
      </w:r>
      <w:r>
        <w:rPr>
          <w:rFonts w:hint="eastAsia" w:ascii="仿宋" w:hAnsi="仿宋" w:eastAsia="仿宋" w:cs="Times New Roman"/>
          <w:sz w:val="28"/>
          <w:szCs w:val="28"/>
          <w:lang w:val="en-US" w:eastAsia="zh-CN"/>
        </w:rPr>
        <w:t>4</w:t>
      </w:r>
      <w:r>
        <w:rPr>
          <w:rFonts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rPr>
        <w:t>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w:t>
      </w:r>
      <w:r>
        <w:rPr>
          <w:rFonts w:hint="eastAsia" w:ascii="仿宋" w:hAnsi="仿宋" w:eastAsia="仿宋" w:cs="Times New Roman"/>
          <w:sz w:val="28"/>
          <w:szCs w:val="28"/>
          <w:lang w:val="en-US" w:eastAsia="zh-CN"/>
        </w:rPr>
        <w:t>农业农村局</w:t>
      </w:r>
      <w:r>
        <w:rPr>
          <w:rFonts w:hint="eastAsia" w:ascii="仿宋" w:hAnsi="仿宋" w:eastAsia="仿宋" w:cs="Times New Roman"/>
          <w:sz w:val="28"/>
          <w:szCs w:val="28"/>
        </w:rPr>
        <w:t>所提供的财务资料及相关业务资料，并通过现场检查及访问调查，</w:t>
      </w:r>
      <w:r>
        <w:rPr>
          <w:rFonts w:hint="eastAsia" w:ascii="仿宋" w:hAnsi="仿宋" w:eastAsia="仿宋" w:cs="Times New Roman"/>
          <w:sz w:val="28"/>
          <w:szCs w:val="28"/>
          <w:lang w:val="en-US" w:eastAsia="zh-CN"/>
        </w:rPr>
        <w:t>农业农村局</w:t>
      </w:r>
      <w:r>
        <w:rPr>
          <w:rFonts w:hint="eastAsia" w:ascii="仿宋" w:hAnsi="仿宋" w:eastAsia="仿宋" w:cs="Times New Roman"/>
          <w:sz w:val="28"/>
          <w:szCs w:val="28"/>
        </w:rPr>
        <w:t>能按时完成计划的任务量，该项得分</w:t>
      </w:r>
      <w:r>
        <w:rPr>
          <w:rFonts w:hint="eastAsia" w:ascii="仿宋" w:hAnsi="仿宋" w:eastAsia="仿宋" w:cs="Times New Roman"/>
          <w:sz w:val="28"/>
          <w:szCs w:val="28"/>
          <w:lang w:val="en-US" w:eastAsia="zh-CN"/>
        </w:rPr>
        <w:t>14</w:t>
      </w:r>
      <w:r>
        <w:rPr>
          <w:rFonts w:hint="eastAsia" w:ascii="仿宋" w:hAnsi="仿宋" w:eastAsia="仿宋" w:cs="Times New Roman"/>
          <w:sz w:val="28"/>
          <w:szCs w:val="28"/>
        </w:rPr>
        <w:t>分。</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2、产出质量（</w:t>
      </w:r>
      <w:r>
        <w:rPr>
          <w:rFonts w:ascii="仿宋" w:hAnsi="仿宋" w:eastAsia="仿宋" w:cs="Times New Roman"/>
          <w:sz w:val="28"/>
          <w:szCs w:val="28"/>
        </w:rPr>
        <w:t>1</w:t>
      </w:r>
      <w:r>
        <w:rPr>
          <w:rFonts w:hint="eastAsia" w:ascii="仿宋" w:hAnsi="仿宋" w:eastAsia="仿宋" w:cs="Times New Roman"/>
          <w:sz w:val="28"/>
          <w:szCs w:val="28"/>
          <w:lang w:val="en-US" w:eastAsia="zh-CN"/>
        </w:rPr>
        <w:t>3</w:t>
      </w:r>
      <w:r>
        <w:rPr>
          <w:rFonts w:ascii="仿宋" w:hAnsi="仿宋" w:eastAsia="仿宋" w:cs="Times New Roman"/>
          <w:sz w:val="28"/>
          <w:szCs w:val="28"/>
        </w:rPr>
        <w:t>分）</w:t>
      </w:r>
    </w:p>
    <w:p>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rPr>
        <w:t>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w:t>
      </w:r>
      <w:r>
        <w:rPr>
          <w:rFonts w:hint="eastAsia" w:ascii="仿宋" w:hAnsi="仿宋" w:eastAsia="仿宋" w:cs="Times New Roman"/>
          <w:sz w:val="28"/>
          <w:szCs w:val="28"/>
          <w:lang w:val="en-US" w:eastAsia="zh-CN"/>
        </w:rPr>
        <w:t>农业农村局</w:t>
      </w:r>
      <w:r>
        <w:rPr>
          <w:rFonts w:hint="eastAsia" w:ascii="仿宋" w:hAnsi="仿宋" w:eastAsia="仿宋" w:cs="Times New Roman"/>
          <w:sz w:val="28"/>
          <w:szCs w:val="28"/>
        </w:rPr>
        <w:t>所提供的财务资料及相关业务资料，并通过现场检查及访问调查，</w:t>
      </w:r>
      <w:r>
        <w:rPr>
          <w:rFonts w:hint="eastAsia" w:ascii="仿宋" w:hAnsi="仿宋" w:eastAsia="仿宋" w:cs="Times New Roman"/>
          <w:sz w:val="28"/>
          <w:szCs w:val="28"/>
          <w:lang w:val="en-US" w:eastAsia="zh-CN"/>
        </w:rPr>
        <w:t>农业农村局</w:t>
      </w:r>
      <w:r>
        <w:rPr>
          <w:rFonts w:hint="eastAsia" w:ascii="仿宋" w:hAnsi="仿宋" w:eastAsia="仿宋" w:cs="Times New Roman"/>
          <w:sz w:val="28"/>
          <w:szCs w:val="28"/>
        </w:rPr>
        <w:t>对完成的任务量</w:t>
      </w:r>
      <w:r>
        <w:rPr>
          <w:rFonts w:hint="eastAsia" w:ascii="仿宋" w:hAnsi="仿宋" w:eastAsia="仿宋" w:cs="Times New Roman"/>
          <w:sz w:val="28"/>
          <w:szCs w:val="28"/>
          <w:lang w:val="en-US" w:eastAsia="zh-CN"/>
        </w:rPr>
        <w:t>达标率为100.00%</w:t>
      </w:r>
      <w:r>
        <w:rPr>
          <w:rFonts w:hint="eastAsia" w:ascii="仿宋" w:hAnsi="仿宋" w:eastAsia="仿宋" w:cs="Times New Roman"/>
          <w:sz w:val="28"/>
          <w:szCs w:val="28"/>
        </w:rPr>
        <w:t>，</w:t>
      </w:r>
      <w:r>
        <w:rPr>
          <w:rFonts w:hint="eastAsia" w:ascii="仿宋" w:hAnsi="仿宋" w:eastAsia="仿宋" w:cs="Times New Roman"/>
          <w:sz w:val="28"/>
          <w:szCs w:val="28"/>
          <w:lang w:val="en-US" w:eastAsia="zh-CN"/>
        </w:rPr>
        <w:t>该项得分13分</w:t>
      </w:r>
      <w:r>
        <w:rPr>
          <w:rFonts w:hint="eastAsia" w:ascii="仿宋" w:hAnsi="仿宋" w:eastAsia="仿宋" w:cs="Times New Roman"/>
          <w:sz w:val="28"/>
          <w:szCs w:val="28"/>
        </w:rPr>
        <w:t>。</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3、产出时效（</w:t>
      </w:r>
      <w:r>
        <w:rPr>
          <w:rFonts w:ascii="仿宋" w:hAnsi="仿宋" w:eastAsia="仿宋" w:cs="Times New Roman"/>
          <w:sz w:val="28"/>
          <w:szCs w:val="28"/>
        </w:rPr>
        <w:t>1</w:t>
      </w:r>
      <w:r>
        <w:rPr>
          <w:rFonts w:hint="eastAsia" w:ascii="仿宋" w:hAnsi="仿宋" w:eastAsia="仿宋" w:cs="Times New Roman"/>
          <w:sz w:val="28"/>
          <w:szCs w:val="28"/>
          <w:lang w:val="en-US" w:eastAsia="zh-CN"/>
        </w:rPr>
        <w:t>3</w:t>
      </w:r>
      <w:r>
        <w:rPr>
          <w:rFonts w:ascii="仿宋" w:hAnsi="仿宋" w:eastAsia="仿宋" w:cs="Times New Roman"/>
          <w:sz w:val="28"/>
          <w:szCs w:val="28"/>
        </w:rPr>
        <w:t>分）</w:t>
      </w:r>
    </w:p>
    <w:p>
      <w:pPr>
        <w:ind w:firstLine="560" w:firstLineChars="200"/>
        <w:rPr>
          <w:rFonts w:ascii="仿宋" w:hAnsi="仿宋" w:eastAsia="仿宋" w:cs="Times New Roman"/>
          <w:sz w:val="28"/>
          <w:szCs w:val="28"/>
        </w:rPr>
      </w:pPr>
      <w:r>
        <w:rPr>
          <w:rFonts w:ascii="仿宋" w:hAnsi="仿宋" w:eastAsia="仿宋" w:cs="Times New Roman"/>
          <w:sz w:val="28"/>
          <w:szCs w:val="28"/>
        </w:rPr>
        <w:t>经核实</w:t>
      </w:r>
      <w:r>
        <w:rPr>
          <w:rFonts w:hint="eastAsia" w:ascii="仿宋" w:hAnsi="仿宋" w:eastAsia="仿宋" w:cs="Times New Roman"/>
          <w:sz w:val="28"/>
          <w:szCs w:val="28"/>
        </w:rPr>
        <w:t>202</w:t>
      </w:r>
      <w:r>
        <w:rPr>
          <w:rFonts w:hint="eastAsia" w:ascii="仿宋" w:hAnsi="仿宋" w:eastAsia="仿宋" w:cs="Times New Roman"/>
          <w:sz w:val="28"/>
          <w:szCs w:val="28"/>
          <w:lang w:val="en-US" w:eastAsia="zh-CN"/>
        </w:rPr>
        <w:t>1</w:t>
      </w:r>
      <w:r>
        <w:rPr>
          <w:rFonts w:hint="eastAsia" w:ascii="仿宋" w:hAnsi="仿宋" w:eastAsia="仿宋" w:cs="Times New Roman"/>
          <w:sz w:val="28"/>
          <w:szCs w:val="28"/>
        </w:rPr>
        <w:t>年度</w:t>
      </w:r>
      <w:r>
        <w:rPr>
          <w:rFonts w:hint="eastAsia" w:ascii="仿宋" w:hAnsi="仿宋" w:eastAsia="仿宋" w:cs="Times New Roman"/>
          <w:sz w:val="28"/>
          <w:szCs w:val="28"/>
          <w:lang w:val="en-US" w:eastAsia="zh-CN"/>
        </w:rPr>
        <w:t>农业农村局</w:t>
      </w:r>
      <w:r>
        <w:rPr>
          <w:rFonts w:hint="eastAsia" w:ascii="仿宋" w:hAnsi="仿宋" w:eastAsia="仿宋" w:cs="Times New Roman"/>
          <w:sz w:val="28"/>
          <w:szCs w:val="28"/>
        </w:rPr>
        <w:t>所提供的明细账、原始凭证等资料，</w:t>
      </w:r>
      <w:r>
        <w:rPr>
          <w:rFonts w:hint="eastAsia" w:ascii="仿宋" w:hAnsi="仿宋" w:eastAsia="仿宋" w:cs="Times New Roman"/>
          <w:sz w:val="28"/>
          <w:szCs w:val="28"/>
          <w:lang w:val="en-US" w:eastAsia="zh-CN"/>
        </w:rPr>
        <w:t>农业农村局</w:t>
      </w:r>
      <w:r>
        <w:rPr>
          <w:rFonts w:hint="eastAsia" w:ascii="仿宋" w:hAnsi="仿宋" w:eastAsia="仿宋" w:cs="Times New Roman"/>
          <w:sz w:val="28"/>
          <w:szCs w:val="28"/>
        </w:rPr>
        <w:t>按时完成相关的任务量，该项得分</w:t>
      </w:r>
      <w:r>
        <w:rPr>
          <w:rFonts w:hint="eastAsia" w:ascii="仿宋" w:hAnsi="仿宋" w:eastAsia="仿宋" w:cs="Times New Roman"/>
          <w:sz w:val="28"/>
          <w:szCs w:val="28"/>
          <w:lang w:val="en-US" w:eastAsia="zh-CN"/>
        </w:rPr>
        <w:t>13</w:t>
      </w:r>
      <w:r>
        <w:rPr>
          <w:rFonts w:hint="eastAsia" w:ascii="仿宋" w:hAnsi="仿宋" w:eastAsia="仿宋" w:cs="Times New Roman"/>
          <w:sz w:val="28"/>
          <w:szCs w:val="28"/>
        </w:rPr>
        <w:t>分。</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（四）项目绩效（4</w:t>
      </w:r>
      <w:r>
        <w:rPr>
          <w:rFonts w:ascii="仿宋" w:hAnsi="仿宋" w:eastAsia="仿宋" w:cs="Times New Roman"/>
          <w:sz w:val="28"/>
          <w:szCs w:val="28"/>
        </w:rPr>
        <w:t>0分）　　</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1、社会效益（1</w:t>
      </w:r>
      <w:r>
        <w:rPr>
          <w:rFonts w:hint="eastAsia" w:ascii="仿宋" w:hAnsi="仿宋" w:eastAsia="仿宋" w:cs="Times New Roman"/>
          <w:sz w:val="28"/>
          <w:szCs w:val="28"/>
          <w:lang w:val="en-US" w:eastAsia="zh-CN"/>
        </w:rPr>
        <w:t>5</w:t>
      </w:r>
      <w:r>
        <w:rPr>
          <w:rFonts w:hint="eastAsia" w:ascii="仿宋" w:hAnsi="仿宋" w:eastAsia="仿宋" w:cs="Times New Roman"/>
          <w:sz w:val="28"/>
          <w:szCs w:val="28"/>
        </w:rPr>
        <w:t>分）</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有效防止了病死畜禽流向市场、流入餐桌，防止随意处置病死动物造成重大以上级别突发环境事件</w:t>
      </w:r>
      <w:r>
        <w:rPr>
          <w:rFonts w:hint="eastAsia" w:ascii="仿宋" w:hAnsi="仿宋" w:eastAsia="仿宋" w:cs="Times New Roman"/>
          <w:sz w:val="28"/>
          <w:szCs w:val="28"/>
          <w:lang w:eastAsia="zh-CN"/>
        </w:rPr>
        <w:t>，</w:t>
      </w:r>
      <w:r>
        <w:rPr>
          <w:rFonts w:hint="eastAsia" w:ascii="仿宋" w:hAnsi="仿宋" w:eastAsia="仿宋" w:cs="Times New Roman"/>
          <w:sz w:val="28"/>
          <w:szCs w:val="28"/>
        </w:rPr>
        <w:t>该项得分</w:t>
      </w:r>
      <w:r>
        <w:rPr>
          <w:rFonts w:hint="eastAsia" w:ascii="仿宋" w:hAnsi="仿宋" w:eastAsia="仿宋" w:cs="Times New Roman"/>
          <w:sz w:val="28"/>
          <w:szCs w:val="28"/>
          <w:lang w:val="en-US" w:eastAsia="zh-CN"/>
        </w:rPr>
        <w:t>15</w:t>
      </w:r>
      <w:r>
        <w:rPr>
          <w:rFonts w:hint="eastAsia" w:ascii="仿宋" w:hAnsi="仿宋" w:eastAsia="仿宋" w:cs="Times New Roman"/>
          <w:sz w:val="28"/>
          <w:szCs w:val="28"/>
        </w:rPr>
        <w:t>分。</w:t>
      </w: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2、</w:t>
      </w:r>
      <w:r>
        <w:rPr>
          <w:rFonts w:hint="eastAsia" w:ascii="仿宋" w:hAnsi="仿宋" w:eastAsia="仿宋" w:cs="Times New Roman"/>
          <w:sz w:val="28"/>
          <w:szCs w:val="28"/>
          <w:lang w:val="en-US" w:eastAsia="zh-CN"/>
        </w:rPr>
        <w:t>生态效益</w:t>
      </w:r>
      <w:r>
        <w:rPr>
          <w:rFonts w:hint="eastAsia" w:ascii="仿宋" w:hAnsi="仿宋" w:eastAsia="仿宋" w:cs="Times New Roman"/>
          <w:sz w:val="28"/>
          <w:szCs w:val="28"/>
        </w:rPr>
        <w:t>（1</w:t>
      </w:r>
      <w:r>
        <w:rPr>
          <w:rFonts w:hint="eastAsia" w:ascii="仿宋" w:hAnsi="仿宋" w:eastAsia="仿宋" w:cs="Times New Roman"/>
          <w:sz w:val="28"/>
          <w:szCs w:val="28"/>
          <w:lang w:val="en-US" w:eastAsia="zh-CN"/>
        </w:rPr>
        <w:t>5</w:t>
      </w:r>
      <w:r>
        <w:rPr>
          <w:rFonts w:hint="eastAsia" w:ascii="仿宋" w:hAnsi="仿宋" w:eastAsia="仿宋" w:cs="Times New Roman"/>
          <w:sz w:val="28"/>
          <w:szCs w:val="28"/>
        </w:rPr>
        <w:t>分）</w:t>
      </w:r>
    </w:p>
    <w:p>
      <w:pPr>
        <w:ind w:firstLine="560" w:firstLineChars="200"/>
        <w:rPr>
          <w:rFonts w:hint="eastAsia" w:ascii="仿宋" w:hAnsi="仿宋" w:eastAsia="仿宋" w:cs="Times New Roman"/>
          <w:sz w:val="28"/>
          <w:szCs w:val="28"/>
        </w:rPr>
      </w:pPr>
      <w:r>
        <w:rPr>
          <w:rFonts w:hint="eastAsia" w:ascii="仿宋" w:hAnsi="仿宋" w:eastAsia="仿宋" w:cs="Times New Roman"/>
          <w:sz w:val="28"/>
          <w:szCs w:val="28"/>
          <w:lang w:val="en-US" w:eastAsia="zh-CN"/>
        </w:rPr>
        <w:t>确保了清洁安全、在一定程度上防止了污染环境事件的发生，</w:t>
      </w:r>
      <w:r>
        <w:rPr>
          <w:rFonts w:hint="eastAsia" w:ascii="仿宋" w:hAnsi="仿宋" w:eastAsia="仿宋" w:cs="Times New Roman"/>
          <w:sz w:val="28"/>
          <w:szCs w:val="28"/>
        </w:rPr>
        <w:t>该项得分</w:t>
      </w:r>
      <w:r>
        <w:rPr>
          <w:rFonts w:hint="eastAsia" w:ascii="仿宋" w:hAnsi="仿宋" w:eastAsia="仿宋" w:cs="Times New Roman"/>
          <w:sz w:val="28"/>
          <w:szCs w:val="28"/>
          <w:lang w:val="en-US" w:eastAsia="zh-CN"/>
        </w:rPr>
        <w:t>14</w:t>
      </w:r>
      <w:r>
        <w:rPr>
          <w:rFonts w:hint="eastAsia" w:ascii="仿宋" w:hAnsi="仿宋" w:eastAsia="仿宋" w:cs="Times New Roman"/>
          <w:sz w:val="28"/>
          <w:szCs w:val="28"/>
        </w:rPr>
        <w:t>分</w:t>
      </w:r>
      <w:r>
        <w:rPr>
          <w:rFonts w:hint="eastAsia" w:ascii="仿宋" w:hAnsi="仿宋" w:eastAsia="仿宋" w:cs="Times New Roman"/>
          <w:sz w:val="28"/>
          <w:szCs w:val="28"/>
          <w:lang w:eastAsia="zh-CN"/>
        </w:rPr>
        <w:t>，</w:t>
      </w:r>
      <w:r>
        <w:rPr>
          <w:rFonts w:hint="eastAsia" w:ascii="仿宋" w:hAnsi="仿宋" w:eastAsia="仿宋" w:cs="Times New Roman"/>
          <w:sz w:val="28"/>
          <w:szCs w:val="28"/>
          <w:lang w:val="en-US" w:eastAsia="zh-CN"/>
        </w:rPr>
        <w:t>扣1分</w:t>
      </w:r>
      <w:r>
        <w:rPr>
          <w:rFonts w:hint="eastAsia" w:ascii="仿宋" w:hAnsi="仿宋" w:eastAsia="仿宋" w:cs="Times New Roman"/>
          <w:sz w:val="28"/>
          <w:szCs w:val="28"/>
        </w:rPr>
        <w:t>。</w:t>
      </w:r>
    </w:p>
    <w:p>
      <w:pPr>
        <w:numPr>
          <w:ilvl w:val="0"/>
          <w:numId w:val="1"/>
        </w:numPr>
        <w:ind w:left="0" w:leftChars="0" w:firstLine="560" w:firstLineChars="200"/>
        <w:rPr>
          <w:rFonts w:hint="eastAsia" w:ascii="仿宋" w:hAnsi="仿宋" w:eastAsia="仿宋" w:cs="Times New Roman"/>
          <w:sz w:val="28"/>
          <w:szCs w:val="28"/>
          <w:lang w:val="en-US" w:eastAsia="zh-CN"/>
        </w:rPr>
      </w:pPr>
      <w:r>
        <w:rPr>
          <w:rFonts w:hint="eastAsia" w:ascii="仿宋" w:hAnsi="仿宋" w:eastAsia="仿宋" w:cs="Times New Roman"/>
          <w:sz w:val="28"/>
          <w:szCs w:val="28"/>
          <w:lang w:val="en-US" w:eastAsia="zh-CN"/>
        </w:rPr>
        <w:t>满意度（10分）</w:t>
      </w:r>
    </w:p>
    <w:p>
      <w:pPr>
        <w:keepNext w:val="0"/>
        <w:keepLines w:val="0"/>
        <w:pageBreakBefore w:val="0"/>
        <w:widowControl w:val="0"/>
        <w:numPr>
          <w:ilvl w:val="0"/>
          <w:numId w:val="0"/>
        </w:numPr>
        <w:kinsoku/>
        <w:wordWrap/>
        <w:overflowPunct/>
        <w:topLinePunct w:val="0"/>
        <w:autoSpaceDE/>
        <w:autoSpaceDN/>
        <w:bidi w:val="0"/>
        <w:adjustRightInd/>
        <w:snapToGrid/>
        <w:ind w:leftChars="0" w:firstLine="560" w:firstLineChars="200"/>
        <w:textAlignment w:val="auto"/>
        <w:rPr>
          <w:rFonts w:hint="default" w:ascii="仿宋" w:hAnsi="仿宋" w:eastAsia="仿宋" w:cs="Times New Roman"/>
          <w:sz w:val="28"/>
          <w:szCs w:val="28"/>
          <w:lang w:val="en-US" w:eastAsia="zh-CN"/>
        </w:rPr>
      </w:pPr>
      <w:r>
        <w:rPr>
          <w:rFonts w:hint="default" w:ascii="仿宋" w:hAnsi="仿宋" w:eastAsia="仿宋" w:cs="Times New Roman"/>
          <w:sz w:val="28"/>
          <w:szCs w:val="28"/>
          <w:lang w:val="en-US" w:eastAsia="zh-CN"/>
        </w:rPr>
        <w:t>经问卷调查，该项目对该项目比较满意</w:t>
      </w:r>
      <w:r>
        <w:rPr>
          <w:rFonts w:hint="eastAsia" w:ascii="仿宋" w:hAnsi="仿宋" w:eastAsia="仿宋" w:cs="Times New Roman"/>
          <w:sz w:val="28"/>
          <w:szCs w:val="28"/>
          <w:lang w:val="en-US" w:eastAsia="zh-CN"/>
        </w:rPr>
        <w:t>，</w:t>
      </w:r>
      <w:r>
        <w:rPr>
          <w:rFonts w:hint="default" w:ascii="仿宋" w:hAnsi="仿宋" w:eastAsia="仿宋" w:cs="Times New Roman"/>
          <w:sz w:val="28"/>
          <w:szCs w:val="28"/>
          <w:lang w:val="en-US" w:eastAsia="zh-CN"/>
        </w:rPr>
        <w:t>该项得</w:t>
      </w:r>
      <w:r>
        <w:rPr>
          <w:rFonts w:hint="eastAsia" w:ascii="仿宋" w:hAnsi="仿宋" w:eastAsia="仿宋" w:cs="Times New Roman"/>
          <w:sz w:val="28"/>
          <w:szCs w:val="28"/>
          <w:lang w:val="en-US" w:eastAsia="zh-CN"/>
        </w:rPr>
        <w:t>9.5</w:t>
      </w:r>
      <w:r>
        <w:rPr>
          <w:rFonts w:hint="default" w:ascii="仿宋" w:hAnsi="仿宋" w:eastAsia="仿宋" w:cs="Times New Roman"/>
          <w:sz w:val="28"/>
          <w:szCs w:val="28"/>
          <w:lang w:val="en-US" w:eastAsia="zh-CN"/>
        </w:rPr>
        <w:t>分</w:t>
      </w:r>
      <w:r>
        <w:rPr>
          <w:rFonts w:hint="eastAsia" w:ascii="仿宋" w:hAnsi="仿宋" w:eastAsia="仿宋" w:cs="Times New Roman"/>
          <w:sz w:val="28"/>
          <w:szCs w:val="28"/>
          <w:lang w:val="en-US" w:eastAsia="zh-CN"/>
        </w:rPr>
        <w:t>，扣0.5</w:t>
      </w:r>
      <w:r>
        <w:rPr>
          <w:rFonts w:hint="default" w:ascii="仿宋" w:hAnsi="仿宋" w:eastAsia="仿宋" w:cs="Times New Roman"/>
          <w:sz w:val="28"/>
          <w:szCs w:val="28"/>
          <w:lang w:val="en-US" w:eastAsia="zh-CN"/>
        </w:rPr>
        <w:t>。</w:t>
      </w:r>
    </w:p>
    <w:p>
      <w:pPr>
        <w:spacing w:line="520" w:lineRule="exact"/>
        <w:ind w:firstLine="562" w:firstLineChars="200"/>
        <w:jc w:val="left"/>
        <w:rPr>
          <w:rFonts w:ascii="仿宋" w:hAnsi="仿宋" w:eastAsia="仿宋" w:cs="Times New Roman"/>
          <w:b/>
          <w:sz w:val="28"/>
          <w:szCs w:val="28"/>
        </w:rPr>
      </w:pPr>
      <w:r>
        <w:rPr>
          <w:rFonts w:hint="eastAsia" w:ascii="仿宋" w:hAnsi="仿宋" w:eastAsia="仿宋" w:cs="Times New Roman"/>
          <w:b/>
          <w:sz w:val="28"/>
          <w:szCs w:val="28"/>
        </w:rPr>
        <w:t>五、主要经验及做法</w:t>
      </w:r>
    </w:p>
    <w:p>
      <w:pPr>
        <w:spacing w:line="520" w:lineRule="exact"/>
        <w:ind w:firstLine="560" w:firstLineChars="200"/>
        <w:jc w:val="left"/>
        <w:rPr>
          <w:rFonts w:hint="eastAsia" w:ascii="仿宋" w:hAnsi="仿宋" w:eastAsia="仿宋" w:cs="Times New Roman"/>
          <w:sz w:val="28"/>
          <w:szCs w:val="28"/>
        </w:rPr>
      </w:pPr>
      <w:r>
        <w:rPr>
          <w:rFonts w:hint="eastAsia" w:ascii="仿宋" w:hAnsi="仿宋" w:eastAsia="仿宋" w:cs="Times New Roman"/>
          <w:sz w:val="28"/>
          <w:szCs w:val="28"/>
          <w:lang w:val="en-US" w:eastAsia="zh-CN"/>
        </w:rPr>
        <w:t>农业农村局病死动物无害化处理项目</w:t>
      </w:r>
      <w:r>
        <w:rPr>
          <w:rFonts w:hint="eastAsia" w:ascii="仿宋" w:hAnsi="仿宋" w:eastAsia="仿宋" w:cs="Times New Roman"/>
          <w:sz w:val="28"/>
          <w:szCs w:val="28"/>
        </w:rPr>
        <w:t>项目</w:t>
      </w:r>
      <w:r>
        <w:rPr>
          <w:rFonts w:ascii="仿宋" w:hAnsi="仿宋" w:eastAsia="仿宋" w:cs="Times New Roman"/>
          <w:sz w:val="28"/>
          <w:szCs w:val="28"/>
        </w:rPr>
        <w:t>能够严格执行批复的预算</w:t>
      </w:r>
      <w:r>
        <w:rPr>
          <w:rFonts w:hint="eastAsia" w:ascii="仿宋" w:hAnsi="仿宋" w:eastAsia="仿宋" w:cs="Times New Roman"/>
          <w:sz w:val="28"/>
          <w:szCs w:val="28"/>
        </w:rPr>
        <w:t>，</w:t>
      </w:r>
      <w:r>
        <w:rPr>
          <w:rFonts w:ascii="仿宋" w:hAnsi="仿宋" w:eastAsia="仿宋" w:cs="Times New Roman"/>
          <w:sz w:val="28"/>
          <w:szCs w:val="28"/>
        </w:rPr>
        <w:t>在预算执行过程中能够对预算执行进行有效的管理</w:t>
      </w:r>
      <w:r>
        <w:rPr>
          <w:rFonts w:hint="eastAsia" w:ascii="仿宋" w:hAnsi="仿宋" w:eastAsia="仿宋" w:cs="Times New Roman"/>
          <w:sz w:val="28"/>
          <w:szCs w:val="28"/>
        </w:rPr>
        <w:t>，预算</w:t>
      </w:r>
      <w:r>
        <w:rPr>
          <w:rFonts w:ascii="仿宋" w:hAnsi="仿宋" w:eastAsia="仿宋" w:cs="Times New Roman"/>
          <w:sz w:val="28"/>
          <w:szCs w:val="28"/>
        </w:rPr>
        <w:t>支付进度及时</w:t>
      </w:r>
      <w:r>
        <w:rPr>
          <w:rFonts w:hint="eastAsia" w:ascii="仿宋" w:hAnsi="仿宋" w:eastAsia="仿宋" w:cs="Times New Roman"/>
          <w:sz w:val="28"/>
          <w:szCs w:val="28"/>
        </w:rPr>
        <w:t>、</w:t>
      </w:r>
      <w:r>
        <w:rPr>
          <w:rFonts w:ascii="仿宋" w:hAnsi="仿宋" w:eastAsia="仿宋" w:cs="Times New Roman"/>
          <w:sz w:val="28"/>
          <w:szCs w:val="28"/>
        </w:rPr>
        <w:t>准确</w:t>
      </w:r>
      <w:r>
        <w:rPr>
          <w:rFonts w:hint="eastAsia" w:ascii="仿宋" w:hAnsi="仿宋" w:eastAsia="仿宋" w:cs="Times New Roman"/>
          <w:sz w:val="28"/>
          <w:szCs w:val="28"/>
        </w:rPr>
        <w:t>，</w:t>
      </w:r>
      <w:r>
        <w:rPr>
          <w:rFonts w:ascii="仿宋" w:hAnsi="仿宋" w:eastAsia="仿宋" w:cs="Times New Roman"/>
          <w:sz w:val="28"/>
          <w:szCs w:val="28"/>
        </w:rPr>
        <w:t>资金使用过程安全</w:t>
      </w:r>
      <w:r>
        <w:rPr>
          <w:rFonts w:hint="eastAsia" w:ascii="仿宋" w:hAnsi="仿宋" w:eastAsia="仿宋" w:cs="Times New Roman"/>
          <w:sz w:val="28"/>
          <w:szCs w:val="28"/>
        </w:rPr>
        <w:t>、</w:t>
      </w:r>
      <w:r>
        <w:rPr>
          <w:rFonts w:ascii="仿宋" w:hAnsi="仿宋" w:eastAsia="仿宋" w:cs="Times New Roman"/>
          <w:sz w:val="28"/>
          <w:szCs w:val="28"/>
        </w:rPr>
        <w:t>规范</w:t>
      </w:r>
      <w:r>
        <w:rPr>
          <w:rFonts w:hint="eastAsia" w:ascii="仿宋" w:hAnsi="仿宋" w:eastAsia="仿宋" w:cs="Times New Roman"/>
          <w:sz w:val="28"/>
          <w:szCs w:val="28"/>
        </w:rPr>
        <w:t>、</w:t>
      </w:r>
      <w:r>
        <w:rPr>
          <w:rFonts w:ascii="仿宋" w:hAnsi="仿宋" w:eastAsia="仿宋" w:cs="Times New Roman"/>
          <w:sz w:val="28"/>
          <w:szCs w:val="28"/>
        </w:rPr>
        <w:t>有效</w:t>
      </w:r>
      <w:r>
        <w:rPr>
          <w:rFonts w:hint="eastAsia" w:ascii="仿宋" w:hAnsi="仿宋" w:eastAsia="仿宋" w:cs="Times New Roman"/>
          <w:sz w:val="28"/>
          <w:szCs w:val="28"/>
        </w:rPr>
        <w:t>，内部控制能够对预算执行实行有效监督和监管。</w:t>
      </w:r>
    </w:p>
    <w:p>
      <w:pPr>
        <w:spacing w:line="520" w:lineRule="exact"/>
        <w:ind w:firstLine="562" w:firstLineChars="200"/>
        <w:jc w:val="left"/>
        <w:rPr>
          <w:rFonts w:ascii="仿宋" w:hAnsi="仿宋" w:eastAsia="仿宋" w:cs="Times New Roman"/>
          <w:b/>
          <w:sz w:val="28"/>
          <w:szCs w:val="28"/>
        </w:rPr>
      </w:pPr>
      <w:r>
        <w:rPr>
          <w:rFonts w:hint="eastAsia" w:ascii="仿宋" w:hAnsi="仿宋" w:eastAsia="仿宋" w:cs="Times New Roman"/>
          <w:b/>
          <w:sz w:val="28"/>
          <w:szCs w:val="28"/>
        </w:rPr>
        <w:t>六、存在的问题及原因分析和建议</w:t>
      </w:r>
      <w:bookmarkEnd w:id="6"/>
    </w:p>
    <w:p>
      <w:pPr>
        <w:spacing w:line="520" w:lineRule="exact"/>
        <w:ind w:firstLine="560" w:firstLineChars="200"/>
        <w:jc w:val="left"/>
        <w:rPr>
          <w:rFonts w:hint="default" w:ascii="仿宋" w:hAnsi="仿宋" w:eastAsia="仿宋" w:cs="Times New Roman"/>
          <w:sz w:val="28"/>
          <w:szCs w:val="28"/>
          <w:lang w:val="en-US" w:eastAsia="zh-CN"/>
        </w:rPr>
      </w:pPr>
      <w:r>
        <w:rPr>
          <w:rFonts w:hint="eastAsia" w:ascii="仿宋" w:hAnsi="仿宋" w:eastAsia="仿宋" w:cs="Times New Roman"/>
          <w:sz w:val="28"/>
          <w:szCs w:val="28"/>
        </w:rPr>
        <w:t>1.</w:t>
      </w:r>
      <w:r>
        <w:rPr>
          <w:rFonts w:hint="eastAsia" w:ascii="仿宋" w:hAnsi="仿宋" w:eastAsia="仿宋" w:cs="Times New Roman"/>
          <w:sz w:val="28"/>
          <w:szCs w:val="28"/>
          <w:lang w:val="en-US" w:eastAsia="zh-CN"/>
        </w:rPr>
        <w:t>病死畜禽集中无害化处理厂台账存在一处签字不完善情况。</w:t>
      </w:r>
    </w:p>
    <w:p>
      <w:pPr>
        <w:spacing w:line="520" w:lineRule="exact"/>
        <w:ind w:firstLine="562" w:firstLineChars="200"/>
        <w:jc w:val="left"/>
        <w:rPr>
          <w:rFonts w:hint="eastAsia" w:ascii="仿宋" w:hAnsi="仿宋" w:eastAsia="仿宋" w:cs="Times New Roman"/>
          <w:b w:val="0"/>
          <w:bCs/>
          <w:sz w:val="28"/>
          <w:szCs w:val="28"/>
        </w:rPr>
      </w:pPr>
      <w:r>
        <w:rPr>
          <w:rFonts w:hint="eastAsia" w:ascii="仿宋" w:hAnsi="仿宋" w:eastAsia="仿宋" w:cs="Times New Roman"/>
          <w:b/>
          <w:sz w:val="28"/>
          <w:szCs w:val="28"/>
        </w:rPr>
        <w:t>建议：</w:t>
      </w:r>
      <w:r>
        <w:rPr>
          <w:rFonts w:hint="eastAsia" w:ascii="仿宋" w:hAnsi="仿宋" w:eastAsia="仿宋" w:cs="Times New Roman"/>
          <w:sz w:val="28"/>
          <w:szCs w:val="28"/>
          <w:lang w:val="en-US" w:eastAsia="zh-CN"/>
        </w:rPr>
        <w:t>加强台账管理，严格按照规定规范填写保管</w:t>
      </w:r>
      <w:r>
        <w:rPr>
          <w:rFonts w:hint="eastAsia" w:ascii="仿宋" w:hAnsi="仿宋" w:eastAsia="仿宋" w:cs="Times New Roman"/>
          <w:b w:val="0"/>
          <w:bCs/>
          <w:sz w:val="28"/>
          <w:szCs w:val="28"/>
        </w:rPr>
        <w:t>。</w:t>
      </w:r>
    </w:p>
    <w:p>
      <w:pPr>
        <w:spacing w:line="520" w:lineRule="exact"/>
        <w:ind w:firstLine="562" w:firstLineChars="200"/>
        <w:jc w:val="left"/>
        <w:rPr>
          <w:rFonts w:ascii="仿宋" w:hAnsi="仿宋" w:eastAsia="仿宋" w:cs="Times New Roman"/>
          <w:b/>
          <w:sz w:val="28"/>
          <w:szCs w:val="28"/>
        </w:rPr>
      </w:pPr>
      <w:bookmarkStart w:id="7" w:name="_Hlk3478959"/>
      <w:r>
        <w:rPr>
          <w:rFonts w:hint="eastAsia" w:ascii="仿宋" w:hAnsi="仿宋" w:eastAsia="仿宋" w:cs="Times New Roman"/>
          <w:b/>
          <w:sz w:val="28"/>
          <w:szCs w:val="28"/>
        </w:rPr>
        <w:t>七、其他需要说明的问题</w:t>
      </w:r>
    </w:p>
    <w:p>
      <w:pPr>
        <w:spacing w:line="520" w:lineRule="exact"/>
        <w:ind w:firstLine="560" w:firstLineChars="200"/>
        <w:jc w:val="left"/>
        <w:rPr>
          <w:rFonts w:ascii="仿宋" w:hAnsi="仿宋" w:eastAsia="仿宋" w:cs="Times New Roman"/>
          <w:sz w:val="28"/>
          <w:szCs w:val="28"/>
        </w:rPr>
      </w:pPr>
      <w:r>
        <w:rPr>
          <w:rFonts w:ascii="仿宋" w:hAnsi="仿宋" w:eastAsia="仿宋" w:cs="Times New Roman"/>
          <w:sz w:val="28"/>
          <w:szCs w:val="28"/>
        </w:rPr>
        <w:t>无</w:t>
      </w:r>
    </w:p>
    <w:p>
      <w:pPr>
        <w:ind w:firstLine="560" w:firstLineChars="200"/>
        <w:rPr>
          <w:rFonts w:hint="eastAsia" w:ascii="仿宋" w:hAnsi="仿宋" w:eastAsia="仿宋" w:cs="Times New Roman"/>
          <w:sz w:val="28"/>
          <w:szCs w:val="28"/>
        </w:rPr>
      </w:pPr>
    </w:p>
    <w:p>
      <w:pPr>
        <w:ind w:firstLine="560" w:firstLineChars="200"/>
        <w:rPr>
          <w:rFonts w:ascii="仿宋" w:hAnsi="仿宋" w:eastAsia="仿宋" w:cs="Times New Roman"/>
          <w:sz w:val="28"/>
          <w:szCs w:val="28"/>
        </w:rPr>
      </w:pPr>
      <w:r>
        <w:rPr>
          <w:rFonts w:hint="eastAsia" w:ascii="仿宋" w:hAnsi="仿宋" w:eastAsia="仿宋" w:cs="Times New Roman"/>
          <w:sz w:val="28"/>
          <w:szCs w:val="28"/>
        </w:rPr>
        <w:t>附：2021年病死动物无害化处理项目绩效评价评分表</w:t>
      </w:r>
    </w:p>
    <w:bookmarkEnd w:id="7"/>
    <w:p/>
    <w:p/>
    <w:p>
      <w:pPr>
        <w:rPr>
          <w:rFonts w:ascii="仿宋" w:hAnsi="仿宋" w:eastAsia="仿宋"/>
          <w:sz w:val="28"/>
          <w:szCs w:val="28"/>
        </w:rPr>
      </w:pPr>
      <w:r>
        <w:rPr>
          <w:rFonts w:hint="eastAsia" w:ascii="仿宋" w:hAnsi="仿宋" w:eastAsia="仿宋"/>
          <w:sz w:val="28"/>
          <w:szCs w:val="28"/>
        </w:rPr>
        <w:t>河北</w:t>
      </w:r>
      <w:r>
        <w:rPr>
          <w:rFonts w:hint="eastAsia" w:ascii="仿宋" w:hAnsi="仿宋" w:eastAsia="仿宋"/>
          <w:sz w:val="28"/>
          <w:szCs w:val="28"/>
          <w:lang w:val="en-US" w:eastAsia="zh-CN"/>
        </w:rPr>
        <w:t>企融</w:t>
      </w:r>
      <w:r>
        <w:rPr>
          <w:rFonts w:hint="eastAsia" w:ascii="仿宋" w:hAnsi="仿宋" w:eastAsia="仿宋"/>
          <w:sz w:val="28"/>
          <w:szCs w:val="28"/>
        </w:rPr>
        <w:t>会计师事务所                   中国注册会计师：</w:t>
      </w:r>
    </w:p>
    <w:p>
      <w:pPr>
        <w:ind w:firstLine="560" w:firstLineChars="200"/>
        <w:rPr>
          <w:rFonts w:ascii="仿宋" w:hAnsi="仿宋" w:eastAsia="仿宋"/>
          <w:sz w:val="28"/>
          <w:szCs w:val="28"/>
        </w:rPr>
      </w:pPr>
      <w:r>
        <w:rPr>
          <w:rFonts w:hint="eastAsia" w:ascii="仿宋" w:hAnsi="仿宋" w:eastAsia="仿宋"/>
          <w:sz w:val="28"/>
          <w:szCs w:val="28"/>
          <w:lang w:eastAsia="zh-CN"/>
        </w:rPr>
        <w:t>（</w:t>
      </w:r>
      <w:r>
        <w:rPr>
          <w:rFonts w:hint="eastAsia" w:ascii="仿宋" w:hAnsi="仿宋" w:eastAsia="仿宋"/>
          <w:sz w:val="28"/>
          <w:szCs w:val="28"/>
          <w:lang w:val="en-US" w:eastAsia="zh-CN"/>
        </w:rPr>
        <w:t>普通合伙</w:t>
      </w:r>
      <w:r>
        <w:rPr>
          <w:rFonts w:hint="eastAsia" w:ascii="仿宋" w:hAnsi="仿宋" w:eastAsia="仿宋"/>
          <w:sz w:val="28"/>
          <w:szCs w:val="28"/>
          <w:lang w:eastAsia="zh-CN"/>
        </w:rPr>
        <w:t>）</w:t>
      </w:r>
      <w:r>
        <w:rPr>
          <w:rFonts w:hint="eastAsia" w:ascii="仿宋" w:hAnsi="仿宋" w:eastAsia="仿宋"/>
          <w:sz w:val="28"/>
          <w:szCs w:val="28"/>
        </w:rPr>
        <w:t xml:space="preserve">                       （签名并盖章）</w:t>
      </w:r>
    </w:p>
    <w:p>
      <w:pPr>
        <w:ind w:firstLine="700" w:firstLineChars="250"/>
        <w:rPr>
          <w:rFonts w:ascii="仿宋" w:hAnsi="仿宋" w:eastAsia="仿宋"/>
          <w:sz w:val="28"/>
          <w:szCs w:val="28"/>
        </w:rPr>
      </w:pPr>
      <w:r>
        <w:rPr>
          <w:rFonts w:hint="eastAsia" w:ascii="仿宋" w:hAnsi="仿宋" w:eastAsia="仿宋"/>
          <w:sz w:val="28"/>
          <w:szCs w:val="28"/>
        </w:rPr>
        <w:t>(公章)                            中国注册会计师：</w:t>
      </w:r>
    </w:p>
    <w:p>
      <w:pPr>
        <w:rPr>
          <w:rFonts w:ascii="仿宋" w:hAnsi="仿宋" w:eastAsia="仿宋"/>
          <w:sz w:val="28"/>
          <w:szCs w:val="28"/>
        </w:rPr>
      </w:pPr>
      <w:r>
        <w:rPr>
          <w:rFonts w:hint="eastAsia" w:ascii="仿宋" w:hAnsi="仿宋" w:eastAsia="仿宋"/>
          <w:sz w:val="28"/>
          <w:szCs w:val="28"/>
        </w:rPr>
        <w:t xml:space="preserve">                                       （签名并盖章）</w:t>
      </w:r>
    </w:p>
    <w:p>
      <w:pPr>
        <w:rPr>
          <w:rFonts w:ascii="仿宋" w:hAnsi="仿宋" w:eastAsia="仿宋"/>
          <w:sz w:val="28"/>
          <w:szCs w:val="28"/>
          <w:highlight w:val="none"/>
        </w:rPr>
      </w:pPr>
      <w:r>
        <w:rPr>
          <w:rFonts w:hint="eastAsia" w:ascii="仿宋" w:hAnsi="仿宋" w:eastAsia="仿宋"/>
          <w:sz w:val="28"/>
          <w:szCs w:val="28"/>
        </w:rPr>
        <w:t xml:space="preserve">中国·石家庄市                        </w:t>
      </w:r>
      <w:r>
        <w:rPr>
          <w:rFonts w:hint="eastAsia" w:ascii="仿宋" w:hAnsi="仿宋" w:eastAsia="仿宋"/>
          <w:sz w:val="28"/>
          <w:szCs w:val="28"/>
          <w:highlight w:val="none"/>
        </w:rPr>
        <w:t xml:space="preserve">  202</w:t>
      </w:r>
      <w:r>
        <w:rPr>
          <w:rFonts w:hint="eastAsia" w:ascii="仿宋" w:hAnsi="仿宋" w:eastAsia="仿宋"/>
          <w:sz w:val="28"/>
          <w:szCs w:val="28"/>
          <w:highlight w:val="none"/>
          <w:lang w:val="en-US" w:eastAsia="zh-CN"/>
        </w:rPr>
        <w:t>2</w:t>
      </w:r>
      <w:r>
        <w:rPr>
          <w:rFonts w:hint="eastAsia" w:ascii="仿宋" w:hAnsi="仿宋" w:eastAsia="仿宋"/>
          <w:sz w:val="28"/>
          <w:szCs w:val="28"/>
          <w:highlight w:val="none"/>
        </w:rPr>
        <w:t>年</w:t>
      </w:r>
      <w:r>
        <w:rPr>
          <w:rFonts w:hint="eastAsia" w:ascii="仿宋" w:hAnsi="仿宋" w:eastAsia="仿宋"/>
          <w:sz w:val="28"/>
          <w:szCs w:val="28"/>
          <w:highlight w:val="none"/>
          <w:lang w:val="en-US" w:eastAsia="zh-CN"/>
        </w:rPr>
        <w:t>9</w:t>
      </w:r>
      <w:r>
        <w:rPr>
          <w:rFonts w:hint="eastAsia" w:ascii="仿宋" w:hAnsi="仿宋" w:eastAsia="仿宋"/>
          <w:sz w:val="28"/>
          <w:szCs w:val="28"/>
          <w:highlight w:val="none"/>
        </w:rPr>
        <w:t>月</w:t>
      </w:r>
      <w:r>
        <w:rPr>
          <w:rFonts w:hint="eastAsia" w:ascii="仿宋" w:hAnsi="仿宋" w:eastAsia="仿宋"/>
          <w:sz w:val="28"/>
          <w:szCs w:val="28"/>
          <w:highlight w:val="none"/>
          <w:lang w:val="en-US" w:eastAsia="zh-CN"/>
        </w:rPr>
        <w:t>21</w:t>
      </w:r>
      <w:r>
        <w:rPr>
          <w:rFonts w:hint="eastAsia" w:ascii="仿宋" w:hAnsi="仿宋" w:eastAsia="仿宋"/>
          <w:sz w:val="28"/>
          <w:szCs w:val="28"/>
          <w:highlight w:val="none"/>
        </w:rPr>
        <w:t>日</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08710000"/>
      <w:docPartObj>
        <w:docPartGallery w:val="autotext"/>
      </w:docPartObj>
    </w:sdtPr>
    <w:sdtContent>
      <w:sdt>
        <w:sdtPr>
          <w:id w:val="-1669238322"/>
          <w:docPartObj>
            <w:docPartGallery w:val="autotext"/>
          </w:docPartObj>
        </w:sdtPr>
        <w:sdtContent>
          <w:p>
            <w:pPr>
              <w:pStyle w:val="4"/>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1</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12</w:t>
            </w:r>
            <w:r>
              <w:rPr>
                <w:b/>
                <w:bCs/>
                <w:sz w:val="24"/>
                <w:szCs w:val="24"/>
              </w:rPr>
              <w:fldChar w:fldCharType="end"/>
            </w:r>
          </w:p>
        </w:sdtContent>
      </w:sdt>
    </w:sdtContent>
  </w:sdt>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left"/>
      <w:rPr>
        <w:rFonts w:hint="default" w:eastAsia="宋体"/>
        <w:lang w:val="en-US" w:eastAsia="zh-CN"/>
      </w:rPr>
    </w:pPr>
    <w:r>
      <w:rPr>
        <w:rFonts w:hint="eastAsia" w:ascii="Times New Roman" w:hAnsi="Times New Roman" w:eastAsia="宋体" w:cs="Times New Roman"/>
        <w:iCs/>
      </w:rPr>
      <w:t>河北</w:t>
    </w:r>
    <w:r>
      <w:rPr>
        <w:rFonts w:hint="eastAsia" w:ascii="Times New Roman" w:hAnsi="Times New Roman" w:eastAsia="宋体" w:cs="Times New Roman"/>
        <w:iCs/>
        <w:lang w:val="en-US" w:eastAsia="zh-CN"/>
      </w:rPr>
      <w:t>企融会计师事务所（普通合伙）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316CC01"/>
    <w:multiLevelType w:val="singleLevel"/>
    <w:tmpl w:val="7316CC01"/>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JmNTAxYTA0NTllZTU0OWY5NWY0MWNlMzBjNGU2OTYifQ=="/>
  </w:docVars>
  <w:rsids>
    <w:rsidRoot w:val="007401C5"/>
    <w:rsid w:val="00031BD7"/>
    <w:rsid w:val="0003349F"/>
    <w:rsid w:val="0006386F"/>
    <w:rsid w:val="000C1E48"/>
    <w:rsid w:val="000D6DA3"/>
    <w:rsid w:val="000E025F"/>
    <w:rsid w:val="00101CFF"/>
    <w:rsid w:val="00133E4F"/>
    <w:rsid w:val="00140E66"/>
    <w:rsid w:val="00163A2A"/>
    <w:rsid w:val="001B08AB"/>
    <w:rsid w:val="001C6450"/>
    <w:rsid w:val="001D0FF2"/>
    <w:rsid w:val="0020339A"/>
    <w:rsid w:val="00204B1F"/>
    <w:rsid w:val="00205738"/>
    <w:rsid w:val="002174D6"/>
    <w:rsid w:val="00220CA0"/>
    <w:rsid w:val="00221E0B"/>
    <w:rsid w:val="00226720"/>
    <w:rsid w:val="00264073"/>
    <w:rsid w:val="00291D43"/>
    <w:rsid w:val="002D66ED"/>
    <w:rsid w:val="003231C4"/>
    <w:rsid w:val="00326A01"/>
    <w:rsid w:val="0034250D"/>
    <w:rsid w:val="003678F4"/>
    <w:rsid w:val="003779BE"/>
    <w:rsid w:val="003C69D1"/>
    <w:rsid w:val="00413B2C"/>
    <w:rsid w:val="00414BEE"/>
    <w:rsid w:val="00416BE6"/>
    <w:rsid w:val="0043501A"/>
    <w:rsid w:val="00467FCB"/>
    <w:rsid w:val="00482FD8"/>
    <w:rsid w:val="004A404A"/>
    <w:rsid w:val="004C05CC"/>
    <w:rsid w:val="004D2A79"/>
    <w:rsid w:val="004E049D"/>
    <w:rsid w:val="004F6E32"/>
    <w:rsid w:val="004F7584"/>
    <w:rsid w:val="00563B05"/>
    <w:rsid w:val="005837B3"/>
    <w:rsid w:val="005925AE"/>
    <w:rsid w:val="005A2826"/>
    <w:rsid w:val="005D28E5"/>
    <w:rsid w:val="005E3D4F"/>
    <w:rsid w:val="005F0A39"/>
    <w:rsid w:val="00606E09"/>
    <w:rsid w:val="00632A9E"/>
    <w:rsid w:val="00633415"/>
    <w:rsid w:val="00645397"/>
    <w:rsid w:val="006623CE"/>
    <w:rsid w:val="00677DFD"/>
    <w:rsid w:val="006E5AB8"/>
    <w:rsid w:val="00716C9E"/>
    <w:rsid w:val="007401C5"/>
    <w:rsid w:val="00770116"/>
    <w:rsid w:val="00784202"/>
    <w:rsid w:val="00793A8C"/>
    <w:rsid w:val="00793AE7"/>
    <w:rsid w:val="007A5C24"/>
    <w:rsid w:val="007E2BE3"/>
    <w:rsid w:val="00803915"/>
    <w:rsid w:val="00806F8D"/>
    <w:rsid w:val="008133D4"/>
    <w:rsid w:val="00827680"/>
    <w:rsid w:val="008558EF"/>
    <w:rsid w:val="00856D7B"/>
    <w:rsid w:val="00863364"/>
    <w:rsid w:val="00864C5B"/>
    <w:rsid w:val="00895747"/>
    <w:rsid w:val="00897BED"/>
    <w:rsid w:val="008A17A6"/>
    <w:rsid w:val="008A2F4C"/>
    <w:rsid w:val="0090337F"/>
    <w:rsid w:val="00961123"/>
    <w:rsid w:val="00991677"/>
    <w:rsid w:val="0099476A"/>
    <w:rsid w:val="009C0CDA"/>
    <w:rsid w:val="00A047E4"/>
    <w:rsid w:val="00A1144C"/>
    <w:rsid w:val="00A67C45"/>
    <w:rsid w:val="00A72FA7"/>
    <w:rsid w:val="00A9417C"/>
    <w:rsid w:val="00AC3C03"/>
    <w:rsid w:val="00AD5FAA"/>
    <w:rsid w:val="00B15451"/>
    <w:rsid w:val="00B57BD1"/>
    <w:rsid w:val="00B7622A"/>
    <w:rsid w:val="00C14ABB"/>
    <w:rsid w:val="00C2610C"/>
    <w:rsid w:val="00C40702"/>
    <w:rsid w:val="00C66EF2"/>
    <w:rsid w:val="00C84808"/>
    <w:rsid w:val="00C95213"/>
    <w:rsid w:val="00CA18EA"/>
    <w:rsid w:val="00CC3818"/>
    <w:rsid w:val="00D024A0"/>
    <w:rsid w:val="00D34E58"/>
    <w:rsid w:val="00D65B6E"/>
    <w:rsid w:val="00D76C34"/>
    <w:rsid w:val="00D81987"/>
    <w:rsid w:val="00D86785"/>
    <w:rsid w:val="00DF274B"/>
    <w:rsid w:val="00DF623B"/>
    <w:rsid w:val="00E3345B"/>
    <w:rsid w:val="00EA02ED"/>
    <w:rsid w:val="00F209E0"/>
    <w:rsid w:val="00F26271"/>
    <w:rsid w:val="00F56F96"/>
    <w:rsid w:val="00F81530"/>
    <w:rsid w:val="00FA45CE"/>
    <w:rsid w:val="00FA6231"/>
    <w:rsid w:val="03CF0515"/>
    <w:rsid w:val="05F122A2"/>
    <w:rsid w:val="08C75DE5"/>
    <w:rsid w:val="30331603"/>
    <w:rsid w:val="32140005"/>
    <w:rsid w:val="3D514B6F"/>
    <w:rsid w:val="446E1004"/>
    <w:rsid w:val="49B126B9"/>
    <w:rsid w:val="528E2E19"/>
    <w:rsid w:val="64E6692B"/>
    <w:rsid w:val="652975CD"/>
    <w:rsid w:val="71B31D6A"/>
    <w:rsid w:val="7A17691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unhideWhenUsed/>
    <w:qFormat/>
    <w:uiPriority w:val="99"/>
    <w:pPr>
      <w:jc w:val="left"/>
    </w:pPr>
  </w:style>
  <w:style w:type="paragraph" w:styleId="3">
    <w:name w:val="Balloon Text"/>
    <w:basedOn w:val="1"/>
    <w:link w:val="14"/>
    <w:semiHidden/>
    <w:unhideWhenUsed/>
    <w:qFormat/>
    <w:uiPriority w:val="99"/>
    <w:rPr>
      <w:sz w:val="18"/>
      <w:szCs w:val="18"/>
    </w:rPr>
  </w:style>
  <w:style w:type="paragraph" w:styleId="4">
    <w:name w:val="footer"/>
    <w:basedOn w:val="1"/>
    <w:link w:val="16"/>
    <w:unhideWhenUsed/>
    <w:qFormat/>
    <w:uiPriority w:val="99"/>
    <w:pPr>
      <w:tabs>
        <w:tab w:val="center" w:pos="4153"/>
        <w:tab w:val="right" w:pos="8306"/>
      </w:tabs>
      <w:snapToGrid w:val="0"/>
      <w:jc w:val="left"/>
    </w:pPr>
    <w:rPr>
      <w:sz w:val="18"/>
      <w:szCs w:val="18"/>
    </w:rPr>
  </w:style>
  <w:style w:type="paragraph" w:styleId="5">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3"/>
    <w:semiHidden/>
    <w:unhideWhenUsed/>
    <w:qFormat/>
    <w:uiPriority w:val="99"/>
    <w:rPr>
      <w:b/>
      <w:bCs/>
    </w:rPr>
  </w:style>
  <w:style w:type="table" w:styleId="8">
    <w:name w:val="Table Grid"/>
    <w:basedOn w:val="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annotation reference"/>
    <w:basedOn w:val="9"/>
    <w:semiHidden/>
    <w:unhideWhenUsed/>
    <w:qFormat/>
    <w:uiPriority w:val="99"/>
    <w:rPr>
      <w:sz w:val="21"/>
      <w:szCs w:val="21"/>
    </w:rPr>
  </w:style>
  <w:style w:type="paragraph" w:styleId="11">
    <w:name w:val="List Paragraph"/>
    <w:basedOn w:val="1"/>
    <w:qFormat/>
    <w:uiPriority w:val="34"/>
    <w:pPr>
      <w:ind w:firstLine="420" w:firstLineChars="200"/>
    </w:pPr>
  </w:style>
  <w:style w:type="character" w:customStyle="1" w:styleId="12">
    <w:name w:val="批注文字 Char"/>
    <w:basedOn w:val="9"/>
    <w:link w:val="2"/>
    <w:semiHidden/>
    <w:qFormat/>
    <w:uiPriority w:val="99"/>
  </w:style>
  <w:style w:type="character" w:customStyle="1" w:styleId="13">
    <w:name w:val="批注主题 Char"/>
    <w:basedOn w:val="12"/>
    <w:link w:val="6"/>
    <w:semiHidden/>
    <w:qFormat/>
    <w:uiPriority w:val="99"/>
    <w:rPr>
      <w:b/>
      <w:bCs/>
    </w:rPr>
  </w:style>
  <w:style w:type="character" w:customStyle="1" w:styleId="14">
    <w:name w:val="批注框文本 Char"/>
    <w:basedOn w:val="9"/>
    <w:link w:val="3"/>
    <w:semiHidden/>
    <w:qFormat/>
    <w:uiPriority w:val="99"/>
    <w:rPr>
      <w:sz w:val="18"/>
      <w:szCs w:val="18"/>
    </w:rPr>
  </w:style>
  <w:style w:type="character" w:customStyle="1" w:styleId="15">
    <w:name w:val="页眉 Char"/>
    <w:basedOn w:val="9"/>
    <w:link w:val="5"/>
    <w:qFormat/>
    <w:uiPriority w:val="99"/>
    <w:rPr>
      <w:sz w:val="18"/>
      <w:szCs w:val="18"/>
    </w:rPr>
  </w:style>
  <w:style w:type="character" w:customStyle="1" w:styleId="16">
    <w:name w:val="页脚 Char"/>
    <w:basedOn w:val="9"/>
    <w:link w:val="4"/>
    <w:qFormat/>
    <w:uiPriority w:val="99"/>
    <w:rPr>
      <w:sz w:val="18"/>
      <w:szCs w:val="18"/>
    </w:rPr>
  </w:style>
  <w:style w:type="character" w:customStyle="1" w:styleId="17">
    <w:name w:val="NormalCharacter"/>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12</Pages>
  <Words>1210</Words>
  <Characters>6902</Characters>
  <Lines>57</Lines>
  <Paragraphs>16</Paragraphs>
  <TotalTime>24</TotalTime>
  <ScaleCrop>false</ScaleCrop>
  <LinksUpToDate>false</LinksUpToDate>
  <CharactersWithSpaces>8096</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2020-04-21T07:14:00Z</dcterms:created>
  <dc:creator>User</dc:creator>
  <cp:lastModifiedBy>妮妮</cp:lastModifiedBy>
  <cp:lastPrinted>2021-10-28T06:58:00Z</cp:lastPrinted>
  <dcterms:modified xsi:type="dcterms:W3CDTF">2022-10-21T06:51:07Z</dcterms:modified>
  <cp:revision>89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3E8E6F4CFB804C1FA2DE38A798D94551</vt:lpwstr>
  </property>
</Properties>
</file>