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distribute"/>
        <w:rPr>
          <w:rFonts w:hint="eastAsia" w:ascii="Times New Roman" w:hAnsi="Times New Roman" w:eastAsia="宋体" w:cs="Times New Roman"/>
          <w:b/>
          <w:kern w:val="15"/>
          <w:sz w:val="48"/>
          <w:szCs w:val="48"/>
          <w:lang w:eastAsia="zh-CN"/>
        </w:rPr>
      </w:pPr>
      <w:r>
        <w:rPr>
          <w:rFonts w:hint="eastAsia" w:ascii="Times New Roman" w:hAnsi="Times New Roman" w:eastAsia="宋体" w:cs="Times New Roman"/>
          <w:b/>
          <w:kern w:val="15"/>
          <w:sz w:val="48"/>
          <w:szCs w:val="48"/>
        </w:rPr>
        <w:t>河北</w:t>
      </w:r>
      <w:r>
        <w:rPr>
          <w:rFonts w:hint="eastAsia" w:ascii="Times New Roman" w:hAnsi="Times New Roman" w:eastAsia="宋体" w:cs="Times New Roman"/>
          <w:b/>
          <w:kern w:val="15"/>
          <w:sz w:val="48"/>
          <w:szCs w:val="48"/>
          <w:lang w:val="en-US" w:eastAsia="zh-CN"/>
        </w:rPr>
        <w:t>企融</w:t>
      </w:r>
      <w:r>
        <w:rPr>
          <w:rFonts w:hint="eastAsia" w:ascii="Times New Roman" w:hAnsi="Times New Roman" w:eastAsia="宋体" w:cs="Times New Roman"/>
          <w:b/>
          <w:kern w:val="15"/>
          <w:sz w:val="48"/>
          <w:szCs w:val="48"/>
        </w:rPr>
        <w:t>会计师事务所</w:t>
      </w:r>
      <w:r>
        <w:rPr>
          <w:rFonts w:hint="eastAsia" w:ascii="Times New Roman" w:hAnsi="Times New Roman" w:eastAsia="宋体" w:cs="Times New Roman"/>
          <w:b/>
          <w:kern w:val="15"/>
          <w:sz w:val="48"/>
          <w:szCs w:val="48"/>
          <w:lang w:eastAsia="zh-CN"/>
        </w:rPr>
        <w:t>（</w:t>
      </w:r>
      <w:r>
        <w:rPr>
          <w:rFonts w:hint="eastAsia" w:ascii="Times New Roman" w:hAnsi="Times New Roman" w:eastAsia="宋体" w:cs="Times New Roman"/>
          <w:b/>
          <w:kern w:val="15"/>
          <w:sz w:val="48"/>
          <w:szCs w:val="48"/>
          <w:lang w:val="en-US" w:eastAsia="zh-CN"/>
        </w:rPr>
        <w:t>普通合伙</w:t>
      </w:r>
      <w:r>
        <w:rPr>
          <w:rFonts w:hint="eastAsia" w:ascii="Times New Roman" w:hAnsi="Times New Roman" w:eastAsia="宋体" w:cs="Times New Roman"/>
          <w:b/>
          <w:kern w:val="15"/>
          <w:sz w:val="48"/>
          <w:szCs w:val="48"/>
          <w:lang w:eastAsia="zh-CN"/>
        </w:rPr>
        <w:t>）</w:t>
      </w:r>
    </w:p>
    <w:p>
      <w:pPr>
        <w:spacing w:line="320" w:lineRule="exact"/>
        <w:jc w:val="center"/>
        <w:rPr>
          <w:rFonts w:ascii="楷体" w:hAnsi="Times New Roman" w:eastAsia="楷体" w:cs="Times New Roman"/>
          <w:sz w:val="24"/>
          <w:szCs w:val="24"/>
        </w:rPr>
      </w:pPr>
    </w:p>
    <w:p>
      <w:pPr>
        <w:tabs>
          <w:tab w:val="left" w:pos="3150"/>
        </w:tabs>
        <w:spacing w:line="480" w:lineRule="exact"/>
        <w:jc w:val="center"/>
        <w:rPr>
          <w:rFonts w:ascii="宋体" w:hAnsi="Times New Roman" w:eastAsia="宋体" w:cs="Times New Roman"/>
          <w:sz w:val="24"/>
          <w:szCs w:val="24"/>
        </w:rPr>
      </w:pPr>
      <w:r>
        <w:rPr>
          <w:rFonts w:hint="eastAsia" w:ascii="宋体" w:hAnsi="Times New Roman" w:eastAsia="宋体" w:cs="Times New Roman"/>
          <w:sz w:val="24"/>
          <w:szCs w:val="24"/>
          <w:lang w:val="en-US" w:eastAsia="zh-CN"/>
        </w:rPr>
        <w:t>企融</w:t>
      </w:r>
      <w:r>
        <w:rPr>
          <w:rFonts w:hint="eastAsia" w:ascii="宋体" w:hAnsi="Times New Roman" w:eastAsia="宋体" w:cs="Times New Roman"/>
          <w:sz w:val="24"/>
          <w:szCs w:val="24"/>
        </w:rPr>
        <w:t>专字【2021】160</w:t>
      </w:r>
      <w:r>
        <w:rPr>
          <w:rFonts w:hint="eastAsia" w:ascii="宋体" w:hAnsi="Times New Roman" w:eastAsia="宋体" w:cs="Times New Roman"/>
          <w:sz w:val="24"/>
          <w:szCs w:val="24"/>
          <w:highlight w:val="none"/>
        </w:rPr>
        <w:t>号</w:t>
      </w:r>
    </w:p>
    <w:p>
      <w:pPr>
        <w:tabs>
          <w:tab w:val="left" w:pos="3150"/>
        </w:tabs>
        <w:jc w:val="center"/>
        <w:rPr>
          <w:rFonts w:ascii="Times New Roman" w:hAnsi="Times New Roman" w:eastAsia="宋体" w:cs="Times New Roman"/>
          <w:spacing w:val="70"/>
          <w:sz w:val="18"/>
          <w:szCs w:val="24"/>
        </w:rPr>
      </w:pPr>
      <w:r>
        <w:rPr>
          <w:rFonts w:ascii="Times New Roman" w:hAnsi="Times New Roman" w:eastAsia="宋体" w:cs="Times New Roman"/>
          <w:spacing w:val="70"/>
          <w:sz w:val="18"/>
          <w:szCs w:val="24"/>
        </w:rPr>
        <w:t>**************************************************</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关于</w:t>
      </w:r>
      <w:bookmarkStart w:id="0" w:name="_Hlk3403080"/>
      <w:r>
        <w:rPr>
          <w:rFonts w:hint="eastAsia" w:ascii="黑体" w:hAnsi="Times New Roman" w:eastAsia="黑体" w:cs="Times New Roman"/>
          <w:bCs/>
          <w:kern w:val="0"/>
          <w:sz w:val="36"/>
          <w:szCs w:val="24"/>
        </w:rPr>
        <w:t>202</w:t>
      </w:r>
      <w:r>
        <w:rPr>
          <w:rFonts w:hint="eastAsia" w:ascii="黑体" w:hAnsi="Times New Roman" w:eastAsia="黑体" w:cs="Times New Roman"/>
          <w:bCs/>
          <w:kern w:val="0"/>
          <w:sz w:val="36"/>
          <w:szCs w:val="24"/>
          <w:lang w:val="en-US" w:eastAsia="zh-CN"/>
        </w:rPr>
        <w:t>1</w:t>
      </w:r>
      <w:r>
        <w:rPr>
          <w:rFonts w:hint="eastAsia" w:ascii="黑体" w:hAnsi="Times New Roman" w:eastAsia="黑体" w:cs="Times New Roman"/>
          <w:bCs/>
          <w:kern w:val="0"/>
          <w:sz w:val="36"/>
          <w:szCs w:val="24"/>
        </w:rPr>
        <w:t>年度</w:t>
      </w:r>
      <w:bookmarkEnd w:id="0"/>
      <w:r>
        <w:rPr>
          <w:rFonts w:hint="eastAsia" w:ascii="黑体" w:hAnsi="Times New Roman" w:eastAsia="黑体" w:cs="Times New Roman"/>
          <w:bCs/>
          <w:kern w:val="0"/>
          <w:sz w:val="36"/>
          <w:szCs w:val="24"/>
        </w:rPr>
        <w:t>高邑县</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lang w:val="en-US" w:eastAsia="zh-CN"/>
        </w:rPr>
        <w:t>就业扶贫专岗开发管理</w:t>
      </w:r>
      <w:r>
        <w:rPr>
          <w:rFonts w:hint="eastAsia" w:ascii="黑体" w:hAnsi="Times New Roman" w:eastAsia="黑体" w:cs="Times New Roman"/>
          <w:bCs/>
          <w:kern w:val="0"/>
          <w:sz w:val="36"/>
          <w:szCs w:val="24"/>
        </w:rPr>
        <w:t>项目绩效评价报告</w:t>
      </w:r>
    </w:p>
    <w:p>
      <w:pPr>
        <w:spacing w:line="520" w:lineRule="exact"/>
        <w:jc w:val="left"/>
        <w:rPr>
          <w:rFonts w:ascii="仿宋" w:hAnsi="仿宋" w:eastAsia="仿宋" w:cs="Times New Roman"/>
          <w:sz w:val="28"/>
          <w:szCs w:val="28"/>
        </w:rPr>
      </w:pPr>
      <w:r>
        <w:rPr>
          <w:rFonts w:hint="eastAsia" w:ascii="仿宋" w:hAnsi="仿宋" w:eastAsia="仿宋" w:cs="Times New Roman"/>
          <w:sz w:val="28"/>
          <w:szCs w:val="28"/>
        </w:rPr>
        <w:t>高邑县财政局：</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我们接受贵局委托，对高邑县就业扶贫专岗开发管理项目资金的预算执行、项目资金使用及财务基础工作进行了绩效评价。</w:t>
      </w:r>
      <w:r>
        <w:rPr>
          <w:rFonts w:hint="eastAsia" w:ascii="仿宋" w:hAnsi="仿宋" w:eastAsia="仿宋" w:cs="Times New Roman"/>
          <w:sz w:val="28"/>
          <w:szCs w:val="28"/>
          <w:lang w:val="en-US" w:eastAsia="zh-CN"/>
        </w:rPr>
        <w:t>高邑县就业服务中心（以下简称“就业中心”）</w:t>
      </w:r>
      <w:r>
        <w:rPr>
          <w:rFonts w:hint="eastAsia" w:ascii="仿宋" w:hAnsi="仿宋" w:eastAsia="仿宋" w:cs="Times New Roman"/>
          <w:sz w:val="28"/>
          <w:szCs w:val="28"/>
        </w:rPr>
        <w:t>对其提供的财务会计资料以及其他相关资料的真实性和完整性负责，并对此做出了书面承诺。我们的责任是对此进行绩效评价并出具报告。</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一、基本情况</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（一）项目概况</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年高邑县就业扶贫专岗开发管理项目资金为75.74万元</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我们根据《项目支出绩效评价管理办法》（财政部预〔</w:t>
      </w:r>
      <w:r>
        <w:rPr>
          <w:rFonts w:ascii="仿宋" w:hAnsi="仿宋" w:eastAsia="仿宋" w:cs="Times New Roman"/>
          <w:sz w:val="28"/>
          <w:szCs w:val="28"/>
        </w:rPr>
        <w:t>2020〕10 号）对该项目资金进行绩效评价</w:t>
      </w:r>
      <w:r>
        <w:rPr>
          <w:rFonts w:hint="eastAsia" w:ascii="仿宋" w:hAnsi="仿宋" w:eastAsia="仿宋" w:cs="Times New Roman"/>
          <w:sz w:val="28"/>
          <w:szCs w:val="28"/>
        </w:rPr>
        <w:t>。</w:t>
      </w:r>
    </w:p>
    <w:p>
      <w:pPr>
        <w:numPr>
          <w:ilvl w:val="0"/>
          <w:numId w:val="1"/>
        </w:numPr>
        <w:spacing w:line="520" w:lineRule="exact"/>
        <w:ind w:firstLine="560" w:firstLineChars="200"/>
        <w:jc w:val="left"/>
        <w:rPr>
          <w:rFonts w:hint="eastAsia" w:ascii="仿宋" w:hAnsi="仿宋" w:eastAsia="仿宋" w:cs="Times New Roman"/>
          <w:sz w:val="28"/>
          <w:szCs w:val="28"/>
          <w:lang w:val="en-US" w:eastAsia="zh-CN"/>
        </w:rPr>
      </w:pPr>
      <w:r>
        <w:rPr>
          <w:rFonts w:hint="eastAsia" w:ascii="仿宋" w:hAnsi="仿宋" w:eastAsia="仿宋" w:cs="Times New Roman"/>
          <w:sz w:val="28"/>
          <w:szCs w:val="28"/>
        </w:rPr>
        <w:t>经核实202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w:t>
      </w:r>
      <w:r>
        <w:rPr>
          <w:rFonts w:hint="eastAsia" w:ascii="仿宋" w:hAnsi="仿宋" w:eastAsia="仿宋" w:cs="Times New Roman"/>
          <w:sz w:val="28"/>
          <w:szCs w:val="28"/>
          <w:lang w:val="en-US" w:eastAsia="zh-CN"/>
        </w:rPr>
        <w:t>就业中心就业扶贫专岗开发管理项目</w:t>
      </w:r>
      <w:r>
        <w:rPr>
          <w:rFonts w:hint="eastAsia" w:ascii="仿宋" w:hAnsi="仿宋" w:eastAsia="仿宋" w:cs="Times New Roman"/>
          <w:sz w:val="28"/>
          <w:szCs w:val="28"/>
        </w:rPr>
        <w:t>的明细账、原始凭证及其他资料，</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收到财政拨款75.74</w:t>
      </w:r>
      <w:r>
        <w:rPr>
          <w:rFonts w:hint="eastAsia" w:ascii="仿宋" w:hAnsi="仿宋" w:eastAsia="仿宋" w:cs="Times New Roman"/>
          <w:sz w:val="28"/>
          <w:szCs w:val="28"/>
          <w:lang w:val="en-US" w:eastAsia="zh-CN"/>
        </w:rPr>
        <w:t>万元</w:t>
      </w:r>
      <w:r>
        <w:rPr>
          <w:rFonts w:hint="eastAsia" w:ascii="仿宋" w:hAnsi="仿宋" w:eastAsia="仿宋" w:cs="Times New Roman"/>
          <w:sz w:val="28"/>
          <w:szCs w:val="28"/>
        </w:rPr>
        <w:t>、资金支出75.74</w:t>
      </w:r>
      <w:r>
        <w:rPr>
          <w:rFonts w:hint="eastAsia" w:ascii="仿宋" w:hAnsi="仿宋" w:eastAsia="仿宋" w:cs="Times New Roman"/>
          <w:sz w:val="28"/>
          <w:szCs w:val="28"/>
          <w:lang w:val="en-US" w:eastAsia="zh-CN"/>
        </w:rPr>
        <w:t>万元、</w:t>
      </w:r>
      <w:r>
        <w:rPr>
          <w:rFonts w:hint="eastAsia" w:ascii="仿宋" w:hAnsi="仿宋" w:eastAsia="仿宋" w:cs="Times New Roman"/>
          <w:sz w:val="28"/>
          <w:szCs w:val="28"/>
        </w:rPr>
        <w:t>资金结余</w:t>
      </w:r>
      <w:r>
        <w:rPr>
          <w:rFonts w:hint="eastAsia" w:ascii="仿宋" w:hAnsi="仿宋" w:eastAsia="仿宋" w:cs="Times New Roman"/>
          <w:sz w:val="28"/>
          <w:szCs w:val="28"/>
          <w:lang w:val="en-US" w:eastAsia="zh-CN"/>
        </w:rPr>
        <w:t>0万元。</w:t>
      </w:r>
    </w:p>
    <w:p>
      <w:pPr>
        <w:numPr>
          <w:ilvl w:val="0"/>
          <w:numId w:val="0"/>
        </w:numPr>
        <w:spacing w:line="520" w:lineRule="exact"/>
        <w:ind w:firstLine="280" w:firstLineChars="100"/>
        <w:jc w:val="left"/>
        <w:rPr>
          <w:rFonts w:ascii="仿宋" w:hAnsi="仿宋" w:eastAsia="仿宋" w:cs="Times New Roman"/>
          <w:sz w:val="28"/>
          <w:szCs w:val="28"/>
        </w:rPr>
      </w:pPr>
      <w:r>
        <w:rPr>
          <w:rFonts w:hint="eastAsia" w:ascii="仿宋" w:hAnsi="仿宋" w:eastAsia="仿宋" w:cs="Times New Roman"/>
          <w:sz w:val="28"/>
          <w:szCs w:val="28"/>
        </w:rPr>
        <w:t>（二）项目绩效目标</w:t>
      </w:r>
    </w:p>
    <w:p>
      <w:pPr>
        <w:spacing w:line="520" w:lineRule="exact"/>
        <w:ind w:firstLine="560" w:firstLineChars="200"/>
        <w:jc w:val="left"/>
        <w:rPr>
          <w:rFonts w:hint="eastAsia" w:ascii="仿宋" w:hAnsi="仿宋" w:eastAsia="仿宋" w:cs="Times New Roman"/>
          <w:sz w:val="28"/>
          <w:szCs w:val="28"/>
          <w:lang w:eastAsia="zh-CN"/>
        </w:rPr>
      </w:pPr>
      <w:bookmarkStart w:id="1" w:name="_Toc10111741"/>
      <w:r>
        <w:rPr>
          <w:rFonts w:hint="eastAsia" w:ascii="仿宋" w:hAnsi="仿宋" w:eastAsia="仿宋" w:cs="Times New Roman"/>
          <w:sz w:val="28"/>
          <w:szCs w:val="28"/>
        </w:rPr>
        <w:t>经查阅</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项目支出绩效自评表，项目总体绩效指标：通过安置公益专岗对无法离乡、无业可扶、无力脱贫的建档立卡贫困劳动力实现就地就业增收</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（三）项目评价政策依据</w:t>
      </w:r>
      <w:bookmarkEnd w:id="1"/>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1、《财政违法行为处罚处分条例》（国务院令第427号）；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2、《中华人民共和国预算法》；</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3、《财政部门监督办法》（财政部令〔</w:t>
      </w:r>
      <w:r>
        <w:rPr>
          <w:rFonts w:ascii="仿宋" w:hAnsi="仿宋" w:eastAsia="仿宋" w:cs="Times New Roman"/>
          <w:sz w:val="28"/>
          <w:szCs w:val="28"/>
        </w:rPr>
        <w:t>2012</w:t>
      </w:r>
      <w:r>
        <w:rPr>
          <w:rFonts w:hint="eastAsia" w:ascii="仿宋" w:hAnsi="仿宋" w:eastAsia="仿宋" w:cs="Times New Roman"/>
          <w:sz w:val="28"/>
          <w:szCs w:val="28"/>
        </w:rPr>
        <w:t>〕</w:t>
      </w:r>
      <w:r>
        <w:rPr>
          <w:rFonts w:ascii="仿宋" w:hAnsi="仿宋" w:eastAsia="仿宋" w:cs="Times New Roman"/>
          <w:sz w:val="28"/>
          <w:szCs w:val="28"/>
        </w:rPr>
        <w:t>69</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4、《财政检查工作办法》（财政部令〔</w:t>
      </w:r>
      <w:r>
        <w:rPr>
          <w:rFonts w:ascii="仿宋" w:hAnsi="仿宋" w:eastAsia="仿宋" w:cs="Times New Roman"/>
          <w:sz w:val="28"/>
          <w:szCs w:val="28"/>
        </w:rPr>
        <w:t>2006</w:t>
      </w:r>
      <w:r>
        <w:rPr>
          <w:rFonts w:hint="eastAsia" w:ascii="仿宋" w:hAnsi="仿宋" w:eastAsia="仿宋" w:cs="Times New Roman"/>
          <w:sz w:val="28"/>
          <w:szCs w:val="28"/>
        </w:rPr>
        <w:t>〕</w:t>
      </w:r>
      <w:r>
        <w:rPr>
          <w:rFonts w:ascii="仿宋" w:hAnsi="仿宋" w:eastAsia="仿宋" w:cs="Times New Roman"/>
          <w:sz w:val="28"/>
          <w:szCs w:val="28"/>
        </w:rPr>
        <w:t>32</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5、《项目支出绩效评价管理办法》（财政部预〔</w:t>
      </w:r>
      <w:r>
        <w:rPr>
          <w:rFonts w:ascii="仿宋" w:hAnsi="仿宋" w:eastAsia="仿宋" w:cs="Times New Roman"/>
          <w:sz w:val="28"/>
          <w:szCs w:val="28"/>
        </w:rPr>
        <w:t>2020〕10 号）</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lang w:val="en-US" w:eastAsia="zh-CN"/>
        </w:rPr>
        <w:t>6</w:t>
      </w:r>
      <w:r>
        <w:rPr>
          <w:rFonts w:hint="eastAsia" w:ascii="仿宋" w:hAnsi="仿宋" w:eastAsia="仿宋" w:cs="Times New Roman"/>
          <w:sz w:val="28"/>
          <w:szCs w:val="28"/>
        </w:rPr>
        <w:t>、其他相关法律、法规、政策文件。</w:t>
      </w:r>
    </w:p>
    <w:p>
      <w:pPr>
        <w:spacing w:line="520" w:lineRule="exact"/>
        <w:ind w:firstLine="562" w:firstLineChars="200"/>
        <w:jc w:val="left"/>
        <w:rPr>
          <w:rFonts w:ascii="仿宋" w:hAnsi="仿宋" w:eastAsia="仿宋" w:cs="Times New Roman"/>
          <w:b/>
          <w:sz w:val="28"/>
          <w:szCs w:val="28"/>
        </w:rPr>
      </w:pPr>
      <w:bookmarkStart w:id="2" w:name="_Toc10111742"/>
      <w:r>
        <w:rPr>
          <w:rFonts w:hint="eastAsia" w:ascii="仿宋" w:hAnsi="仿宋" w:eastAsia="仿宋" w:cs="Times New Roman"/>
          <w:b/>
          <w:sz w:val="28"/>
          <w:szCs w:val="28"/>
        </w:rPr>
        <w:t>二、绩效评价工作开展情况</w:t>
      </w:r>
      <w:bookmarkEnd w:id="2"/>
    </w:p>
    <w:p>
      <w:pPr>
        <w:spacing w:line="520" w:lineRule="exact"/>
        <w:ind w:firstLine="560" w:firstLineChars="200"/>
        <w:jc w:val="left"/>
        <w:rPr>
          <w:rFonts w:ascii="仿宋" w:hAnsi="仿宋" w:eastAsia="仿宋" w:cs="Times New Roman"/>
          <w:sz w:val="28"/>
          <w:szCs w:val="28"/>
        </w:rPr>
      </w:pPr>
      <w:bookmarkStart w:id="3" w:name="_Toc10111743"/>
      <w:r>
        <w:rPr>
          <w:rFonts w:hint="eastAsia" w:ascii="仿宋" w:hAnsi="仿宋" w:eastAsia="仿宋" w:cs="Times New Roman"/>
          <w:sz w:val="28"/>
          <w:szCs w:val="28"/>
        </w:rPr>
        <w:t>（一）绩效评价目的</w:t>
      </w:r>
      <w:bookmarkEnd w:id="3"/>
      <w:r>
        <w:rPr>
          <w:rFonts w:hint="eastAsia" w:ascii="仿宋" w:hAnsi="仿宋" w:eastAsia="仿宋" w:cs="Times New Roman"/>
          <w:sz w:val="28"/>
          <w:szCs w:val="28"/>
        </w:rPr>
        <w:t>、对象和范围</w:t>
      </w:r>
    </w:p>
    <w:p>
      <w:pPr>
        <w:spacing w:line="520" w:lineRule="exact"/>
        <w:ind w:firstLine="560" w:firstLineChars="200"/>
        <w:jc w:val="left"/>
        <w:rPr>
          <w:rFonts w:ascii="仿宋" w:hAnsi="仿宋" w:eastAsia="仿宋" w:cs="Times New Roman"/>
          <w:sz w:val="28"/>
          <w:szCs w:val="28"/>
        </w:rPr>
      </w:pPr>
      <w:bookmarkStart w:id="4" w:name="_Toc10111744"/>
      <w:r>
        <w:rPr>
          <w:rFonts w:hint="eastAsia" w:ascii="仿宋" w:hAnsi="仿宋" w:eastAsia="仿宋" w:cs="Times New Roman"/>
          <w:sz w:val="28"/>
          <w:szCs w:val="28"/>
        </w:rPr>
        <w:t>对高邑县就业服务中心202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年度“就业扶贫专岗开发管理项目</w:t>
      </w:r>
      <w:r>
        <w:rPr>
          <w:rFonts w:hint="eastAsia" w:ascii="仿宋" w:hAnsi="仿宋" w:eastAsia="仿宋" w:cs="Times New Roman"/>
          <w:sz w:val="28"/>
          <w:szCs w:val="28"/>
          <w:lang w:val="en-US" w:eastAsia="zh-CN"/>
        </w:rPr>
        <w:t>资金</w:t>
      </w:r>
      <w:r>
        <w:rPr>
          <w:rFonts w:hint="eastAsia" w:ascii="仿宋" w:hAnsi="仿宋" w:eastAsia="仿宋" w:cs="Times New Roman"/>
          <w:sz w:val="28"/>
          <w:szCs w:val="28"/>
        </w:rPr>
        <w:t>”进行绩效评价。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（二）绩效评价原则、评价指标体系、评价方法</w:t>
      </w:r>
      <w:bookmarkEnd w:id="4"/>
      <w:r>
        <w:rPr>
          <w:rFonts w:hint="eastAsia" w:ascii="仿宋" w:hAnsi="仿宋" w:eastAsia="仿宋" w:cs="Times New Roman"/>
          <w:sz w:val="28"/>
          <w:szCs w:val="28"/>
        </w:rPr>
        <w:t>和评价标准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绩效评价标准：该项目根据产出指标的各项标准作为绩效评价标准，对其进行评价。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评价方法：在评价实施过程中，我们首先明确了每个阶段应该收集的信息，然后由有关人员根据项目进度收集信息，及时进行汇总、整理，并对照绩效指标体系项目的完成情况。对于没有及时完成预期设定绩效指标的，及时调整工作方向和工作方法，确保绩效指标的顺利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我们依据《项目支出绩效评价管理办法》（财政部预〔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w:t>
      </w:r>
      <w:r>
        <w:rPr>
          <w:rFonts w:ascii="仿宋" w:hAnsi="仿宋" w:eastAsia="仿宋" w:cs="Times New Roman"/>
          <w:sz w:val="28"/>
          <w:szCs w:val="28"/>
        </w:rPr>
        <w:t>结合项目的实际情况制定了该项目的</w:t>
      </w:r>
      <w:r>
        <w:rPr>
          <w:rFonts w:hint="eastAsia" w:ascii="仿宋" w:hAnsi="仿宋" w:eastAsia="仿宋" w:cs="Times New Roman"/>
          <w:sz w:val="28"/>
          <w:szCs w:val="28"/>
        </w:rPr>
        <w:t>评价指标体系。</w:t>
      </w:r>
    </w:p>
    <w:tbl>
      <w:tblPr>
        <w:tblStyle w:val="7"/>
        <w:tblW w:w="9100" w:type="dxa"/>
        <w:tblInd w:w="93" w:type="dxa"/>
        <w:tblLayout w:type="autofit"/>
        <w:tblCellMar>
          <w:top w:w="0" w:type="dxa"/>
          <w:left w:w="108" w:type="dxa"/>
          <w:bottom w:w="0" w:type="dxa"/>
          <w:right w:w="108" w:type="dxa"/>
        </w:tblCellMar>
      </w:tblPr>
      <w:tblGrid>
        <w:gridCol w:w="534"/>
        <w:gridCol w:w="560"/>
        <w:gridCol w:w="580"/>
        <w:gridCol w:w="2260"/>
        <w:gridCol w:w="5166"/>
      </w:tblGrid>
      <w:tr>
        <w:trPr>
          <w:trHeight w:val="600" w:hRule="atLeast"/>
        </w:trPr>
        <w:tc>
          <w:tcPr>
            <w:tcW w:w="9100" w:type="dxa"/>
            <w:gridSpan w:val="5"/>
            <w:tcBorders>
              <w:top w:val="nil"/>
              <w:left w:val="nil"/>
              <w:bottom w:val="single" w:color="auto" w:sz="12" w:space="0"/>
              <w:right w:val="nil"/>
            </w:tcBorders>
            <w:shd w:val="clear" w:color="auto" w:fill="auto"/>
            <w:noWrap/>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项目支出绩效评价指标体系</w:t>
            </w:r>
          </w:p>
        </w:tc>
      </w:tr>
      <w:tr>
        <w:tblPrEx>
          <w:tblCellMar>
            <w:top w:w="0" w:type="dxa"/>
            <w:left w:w="108" w:type="dxa"/>
            <w:bottom w:w="0" w:type="dxa"/>
            <w:right w:w="108" w:type="dxa"/>
          </w:tblCellMar>
        </w:tblPrEx>
        <w:trPr>
          <w:trHeight w:val="480" w:hRule="atLeast"/>
        </w:trPr>
        <w:tc>
          <w:tcPr>
            <w:tcW w:w="534" w:type="dxa"/>
            <w:tcBorders>
              <w:top w:val="single" w:color="auto" w:sz="12" w:space="0"/>
              <w:bottom w:val="dotted" w:color="auto" w:sz="4" w:space="0"/>
              <w:right w:val="dotted" w:color="auto" w:sz="4" w:space="0"/>
            </w:tcBorders>
            <w:shd w:val="clear" w:color="auto" w:fill="auto"/>
            <w:vAlign w:val="bottom"/>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一级指标</w:t>
            </w:r>
          </w:p>
        </w:tc>
        <w:tc>
          <w:tcPr>
            <w:tcW w:w="5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二级指标</w:t>
            </w:r>
          </w:p>
        </w:tc>
        <w:tc>
          <w:tcPr>
            <w:tcW w:w="58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三级指标</w:t>
            </w:r>
          </w:p>
        </w:tc>
        <w:tc>
          <w:tcPr>
            <w:tcW w:w="22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指标解释</w:t>
            </w:r>
          </w:p>
        </w:tc>
        <w:tc>
          <w:tcPr>
            <w:tcW w:w="5166" w:type="dxa"/>
            <w:tcBorders>
              <w:top w:val="single" w:color="auto" w:sz="12" w:space="0"/>
              <w:left w:val="dotted" w:color="auto" w:sz="4" w:space="0"/>
              <w:bottom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指标说明</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项目决策</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立项依据充分性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项目立项是否符合法律法规、相关政策、发展规划以及部门职责，用以反映和考核项目立项依据情况。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①项目立项是否符合国家法律法规、国民经济发展规划和相关政策；</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②项目立项是否与部门职责范围相符，属于部门履职所需；</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立项程序规范性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项目申请、设立过程是否符合相关要求，用以反映和考核项目立项的规范情况。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①项目是否按照规定的程序申请设立；</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②审批文件、材料是否符合相关要求；</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项目所设定的绩效目标是否依据充分，是否符合客观实际，用以反映和考核项目绩效目标与项目实施的相符情况。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①项目是否有绩效目标；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②项目绩效目标与实际工作内容是否具有相关性；</w:t>
            </w:r>
          </w:p>
        </w:tc>
      </w:tr>
      <w:tr>
        <w:trPr>
          <w:trHeight w:val="2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③项目预期产出效益和效果是否符合正常的业绩水平；</w:t>
            </w:r>
          </w:p>
        </w:tc>
      </w:tr>
      <w:tr>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④是否与预算确定的项目投资额或资金量相匹配。</w:t>
            </w:r>
          </w:p>
        </w:tc>
      </w:tr>
      <w:tr>
        <w:tblPrEx>
          <w:tblCellMar>
            <w:top w:w="0" w:type="dxa"/>
            <w:left w:w="108" w:type="dxa"/>
            <w:bottom w:w="0" w:type="dxa"/>
            <w:right w:w="108" w:type="dxa"/>
          </w:tblCellMar>
        </w:tblPrEx>
        <w:trPr>
          <w:trHeight w:val="36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绩效指标明确性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依据绩效目标设定的绩效指标是否清晰、细化、可衡量等，用以反映和考核项目绩效目标的明细化情况。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①是否将项目绩效目标细化分解为具体的绩效指标；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②是否通过清晰、可衡量的指标值予以体现；</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③是否与项目目标任务数或计划数相对应。</w:t>
            </w:r>
          </w:p>
        </w:tc>
      </w:tr>
      <w:tr>
        <w:tblPrEx>
          <w:tblCellMar>
            <w:top w:w="0" w:type="dxa"/>
            <w:left w:w="108" w:type="dxa"/>
            <w:bottom w:w="0" w:type="dxa"/>
            <w:right w:w="108" w:type="dxa"/>
          </w:tblCellMar>
        </w:tblPrEx>
        <w:trPr>
          <w:trHeight w:val="55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项目过程</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资金投入</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预算编制科学性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项目预算编制是否经过科学论证、有明确标准，资金额度与年度目标是否相适应，用以反映和考核项目预算编制的科学性、合理性情况。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①预算编制是否经过科学论证；</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②预算内容与项目内容是否匹配；</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③预算额度测算依据是否充分，是否按照标准编制；</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④预算确定的项目投资额或资金量是否与工作任务相匹配。</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资金分配合理性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项目预算资金分配是否有测算依据，与补助单位或地方实际是否相适应，用以反映和考核项目预算资金分配的科学性、合理性情况。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①预算资金分配依据是否充分；</w:t>
            </w:r>
          </w:p>
        </w:tc>
      </w:tr>
      <w:tr>
        <w:tblPrEx>
          <w:tblCellMar>
            <w:top w:w="0" w:type="dxa"/>
            <w:left w:w="108" w:type="dxa"/>
            <w:bottom w:w="0" w:type="dxa"/>
            <w:right w:w="108" w:type="dxa"/>
          </w:tblCellMar>
        </w:tblPrEx>
        <w:trPr>
          <w:trHeight w:val="5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②资金分配额度是否合理，与项目单位或地方实际是否相适应。</w:t>
            </w:r>
          </w:p>
        </w:tc>
      </w:tr>
      <w:tr>
        <w:tblPrEx>
          <w:tblCellMar>
            <w:top w:w="0" w:type="dxa"/>
            <w:left w:w="108" w:type="dxa"/>
            <w:bottom w:w="0" w:type="dxa"/>
            <w:right w:w="108" w:type="dxa"/>
          </w:tblCellMar>
        </w:tblPrEx>
        <w:trPr>
          <w:trHeight w:val="3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资金管理</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实际到位资金与预算资金的比率，用以反映和考核资金落实情况对项目实施的总体保障程度。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资金到位率=（实际到位资金/预算资金）×100%。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实际到位资金：一定时期（本年度或项目期）内落实到具体项目的资金。</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预算资金：一定时期（本年度或项目期）内预算安排到具体项目的资金。</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项目预算资金是否按照计划执行，用以反映或考核项目预算执行情况。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预算执行率=（实际支出资金/实际到位资金）×100%。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实际支出资金：一定时期（本年度或项目期）内项目实际拨付的资金。</w:t>
            </w:r>
          </w:p>
        </w:tc>
      </w:tr>
      <w:tr>
        <w:tblPrEx>
          <w:tblCellMar>
            <w:top w:w="0" w:type="dxa"/>
            <w:left w:w="108" w:type="dxa"/>
            <w:bottom w:w="0" w:type="dxa"/>
            <w:right w:w="108" w:type="dxa"/>
          </w:tblCellMar>
        </w:tblPrEx>
        <w:trPr>
          <w:trHeight w:val="20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资金使用合规性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项目资金使用是否符合相关的财务管理制度规定，用以反映和考核项目资金的规范运行情况。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①是否符合国家财经法规和财务管理制度以及有关专项资金管理办法的规定；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②资金的拨付是否有完整的审批程序和手续；</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③是否符合项目预算批复或合同规定的用途；</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④是否存在截留、挤占、挪用、虚列支出等情况。</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组织实施</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管理制度健全性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项目实施单位的财务和业务管理制度是否健全，用以反映和考核财务和业务管理制度对项目顺利实施的保障情况。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①是否已制定或具有相应的财务和业务管理制度；</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②财务和业务管理制度是否合法、合规、完整。</w:t>
            </w:r>
          </w:p>
        </w:tc>
      </w:tr>
      <w:tr>
        <w:tblPrEx>
          <w:tblCellMar>
            <w:top w:w="0" w:type="dxa"/>
            <w:left w:w="108" w:type="dxa"/>
            <w:bottom w:w="0" w:type="dxa"/>
            <w:right w:w="108" w:type="dxa"/>
          </w:tblCellMar>
        </w:tblPrEx>
        <w:trPr>
          <w:trHeight w:val="23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制度执行有效性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项目实施是否符合相关管理规定，用以反映和考核相关管理制度的有效执行情况。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①是否遵守相关法律法规和相关管理规定；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②项目调整及支出调整手续是否完备；</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③项目原始资料是否齐全并及时归档；</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项目产出</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产出数量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项目实施的实际产出数与计划产出数的比率，用以反映和考核项目产出数量目标的实现程度。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实际完成率=（实际产出数/计划产出数）×100%。</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实际产出数：一定时期（本年度或项目期）内项目实际产出的产品或提供的服务数量。</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产出质量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项目完成的质量达标产出数与实际产出数的比率，用以反映和考核项目产出质量目标的实现程度。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质量达标率=（质量达标产出数/实际产出数）×100%。</w:t>
            </w:r>
          </w:p>
        </w:tc>
      </w:tr>
      <w:tr>
        <w:tblPrEx>
          <w:tblCellMar>
            <w:top w:w="0" w:type="dxa"/>
            <w:left w:w="108" w:type="dxa"/>
            <w:bottom w:w="0" w:type="dxa"/>
            <w:right w:w="108" w:type="dxa"/>
          </w:tblCellMar>
        </w:tblPrEx>
        <w:trPr>
          <w:trHeight w:val="96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5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产出时效</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完成及时性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项目实际完成时间与计划完成时间的比较，用以反映和考核项目产出时效目标的实现程度。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实际完成时间：项目实施单位完成该项目实际所耗用的时间。</w:t>
            </w:r>
          </w:p>
        </w:tc>
      </w:tr>
      <w:tr>
        <w:tblPrEx>
          <w:tblCellMar>
            <w:top w:w="0" w:type="dxa"/>
            <w:left w:w="108" w:type="dxa"/>
            <w:bottom w:w="0" w:type="dxa"/>
            <w:right w:w="108" w:type="dxa"/>
          </w:tblCellMar>
        </w:tblPrEx>
        <w:trPr>
          <w:trHeight w:val="480" w:hRule="atLeast"/>
        </w:trPr>
        <w:tc>
          <w:tcPr>
            <w:tcW w:w="534" w:type="dxa"/>
            <w:vMerge w:val="continue"/>
            <w:tcBorders>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计划完成时间：按照项目实施计划或相关规定完成该项目所需的时间。</w:t>
            </w:r>
          </w:p>
        </w:tc>
      </w:tr>
      <w:tr>
        <w:tblPrEx>
          <w:tblCellMar>
            <w:top w:w="0" w:type="dxa"/>
            <w:left w:w="108" w:type="dxa"/>
            <w:bottom w:w="0" w:type="dxa"/>
            <w:right w:w="108" w:type="dxa"/>
          </w:tblCellMar>
        </w:tblPrEx>
        <w:trPr>
          <w:trHeight w:val="480" w:hRule="atLeast"/>
        </w:trPr>
        <w:tc>
          <w:tcPr>
            <w:tcW w:w="534" w:type="dxa"/>
            <w:vMerge w:val="restart"/>
            <w:tcBorders>
              <w:top w:val="dotted" w:color="auto" w:sz="4" w:space="0"/>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效益</w:t>
            </w:r>
          </w:p>
        </w:tc>
        <w:tc>
          <w:tcPr>
            <w:tcW w:w="560" w:type="dxa"/>
            <w:vMerge w:val="restart"/>
            <w:tcBorders>
              <w:top w:val="dotted" w:color="auto" w:sz="4" w:space="0"/>
              <w:left w:val="dotted" w:color="auto" w:sz="4" w:space="0"/>
              <w:right w:val="dotted" w:color="auto" w:sz="4" w:space="0"/>
            </w:tcBorders>
            <w:shd w:val="clear" w:color="000000" w:fill="FFFFFF"/>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项目效益　</w:t>
            </w: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社会效益</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项目实施对社会发展所带来的直接或间接影响情况。</w:t>
            </w:r>
          </w:p>
        </w:tc>
        <w:tc>
          <w:tcPr>
            <w:tcW w:w="5166" w:type="dxa"/>
            <w:tcBorders>
              <w:top w:val="dotted" w:color="auto" w:sz="4" w:space="0"/>
              <w:left w:val="dotted" w:color="auto" w:sz="4" w:space="0"/>
              <w:bottom w:val="dotted" w:color="auto" w:sz="4" w:space="0"/>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加强就业政策的宣传力度，增加公众对就业政策的知晓率</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p>
        </w:tc>
        <w:tc>
          <w:tcPr>
            <w:tcW w:w="560" w:type="dxa"/>
            <w:vMerge w:val="continue"/>
            <w:tcBorders>
              <w:left w:val="dotted" w:color="auto" w:sz="4" w:space="0"/>
              <w:right w:val="dotted" w:color="auto" w:sz="4" w:space="0"/>
            </w:tcBorders>
            <w:shd w:val="clear" w:color="000000" w:fill="FFFFFF"/>
            <w:vAlign w:val="center"/>
          </w:tcPr>
          <w:p>
            <w:pPr>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经济效益</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项目实施对经济发展所带来的直接或间接影响情况。</w:t>
            </w:r>
          </w:p>
        </w:tc>
        <w:tc>
          <w:tcPr>
            <w:tcW w:w="5166" w:type="dxa"/>
            <w:tcBorders>
              <w:top w:val="dotted" w:color="auto" w:sz="4" w:space="0"/>
              <w:left w:val="dotted" w:color="auto" w:sz="4" w:space="0"/>
              <w:bottom w:val="dotted" w:color="auto" w:sz="4" w:space="0"/>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贫困人员增加收入，促进社会稳定</w:t>
            </w:r>
          </w:p>
        </w:tc>
      </w:tr>
      <w:tr>
        <w:trPr>
          <w:trHeight w:val="480" w:hRule="atLeast"/>
        </w:trPr>
        <w:tc>
          <w:tcPr>
            <w:tcW w:w="534" w:type="dxa"/>
            <w:vMerge w:val="continue"/>
            <w:tcBorders>
              <w:bottom w:val="single" w:color="auto" w:sz="12"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p>
        </w:tc>
        <w:tc>
          <w:tcPr>
            <w:tcW w:w="560" w:type="dxa"/>
            <w:vMerge w:val="continue"/>
            <w:tcBorders>
              <w:left w:val="dotted" w:color="auto" w:sz="4" w:space="0"/>
              <w:bottom w:val="single" w:color="auto" w:sz="12"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single" w:color="auto" w:sz="12"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w:t>
            </w:r>
          </w:p>
        </w:tc>
        <w:tc>
          <w:tcPr>
            <w:tcW w:w="2260" w:type="dxa"/>
            <w:tcBorders>
              <w:top w:val="dotted" w:color="auto" w:sz="4" w:space="0"/>
              <w:left w:val="dotted" w:color="auto" w:sz="4" w:space="0"/>
              <w:bottom w:val="single" w:color="auto" w:sz="12"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社会公众或服务对象对项目实施效果的满意程度。</w:t>
            </w:r>
          </w:p>
        </w:tc>
        <w:tc>
          <w:tcPr>
            <w:tcW w:w="5166" w:type="dxa"/>
            <w:tcBorders>
              <w:top w:val="dotted" w:color="auto" w:sz="4" w:space="0"/>
              <w:left w:val="dotted" w:color="auto" w:sz="4" w:space="0"/>
              <w:bottom w:val="single" w:color="auto" w:sz="12"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受益群众满意度。</w:t>
            </w:r>
          </w:p>
        </w:tc>
      </w:tr>
    </w:tbl>
    <w:p>
      <w:pPr>
        <w:spacing w:line="520" w:lineRule="exact"/>
        <w:ind w:firstLine="560" w:firstLineChars="200"/>
        <w:jc w:val="left"/>
        <w:rPr>
          <w:rFonts w:ascii="仿宋" w:hAnsi="仿宋" w:eastAsia="仿宋" w:cs="Times New Roman"/>
          <w:sz w:val="28"/>
          <w:szCs w:val="28"/>
        </w:rPr>
      </w:pPr>
      <w:bookmarkStart w:id="5" w:name="_Toc10111745"/>
      <w:r>
        <w:rPr>
          <w:rFonts w:hint="eastAsia" w:ascii="仿宋" w:hAnsi="仿宋" w:eastAsia="仿宋" w:cs="Times New Roman"/>
          <w:sz w:val="28"/>
          <w:szCs w:val="28"/>
        </w:rPr>
        <w:t>（三）绩效评价实施过程</w:t>
      </w:r>
      <w:bookmarkEnd w:id="5"/>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1、前期准备</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按照高邑县财政局有关文件要求，为做好统一评价工作，赴</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现场收集有关资料，并听取</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负责“就业扶贫专岗开发管理</w:t>
      </w:r>
      <w:r>
        <w:rPr>
          <w:rFonts w:hint="eastAsia" w:ascii="仿宋" w:hAnsi="仿宋" w:eastAsia="仿宋" w:cs="Times New Roman"/>
          <w:sz w:val="28"/>
          <w:szCs w:val="28"/>
          <w:lang w:val="en-US" w:eastAsia="zh-CN"/>
        </w:rPr>
        <w:t>资金</w:t>
      </w:r>
      <w:r>
        <w:rPr>
          <w:rFonts w:hint="eastAsia" w:ascii="仿宋" w:hAnsi="仿宋" w:eastAsia="仿宋" w:cs="Times New Roman"/>
          <w:sz w:val="28"/>
          <w:szCs w:val="28"/>
        </w:rPr>
        <w:t>”同志对项目</w:t>
      </w:r>
      <w:r>
        <w:rPr>
          <w:rFonts w:hint="eastAsia" w:ascii="仿宋" w:hAnsi="仿宋" w:eastAsia="仿宋" w:cs="Times New Roman"/>
          <w:sz w:val="28"/>
          <w:szCs w:val="28"/>
          <w:lang w:val="en-US" w:eastAsia="zh-CN"/>
        </w:rPr>
        <w:t>的</w:t>
      </w:r>
      <w:r>
        <w:rPr>
          <w:rFonts w:hint="eastAsia" w:ascii="仿宋" w:hAnsi="仿宋" w:eastAsia="仿宋" w:cs="Times New Roman"/>
          <w:sz w:val="28"/>
          <w:szCs w:val="28"/>
        </w:rPr>
        <w:t>介绍。</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对</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提供的数据及相关资料进行审核、确认，调查走访，严格按照文件要求，实事求是，客观公正的进行本次绩效评价工作。</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3、分析评价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各部门共同讨论、组织统一评价报告，严格按照文件要求，实事求是，客观公正地进行本次绩效评价工作。</w:t>
      </w:r>
    </w:p>
    <w:p>
      <w:pPr>
        <w:spacing w:line="520" w:lineRule="exact"/>
        <w:ind w:firstLine="562" w:firstLineChars="200"/>
        <w:jc w:val="left"/>
        <w:rPr>
          <w:rFonts w:ascii="仿宋" w:hAnsi="仿宋" w:eastAsia="仿宋" w:cs="Times New Roman"/>
          <w:b/>
          <w:sz w:val="28"/>
          <w:szCs w:val="28"/>
        </w:rPr>
      </w:pPr>
      <w:bookmarkStart w:id="6" w:name="_Toc10111749"/>
      <w:r>
        <w:rPr>
          <w:rFonts w:hint="eastAsia" w:ascii="仿宋" w:hAnsi="仿宋" w:eastAsia="仿宋" w:cs="Times New Roman"/>
          <w:b/>
          <w:sz w:val="28"/>
          <w:szCs w:val="28"/>
        </w:rPr>
        <w:t>三、综合评价情况</w:t>
      </w:r>
      <w:bookmarkEnd w:id="6"/>
      <w:r>
        <w:rPr>
          <w:rFonts w:hint="eastAsia" w:ascii="仿宋" w:hAnsi="仿宋" w:eastAsia="仿宋" w:cs="Times New Roman"/>
          <w:b/>
          <w:sz w:val="28"/>
          <w:szCs w:val="28"/>
        </w:rPr>
        <w:t>及评价结论</w:t>
      </w:r>
    </w:p>
    <w:p>
      <w:pPr>
        <w:spacing w:line="520" w:lineRule="exact"/>
        <w:ind w:firstLine="560" w:firstLineChars="200"/>
        <w:jc w:val="left"/>
        <w:rPr>
          <w:rFonts w:ascii="仿宋" w:hAnsi="仿宋" w:eastAsia="仿宋" w:cs="Times New Roman"/>
          <w:sz w:val="28"/>
          <w:szCs w:val="28"/>
          <w:highlight w:val="none"/>
        </w:rPr>
      </w:pPr>
      <w:r>
        <w:rPr>
          <w:rFonts w:hint="eastAsia" w:ascii="仿宋" w:hAnsi="仿宋" w:eastAsia="仿宋" w:cs="Times New Roman"/>
          <w:sz w:val="28"/>
          <w:szCs w:val="28"/>
        </w:rPr>
        <w:t>根据《项目支出绩效评价管理办法》（财政部预〔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，为全面实施预算绩效管理，建立科学、合理的项目支出绩效评价管理体系，提高财政资源配置效率和使用效益，根据《中华人民共和国预算法》和《中共中央</w:t>
      </w:r>
      <w:r>
        <w:rPr>
          <w:rFonts w:ascii="仿宋" w:hAnsi="仿宋" w:eastAsia="仿宋" w:cs="Times New Roman"/>
          <w:sz w:val="28"/>
          <w:szCs w:val="28"/>
        </w:rPr>
        <w:t>国务院关于全面实施预算绩效管理的意见》等有关规定。受</w:t>
      </w:r>
      <w:r>
        <w:rPr>
          <w:rFonts w:hint="eastAsia" w:ascii="仿宋" w:hAnsi="仿宋" w:eastAsia="仿宋" w:cs="Times New Roman"/>
          <w:sz w:val="28"/>
          <w:szCs w:val="28"/>
        </w:rPr>
        <w:t>高邑县财政局的委托</w:t>
      </w:r>
      <w:r>
        <w:rPr>
          <w:rFonts w:ascii="仿宋" w:hAnsi="仿宋" w:eastAsia="仿宋" w:cs="Times New Roman"/>
          <w:sz w:val="28"/>
          <w:szCs w:val="28"/>
        </w:rPr>
        <w:t>，我们承担了“</w:t>
      </w:r>
      <w:r>
        <w:rPr>
          <w:rFonts w:hint="eastAsia" w:ascii="仿宋" w:hAnsi="仿宋" w:eastAsia="仿宋" w:cs="Times New Roman"/>
          <w:sz w:val="28"/>
          <w:szCs w:val="28"/>
        </w:rPr>
        <w:t>就业扶贫专岗开发管理项目</w:t>
      </w:r>
      <w:r>
        <w:rPr>
          <w:rFonts w:ascii="仿宋" w:hAnsi="仿宋" w:eastAsia="仿宋" w:cs="Times New Roman"/>
          <w:sz w:val="28"/>
          <w:szCs w:val="28"/>
        </w:rPr>
        <w:t>”的绩效</w:t>
      </w:r>
      <w:r>
        <w:rPr>
          <w:rFonts w:hint="eastAsia" w:ascii="仿宋" w:hAnsi="仿宋" w:eastAsia="仿宋" w:cs="Times New Roman"/>
          <w:sz w:val="28"/>
          <w:szCs w:val="28"/>
        </w:rPr>
        <w:t>评价</w:t>
      </w:r>
      <w:r>
        <w:rPr>
          <w:rFonts w:ascii="仿宋" w:hAnsi="仿宋" w:eastAsia="仿宋" w:cs="Times New Roman"/>
          <w:sz w:val="28"/>
          <w:szCs w:val="28"/>
        </w:rPr>
        <w:t>工作。通过查阅资料、实地调研、召开会议等多种方式，独立、客观、公正地开展评价工作，对项目的投入、过程控制、产出、效果方面进行了充分论证，</w:t>
      </w:r>
      <w:r>
        <w:rPr>
          <w:rFonts w:ascii="仿宋" w:hAnsi="仿宋" w:eastAsia="仿宋" w:cs="Times New Roman"/>
          <w:sz w:val="28"/>
          <w:szCs w:val="28"/>
          <w:highlight w:val="none"/>
        </w:rPr>
        <w:t>最终绩效评价</w:t>
      </w:r>
      <w:r>
        <w:rPr>
          <w:rFonts w:hint="eastAsia" w:ascii="仿宋" w:hAnsi="仿宋" w:eastAsia="仿宋" w:cs="Times New Roman"/>
          <w:sz w:val="28"/>
          <w:szCs w:val="28"/>
          <w:highlight w:val="none"/>
        </w:rPr>
        <w:t>得分</w:t>
      </w:r>
      <w:r>
        <w:rPr>
          <w:rFonts w:hint="eastAsia" w:ascii="仿宋" w:hAnsi="仿宋" w:eastAsia="仿宋" w:cs="Times New Roman"/>
          <w:sz w:val="28"/>
          <w:szCs w:val="28"/>
          <w:highlight w:val="none"/>
          <w:lang w:val="en-US" w:eastAsia="zh-CN"/>
        </w:rPr>
        <w:t>93.88分，</w:t>
      </w:r>
      <w:r>
        <w:rPr>
          <w:rFonts w:hint="eastAsia" w:ascii="仿宋" w:hAnsi="仿宋" w:eastAsia="仿宋" w:cs="Times New Roman"/>
          <w:sz w:val="28"/>
          <w:szCs w:val="28"/>
          <w:highlight w:val="none"/>
        </w:rPr>
        <w:t>等级</w:t>
      </w:r>
      <w:r>
        <w:rPr>
          <w:rFonts w:hint="eastAsia" w:ascii="仿宋" w:hAnsi="仿宋" w:eastAsia="仿宋" w:cs="Times New Roman"/>
          <w:sz w:val="28"/>
          <w:szCs w:val="28"/>
          <w:highlight w:val="none"/>
          <w:lang w:val="en-US" w:eastAsia="zh-CN"/>
        </w:rPr>
        <w:t>优秀。</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四、绩效评价指标分析</w:t>
      </w:r>
    </w:p>
    <w:p>
      <w:pPr>
        <w:spacing w:line="520" w:lineRule="exact"/>
        <w:ind w:firstLine="560" w:firstLineChars="200"/>
        <w:jc w:val="left"/>
        <w:rPr>
          <w:rFonts w:ascii="仿宋" w:hAnsi="仿宋" w:eastAsia="仿宋" w:cs="Times New Roman"/>
          <w:sz w:val="28"/>
          <w:szCs w:val="28"/>
        </w:rPr>
      </w:pPr>
      <w:bookmarkStart w:id="7" w:name="_Toc10111752"/>
      <w:r>
        <w:rPr>
          <w:rFonts w:hint="eastAsia" w:ascii="仿宋" w:hAnsi="仿宋" w:eastAsia="仿宋" w:cs="Times New Roman"/>
          <w:sz w:val="28"/>
          <w:szCs w:val="28"/>
        </w:rPr>
        <w:t>（一）项目决策（10分）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1、项目立项（2</w:t>
      </w:r>
      <w:r>
        <w:rPr>
          <w:rFonts w:ascii="仿宋" w:hAnsi="仿宋" w:eastAsia="仿宋" w:cs="Times New Roman"/>
          <w:sz w:val="28"/>
          <w:szCs w:val="28"/>
        </w:rPr>
        <w:t>分）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（1）立项依据充分性（1分）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无立项文件，该项得分0分。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（2）立项程序规范性（1分）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无项目立项的相关审批文件及材料，该项得分0分。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2、绩效目标（</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（1）绩效目标合理性（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ascii="仿宋" w:hAnsi="仿宋" w:eastAsia="仿宋" w:cs="Times New Roman"/>
          <w:sz w:val="28"/>
          <w:szCs w:val="28"/>
        </w:rPr>
        <w:t>　</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就业中心</w:t>
      </w:r>
      <w:r>
        <w:rPr>
          <w:rFonts w:ascii="仿宋" w:hAnsi="仿宋" w:eastAsia="仿宋" w:cs="Times New Roman"/>
          <w:sz w:val="28"/>
          <w:szCs w:val="28"/>
        </w:rPr>
        <w:t>针对</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年度就业扶贫专岗开发管理项目，依据《项目支出绩效评价管理办法》（财政部预〔</w:t>
      </w:r>
      <w:r>
        <w:rPr>
          <w:rFonts w:ascii="仿宋" w:hAnsi="仿宋" w:eastAsia="仿宋" w:cs="Times New Roman"/>
          <w:sz w:val="28"/>
          <w:szCs w:val="28"/>
        </w:rPr>
        <w:t>2020〕10号）制定了合理的</w:t>
      </w:r>
      <w:r>
        <w:rPr>
          <w:rFonts w:hint="eastAsia" w:ascii="仿宋" w:hAnsi="仿宋" w:eastAsia="仿宋" w:cs="Times New Roman"/>
          <w:sz w:val="28"/>
          <w:szCs w:val="28"/>
        </w:rPr>
        <w:t>绩效指标，符合客观实际，与实际工作内容具有相关性，该项得分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bookmarkStart w:id="9" w:name="_GoBack"/>
      <w:bookmarkEnd w:id="9"/>
      <w:r>
        <w:rPr>
          <w:rFonts w:ascii="仿宋" w:hAnsi="仿宋" w:eastAsia="仿宋" w:cs="Times New Roman"/>
          <w:sz w:val="28"/>
          <w:szCs w:val="28"/>
        </w:rPr>
        <w:t xml:space="preserve">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（2）绩效指标明确性（1.5分）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无细化分解的具体绩效指标，绩效指标清晰、细化、可衡量性稍差，该项得分1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3、资金投入（</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（1）预算编制科学性（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该项目严格按照国家相关政策规定编制预算，标准明确，依据充分，该项得分2分。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（2）资金分配合理性（2分）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该项目预算资金分配依据充分，分配额度</w:t>
      </w:r>
      <w:r>
        <w:rPr>
          <w:rFonts w:hint="eastAsia" w:ascii="仿宋" w:hAnsi="仿宋" w:eastAsia="仿宋" w:cs="Times New Roman"/>
          <w:sz w:val="28"/>
          <w:szCs w:val="28"/>
          <w:lang w:val="en-US" w:eastAsia="zh-CN"/>
        </w:rPr>
        <w:t>较</w:t>
      </w:r>
      <w:r>
        <w:rPr>
          <w:rFonts w:hint="eastAsia" w:ascii="仿宋" w:hAnsi="仿宋" w:eastAsia="仿宋" w:cs="Times New Roman"/>
          <w:sz w:val="28"/>
          <w:szCs w:val="28"/>
        </w:rPr>
        <w:t>合理，该项得分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.5分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（二）项目过程（10分）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1、资金管理（</w:t>
      </w:r>
      <w:r>
        <w:rPr>
          <w:rFonts w:hint="eastAsia" w:ascii="仿宋" w:hAnsi="仿宋" w:eastAsia="仿宋" w:cs="Times New Roman"/>
          <w:sz w:val="28"/>
          <w:szCs w:val="28"/>
          <w:lang w:val="en-US" w:eastAsia="zh-CN"/>
        </w:rPr>
        <w:t>6</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（1）资金到位率（</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年申请预算资金</w:t>
      </w:r>
      <w:r>
        <w:rPr>
          <w:rFonts w:hint="eastAsia" w:ascii="仿宋" w:hAnsi="仿宋" w:eastAsia="仿宋" w:cs="Times New Roman"/>
          <w:sz w:val="28"/>
          <w:szCs w:val="28"/>
          <w:lang w:val="en-US" w:eastAsia="zh-CN"/>
        </w:rPr>
        <w:t>75.74</w:t>
      </w:r>
      <w:r>
        <w:rPr>
          <w:rFonts w:hint="eastAsia" w:ascii="仿宋" w:hAnsi="仿宋" w:eastAsia="仿宋" w:cs="Times New Roman"/>
          <w:sz w:val="28"/>
          <w:szCs w:val="28"/>
        </w:rPr>
        <w:t>万元，实际到位</w:t>
      </w:r>
      <w:r>
        <w:rPr>
          <w:rFonts w:hint="eastAsia" w:ascii="仿宋" w:hAnsi="仿宋" w:eastAsia="仿宋" w:cs="Times New Roman"/>
          <w:sz w:val="28"/>
          <w:szCs w:val="28"/>
          <w:lang w:val="en-US" w:eastAsia="zh-CN"/>
        </w:rPr>
        <w:t>75.74</w:t>
      </w:r>
      <w:r>
        <w:rPr>
          <w:rFonts w:hint="eastAsia" w:ascii="仿宋" w:hAnsi="仿宋" w:eastAsia="仿宋" w:cs="Times New Roman"/>
          <w:sz w:val="28"/>
          <w:szCs w:val="28"/>
        </w:rPr>
        <w:t>万元，资金到位率100%，该项得分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（2）预算执行率（2分）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年度实际到位资金75.74万元，实际支出资金75.74万元，年末结余</w:t>
      </w:r>
      <w:r>
        <w:rPr>
          <w:rFonts w:hint="eastAsia" w:ascii="仿宋" w:hAnsi="仿宋" w:eastAsia="仿宋" w:cs="Times New Roman"/>
          <w:sz w:val="28"/>
          <w:szCs w:val="28"/>
          <w:lang w:val="en-US" w:eastAsia="zh-CN"/>
        </w:rPr>
        <w:t>0.00</w:t>
      </w:r>
      <w:r>
        <w:rPr>
          <w:rFonts w:hint="eastAsia" w:ascii="仿宋" w:hAnsi="仿宋" w:eastAsia="仿宋" w:cs="Times New Roman"/>
          <w:sz w:val="28"/>
          <w:szCs w:val="28"/>
        </w:rPr>
        <w:t>万元，预算执行率为</w:t>
      </w:r>
      <w:r>
        <w:rPr>
          <w:rFonts w:hint="eastAsia" w:ascii="仿宋" w:hAnsi="仿宋" w:eastAsia="仿宋" w:cs="Times New Roman"/>
          <w:sz w:val="28"/>
          <w:szCs w:val="28"/>
          <w:lang w:val="en-US" w:eastAsia="zh-CN"/>
        </w:rPr>
        <w:t>100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00</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（3）资金使用合规性（2分）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经核实，项目资金使用符合国家财经法规和财务管理制度;资金的拨付有完整的审批程序和手续;符合项目预算批复规定的用途；未发现截留、挤占、挪用、虚列支出等情况，该项得分</w:t>
      </w:r>
      <w:r>
        <w:rPr>
          <w:rFonts w:hint="eastAsia" w:ascii="仿宋" w:hAnsi="仿宋" w:eastAsia="仿宋" w:cs="Times New Roman"/>
          <w:sz w:val="28"/>
          <w:szCs w:val="28"/>
          <w:highlight w:val="none"/>
          <w:lang w:val="en-US" w:eastAsia="zh-CN"/>
        </w:rPr>
        <w:t>1.5</w:t>
      </w:r>
      <w:r>
        <w:rPr>
          <w:rFonts w:hint="eastAsia" w:ascii="仿宋" w:hAnsi="仿宋" w:eastAsia="仿宋" w:cs="Times New Roman"/>
          <w:sz w:val="28"/>
          <w:szCs w:val="28"/>
          <w:highlight w:val="none"/>
        </w:rPr>
        <w:t>分，单位具体得分情况如下</w:t>
      </w:r>
      <w:r>
        <w:rPr>
          <w:rFonts w:hint="eastAsia" w:ascii="仿宋" w:hAnsi="仿宋" w:eastAsia="仿宋" w:cs="Times New Roman"/>
          <w:sz w:val="28"/>
          <w:szCs w:val="28"/>
        </w:rPr>
        <w:t>：</w:t>
      </w:r>
    </w:p>
    <w:tbl>
      <w:tblPr>
        <w:tblStyle w:val="8"/>
        <w:tblW w:w="5000" w:type="pct"/>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011"/>
        <w:gridCol w:w="3632"/>
        <w:gridCol w:w="2112"/>
        <w:gridCol w:w="1767"/>
      </w:tblGrid>
      <w:tr>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pPr>
              <w:jc w:val="center"/>
              <w:rPr>
                <w:rFonts w:ascii="仿宋" w:hAnsi="仿宋" w:eastAsia="仿宋" w:cs="Times New Roman"/>
                <w:sz w:val="24"/>
                <w:szCs w:val="28"/>
              </w:rPr>
            </w:pPr>
            <w:r>
              <w:rPr>
                <w:rFonts w:hint="eastAsia" w:ascii="仿宋" w:hAnsi="仿宋" w:eastAsia="仿宋" w:cs="Times New Roman"/>
                <w:sz w:val="24"/>
                <w:szCs w:val="28"/>
              </w:rPr>
              <w:t>序号</w:t>
            </w:r>
          </w:p>
        </w:tc>
        <w:tc>
          <w:tcPr>
            <w:tcW w:w="2130" w:type="pct"/>
            <w:vAlign w:val="center"/>
          </w:tcPr>
          <w:p>
            <w:pPr>
              <w:jc w:val="center"/>
              <w:rPr>
                <w:rFonts w:ascii="仿宋" w:hAnsi="仿宋" w:eastAsia="仿宋" w:cs="Times New Roman"/>
                <w:sz w:val="24"/>
                <w:szCs w:val="28"/>
              </w:rPr>
            </w:pPr>
            <w:r>
              <w:rPr>
                <w:rFonts w:hint="eastAsia" w:ascii="仿宋" w:hAnsi="仿宋" w:eastAsia="仿宋" w:cs="Times New Roman"/>
                <w:sz w:val="24"/>
                <w:szCs w:val="28"/>
              </w:rPr>
              <w:t>单位名称</w:t>
            </w:r>
          </w:p>
        </w:tc>
        <w:tc>
          <w:tcPr>
            <w:tcW w:w="1239" w:type="pct"/>
            <w:vAlign w:val="center"/>
          </w:tcPr>
          <w:p>
            <w:pPr>
              <w:jc w:val="center"/>
              <w:rPr>
                <w:rFonts w:ascii="仿宋" w:hAnsi="仿宋" w:eastAsia="仿宋" w:cs="Times New Roman"/>
                <w:sz w:val="24"/>
                <w:szCs w:val="28"/>
              </w:rPr>
            </w:pPr>
            <w:r>
              <w:rPr>
                <w:rFonts w:hint="eastAsia" w:ascii="仿宋" w:hAnsi="仿宋" w:eastAsia="仿宋" w:cs="Times New Roman"/>
                <w:sz w:val="24"/>
                <w:szCs w:val="28"/>
              </w:rPr>
              <w:t>得分</w:t>
            </w:r>
          </w:p>
        </w:tc>
        <w:tc>
          <w:tcPr>
            <w:tcW w:w="1036" w:type="pct"/>
            <w:vAlign w:val="center"/>
          </w:tcPr>
          <w:p>
            <w:pPr>
              <w:jc w:val="center"/>
              <w:rPr>
                <w:rFonts w:ascii="仿宋" w:hAnsi="仿宋" w:eastAsia="仿宋" w:cs="Times New Roman"/>
                <w:sz w:val="24"/>
                <w:szCs w:val="28"/>
              </w:rPr>
            </w:pPr>
            <w:r>
              <w:rPr>
                <w:rFonts w:hint="eastAsia" w:ascii="仿宋" w:hAnsi="仿宋" w:eastAsia="仿宋" w:cs="Times New Roman"/>
                <w:sz w:val="24"/>
                <w:szCs w:val="28"/>
              </w:rPr>
              <w:t>扣分原因</w:t>
            </w:r>
          </w:p>
        </w:tc>
      </w:tr>
      <w:tr>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593" w:type="pct"/>
            <w:vAlign w:val="center"/>
          </w:tcPr>
          <w:p>
            <w:pPr>
              <w:jc w:val="center"/>
              <w:rPr>
                <w:rFonts w:ascii="仿宋" w:hAnsi="仿宋" w:eastAsia="仿宋" w:cs="Times New Roman"/>
                <w:sz w:val="24"/>
                <w:szCs w:val="28"/>
              </w:rPr>
            </w:pPr>
            <w:r>
              <w:rPr>
                <w:rFonts w:hint="eastAsia" w:ascii="仿宋" w:hAnsi="仿宋" w:eastAsia="仿宋" w:cs="Times New Roman"/>
                <w:sz w:val="24"/>
                <w:szCs w:val="28"/>
              </w:rPr>
              <w:t>1</w:t>
            </w:r>
          </w:p>
        </w:tc>
        <w:tc>
          <w:tcPr>
            <w:tcW w:w="2130" w:type="pct"/>
            <w:vAlign w:val="center"/>
          </w:tcPr>
          <w:p>
            <w:pPr>
              <w:jc w:val="left"/>
              <w:rPr>
                <w:rFonts w:hint="default" w:ascii="仿宋" w:hAnsi="仿宋" w:eastAsia="仿宋" w:cs="Times New Roman"/>
                <w:sz w:val="24"/>
                <w:szCs w:val="28"/>
                <w:lang w:val="en-US" w:eastAsia="zh-CN"/>
              </w:rPr>
            </w:pPr>
            <w:r>
              <w:rPr>
                <w:rFonts w:hint="eastAsia" w:ascii="仿宋" w:hAnsi="仿宋" w:eastAsia="仿宋" w:cs="Times New Roman"/>
                <w:sz w:val="24"/>
                <w:szCs w:val="28"/>
              </w:rPr>
              <w:t>高邑县</w:t>
            </w:r>
            <w:r>
              <w:rPr>
                <w:rFonts w:hint="eastAsia" w:ascii="仿宋" w:hAnsi="仿宋" w:eastAsia="仿宋" w:cs="Times New Roman"/>
                <w:sz w:val="24"/>
                <w:szCs w:val="28"/>
                <w:lang w:val="en-US" w:eastAsia="zh-CN"/>
              </w:rPr>
              <w:t>就业服务中心</w:t>
            </w:r>
          </w:p>
        </w:tc>
        <w:tc>
          <w:tcPr>
            <w:tcW w:w="1239" w:type="pct"/>
            <w:vAlign w:val="center"/>
          </w:tcPr>
          <w:p>
            <w:pPr>
              <w:jc w:val="right"/>
              <w:rPr>
                <w:rFonts w:ascii="Arial Narrow" w:hAnsi="Arial Narrow" w:eastAsia="仿宋" w:cs="Times New Roman"/>
                <w:sz w:val="24"/>
                <w:szCs w:val="28"/>
              </w:rPr>
            </w:pPr>
            <w:r>
              <w:rPr>
                <w:rFonts w:hint="eastAsia" w:ascii="Arial Narrow" w:hAnsi="Arial Narrow" w:eastAsia="仿宋" w:cs="Times New Roman"/>
                <w:sz w:val="24"/>
                <w:szCs w:val="28"/>
                <w:lang w:val="en-US" w:eastAsia="zh-CN"/>
              </w:rPr>
              <w:t>1</w:t>
            </w:r>
            <w:r>
              <w:rPr>
                <w:rFonts w:ascii="Arial Narrow" w:hAnsi="Arial Narrow" w:eastAsia="仿宋" w:cs="Times New Roman"/>
                <w:sz w:val="24"/>
                <w:szCs w:val="28"/>
              </w:rPr>
              <w:t>.</w:t>
            </w:r>
            <w:r>
              <w:rPr>
                <w:rFonts w:hint="eastAsia" w:ascii="Arial Narrow" w:hAnsi="Arial Narrow" w:eastAsia="仿宋" w:cs="Times New Roman"/>
                <w:sz w:val="24"/>
                <w:szCs w:val="28"/>
                <w:lang w:val="en-US" w:eastAsia="zh-CN"/>
              </w:rPr>
              <w:t>5</w:t>
            </w:r>
            <w:r>
              <w:rPr>
                <w:rFonts w:ascii="Arial Narrow" w:hAnsi="Arial Narrow" w:eastAsia="仿宋" w:cs="Times New Roman"/>
                <w:sz w:val="24"/>
                <w:szCs w:val="28"/>
              </w:rPr>
              <w:t>0</w:t>
            </w:r>
          </w:p>
        </w:tc>
        <w:tc>
          <w:tcPr>
            <w:tcW w:w="1036" w:type="pct"/>
            <w:vAlign w:val="center"/>
          </w:tcPr>
          <w:p>
            <w:pPr>
              <w:keepNext w:val="0"/>
              <w:keepLines w:val="0"/>
              <w:pageBreakBefore w:val="0"/>
              <w:widowControl w:val="0"/>
              <w:kinsoku/>
              <w:wordWrap/>
              <w:overflowPunct/>
              <w:topLinePunct w:val="0"/>
              <w:autoSpaceDE/>
              <w:autoSpaceDN/>
              <w:bidi w:val="0"/>
              <w:adjustRightInd/>
              <w:snapToGrid/>
              <w:ind w:right="0"/>
              <w:textAlignment w:val="auto"/>
              <w:rPr>
                <w:rFonts w:hint="default" w:ascii="仿宋" w:hAnsi="仿宋" w:eastAsia="仿宋" w:cs="Times New Roman"/>
                <w:sz w:val="24"/>
                <w:szCs w:val="28"/>
                <w:lang w:val="en-US" w:eastAsia="zh-CN"/>
              </w:rPr>
            </w:pPr>
            <w:r>
              <w:rPr>
                <w:rFonts w:hint="eastAsia" w:ascii="仿宋" w:hAnsi="仿宋" w:eastAsia="仿宋" w:cs="Times New Roman"/>
                <w:sz w:val="24"/>
                <w:szCs w:val="28"/>
                <w:lang w:val="en-US" w:eastAsia="zh-CN"/>
              </w:rPr>
              <w:t>存在在岗人员超龄情况</w:t>
            </w:r>
          </w:p>
        </w:tc>
      </w:tr>
    </w:tbl>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（1）管理制度健全性（2分）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已制定了合法、合规、完整的财务和业务管理制度，该项得分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（2）制度执行有效性（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我们根据国家相关法律法规和</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相关财务和业务管理制度；我们审查了</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提供的就业扶贫专岗开发管理项目</w:t>
      </w:r>
      <w:r>
        <w:rPr>
          <w:rFonts w:hint="eastAsia" w:ascii="仿宋" w:hAnsi="仿宋" w:eastAsia="仿宋" w:cs="Times New Roman"/>
          <w:sz w:val="28"/>
          <w:szCs w:val="28"/>
          <w:lang w:val="en-US" w:eastAsia="zh-CN"/>
        </w:rPr>
        <w:t>资金</w:t>
      </w:r>
      <w:r>
        <w:rPr>
          <w:rFonts w:hint="eastAsia" w:ascii="仿宋" w:hAnsi="仿宋" w:eastAsia="仿宋" w:cs="Times New Roman"/>
          <w:sz w:val="28"/>
          <w:szCs w:val="28"/>
        </w:rPr>
        <w:t>明细账、相关原始凭证以及其他业务资料，我们认为</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基本能够遵守相关法律法规和相关管理规定，但</w:t>
      </w:r>
      <w:r>
        <w:rPr>
          <w:rFonts w:hint="eastAsia" w:ascii="仿宋" w:hAnsi="仿宋" w:eastAsia="仿宋" w:cs="Times New Roman"/>
          <w:sz w:val="28"/>
          <w:szCs w:val="28"/>
          <w:lang w:val="en-US" w:eastAsia="zh-CN"/>
        </w:rPr>
        <w:t>在第三方公司监管上存在</w:t>
      </w:r>
      <w:r>
        <w:rPr>
          <w:rFonts w:hint="eastAsia" w:ascii="仿宋" w:hAnsi="仿宋" w:eastAsia="仿宋" w:cs="Times New Roman"/>
          <w:sz w:val="28"/>
          <w:szCs w:val="28"/>
        </w:rPr>
        <w:t>瑕疵，该项得分</w:t>
      </w:r>
      <w:r>
        <w:rPr>
          <w:rFonts w:hint="eastAsia" w:ascii="仿宋" w:hAnsi="仿宋" w:eastAsia="仿宋" w:cs="Times New Roman"/>
          <w:sz w:val="28"/>
          <w:szCs w:val="28"/>
          <w:lang w:val="en-US" w:eastAsia="zh-CN"/>
        </w:rPr>
        <w:t>1.5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（三）项目产出（40分）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1、产出数量（</w:t>
      </w:r>
      <w:r>
        <w:rPr>
          <w:rFonts w:ascii="仿宋" w:hAnsi="仿宋" w:eastAsia="仿宋" w:cs="Times New Roman"/>
          <w:sz w:val="28"/>
          <w:szCs w:val="28"/>
        </w:rPr>
        <w:t>1</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能按时完成计划的任务量，该项得分</w:t>
      </w:r>
      <w:r>
        <w:rPr>
          <w:rFonts w:hint="eastAsia" w:ascii="仿宋" w:hAnsi="仿宋" w:eastAsia="仿宋" w:cs="Times New Roman"/>
          <w:sz w:val="28"/>
          <w:szCs w:val="28"/>
          <w:lang w:val="en-US" w:eastAsia="zh-CN"/>
        </w:rPr>
        <w:t>14</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2、产出质量（</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对完成的任务量</w:t>
      </w:r>
      <w:r>
        <w:rPr>
          <w:rFonts w:hint="eastAsia" w:ascii="仿宋" w:hAnsi="仿宋" w:eastAsia="仿宋" w:cs="Times New Roman"/>
          <w:sz w:val="28"/>
          <w:szCs w:val="28"/>
          <w:lang w:val="en-US" w:eastAsia="zh-CN"/>
        </w:rPr>
        <w:t>达标率为87.57%</w:t>
      </w:r>
      <w:r>
        <w:rPr>
          <w:rFonts w:hint="eastAsia" w:ascii="仿宋" w:hAnsi="仿宋" w:eastAsia="仿宋" w:cs="Times New Roman"/>
          <w:sz w:val="28"/>
          <w:szCs w:val="28"/>
        </w:rPr>
        <w:t>，该项得分1</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38</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扣分3.62分</w:t>
      </w:r>
      <w:r>
        <w:rPr>
          <w:rFonts w:hint="eastAsia" w:ascii="仿宋" w:hAnsi="仿宋" w:eastAsia="仿宋" w:cs="Times New Roman"/>
          <w:sz w:val="28"/>
          <w:szCs w:val="28"/>
        </w:rPr>
        <w:t>。</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3、产出时效（</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ind w:firstLine="560" w:firstLineChars="200"/>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所提供的明细账、原始凭证等资料，</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按时完成相关的任务量，该项得分</w:t>
      </w:r>
      <w:r>
        <w:rPr>
          <w:rFonts w:hint="eastAsia" w:ascii="仿宋" w:hAnsi="仿宋" w:eastAsia="仿宋" w:cs="Times New Roman"/>
          <w:sz w:val="28"/>
          <w:szCs w:val="28"/>
          <w:lang w:val="en-US" w:eastAsia="zh-CN"/>
        </w:rPr>
        <w:t>13</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（四）项目绩效（4</w:t>
      </w:r>
      <w:r>
        <w:rPr>
          <w:rFonts w:ascii="仿宋" w:hAnsi="仿宋" w:eastAsia="仿宋" w:cs="Times New Roman"/>
          <w:sz w:val="28"/>
          <w:szCs w:val="28"/>
        </w:rPr>
        <w:t>0分）　　</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1、社会效益（1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通过</w:t>
      </w:r>
      <w:r>
        <w:rPr>
          <w:rFonts w:hint="eastAsia" w:ascii="仿宋" w:hAnsi="仿宋" w:eastAsia="仿宋" w:cs="Times New Roman"/>
          <w:sz w:val="28"/>
          <w:szCs w:val="28"/>
          <w:lang w:val="en-US" w:eastAsia="zh-CN"/>
        </w:rPr>
        <w:t>岗位前培训，</w:t>
      </w:r>
      <w:r>
        <w:rPr>
          <w:rFonts w:hint="eastAsia" w:ascii="仿宋" w:hAnsi="仿宋" w:eastAsia="仿宋" w:cs="Times New Roman"/>
          <w:sz w:val="28"/>
          <w:szCs w:val="28"/>
        </w:rPr>
        <w:t>加强就业政策的宣传力度，增加公众对就业政策的知晓率</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提供了贫困人员的收入，树立了科学的就业观，</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2、经济效益（1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通过</w:t>
      </w:r>
      <w:r>
        <w:rPr>
          <w:rFonts w:hint="eastAsia" w:ascii="仿宋" w:hAnsi="仿宋" w:eastAsia="仿宋" w:cs="Times New Roman"/>
          <w:sz w:val="28"/>
          <w:szCs w:val="28"/>
          <w:lang w:val="en-US" w:eastAsia="zh-CN"/>
        </w:rPr>
        <w:t>提供扶贫公益岗，贫困人员增加收入，促进一定的社会经济的发展。</w:t>
      </w:r>
      <w:r>
        <w:rPr>
          <w:rFonts w:hint="eastAsia" w:ascii="仿宋" w:hAnsi="仿宋" w:eastAsia="仿宋" w:cs="Times New Roman"/>
          <w:sz w:val="28"/>
          <w:szCs w:val="28"/>
        </w:rPr>
        <w:t>该项得分1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3、满意度（1</w:t>
      </w:r>
      <w:r>
        <w:rPr>
          <w:rFonts w:hint="eastAsia" w:ascii="仿宋" w:hAnsi="仿宋" w:eastAsia="仿宋" w:cs="Times New Roman"/>
          <w:sz w:val="28"/>
          <w:szCs w:val="28"/>
          <w:lang w:val="en-US" w:eastAsia="zh-CN"/>
        </w:rPr>
        <w:t>0</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val="en-US" w:eastAsia="zh-CN"/>
        </w:rPr>
      </w:pPr>
      <w:r>
        <w:rPr>
          <w:rFonts w:ascii="仿宋" w:hAnsi="仿宋" w:eastAsia="仿宋" w:cs="Times New Roman"/>
          <w:sz w:val="28"/>
          <w:szCs w:val="28"/>
        </w:rPr>
        <w:t>我们</w:t>
      </w:r>
      <w:r>
        <w:rPr>
          <w:rFonts w:hint="eastAsia" w:ascii="仿宋" w:hAnsi="仿宋" w:eastAsia="仿宋" w:cs="Times New Roman"/>
          <w:sz w:val="28"/>
          <w:szCs w:val="28"/>
        </w:rPr>
        <w:t>根据</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设置的效果指标以</w:t>
      </w: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提供的服务对象满意度调查，该项得分</w:t>
      </w:r>
      <w:r>
        <w:rPr>
          <w:rFonts w:hint="eastAsia" w:ascii="仿宋" w:hAnsi="仿宋" w:eastAsia="仿宋" w:cs="Times New Roman"/>
          <w:sz w:val="28"/>
          <w:szCs w:val="28"/>
          <w:lang w:val="en-US" w:eastAsia="zh-CN"/>
        </w:rPr>
        <w:t>9.5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五、主要经验及做法</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lang w:val="en-US" w:eastAsia="zh-CN"/>
        </w:rPr>
        <w:t>就业中心</w:t>
      </w:r>
      <w:r>
        <w:rPr>
          <w:rFonts w:hint="eastAsia" w:ascii="仿宋" w:hAnsi="仿宋" w:eastAsia="仿宋" w:cs="Times New Roman"/>
          <w:sz w:val="28"/>
          <w:szCs w:val="28"/>
        </w:rPr>
        <w:t>就业扶贫专岗开发管理项目</w:t>
      </w:r>
      <w:r>
        <w:rPr>
          <w:rFonts w:ascii="仿宋" w:hAnsi="仿宋" w:eastAsia="仿宋" w:cs="Times New Roman"/>
          <w:sz w:val="28"/>
          <w:szCs w:val="28"/>
        </w:rPr>
        <w:t>能够严格执行批复的预算</w:t>
      </w:r>
      <w:r>
        <w:rPr>
          <w:rFonts w:hint="eastAsia" w:ascii="仿宋" w:hAnsi="仿宋" w:eastAsia="仿宋" w:cs="Times New Roman"/>
          <w:sz w:val="28"/>
          <w:szCs w:val="28"/>
        </w:rPr>
        <w:t>，</w:t>
      </w:r>
      <w:r>
        <w:rPr>
          <w:rFonts w:ascii="仿宋" w:hAnsi="仿宋" w:eastAsia="仿宋" w:cs="Times New Roman"/>
          <w:sz w:val="28"/>
          <w:szCs w:val="28"/>
        </w:rPr>
        <w:t>在预算执行过程中能够对预算执行进行有效的管理</w:t>
      </w:r>
      <w:r>
        <w:rPr>
          <w:rFonts w:hint="eastAsia" w:ascii="仿宋" w:hAnsi="仿宋" w:eastAsia="仿宋" w:cs="Times New Roman"/>
          <w:sz w:val="28"/>
          <w:szCs w:val="28"/>
        </w:rPr>
        <w:t>，预算</w:t>
      </w:r>
      <w:r>
        <w:rPr>
          <w:rFonts w:ascii="仿宋" w:hAnsi="仿宋" w:eastAsia="仿宋" w:cs="Times New Roman"/>
          <w:sz w:val="28"/>
          <w:szCs w:val="28"/>
        </w:rPr>
        <w:t>支付进度及时</w:t>
      </w:r>
      <w:r>
        <w:rPr>
          <w:rFonts w:hint="eastAsia" w:ascii="仿宋" w:hAnsi="仿宋" w:eastAsia="仿宋" w:cs="Times New Roman"/>
          <w:sz w:val="28"/>
          <w:szCs w:val="28"/>
        </w:rPr>
        <w:t>、</w:t>
      </w:r>
      <w:r>
        <w:rPr>
          <w:rFonts w:ascii="仿宋" w:hAnsi="仿宋" w:eastAsia="仿宋" w:cs="Times New Roman"/>
          <w:sz w:val="28"/>
          <w:szCs w:val="28"/>
        </w:rPr>
        <w:t>准确</w:t>
      </w:r>
      <w:r>
        <w:rPr>
          <w:rFonts w:hint="eastAsia" w:ascii="仿宋" w:hAnsi="仿宋" w:eastAsia="仿宋" w:cs="Times New Roman"/>
          <w:sz w:val="28"/>
          <w:szCs w:val="28"/>
        </w:rPr>
        <w:t>，</w:t>
      </w:r>
      <w:r>
        <w:rPr>
          <w:rFonts w:ascii="仿宋" w:hAnsi="仿宋" w:eastAsia="仿宋" w:cs="Times New Roman"/>
          <w:sz w:val="28"/>
          <w:szCs w:val="28"/>
        </w:rPr>
        <w:t>资金使用过程安全</w:t>
      </w:r>
      <w:r>
        <w:rPr>
          <w:rFonts w:hint="eastAsia" w:ascii="仿宋" w:hAnsi="仿宋" w:eastAsia="仿宋" w:cs="Times New Roman"/>
          <w:sz w:val="28"/>
          <w:szCs w:val="28"/>
        </w:rPr>
        <w:t>、</w:t>
      </w:r>
      <w:r>
        <w:rPr>
          <w:rFonts w:ascii="仿宋" w:hAnsi="仿宋" w:eastAsia="仿宋" w:cs="Times New Roman"/>
          <w:sz w:val="28"/>
          <w:szCs w:val="28"/>
        </w:rPr>
        <w:t>规范</w:t>
      </w:r>
      <w:r>
        <w:rPr>
          <w:rFonts w:hint="eastAsia" w:ascii="仿宋" w:hAnsi="仿宋" w:eastAsia="仿宋" w:cs="Times New Roman"/>
          <w:sz w:val="28"/>
          <w:szCs w:val="28"/>
        </w:rPr>
        <w:t>、</w:t>
      </w:r>
      <w:r>
        <w:rPr>
          <w:rFonts w:ascii="仿宋" w:hAnsi="仿宋" w:eastAsia="仿宋" w:cs="Times New Roman"/>
          <w:sz w:val="28"/>
          <w:szCs w:val="28"/>
        </w:rPr>
        <w:t>有效</w:t>
      </w:r>
      <w:r>
        <w:rPr>
          <w:rFonts w:hint="eastAsia" w:ascii="仿宋" w:hAnsi="仿宋" w:eastAsia="仿宋" w:cs="Times New Roman"/>
          <w:sz w:val="28"/>
          <w:szCs w:val="28"/>
        </w:rPr>
        <w:t>，内部控制能够对预算执行实行有效监督和监管。</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六、存在的问题及原因分析和建议</w:t>
      </w:r>
      <w:bookmarkEnd w:id="7"/>
    </w:p>
    <w:p>
      <w:pPr>
        <w:spacing w:line="520" w:lineRule="exact"/>
        <w:ind w:firstLine="560" w:firstLineChars="200"/>
        <w:jc w:val="left"/>
        <w:rPr>
          <w:rFonts w:hint="default" w:ascii="仿宋" w:hAnsi="仿宋" w:eastAsia="仿宋" w:cs="Times New Roman"/>
          <w:sz w:val="28"/>
          <w:szCs w:val="28"/>
          <w:lang w:val="en-US"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就业中心对第三方中介机构的监督和考核存在一定的瑕疵，中介机构对劳动协议等未起到一定的审核义务。</w:t>
      </w:r>
    </w:p>
    <w:p>
      <w:pPr>
        <w:spacing w:line="520" w:lineRule="exact"/>
        <w:ind w:firstLine="562" w:firstLineChars="200"/>
        <w:jc w:val="left"/>
        <w:rPr>
          <w:rFonts w:ascii="仿宋" w:hAnsi="仿宋" w:eastAsia="仿宋" w:cs="Times New Roman"/>
          <w:b w:val="0"/>
          <w:bCs/>
          <w:sz w:val="28"/>
          <w:szCs w:val="28"/>
        </w:rPr>
      </w:pPr>
      <w:r>
        <w:rPr>
          <w:rFonts w:hint="eastAsia" w:ascii="仿宋" w:hAnsi="仿宋" w:eastAsia="仿宋" w:cs="Times New Roman"/>
          <w:b/>
          <w:sz w:val="28"/>
          <w:szCs w:val="28"/>
        </w:rPr>
        <w:t>建议：</w:t>
      </w:r>
      <w:r>
        <w:rPr>
          <w:rFonts w:hint="eastAsia" w:ascii="仿宋" w:hAnsi="仿宋" w:eastAsia="仿宋" w:cs="Times New Roman"/>
          <w:b w:val="0"/>
          <w:bCs/>
          <w:sz w:val="28"/>
          <w:szCs w:val="28"/>
          <w:lang w:val="en-US" w:eastAsia="zh-CN"/>
        </w:rPr>
        <w:t>加大对中介机构的考核和监督管理，使中介机构为</w:t>
      </w:r>
      <w:r>
        <w:rPr>
          <w:rFonts w:hint="eastAsia" w:ascii="仿宋" w:hAnsi="仿宋" w:eastAsia="仿宋" w:cs="Times New Roman"/>
          <w:sz w:val="28"/>
          <w:szCs w:val="28"/>
        </w:rPr>
        <w:t>就业扶贫专岗开发</w:t>
      </w:r>
      <w:r>
        <w:rPr>
          <w:rFonts w:hint="eastAsia" w:ascii="仿宋" w:hAnsi="仿宋" w:eastAsia="仿宋" w:cs="Times New Roman"/>
          <w:sz w:val="28"/>
          <w:szCs w:val="28"/>
          <w:lang w:val="en-US" w:eastAsia="zh-CN"/>
        </w:rPr>
        <w:t>管理项目做到更好的服务</w:t>
      </w:r>
      <w:r>
        <w:rPr>
          <w:rFonts w:hint="eastAsia" w:ascii="仿宋" w:hAnsi="仿宋" w:eastAsia="仿宋" w:cs="Times New Roman"/>
          <w:b w:val="0"/>
          <w:bCs/>
          <w:sz w:val="28"/>
          <w:szCs w:val="28"/>
        </w:rPr>
        <w:t>。</w:t>
      </w:r>
    </w:p>
    <w:p>
      <w:pPr>
        <w:spacing w:line="520" w:lineRule="exact"/>
        <w:ind w:firstLine="562" w:firstLineChars="200"/>
        <w:jc w:val="left"/>
        <w:rPr>
          <w:rFonts w:ascii="仿宋" w:hAnsi="仿宋" w:eastAsia="仿宋" w:cs="Times New Roman"/>
          <w:b/>
          <w:sz w:val="28"/>
          <w:szCs w:val="28"/>
        </w:rPr>
      </w:pPr>
      <w:bookmarkStart w:id="8" w:name="_Hlk3478959"/>
      <w:r>
        <w:rPr>
          <w:rFonts w:hint="eastAsia" w:ascii="仿宋" w:hAnsi="仿宋" w:eastAsia="仿宋" w:cs="Times New Roman"/>
          <w:b/>
          <w:sz w:val="28"/>
          <w:szCs w:val="28"/>
        </w:rPr>
        <w:t>七、其他需要说明的问题</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无</w:t>
      </w:r>
    </w:p>
    <w:p>
      <w:pPr>
        <w:ind w:firstLine="560" w:firstLineChars="200"/>
        <w:rPr>
          <w:rFonts w:hint="eastAsia" w:ascii="仿宋" w:hAnsi="仿宋" w:eastAsia="仿宋" w:cs="Times New Roman"/>
          <w:sz w:val="28"/>
          <w:szCs w:val="28"/>
        </w:rPr>
      </w:pPr>
    </w:p>
    <w:p>
      <w:pPr>
        <w:ind w:firstLine="560" w:firstLineChars="200"/>
        <w:rPr>
          <w:rFonts w:hint="eastAsia" w:ascii="仿宋" w:hAnsi="仿宋" w:eastAsia="仿宋" w:cs="Times New Roman"/>
          <w:sz w:val="28"/>
          <w:szCs w:val="28"/>
        </w:rPr>
      </w:pP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附：2021年就业扶贫专岗开发管理项目绩效评价评分表</w:t>
      </w:r>
    </w:p>
    <w:bookmarkEnd w:id="8"/>
    <w:p/>
    <w:p/>
    <w:p/>
    <w:p/>
    <w:p/>
    <w:p>
      <w:pPr>
        <w:rPr>
          <w:rFonts w:hint="default" w:eastAsiaTheme="minorEastAsia"/>
          <w:lang w:val="en-US" w:eastAsia="zh-CN"/>
        </w:rPr>
      </w:pPr>
      <w:r>
        <w:rPr>
          <w:rFonts w:hint="eastAsia"/>
          <w:lang w:val="en-US" w:eastAsia="zh-CN"/>
        </w:rPr>
        <w:t>此页无正文</w:t>
      </w:r>
    </w:p>
    <w:p/>
    <w:p/>
    <w:p/>
    <w:p>
      <w:pPr>
        <w:rPr>
          <w:rFonts w:ascii="仿宋" w:hAnsi="仿宋" w:eastAsia="仿宋"/>
          <w:sz w:val="28"/>
          <w:szCs w:val="28"/>
        </w:rPr>
      </w:pPr>
      <w:r>
        <w:rPr>
          <w:rFonts w:hint="eastAsia" w:ascii="仿宋" w:hAnsi="仿宋" w:eastAsia="仿宋"/>
          <w:sz w:val="28"/>
          <w:szCs w:val="28"/>
        </w:rPr>
        <w:t>河北</w:t>
      </w:r>
      <w:r>
        <w:rPr>
          <w:rFonts w:hint="eastAsia" w:ascii="仿宋" w:hAnsi="仿宋" w:eastAsia="仿宋"/>
          <w:sz w:val="28"/>
          <w:szCs w:val="28"/>
          <w:lang w:val="en-US" w:eastAsia="zh-CN"/>
        </w:rPr>
        <w:t>企融</w:t>
      </w:r>
      <w:r>
        <w:rPr>
          <w:rFonts w:hint="eastAsia" w:ascii="仿宋" w:hAnsi="仿宋" w:eastAsia="仿宋"/>
          <w:sz w:val="28"/>
          <w:szCs w:val="28"/>
        </w:rPr>
        <w:t>会计师事务所                   中国注册会计师：</w:t>
      </w:r>
    </w:p>
    <w:p>
      <w:pPr>
        <w:ind w:firstLine="560" w:firstLineChars="200"/>
        <w:rPr>
          <w:rFonts w:ascii="仿宋" w:hAnsi="仿宋" w:eastAsia="仿宋"/>
          <w:sz w:val="28"/>
          <w:szCs w:val="28"/>
        </w:rPr>
      </w:pPr>
      <w:r>
        <w:rPr>
          <w:rFonts w:hint="eastAsia" w:ascii="仿宋" w:hAnsi="仿宋" w:eastAsia="仿宋"/>
          <w:sz w:val="28"/>
          <w:szCs w:val="28"/>
          <w:lang w:eastAsia="zh-CN"/>
        </w:rPr>
        <w:t>（</w:t>
      </w:r>
      <w:r>
        <w:rPr>
          <w:rFonts w:hint="eastAsia" w:ascii="仿宋" w:hAnsi="仿宋" w:eastAsia="仿宋"/>
          <w:sz w:val="28"/>
          <w:szCs w:val="28"/>
          <w:lang w:val="en-US" w:eastAsia="zh-CN"/>
        </w:rPr>
        <w:t>普通合伙</w:t>
      </w:r>
      <w:r>
        <w:rPr>
          <w:rFonts w:hint="eastAsia" w:ascii="仿宋" w:hAnsi="仿宋" w:eastAsia="仿宋"/>
          <w:sz w:val="28"/>
          <w:szCs w:val="28"/>
          <w:lang w:eastAsia="zh-CN"/>
        </w:rPr>
        <w:t>）</w:t>
      </w:r>
      <w:r>
        <w:rPr>
          <w:rFonts w:hint="eastAsia" w:ascii="仿宋" w:hAnsi="仿宋" w:eastAsia="仿宋"/>
          <w:sz w:val="28"/>
          <w:szCs w:val="28"/>
        </w:rPr>
        <w:t xml:space="preserve">                       （签名并盖章）</w:t>
      </w:r>
    </w:p>
    <w:p>
      <w:pPr>
        <w:ind w:firstLine="700" w:firstLineChars="250"/>
        <w:rPr>
          <w:rFonts w:ascii="仿宋" w:hAnsi="仿宋" w:eastAsia="仿宋"/>
          <w:sz w:val="28"/>
          <w:szCs w:val="28"/>
        </w:rPr>
      </w:pPr>
      <w:r>
        <w:rPr>
          <w:rFonts w:hint="eastAsia" w:ascii="仿宋" w:hAnsi="仿宋" w:eastAsia="仿宋"/>
          <w:sz w:val="28"/>
          <w:szCs w:val="28"/>
        </w:rPr>
        <w:t>(公章)                            中国注册会计师：</w:t>
      </w:r>
    </w:p>
    <w:p>
      <w:pPr>
        <w:rPr>
          <w:rFonts w:ascii="仿宋" w:hAnsi="仿宋" w:eastAsia="仿宋"/>
          <w:sz w:val="28"/>
          <w:szCs w:val="28"/>
        </w:rPr>
      </w:pPr>
      <w:r>
        <w:rPr>
          <w:rFonts w:hint="eastAsia" w:ascii="仿宋" w:hAnsi="仿宋" w:eastAsia="仿宋"/>
          <w:sz w:val="28"/>
          <w:szCs w:val="28"/>
        </w:rPr>
        <w:t xml:space="preserve">                                       （签名并盖章）</w:t>
      </w:r>
    </w:p>
    <w:p>
      <w:pPr>
        <w:rPr>
          <w:rFonts w:ascii="仿宋" w:hAnsi="仿宋" w:eastAsia="仿宋"/>
          <w:sz w:val="28"/>
          <w:szCs w:val="28"/>
          <w:highlight w:val="none"/>
        </w:rPr>
      </w:pPr>
      <w:r>
        <w:rPr>
          <w:rFonts w:hint="eastAsia" w:ascii="仿宋" w:hAnsi="仿宋" w:eastAsia="仿宋"/>
          <w:sz w:val="28"/>
          <w:szCs w:val="28"/>
        </w:rPr>
        <w:t xml:space="preserve">中国·石家庄市                        </w:t>
      </w:r>
      <w:r>
        <w:rPr>
          <w:rFonts w:hint="eastAsia" w:ascii="仿宋" w:hAnsi="仿宋" w:eastAsia="仿宋"/>
          <w:sz w:val="28"/>
          <w:szCs w:val="28"/>
          <w:highlight w:val="none"/>
        </w:rPr>
        <w:t xml:space="preserve">  202</w:t>
      </w:r>
      <w:r>
        <w:rPr>
          <w:rFonts w:hint="eastAsia" w:ascii="仿宋" w:hAnsi="仿宋" w:eastAsia="仿宋"/>
          <w:sz w:val="28"/>
          <w:szCs w:val="28"/>
          <w:highlight w:val="none"/>
          <w:lang w:val="en-US" w:eastAsia="zh-CN"/>
        </w:rPr>
        <w:t>2</w:t>
      </w:r>
      <w:r>
        <w:rPr>
          <w:rFonts w:hint="eastAsia" w:ascii="仿宋" w:hAnsi="仿宋" w:eastAsia="仿宋"/>
          <w:sz w:val="28"/>
          <w:szCs w:val="28"/>
          <w:highlight w:val="none"/>
        </w:rPr>
        <w:t>年</w:t>
      </w:r>
      <w:r>
        <w:rPr>
          <w:rFonts w:hint="eastAsia" w:ascii="仿宋" w:hAnsi="仿宋" w:eastAsia="仿宋"/>
          <w:sz w:val="28"/>
          <w:szCs w:val="28"/>
          <w:highlight w:val="none"/>
          <w:lang w:val="en-US" w:eastAsia="zh-CN"/>
        </w:rPr>
        <w:t>9</w:t>
      </w:r>
      <w:r>
        <w:rPr>
          <w:rFonts w:hint="eastAsia" w:ascii="仿宋" w:hAnsi="仿宋" w:eastAsia="仿宋"/>
          <w:sz w:val="28"/>
          <w:szCs w:val="28"/>
          <w:highlight w:val="none"/>
        </w:rPr>
        <w:t>月</w:t>
      </w:r>
      <w:r>
        <w:rPr>
          <w:rFonts w:hint="eastAsia" w:ascii="仿宋" w:hAnsi="仿宋" w:eastAsia="仿宋"/>
          <w:sz w:val="28"/>
          <w:szCs w:val="28"/>
          <w:highlight w:val="none"/>
          <w:lang w:val="en-US" w:eastAsia="zh-CN"/>
        </w:rPr>
        <w:t>21</w:t>
      </w:r>
      <w:r>
        <w:rPr>
          <w:rFonts w:hint="eastAsia" w:ascii="仿宋" w:hAnsi="仿宋" w:eastAsia="仿宋"/>
          <w:sz w:val="28"/>
          <w:szCs w:val="28"/>
          <w:highlight w:val="none"/>
        </w:rPr>
        <w:t>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8710000"/>
      <w:docPartObj>
        <w:docPartGallery w:val="autotext"/>
      </w:docPartObj>
    </w:sdtPr>
    <w:sdtContent>
      <w:sdt>
        <w:sdtPr>
          <w:id w:val="-1669238322"/>
          <w:docPartObj>
            <w:docPartGallery w:val="autotext"/>
          </w:docPartObj>
        </w:sdtPr>
        <w:sdtContent>
          <w:p>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12</w:t>
            </w:r>
            <w:r>
              <w:rPr>
                <w:b/>
                <w:bCs/>
                <w:sz w:val="24"/>
                <w:szCs w:val="24"/>
              </w:rPr>
              <w:fldChar w:fldCharType="end"/>
            </w:r>
          </w:p>
        </w:sdtContent>
      </w:sdt>
    </w:sdtContent>
  </w:sdt>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rPr>
        <w:rFonts w:hint="default" w:eastAsia="宋体"/>
        <w:lang w:val="en-US" w:eastAsia="zh-CN"/>
      </w:rPr>
    </w:pPr>
    <w:r>
      <w:rPr>
        <w:rFonts w:hint="eastAsia" w:ascii="Times New Roman" w:hAnsi="Times New Roman" w:eastAsia="宋体" w:cs="Times New Roman"/>
        <w:iCs/>
      </w:rPr>
      <w:t>河北</w:t>
    </w:r>
    <w:r>
      <w:rPr>
        <w:rFonts w:hint="eastAsia" w:ascii="Times New Roman" w:hAnsi="Times New Roman" w:eastAsia="宋体" w:cs="Times New Roman"/>
        <w:iCs/>
        <w:lang w:val="en-US" w:eastAsia="zh-CN"/>
      </w:rPr>
      <w:t>企融会计师事务所（普通合伙）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16CC01"/>
    <w:multiLevelType w:val="singleLevel"/>
    <w:tmpl w:val="7316CC0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JmNTAxYTA0NTllZTU0OWY5NWY0MWNlMzBjNGU2OTYifQ=="/>
  </w:docVars>
  <w:rsids>
    <w:rsidRoot w:val="007401C5"/>
    <w:rsid w:val="00031BD7"/>
    <w:rsid w:val="0003349F"/>
    <w:rsid w:val="0006386F"/>
    <w:rsid w:val="000C1E48"/>
    <w:rsid w:val="000D6DA3"/>
    <w:rsid w:val="000E025F"/>
    <w:rsid w:val="00101CFF"/>
    <w:rsid w:val="00133E4F"/>
    <w:rsid w:val="00140E66"/>
    <w:rsid w:val="00163A2A"/>
    <w:rsid w:val="001B08AB"/>
    <w:rsid w:val="001C6450"/>
    <w:rsid w:val="001D0FF2"/>
    <w:rsid w:val="0020339A"/>
    <w:rsid w:val="00204B1F"/>
    <w:rsid w:val="00205738"/>
    <w:rsid w:val="002174D6"/>
    <w:rsid w:val="00220CA0"/>
    <w:rsid w:val="00221E0B"/>
    <w:rsid w:val="00226720"/>
    <w:rsid w:val="00264073"/>
    <w:rsid w:val="00291D43"/>
    <w:rsid w:val="002D66ED"/>
    <w:rsid w:val="003231C4"/>
    <w:rsid w:val="00326A01"/>
    <w:rsid w:val="0034250D"/>
    <w:rsid w:val="003678F4"/>
    <w:rsid w:val="003779BE"/>
    <w:rsid w:val="003C69D1"/>
    <w:rsid w:val="00413B2C"/>
    <w:rsid w:val="00414BEE"/>
    <w:rsid w:val="00416BE6"/>
    <w:rsid w:val="0043501A"/>
    <w:rsid w:val="00467FCB"/>
    <w:rsid w:val="00482FD8"/>
    <w:rsid w:val="004A404A"/>
    <w:rsid w:val="004C05CC"/>
    <w:rsid w:val="004D2A79"/>
    <w:rsid w:val="004E049D"/>
    <w:rsid w:val="004F6E32"/>
    <w:rsid w:val="004F7584"/>
    <w:rsid w:val="00563B05"/>
    <w:rsid w:val="005837B3"/>
    <w:rsid w:val="005925AE"/>
    <w:rsid w:val="005A2826"/>
    <w:rsid w:val="005D28E5"/>
    <w:rsid w:val="005E3D4F"/>
    <w:rsid w:val="005F0A39"/>
    <w:rsid w:val="00606E09"/>
    <w:rsid w:val="00632A9E"/>
    <w:rsid w:val="00633415"/>
    <w:rsid w:val="00645397"/>
    <w:rsid w:val="006623CE"/>
    <w:rsid w:val="00677DFD"/>
    <w:rsid w:val="006E5AB8"/>
    <w:rsid w:val="00716C9E"/>
    <w:rsid w:val="007401C5"/>
    <w:rsid w:val="00770116"/>
    <w:rsid w:val="00784202"/>
    <w:rsid w:val="00793A8C"/>
    <w:rsid w:val="00793AE7"/>
    <w:rsid w:val="007A5C24"/>
    <w:rsid w:val="007E2BE3"/>
    <w:rsid w:val="00803915"/>
    <w:rsid w:val="00806F8D"/>
    <w:rsid w:val="008133D4"/>
    <w:rsid w:val="00827680"/>
    <w:rsid w:val="008558EF"/>
    <w:rsid w:val="00856D7B"/>
    <w:rsid w:val="00863364"/>
    <w:rsid w:val="00864C5B"/>
    <w:rsid w:val="00895747"/>
    <w:rsid w:val="00897BED"/>
    <w:rsid w:val="008A17A6"/>
    <w:rsid w:val="008A2F4C"/>
    <w:rsid w:val="0090337F"/>
    <w:rsid w:val="00961123"/>
    <w:rsid w:val="00991677"/>
    <w:rsid w:val="0099476A"/>
    <w:rsid w:val="009C0CDA"/>
    <w:rsid w:val="00A047E4"/>
    <w:rsid w:val="00A1144C"/>
    <w:rsid w:val="00A67C45"/>
    <w:rsid w:val="00A72FA7"/>
    <w:rsid w:val="00A9417C"/>
    <w:rsid w:val="00AC3C03"/>
    <w:rsid w:val="00AD5FAA"/>
    <w:rsid w:val="00B15451"/>
    <w:rsid w:val="00B57BD1"/>
    <w:rsid w:val="00B7622A"/>
    <w:rsid w:val="00C14ABB"/>
    <w:rsid w:val="00C2610C"/>
    <w:rsid w:val="00C40702"/>
    <w:rsid w:val="00C66EF2"/>
    <w:rsid w:val="00C84808"/>
    <w:rsid w:val="00C95213"/>
    <w:rsid w:val="00CA18EA"/>
    <w:rsid w:val="00CC3818"/>
    <w:rsid w:val="00D024A0"/>
    <w:rsid w:val="00D34E58"/>
    <w:rsid w:val="00D65B6E"/>
    <w:rsid w:val="00D76C34"/>
    <w:rsid w:val="00D81987"/>
    <w:rsid w:val="00D86785"/>
    <w:rsid w:val="00DF274B"/>
    <w:rsid w:val="00DF623B"/>
    <w:rsid w:val="00E3345B"/>
    <w:rsid w:val="00EA02ED"/>
    <w:rsid w:val="00F209E0"/>
    <w:rsid w:val="00F26271"/>
    <w:rsid w:val="00F56F96"/>
    <w:rsid w:val="00F81530"/>
    <w:rsid w:val="00FA45CE"/>
    <w:rsid w:val="00FA6231"/>
    <w:rsid w:val="08C75DE5"/>
    <w:rsid w:val="30331603"/>
    <w:rsid w:val="31FC63EE"/>
    <w:rsid w:val="32140005"/>
    <w:rsid w:val="49B126B9"/>
    <w:rsid w:val="652975CD"/>
    <w:rsid w:val="71B31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style>
  <w:style w:type="paragraph" w:styleId="3">
    <w:name w:val="Balloon Text"/>
    <w:basedOn w:val="1"/>
    <w:link w:val="14"/>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3"/>
    <w:semiHidden/>
    <w:unhideWhenUsed/>
    <w:qFormat/>
    <w:uiPriority w:val="99"/>
    <w:rPr>
      <w:b/>
      <w:bCs/>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semiHidden/>
    <w:unhideWhenUsed/>
    <w:qFormat/>
    <w:uiPriority w:val="99"/>
    <w:rPr>
      <w:sz w:val="21"/>
      <w:szCs w:val="21"/>
    </w:rPr>
  </w:style>
  <w:style w:type="paragraph" w:styleId="11">
    <w:name w:val="List Paragraph"/>
    <w:basedOn w:val="1"/>
    <w:qFormat/>
    <w:uiPriority w:val="34"/>
    <w:pPr>
      <w:ind w:firstLine="420" w:firstLineChars="200"/>
    </w:pPr>
  </w:style>
  <w:style w:type="character" w:customStyle="1" w:styleId="12">
    <w:name w:val="批注文字 Char"/>
    <w:basedOn w:val="9"/>
    <w:link w:val="2"/>
    <w:semiHidden/>
    <w:qFormat/>
    <w:uiPriority w:val="99"/>
  </w:style>
  <w:style w:type="character" w:customStyle="1" w:styleId="13">
    <w:name w:val="批注主题 Char"/>
    <w:basedOn w:val="12"/>
    <w:link w:val="6"/>
    <w:semiHidden/>
    <w:qFormat/>
    <w:uiPriority w:val="99"/>
    <w:rPr>
      <w:b/>
      <w:bCs/>
    </w:rPr>
  </w:style>
  <w:style w:type="character" w:customStyle="1" w:styleId="14">
    <w:name w:val="批注框文本 Char"/>
    <w:basedOn w:val="9"/>
    <w:link w:val="3"/>
    <w:semiHidden/>
    <w:qFormat/>
    <w:uiPriority w:val="99"/>
    <w:rPr>
      <w:sz w:val="18"/>
      <w:szCs w:val="18"/>
    </w:rPr>
  </w:style>
  <w:style w:type="character" w:customStyle="1" w:styleId="15">
    <w:name w:val="页眉 Char"/>
    <w:basedOn w:val="9"/>
    <w:link w:val="5"/>
    <w:qFormat/>
    <w:uiPriority w:val="99"/>
    <w:rPr>
      <w:sz w:val="18"/>
      <w:szCs w:val="18"/>
    </w:rPr>
  </w:style>
  <w:style w:type="character" w:customStyle="1" w:styleId="16">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1210</Words>
  <Characters>6902</Characters>
  <Lines>57</Lines>
  <Paragraphs>16</Paragraphs>
  <TotalTime>28</TotalTime>
  <ScaleCrop>false</ScaleCrop>
  <LinksUpToDate>false</LinksUpToDate>
  <CharactersWithSpaces>8096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2020-04-21T07:14:00Z</dcterms:created>
  <dc:creator>User</dc:creator>
  <cp:lastModifiedBy>妮妮</cp:lastModifiedBy>
  <cp:lastPrinted>2021-10-28T06:58:00Z</cp:lastPrinted>
  <dcterms:modified xsi:type="dcterms:W3CDTF">2022-10-21T06:23:33Z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3E8E6F4CFB804C1FA2DE38A798D94551</vt:lpwstr>
  </property>
</Properties>
</file>