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jc w:val="center"/>
        <w:textAlignment w:val="center"/>
        <w:outlineLvl w:val="9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u w:val="none"/>
          <w:lang w:val="en-US" w:eastAsia="zh-CN"/>
        </w:rPr>
        <w:t>高邑县市场监督管理局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jc w:val="center"/>
        <w:textAlignment w:val="center"/>
        <w:outlineLvl w:val="9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u w:val="none"/>
          <w:lang w:val="en-US" w:eastAsia="zh-CN"/>
        </w:rPr>
        <w:t>2021年度整体支出绩效自评报告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/>
        <w:jc w:val="center"/>
        <w:textAlignment w:val="auto"/>
        <w:outlineLvl w:val="9"/>
        <w:rPr>
          <w:rFonts w:ascii="华文楷体" w:hAnsi="Calibri" w:eastAsia="华文楷体" w:cs="黑体"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ascii="仿宋" w:hAnsi="仿宋" w:eastAsia="仿宋" w:cs="黑体"/>
          <w:kern w:val="2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</w:rPr>
        <w:t>贯彻落实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﹞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黑体"/>
          <w:kern w:val="2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 w:cs="黑体"/>
          <w:kern w:val="2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/>
        <w:jc w:val="both"/>
        <w:textAlignment w:val="auto"/>
        <w:outlineLvl w:val="9"/>
        <w:rPr>
          <w:rFonts w:ascii="黑体" w:hAnsi="黑体" w:eastAsia="黑体" w:cs="黑体"/>
          <w:b/>
          <w:bCs/>
          <w:kern w:val="2"/>
          <w:sz w:val="32"/>
          <w:szCs w:val="36"/>
        </w:rPr>
      </w:pPr>
      <w:r>
        <w:rPr>
          <w:rFonts w:hint="eastAsia" w:ascii="仿宋" w:hAnsi="仿宋" w:eastAsia="仿宋" w:cs="黑体"/>
          <w:kern w:val="2"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kern w:val="2"/>
          <w:sz w:val="32"/>
          <w:szCs w:val="32"/>
        </w:rPr>
        <w:t>一、</w:t>
      </w:r>
      <w:r>
        <w:rPr>
          <w:rFonts w:hint="eastAsia" w:ascii="黑体" w:hAnsi="黑体" w:eastAsia="黑体" w:cs="黑体"/>
          <w:kern w:val="2"/>
          <w:sz w:val="32"/>
          <w:szCs w:val="32"/>
          <w:lang w:eastAsia="zh-CN"/>
        </w:rPr>
        <w:t>部门</w:t>
      </w:r>
      <w:r>
        <w:rPr>
          <w:rFonts w:hint="eastAsia" w:ascii="黑体" w:hAnsi="黑体" w:eastAsia="黑体" w:cs="黑体"/>
          <w:kern w:val="2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ascii="仿宋" w:hAnsi="仿宋" w:eastAsia="仿宋" w:cs="楷体_GB2312"/>
          <w:b/>
          <w:bCs/>
          <w:kern w:val="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高邑县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市场监督管理局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成立于201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月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日，局机关领导职数一正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副，内设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个科室为办公室、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法制股、党建股、财务装备股、综合执法股、食品生产监管股、食品流通监管股、食品服务监管股、化保药械监管股、企业信用监管股等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。</w:t>
      </w:r>
      <w:bookmarkStart w:id="0" w:name="_GoBack"/>
      <w:bookmarkEnd w:id="0"/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行政编制实有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51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人，全额事业编制实有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38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2021年本单位收入为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1321.5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万元，均为一般公共预算财政拨款收入。全年支出共计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1321.5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万元，其中基本支出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968.1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万元，占总支出的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73.25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%。其支出构成情况：人员经费支出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653.24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万元，占基本支出的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67.47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%；公用经费支出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314.86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万元，占基本支出的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32.53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%。项目支出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353.4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万元，占总支出的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25.42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1.强化业务培训,提升服务质量。会同相关部门做好全县食品药品监督检查工作，对全县所有餐饮企业及食品销售生产企业进行监督检查。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2.优化全县营商环境，持续深化“放管服”改革，推行部门联合“双随机、一公开”监管，实现我县市场监管领域全覆盖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3.构建打击传销体系，促进社会和谐稳定，维护公平竞争的市场秩序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eastAsia="zh-CN"/>
        </w:rPr>
        <w:t>，打击了传销体系，促进了社会和谐稳定，维护公平竞争的市场秩序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kern w:val="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4.提升保障能力及管理水平，完成各项工作任务,对危害群众食品及药品安全的案件进行查处，确保人民群众饮食用药和器械安全。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kern w:val="2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kern w:val="2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/>
        <w:jc w:val="both"/>
        <w:textAlignment w:val="auto"/>
        <w:outlineLvl w:val="9"/>
        <w:rPr>
          <w:rFonts w:ascii="仿宋" w:hAnsi="仿宋" w:eastAsia="仿宋" w:cs="楷体_GB2312"/>
          <w:kern w:val="2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为保证绩效评价工作顺利开展，我单位成立了以局长为组长的绩效评价工作小组，负责绩效评价的组织管理和实施工作。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642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评价采用定量分析和定性分析相结合的方法，从预算编制、预算执行、绩效目标完成情况、绩效目标设置质量、基本支出、项目支出以及内控制度建设等方面进行了综合评价。本次绩效评价工作过程包括前期准备、组织实施、撰写评价报告三个阶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1、前期准备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按照绩效评价工作要求，明确绩效评价的内容和范围，初步制定绩效评价工作方案。二是召开座谈会，对工作方案进行反复讨论并广泛征求相关部门和有关人员意见。三是在资料搜集、信息核实、现场调研、访谈沟通等工作的基础上，对我单位各预算项目单独进行打分自评，各项目自评工作为实施全局年度绩效评价工作奠定了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2、组织实施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评价工作小组对我单位年度绩效的相关资料进行收集、梳理。首先，通过分析、核实，确保所收集的数据和资料真实、可靠。其次，逐一梳理各文件内容，将存在的问题以批注形式予以说明，同时在梳理资料过程中将资料分类并排序编码，形成资料清单。最后，在与相关人员沟通过程中，直接对照资料清单进行核实，随时删除已核实的批注问题，即时更新备注信息，确保已提交和待补充的资料名称、存在的问题及重点信息同时展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3、撰写绩效评价报告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</w:rPr>
        <w:t>小组成员在对收集的数据、资料进行核对、比较、计算的基础上，对比年度绩效目标，形成评价结论；根据评价结论，撰写绩效评价报告，并形成绩效评价档案。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/>
        <w:jc w:val="both"/>
        <w:textAlignment w:val="auto"/>
        <w:outlineLvl w:val="9"/>
        <w:rPr>
          <w:rFonts w:hint="eastAsia" w:ascii="黑体" w:hAnsi="黑体" w:eastAsia="黑体" w:cs="黑体"/>
          <w:b/>
          <w:bCs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</w:rPr>
        <w:t xml:space="preserve">    </w:t>
      </w:r>
      <w:r>
        <w:rPr>
          <w:rFonts w:hint="eastAsia" w:ascii="仿宋" w:hAnsi="仿宋" w:eastAsia="仿宋" w:cs="黑体"/>
          <w:b/>
          <w:bCs/>
          <w:kern w:val="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kern w:val="2"/>
          <w:sz w:val="32"/>
          <w:szCs w:val="32"/>
        </w:rPr>
        <w:t>三、</w:t>
      </w:r>
      <w:r>
        <w:rPr>
          <w:rFonts w:hint="eastAsia" w:ascii="黑体" w:hAnsi="黑体" w:eastAsia="黑体" w:cs="黑体"/>
          <w:kern w:val="2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 w:cs="黑体"/>
          <w:kern w:val="2"/>
          <w:sz w:val="32"/>
          <w:szCs w:val="32"/>
        </w:rPr>
        <w:t>绩效</w:t>
      </w:r>
      <w:r>
        <w:rPr>
          <w:rFonts w:hint="eastAsia" w:ascii="黑体" w:hAnsi="黑体" w:eastAsia="黑体" w:cs="黑体"/>
          <w:kern w:val="2"/>
          <w:sz w:val="32"/>
          <w:szCs w:val="32"/>
          <w:lang w:eastAsia="zh-CN"/>
        </w:rPr>
        <w:t>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ascii="仿宋" w:hAnsi="仿宋" w:eastAsia="仿宋" w:cs="楷体_GB2312"/>
          <w:b/>
          <w:bCs/>
          <w:kern w:val="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kern w:val="2"/>
          <w:sz w:val="32"/>
          <w:szCs w:val="32"/>
          <w:lang w:eastAsia="zh-CN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仿宋" w:hAnsi="仿宋" w:eastAsia="仿宋" w:cs="黑体"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2021年，市场监督管理局在县委、县政府的正确领导下，始终贯彻“1359”强县工作思路，以打造办事效率最高、服务质量最好、营商环境最优为工作目标，不断创新政务服务模式，深入推进市场监督制度改革，着力打造优质、便捷、高效的政务服务环境，主动服务于全县经济社会发展大局。各项目均较好地实现了年度预期目标，自评分数达到98分，均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ascii="仿宋" w:hAnsi="仿宋" w:eastAsia="仿宋" w:cs="黑体"/>
          <w:kern w:val="2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</w:rPr>
        <w:t>2021年单位共自评项目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黑体"/>
          <w:kern w:val="2"/>
          <w:sz w:val="32"/>
          <w:szCs w:val="32"/>
        </w:rPr>
        <w:t>个，绩效目标完成情况较好，自评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黑体"/>
          <w:kern w:val="2"/>
          <w:sz w:val="32"/>
          <w:szCs w:val="32"/>
        </w:rPr>
        <w:t>个项目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均</w:t>
      </w:r>
      <w:r>
        <w:rPr>
          <w:rFonts w:hint="eastAsia" w:ascii="仿宋" w:hAnsi="仿宋" w:eastAsia="仿宋" w:cs="黑体"/>
          <w:kern w:val="2"/>
          <w:sz w:val="32"/>
          <w:szCs w:val="32"/>
        </w:rPr>
        <w:t>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黑体"/>
          <w:b/>
          <w:bCs/>
          <w:kern w:val="2"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黑体"/>
          <w:kern w:val="2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黑体"/>
          <w:kern w:val="2"/>
          <w:sz w:val="32"/>
          <w:szCs w:val="32"/>
        </w:rPr>
        <w:t>预算编制的精细化有待进一步提高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，二是</w:t>
      </w:r>
      <w:r>
        <w:rPr>
          <w:rFonts w:hint="eastAsia" w:ascii="仿宋" w:hAnsi="仿宋" w:eastAsia="仿宋" w:cs="黑体"/>
          <w:kern w:val="2"/>
          <w:sz w:val="32"/>
          <w:szCs w:val="32"/>
        </w:rPr>
        <w:t>未严格建立资金绩效考核机制，安排业务项目资金时考虑工作需要较多，运用绩效评价结果不够，未充分发挥绩效考核的约束作用。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黑体"/>
          <w:b/>
          <w:bCs/>
          <w:kern w:val="2"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kern w:val="2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黑体"/>
          <w:kern w:val="2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黑体"/>
          <w:kern w:val="2"/>
          <w:sz w:val="32"/>
          <w:szCs w:val="32"/>
        </w:rPr>
        <w:t>进一步加强预算管理，提高预算编制的精准性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黑体"/>
          <w:kern w:val="2"/>
          <w:sz w:val="32"/>
          <w:szCs w:val="32"/>
        </w:rPr>
        <w:t>提高各业务科室的预算管理意识，实事求是、全面细致地进行预算编制，进一步提高预算编制的全面性、精准性。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二是</w:t>
      </w:r>
      <w:r>
        <w:rPr>
          <w:rFonts w:hint="eastAsia" w:ascii="仿宋" w:hAnsi="仿宋" w:eastAsia="仿宋" w:cs="黑体"/>
          <w:kern w:val="2"/>
          <w:sz w:val="32"/>
          <w:szCs w:val="32"/>
        </w:rPr>
        <w:t>强化预算绩效管理理念，将预算绩效理念贯穿预算编制、执行全过程，各业务科室配合做好项目工作实施计划，根据业务性质，科学合理设定项目绩效指标。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黑体"/>
          <w:kern w:val="2"/>
          <w:sz w:val="32"/>
          <w:szCs w:val="32"/>
        </w:rPr>
        <w:t>是进一步加强预算执行跟踪、督促力度，按季度进行预算执行进度的分析和通报，四季度按月督促各业务科室加快项目工作的开展和资金的投入、支付。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黑体"/>
          <w:kern w:val="2"/>
          <w:sz w:val="32"/>
          <w:szCs w:val="32"/>
        </w:rPr>
        <w:t>是加强和完善对业务部门的绩效考核，将预算执行和绩效评价结果纳入科室的考核指标，倒逼部门预算执行和绩效评价工作质量和效率的提高。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ind w:leftChars="200" w:right="0" w:rightChars="0"/>
        <w:jc w:val="both"/>
        <w:textAlignment w:val="auto"/>
        <w:outlineLvl w:val="9"/>
        <w:rPr>
          <w:rFonts w:hint="eastAsia"/>
          <w:sz w:val="21"/>
          <w:szCs w:val="20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eastAsia="zh-CN"/>
        </w:rPr>
        <w:t>六、</w:t>
      </w:r>
      <w:r>
        <w:rPr>
          <w:rFonts w:hint="eastAsia" w:ascii="黑体" w:hAnsi="黑体" w:eastAsia="黑体" w:cs="黑体"/>
          <w:kern w:val="2"/>
          <w:sz w:val="32"/>
          <w:szCs w:val="32"/>
        </w:rPr>
        <w:t>评价工作组人员名单及签字</w:t>
      </w:r>
    </w:p>
    <w:tbl>
      <w:tblPr>
        <w:tblStyle w:val="8"/>
        <w:tblpPr w:leftFromText="180" w:rightFromText="180" w:vertAnchor="text" w:horzAnchor="page" w:tblpX="1351" w:tblpY="625"/>
        <w:tblOverlap w:val="never"/>
        <w:tblW w:w="95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3586"/>
        <w:gridCol w:w="2220"/>
        <w:gridCol w:w="20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姓名</w:t>
            </w:r>
          </w:p>
        </w:tc>
        <w:tc>
          <w:tcPr>
            <w:tcW w:w="358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工作单位</w:t>
            </w:r>
          </w:p>
        </w:tc>
        <w:tc>
          <w:tcPr>
            <w:tcW w:w="22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rPr>
                <w:rFonts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职务</w:t>
            </w:r>
          </w:p>
        </w:tc>
        <w:tc>
          <w:tcPr>
            <w:tcW w:w="2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70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刘学志</w:t>
            </w:r>
          </w:p>
        </w:tc>
        <w:tc>
          <w:tcPr>
            <w:tcW w:w="3586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高邑县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市场监督管理局</w:t>
            </w:r>
          </w:p>
        </w:tc>
        <w:tc>
          <w:tcPr>
            <w:tcW w:w="222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局长</w:t>
            </w:r>
          </w:p>
        </w:tc>
        <w:tc>
          <w:tcPr>
            <w:tcW w:w="20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170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张静</w:t>
            </w:r>
          </w:p>
        </w:tc>
        <w:tc>
          <w:tcPr>
            <w:tcW w:w="3586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高邑县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市场监督管理局</w:t>
            </w:r>
          </w:p>
        </w:tc>
        <w:tc>
          <w:tcPr>
            <w:tcW w:w="222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副局长</w:t>
            </w:r>
          </w:p>
        </w:tc>
        <w:tc>
          <w:tcPr>
            <w:tcW w:w="20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170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常瑞鹏</w:t>
            </w:r>
          </w:p>
        </w:tc>
        <w:tc>
          <w:tcPr>
            <w:tcW w:w="3586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高邑县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市场监督管理局</w:t>
            </w:r>
          </w:p>
        </w:tc>
        <w:tc>
          <w:tcPr>
            <w:tcW w:w="222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财务科负责人</w:t>
            </w:r>
          </w:p>
        </w:tc>
        <w:tc>
          <w:tcPr>
            <w:tcW w:w="20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王晓峰</w:t>
            </w:r>
          </w:p>
        </w:tc>
        <w:tc>
          <w:tcPr>
            <w:tcW w:w="3586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高邑县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市场监督管理局</w:t>
            </w:r>
          </w:p>
        </w:tc>
        <w:tc>
          <w:tcPr>
            <w:tcW w:w="222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办公室负责人</w:t>
            </w:r>
          </w:p>
        </w:tc>
        <w:tc>
          <w:tcPr>
            <w:tcW w:w="20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5" w:type="default"/>
      <w:pgSz w:w="11906" w:h="16838"/>
      <w:pgMar w:top="1701" w:right="1531" w:bottom="1701" w:left="1531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default" w:ascii="Courier New" w:hAnsi="Courier New" w:cs="Courier New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Courier New" w:hAnsi="Courier New" w:cs="Courier New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Courier New" w:hAnsi="Courier New" w:cs="Courier New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Courier New" w:hAnsi="Courier New" w:cs="Courier New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Courier New" w:hAnsi="Courier New" w:cs="Courier New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default" w:ascii="Courier New" w:hAnsi="Courier New" w:cs="Courier New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Courier New" w:hAnsi="Courier New" w:cs="Courier New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Courier New" w:hAnsi="Courier New" w:cs="Courier New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Courier New" w:hAnsi="Courier New" w:cs="Courier New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Courier New" w:hAnsi="Courier New" w:cs="Courier New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F334BB"/>
    <w:multiLevelType w:val="singleLevel"/>
    <w:tmpl w:val="CBF334B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N2JlMzY5ZTkzOGUxMTk0MDZlODI0NzViNWE4M2UifQ=="/>
  </w:docVars>
  <w:rsids>
    <w:rsidRoot w:val="457958BF"/>
    <w:rsid w:val="02182209"/>
    <w:rsid w:val="05B06934"/>
    <w:rsid w:val="0FA44BC6"/>
    <w:rsid w:val="116B1AE5"/>
    <w:rsid w:val="1862071A"/>
    <w:rsid w:val="1DEA3622"/>
    <w:rsid w:val="20441B97"/>
    <w:rsid w:val="20AB1319"/>
    <w:rsid w:val="334C3049"/>
    <w:rsid w:val="3CAE43B5"/>
    <w:rsid w:val="3FEE41E8"/>
    <w:rsid w:val="457958BF"/>
    <w:rsid w:val="45C44CC8"/>
    <w:rsid w:val="55680D89"/>
    <w:rsid w:val="575B2385"/>
    <w:rsid w:val="67864545"/>
    <w:rsid w:val="713F03DA"/>
    <w:rsid w:val="72724AB4"/>
    <w:rsid w:val="7319273C"/>
    <w:rsid w:val="77B11B2B"/>
    <w:rsid w:val="77C94655"/>
    <w:rsid w:val="7ECF0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宋体" w:cs="宋体"/>
      <w:sz w:val="24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_Style 1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customStyle="1" w:styleId="11">
    <w:name w:val="font11"/>
    <w:basedOn w:val="9"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12">
    <w:name w:val="font41"/>
    <w:basedOn w:val="9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3061</Words>
  <Characters>3195</Characters>
  <Lines>0</Lines>
  <Paragraphs>0</Paragraphs>
  <TotalTime>5</TotalTime>
  <ScaleCrop>false</ScaleCrop>
  <LinksUpToDate>false</LinksUpToDate>
  <CharactersWithSpaces>3213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2022-05-16T02:03:00Z</dcterms:created>
  <dc:creator>Administrator</dc:creator>
  <cp:lastModifiedBy>常瑞鹏</cp:lastModifiedBy>
  <dcterms:modified xsi:type="dcterms:W3CDTF">2022-07-01T03:05:38Z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BBF80A6321A143F595A6242E1BAE6FA5</vt:lpwstr>
  </property>
</Properties>
</file>