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gif" ContentType="image/gi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r>
        <w:pict>
          <v:shape id="文本框 5" o:spid="_x0000_s1026" o:spt="202" type="#_x0000_t202" style="position:absolute;left:0pt;margin-left:128.25pt;margin-top:619.9pt;height:40.75pt;width:167.85pt;z-index:251665408;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">
            <v:path/>
            <v:fill on="f" focussize="0,0"/>
            <v:stroke on="f" weight="0.5pt" joinstyle="miter"/>
            <v:imagedata o:title=""/>
            <o:lock v:ext="edit"/>
            <v:textbo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2021年9月</w:t>
                  </w:r>
                </w:p>
              </w:txbxContent>
            </v:textbox>
          </v:shape>
        </w:pict>
      </w:r>
      <w:r>
        <w:drawing>
          <wp:anchor distT="0" distB="0" distL="114300" distR="114300" simplePos="0" relativeHeight="251666432" behindDoc="1" locked="0" layoutInCell="1" allowOverlap="1">
            <wp:simplePos x="0" y="0"/>
            <wp:positionH relativeFrom="column">
              <wp:posOffset>-997585</wp:posOffset>
            </wp:positionH>
            <wp:positionV relativeFrom="paragraph">
              <wp:posOffset>-1360170</wp:posOffset>
            </wp:positionV>
            <wp:extent cx="7592060" cy="10739755"/>
            <wp:effectExtent l="0" t="0" r="12700" b="4445"/>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14" cstate="print"/>
                    <a:stretch>
                      <a:fillRect/>
                    </a:stretch>
                  </pic:blipFill>
                  <pic:spPr>
                    <a:xfrm>
                      <a:off x="0" y="0"/>
                      <a:ext cx="7592060" cy="10739755"/>
                    </a:xfrm>
                    <a:prstGeom prst="rect">
                      <a:avLst/>
                    </a:prstGeom>
                  </pic:spPr>
                </pic:pic>
              </a:graphicData>
            </a:graphic>
          </wp:anchor>
        </w:drawing>
      </w:r>
      <w:r>
        <w:br w:type="page"/>
      </w:r>
    </w:p>
    <w:p>
      <w:pPr>
        <w:rPr>
          <w:rFonts w:ascii="黑体" w:hAnsi="黑体" w:eastAsia="黑体" w:cs="黑体"/>
          <w:sz w:val="72"/>
          <w:szCs w:val="96"/>
        </w:rPr>
      </w:pPr>
    </w:p>
    <w:p>
      <w:pP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highlight w:val="yellow"/>
        </w:rPr>
      </w:pPr>
      <w:r>
        <w:rPr>
          <w:rFonts w:hint="eastAsia" w:ascii="楷体_GB2312" w:hAnsi="楷体_GB2312" w:eastAsia="楷体_GB2312" w:cs="楷体_GB2312"/>
          <w:color w:val="000000" w:themeColor="text1"/>
          <w:kern w:val="0"/>
          <w:sz w:val="44"/>
          <w:szCs w:val="44"/>
        </w:rPr>
        <w:t>高邑县计划生育协会</w:t>
      </w:r>
    </w:p>
    <w:p>
      <w:pPr>
        <w:snapToGrid w:val="0"/>
        <w:jc w:val="center"/>
        <w:rPr>
          <w:rFonts w:ascii="楷体_GB2312" w:hAnsi="楷体_GB2312" w:eastAsia="楷体_GB2312" w:cs="楷体_GB2312"/>
          <w:color w:val="000000" w:themeColor="text1"/>
          <w:kern w:val="0"/>
          <w:sz w:val="40"/>
          <w:szCs w:val="40"/>
        </w:rPr>
      </w:pPr>
      <w:r>
        <w:rPr>
          <w:rFonts w:hint="eastAsia" w:ascii="楷体_GB2312" w:hAnsi="楷体_GB2312" w:eastAsia="楷体_GB2312" w:cs="楷体_GB2312"/>
          <w:color w:val="000000" w:themeColor="text1"/>
          <w:kern w:val="0"/>
          <w:sz w:val="40"/>
          <w:szCs w:val="40"/>
        </w:rPr>
        <w:t>二〇二一年九月</w:t>
      </w:r>
    </w:p>
    <w:p>
      <w:pPr>
        <w:snapToGrid w:val="0"/>
        <w:jc w:val="center"/>
        <w:rPr>
          <w:rFonts w:ascii="楷体_GB2312" w:hAnsi="楷体_GB2312" w:eastAsia="楷体_GB2312" w:cs="楷体_GB2312"/>
          <w:color w:val="000000" w:themeColor="text1"/>
          <w:kern w:val="0"/>
          <w:sz w:val="40"/>
          <w:szCs w:val="40"/>
        </w:rPr>
      </w:pPr>
    </w:p>
    <w:p>
      <w:pPr>
        <w:jc w:val="center"/>
        <w:rPr>
          <w:rFonts w:ascii="黑体" w:hAnsi="黑体" w:eastAsia="黑体" w:cs="黑体"/>
          <w:sz w:val="72"/>
          <w:szCs w:val="96"/>
          <w:highlight w:val="yellow"/>
        </w:rPr>
      </w:pPr>
      <w:r>
        <w:rPr>
          <w:rFonts w:hint="eastAsia" w:ascii="黑体" w:hAnsi="黑体" w:eastAsia="黑体" w:cs="黑体"/>
          <w:sz w:val="72"/>
          <w:szCs w:val="96"/>
        </w:rPr>
        <w:t>高邑县计划生育协会</w:t>
      </w:r>
    </w:p>
    <w:p>
      <w:pP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0"/>
          <w:szCs w:val="40"/>
        </w:rPr>
      </w:pPr>
    </w:p>
    <w:p>
      <w:pPr>
        <w:snapToGrid w:val="0"/>
        <w:jc w:val="center"/>
        <w:rPr>
          <w:rFonts w:ascii="楷体_GB2312" w:hAnsi="楷体_GB2312" w:eastAsia="楷体_GB2312" w:cs="楷体_GB2312"/>
          <w:color w:val="000000" w:themeColor="text1"/>
          <w:kern w:val="0"/>
          <w:sz w:val="40"/>
          <w:szCs w:val="40"/>
        </w:rPr>
      </w:pPr>
    </w:p>
    <w:p>
      <w:pPr>
        <w:snapToGrid w:val="0"/>
        <w:jc w:val="center"/>
        <w:rPr>
          <w:rFonts w:ascii="楷体_GB2312" w:hAnsi="楷体_GB2312" w:eastAsia="楷体_GB2312" w:cs="楷体_GB2312"/>
          <w:color w:val="000000" w:themeColor="text1"/>
          <w:kern w:val="0"/>
          <w:sz w:val="40"/>
          <w:szCs w:val="40"/>
        </w:rPr>
      </w:pPr>
    </w:p>
    <w:p>
      <w:pPr>
        <w:snapToGrid w:val="0"/>
        <w:jc w:val="center"/>
        <w:rPr>
          <w:rFonts w:hint="eastAsia" w:ascii="黑体" w:hAnsi="黑体" w:eastAsia="楷体_GB2312" w:cs="黑体"/>
          <w:sz w:val="56"/>
          <w:szCs w:val="72"/>
          <w:highlight w:val="yellow"/>
          <w:lang w:val="en-US" w:eastAsia="zh-CN"/>
        </w:rPr>
        <w:sectPr>
          <w:headerReference r:id="rId4" w:type="first"/>
          <w:footerReference r:id="rId6" w:type="first"/>
          <w:headerReference r:id="rId3" w:type="default"/>
          <w:footerReference r:id="rId5" w:type="default"/>
          <w:type w:val="continuous"/>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0"/>
          <w:szCs w:val="40"/>
        </w:rPr>
        <w:t>二〇二一年九</w:t>
      </w:r>
      <w:r>
        <w:rPr>
          <w:rFonts w:hint="eastAsia" w:ascii="楷体_GB2312" w:hAnsi="楷体_GB2312" w:eastAsia="楷体_GB2312" w:cs="楷体_GB2312"/>
          <w:color w:val="000000" w:themeColor="text1"/>
          <w:kern w:val="0"/>
          <w:sz w:val="40"/>
          <w:szCs w:val="40"/>
          <w:lang w:val="en-US" w:eastAsia="zh-CN"/>
        </w:rPr>
        <w:t>月</w:t>
      </w:r>
    </w:p>
    <w:p>
      <w:pPr>
        <w:rPr>
          <w:rFonts w:ascii="黑体" w:hAnsi="Times New Roman" w:eastAsia="黑体" w:cs="Times New Roman"/>
          <w:sz w:val="48"/>
          <w:szCs w:val="48"/>
        </w:rPr>
      </w:pPr>
    </w:p>
    <w:p>
      <w:pPr>
        <w:tabs>
          <w:tab w:val="left" w:pos="2728"/>
        </w:tabs>
        <w:jc w:val="center"/>
        <w:rPr>
          <w:rFonts w:hint="eastAsia"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w:t>
      </w:r>
      <w:r>
        <w:rPr>
          <w:rFonts w:hint="eastAsia" w:ascii="Times New Roman" w:hAnsi="Times New Roman" w:eastAsia="黑体" w:cs="Times New Roman"/>
          <w:sz w:val="32"/>
          <w:szCs w:val="32"/>
          <w:lang w:val="en-US" w:eastAsia="zh-CN"/>
        </w:rPr>
        <w:t>度</w:t>
      </w:r>
      <w:r>
        <w:rPr>
          <w:rFonts w:ascii="Times New Roman" w:hAnsi="Times New Roman" w:eastAsia="黑体" w:cs="Times New Roman"/>
          <w:sz w:val="32"/>
          <w:szCs w:val="32"/>
        </w:rPr>
        <w:t>部门决算情况说明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8" w:type="first"/>
          <w:footerReference r:id="rId10" w:type="first"/>
          <w:headerReference r:id="rId7" w:type="default"/>
          <w:footerReference r:id="rId9" w:type="default"/>
          <w:type w:val="continuous"/>
          <w:pgSz w:w="11906" w:h="16838"/>
          <w:pgMar w:top="2098" w:right="1531" w:bottom="1984"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文本框 143" o:spid="_x0000_s1027" o:spt="202" type="#_x0000_t202" style="position:absolute;left:0pt;margin-left:-85.7pt;margin-top:80.7pt;height:263.1pt;width:613.65pt;z-index:251659264;v-text-anchor:middle;mso-width-relative:page;mso-height-relative:page;" fillcolor="#7F7F7F"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">
            <v:path/>
            <v:fill type="pattern" on="t" color2="#FFFFFF" focussize="0,0" r:id="rId15"/>
            <v:stroke weight="1pt" color="#A5A5A5" joinstyle="miter"/>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widowControl/>
        <w:spacing w:line="580" w:lineRule="exact"/>
        <w:ind w:firstLine="1273" w:firstLineChars="398"/>
        <w:rPr>
          <w:rFonts w:eastAsia="仿宋_GB2312"/>
          <w:sz w:val="32"/>
          <w:szCs w:val="32"/>
        </w:rPr>
      </w:pPr>
      <w:r>
        <w:rPr>
          <w:rFonts w:hint="eastAsia" w:eastAsia="仿宋_GB2312" w:cs="仿宋_GB2312"/>
          <w:sz w:val="32"/>
          <w:szCs w:val="32"/>
        </w:rPr>
        <w:t>一、部门职责</w:t>
      </w:r>
    </w:p>
    <w:p>
      <w:pPr>
        <w:numPr>
          <w:ilvl w:val="0"/>
          <w:numId w:val="1"/>
        </w:numPr>
        <w:ind w:firstLine="560"/>
        <w:rPr>
          <w:rFonts w:ascii="仿宋_GB2312" w:hAnsi="仿宋_GB2312" w:eastAsia="仿宋_GB2312"/>
          <w:sz w:val="32"/>
          <w:szCs w:val="32"/>
        </w:rPr>
      </w:pPr>
      <w:r>
        <w:rPr>
          <w:rFonts w:hint="eastAsia" w:ascii="仿宋_GB2312" w:hAnsi="仿宋_GB2312" w:eastAsia="仿宋_GB2312" w:cs="仿宋_GB2312"/>
          <w:sz w:val="32"/>
          <w:szCs w:val="32"/>
        </w:rPr>
        <w:t>组织各级协会工作人员和志愿者学习国家计划生育政策和有关的法律、法规、规章、提高民主参与和民主监督的能力和水平。</w:t>
      </w:r>
    </w:p>
    <w:p>
      <w:pPr>
        <w:numPr>
          <w:ilvl w:val="0"/>
          <w:numId w:val="1"/>
        </w:numPr>
        <w:ind w:firstLine="560"/>
        <w:rPr>
          <w:rFonts w:ascii="仿宋_GB2312" w:hAnsi="仿宋_GB2312" w:eastAsia="仿宋_GB2312"/>
          <w:sz w:val="32"/>
          <w:szCs w:val="32"/>
        </w:rPr>
      </w:pPr>
      <w:r>
        <w:rPr>
          <w:rFonts w:hint="eastAsia" w:ascii="仿宋_GB2312" w:hAnsi="仿宋_GB2312" w:eastAsia="仿宋_GB2312" w:cs="仿宋_GB2312"/>
          <w:sz w:val="32"/>
          <w:szCs w:val="32"/>
        </w:rPr>
        <w:t>监督、检查本级和下级计划生育协会工作人员，依法行使民主参与和民主监督职能的工作。</w:t>
      </w:r>
    </w:p>
    <w:p>
      <w:pPr>
        <w:rPr>
          <w:rFonts w:ascii="仿宋_GB2312" w:hAnsi="仿宋_GB2312" w:eastAsia="仿宋_GB2312"/>
          <w:sz w:val="32"/>
          <w:szCs w:val="32"/>
        </w:rPr>
      </w:pP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（三）建立收集群众意见和建议的多种渠道，保证群众的意见和建议能够及时、准确、顺畅地反映上来。</w:t>
      </w:r>
    </w:p>
    <w:p>
      <w:pPr>
        <w:ind w:firstLine="560"/>
        <w:rPr>
          <w:rFonts w:ascii="仿宋_GB2312" w:hAnsi="仿宋_GB2312" w:eastAsia="仿宋_GB2312"/>
          <w:sz w:val="32"/>
          <w:szCs w:val="32"/>
        </w:rPr>
      </w:pPr>
      <w:r>
        <w:rPr>
          <w:rFonts w:hint="eastAsia" w:ascii="仿宋_GB2312" w:hAnsi="仿宋_GB2312" w:eastAsia="仿宋_GB2312" w:cs="仿宋_GB2312"/>
          <w:sz w:val="32"/>
          <w:szCs w:val="32"/>
        </w:rPr>
        <w:t>（四）对经过各种渠道收集的群众意见进行汇总、核实、整理和分析，将有代表的意见和问题，经过调查报告、提案、建议等书面形式，向本级政府和有关部门反映，使群众的意见和要求能得到及时处理和解决。</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年度本部门决算汇编范围的独立核算单位（以下简称“单位”）共1个，具体情况如下：</w:t>
      </w:r>
    </w:p>
    <w:tbl>
      <w:tblPr>
        <w:tblStyle w:val="8"/>
        <w:tblpPr w:leftFromText="180" w:rightFromText="180" w:vertAnchor="text" w:horzAnchor="page" w:tblpXSpec="center" w:tblpY="10"/>
        <w:tblOverlap w:val="never"/>
        <w:tblW w:w="94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3426"/>
        <w:gridCol w:w="2404"/>
        <w:gridCol w:w="26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jc w:val="center"/>
        </w:trPr>
        <w:tc>
          <w:tcPr>
            <w:tcW w:w="968"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426"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404"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622"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68" w:type="dxa"/>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1</w:t>
            </w:r>
          </w:p>
        </w:tc>
        <w:tc>
          <w:tcPr>
            <w:tcW w:w="3426" w:type="dxa"/>
          </w:tcPr>
          <w:p>
            <w:pPr>
              <w:spacing w:line="560" w:lineRule="exact"/>
              <w:rPr>
                <w:rFonts w:ascii="仿宋_GB2312" w:hAnsi="Calibri" w:eastAsia="仿宋_GB2312" w:cs="Arial Black"/>
                <w:kern w:val="0"/>
                <w:sz w:val="28"/>
                <w:szCs w:val="28"/>
              </w:rPr>
            </w:pPr>
            <w:r>
              <w:rPr>
                <w:rFonts w:hint="eastAsia" w:ascii="仿宋_GB2312" w:hAnsi="Calibri" w:eastAsia="仿宋_GB2312" w:cs="Arial Black"/>
                <w:kern w:val="0"/>
                <w:sz w:val="28"/>
                <w:szCs w:val="28"/>
              </w:rPr>
              <w:t>高邑县计划生育协会</w:t>
            </w:r>
          </w:p>
        </w:tc>
        <w:tc>
          <w:tcPr>
            <w:tcW w:w="2404" w:type="dxa"/>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参公事业单位</w:t>
            </w:r>
          </w:p>
        </w:tc>
        <w:tc>
          <w:tcPr>
            <w:tcW w:w="2622" w:type="dxa"/>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420" w:type="dxa"/>
            <w:gridSpan w:val="4"/>
            <w:tcBorders>
              <w:top w:val="single" w:color="auto" w:sz="4" w:space="0"/>
              <w:left w:val="nil"/>
              <w:bottom w:val="nil"/>
              <w:right w:val="nil"/>
            </w:tcBorders>
          </w:tcPr>
          <w:p>
            <w:pPr>
              <w:spacing w:line="560" w:lineRule="exact"/>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2、经费形式分为财政拨款、财政性资金基本保证、财政性资金定额或定项补助、财政性资金零补助四类。</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
      <w:pPr>
        <w:widowControl/>
        <w:spacing w:after="160" w:line="580" w:lineRule="exact"/>
        <w:ind w:firstLine="1440" w:firstLineChars="200"/>
        <w:rPr>
          <w:rFonts w:ascii="Times New Roman" w:hAnsi="Times New Roman" w:eastAsia="黑体" w:cs="Times New Roman"/>
          <w:sz w:val="32"/>
          <w:szCs w:val="32"/>
        </w:rPr>
        <w:sectPr>
          <w:headerReference r:id="rId11" w:type="default"/>
          <w:pgSz w:w="11906" w:h="16838"/>
          <w:pgMar w:top="2098" w:right="1531" w:bottom="1984" w:left="1531" w:header="851" w:footer="992" w:gutter="0"/>
          <w:pgNumType w:fmt="numberInDash"/>
          <w:cols w:space="0" w:num="1"/>
          <w:titlePg/>
          <w:docGrid w:type="lines" w:linePitch="312" w:charSpace="0"/>
        </w:sectPr>
      </w:pPr>
      <w:r>
        <w:rPr>
          <w:sz w:val="72"/>
        </w:rPr>
        <w:pict>
          <v:shape id="文本框 151" o:spid="_x0000_s1028" o:spt="202" type="#_x0000_t202" style="position:absolute;left:0pt;margin-left:-85.7pt;margin-top:238.15pt;height:173.25pt;width:613.65pt;z-index:251661312;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 xml:space="preserve"> </w:t>
                  </w: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文本框 2" o:spid="_x0000_s1029" o:spt="202" type="#_x0000_t202" style="position:absolute;left:0pt;margin-left:-80.95pt;margin-top:-207.65pt;height:263.1pt;width:613.65pt;z-index:251662336;v-text-anchor:middle;mso-width-relative:page;mso-height-relative:page;" fillcolor="#7F7F7F"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">
            <v:path/>
            <v:fill type="pattern" on="t" color2="#FFFFFF" focussize="0,0" r:id="rId15"/>
            <v:stroke weight="1pt" color="#A5A5A5" joinstyle="miter"/>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2020年</w:t>
                  </w:r>
                  <w:r>
                    <w:rPr>
                      <w:rFonts w:hint="eastAsia" w:ascii="黑体" w:hAnsi="黑体" w:eastAsia="黑体" w:cs="黑体"/>
                      <w:color w:val="000000" w:themeColor="text1"/>
                      <w:sz w:val="90"/>
                      <w:szCs w:val="90"/>
                      <w:lang w:val="en-US" w:eastAsia="zh-CN"/>
                    </w:rPr>
                    <w:t>度</w:t>
                  </w:r>
                  <w:r>
                    <w:rPr>
                      <w:rFonts w:hint="eastAsia" w:ascii="黑体" w:hAnsi="黑体" w:eastAsia="黑体" w:cs="黑体"/>
                      <w:color w:val="000000" w:themeColor="text1"/>
                      <w:sz w:val="90"/>
                      <w:szCs w:val="90"/>
                    </w:rPr>
                    <w:t>部门决算情况说明</w:t>
                  </w:r>
                </w:p>
                <w:p>
                  <w:pPr>
                    <w:widowControl/>
                    <w:jc w:val="center"/>
                  </w:pPr>
                </w:p>
                <w:p/>
              </w:txbxContent>
            </v:textbox>
          </v:shape>
        </w:pict>
      </w:r>
    </w:p>
    <w:p>
      <w:pPr>
        <w:jc w:val="center"/>
        <w:rPr>
          <w:rFonts w:ascii="黑体" w:hAnsi="黑体" w:eastAsia="黑体" w:cs="黑体"/>
          <w:sz w:val="56"/>
          <w:szCs w:val="72"/>
        </w:rPr>
      </w:pPr>
    </w:p>
    <w:p>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rPr>
        <w:t>本部门2020年度收、支总计（含结转和结余）36.55万元。与2019年度决算相比，收支各减少7.98万元，下降17.92%，主要原因是人员减少。</w:t>
      </w:r>
    </w:p>
    <w:p>
      <w:pPr>
        <w:adjustRightInd w:val="0"/>
        <w:snapToGrid w:val="0"/>
        <w:spacing w:line="600" w:lineRule="exact"/>
        <w:rPr>
          <w:rFonts w:ascii="仿宋_GB2312" w:hAnsi="Times New Roman" w:eastAsia="仿宋_GB2312" w:cs="Wingdings"/>
          <w:sz w:val="32"/>
          <w:szCs w:val="32"/>
        </w:rPr>
      </w:pPr>
      <w:r>
        <w:rPr>
          <w:rFonts w:hint="eastAsia" w:ascii="仿宋_GB2312" w:hAnsi="Times New Roman" w:eastAsia="仿宋_GB2312" w:cs="Wingdings"/>
          <w:sz w:val="32"/>
          <w:szCs w:val="32"/>
        </w:rPr>
        <w:drawing>
          <wp:anchor distT="0" distB="0" distL="114300" distR="114300" simplePos="0" relativeHeight="251663360" behindDoc="1" locked="0" layoutInCell="1" allowOverlap="1">
            <wp:simplePos x="0" y="0"/>
            <wp:positionH relativeFrom="column">
              <wp:posOffset>744220</wp:posOffset>
            </wp:positionH>
            <wp:positionV relativeFrom="paragraph">
              <wp:posOffset>62230</wp:posOffset>
            </wp:positionV>
            <wp:extent cx="4157980" cy="2273300"/>
            <wp:effectExtent l="0" t="0" r="2540" b="12700"/>
            <wp:wrapNone/>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pPr>
        <w:keepNext/>
        <w:keepLines/>
        <w:snapToGrid w:val="0"/>
        <w:spacing w:line="600" w:lineRule="exact"/>
        <w:ind w:firstLine="640" w:firstLineChars="200"/>
        <w:outlineLvl w:val="1"/>
        <w:rPr>
          <w:rFonts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w:t>
      </w:r>
      <w:r>
        <w:rPr>
          <w:rFonts w:hint="eastAsia" w:ascii="仿宋_GB2312" w:hAnsi="Times New Roman" w:eastAsia="仿宋_GB2312" w:cs="Wingdings"/>
          <w:color w:val="000000" w:themeColor="text1"/>
          <w:sz w:val="32"/>
          <w:szCs w:val="32"/>
        </w:rPr>
        <w:t>部门2020年度本年收入合计36.15万元，其中：财政拨款收入36.15万元，占100%；上级补助收入0万元，占0%；事业收入0万元，占0%；经营收入0万元，占0%；附属单位上缴收入0万元，占0%；其他收入0万元，占0%。</w:t>
      </w:r>
    </w:p>
    <w:p>
      <w:pPr>
        <w:snapToGrid w:val="0"/>
        <w:spacing w:line="600" w:lineRule="exact"/>
        <w:ind w:firstLine="640" w:firstLineChars="200"/>
        <w:outlineLvl w:val="1"/>
        <w:rPr>
          <w:rFonts w:ascii="黑体" w:hAnsi="Calibri" w:eastAsia="黑体" w:cs="Times New Roman"/>
          <w:sz w:val="32"/>
          <w:szCs w:val="32"/>
        </w:rPr>
      </w:pPr>
    </w:p>
    <w:p>
      <w:pPr>
        <w:snapToGrid w:val="0"/>
        <w:spacing w:line="600" w:lineRule="exact"/>
        <w:ind w:firstLine="640" w:firstLineChars="200"/>
        <w:outlineLvl w:val="1"/>
        <w:rPr>
          <w:rFonts w:ascii="黑体" w:hAnsi="Calibri" w:eastAsia="黑体" w:cs="Times New Roman"/>
          <w:sz w:val="32"/>
          <w:szCs w:val="32"/>
        </w:rPr>
      </w:pPr>
    </w:p>
    <w:p>
      <w:pPr>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本部门2020年度本年支出合计36.55万元，其中：基本支出36.55万元，占100%；项目支出0万元，占0%；上缴上级支出0万元，占0%；经营支出0万元，占0%；对附属单位补助支出0万元，占0%。</w:t>
      </w:r>
    </w:p>
    <w:p>
      <w:pPr>
        <w:adjustRightInd w:val="0"/>
        <w:snapToGrid w:val="0"/>
        <w:spacing w:line="600" w:lineRule="exact"/>
        <w:ind w:firstLine="1920" w:firstLineChars="600"/>
        <w:rPr>
          <w:rFonts w:ascii="仿宋_GB2312" w:hAnsi="Times New Roman" w:eastAsia="仿宋_GB2312" w:cs="Wingdings"/>
          <w:sz w:val="32"/>
          <w:szCs w:val="32"/>
        </w:rPr>
      </w:pPr>
    </w:p>
    <w:p>
      <w:pPr>
        <w:keepNext/>
        <w:keepLines/>
        <w:snapToGrid w:val="0"/>
        <w:spacing w:line="600" w:lineRule="exact"/>
        <w:ind w:firstLine="643" w:firstLineChars="200"/>
        <w:outlineLvl w:val="1"/>
        <w:rPr>
          <w:rFonts w:ascii="黑体" w:hAnsi="Calibri" w:eastAsia="黑体" w:cs="Times New Roman"/>
          <w:b/>
          <w:bCs/>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p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Wingdings"/>
          <w:sz w:val="32"/>
          <w:szCs w:val="32"/>
        </w:rPr>
        <w:t>本部门2020年度财政拨款收支均为一般公共预算财政拨款，其中本年收入36.15万元,比2019年度减少7.66万元，降低17.48%，主要是人员减少；本年支出36.55万元，减少7.98万元，降低17.92%，主要是人员减少。</w:t>
      </w:r>
    </w:p>
    <w:p>
      <w:pPr>
        <w:adjustRightInd w:val="0"/>
        <w:snapToGrid w:val="0"/>
        <w:spacing w:line="600" w:lineRule="exact"/>
        <w:ind w:firstLine="640" w:firstLineChars="200"/>
        <w:rPr>
          <w:rFonts w:hint="eastAsia" w:ascii="仿宋_GB2312" w:hAnsi="Times New Roman" w:eastAsia="仿宋_GB2312" w:cs="Wingdings"/>
          <w:sz w:val="32"/>
          <w:szCs w:val="32"/>
        </w:rPr>
      </w:pPr>
    </w:p>
    <w:p>
      <w:pPr>
        <w:adjustRightInd w:val="0"/>
        <w:snapToGrid w:val="0"/>
        <w:spacing w:line="240" w:lineRule="auto"/>
        <w:ind w:firstLine="0" w:firstLineChars="0"/>
        <w:rPr>
          <w:rFonts w:hint="eastAsia" w:ascii="仿宋_GB2312" w:hAnsi="Times New Roman" w:eastAsia="仿宋_GB2312" w:cs="Wingdings"/>
          <w:sz w:val="32"/>
          <w:szCs w:val="32"/>
        </w:rPr>
      </w:pPr>
      <w:r>
        <w:drawing>
          <wp:inline distT="0" distB="0" distL="114300" distR="114300">
            <wp:extent cx="5624195" cy="2318385"/>
            <wp:effectExtent l="4445" t="4445" r="10160" b="8890"/>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adjustRightInd w:val="0"/>
        <w:snapToGrid w:val="0"/>
        <w:spacing w:line="600" w:lineRule="exact"/>
        <w:rPr>
          <w:rFonts w:hint="eastAsia" w:ascii="仿宋_GB2312" w:hAnsi="Times New Roman" w:eastAsia="仿宋_GB2312" w:cs="Wingdings"/>
          <w:sz w:val="32"/>
          <w:szCs w:val="32"/>
        </w:rPr>
      </w:pPr>
    </w:p>
    <w:p>
      <w:pPr>
        <w:adjustRightInd w:val="0"/>
        <w:snapToGrid w:val="0"/>
        <w:spacing w:line="580" w:lineRule="exact"/>
        <w:ind w:firstLine="1920" w:firstLineChars="600"/>
        <w:rPr>
          <w:rFonts w:hint="eastAsia" w:ascii="仿宋" w:hAnsi="仿宋" w:eastAsia="仿宋" w:cs="仿宋"/>
          <w:sz w:val="32"/>
          <w:szCs w:val="32"/>
          <w:highlight w:val="none"/>
        </w:rPr>
      </w:pPr>
      <w:r>
        <w:rPr>
          <w:rFonts w:hint="eastAsia" w:ascii="仿宋" w:hAnsi="仿宋" w:eastAsia="仿宋" w:cs="仿宋"/>
          <w:sz w:val="32"/>
          <w:szCs w:val="32"/>
        </w:rPr>
        <w:t>2101</w:t>
      </w:r>
      <w:r>
        <w:rPr>
          <w:rFonts w:hint="eastAsia" w:ascii="仿宋" w:hAnsi="仿宋" w:eastAsia="仿宋" w:cs="仿宋"/>
          <w:sz w:val="32"/>
          <w:szCs w:val="32"/>
          <w:lang w:val="en-US" w:eastAsia="zh-CN"/>
        </w:rPr>
        <w:t>9</w:t>
      </w:r>
      <w:r>
        <w:rPr>
          <w:rFonts w:hint="eastAsia" w:ascii="仿宋" w:hAnsi="仿宋" w:eastAsia="仿宋" w:cs="仿宋"/>
          <w:sz w:val="32"/>
          <w:szCs w:val="32"/>
        </w:rPr>
        <w:t>-20</w:t>
      </w:r>
      <w:r>
        <w:rPr>
          <w:rFonts w:hint="eastAsia" w:ascii="仿宋" w:hAnsi="仿宋" w:eastAsia="仿宋" w:cs="仿宋"/>
          <w:sz w:val="32"/>
          <w:szCs w:val="32"/>
          <w:lang w:val="en-US" w:eastAsia="zh-CN"/>
        </w:rPr>
        <w:t>20</w:t>
      </w:r>
      <w:r>
        <w:rPr>
          <w:rFonts w:hint="eastAsia" w:ascii="仿宋" w:hAnsi="仿宋" w:eastAsia="仿宋" w:cs="仿宋"/>
          <w:sz w:val="32"/>
          <w:szCs w:val="32"/>
        </w:rPr>
        <w:t>年财政拨款收支情况</w:t>
      </w:r>
    </w:p>
    <w:p>
      <w:pPr>
        <w:snapToGrid w:val="0"/>
        <w:spacing w:line="600" w:lineRule="exact"/>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一般公共预算财政拨款收入36.15万元，完成年初预算的57.89%,比年初预算减少26.3万元，决算数小于预算数主要原因是人员调走；本年支出36.55万元，完成年初预算的58.52%,比年初预算减少25.9万元，决算数小于预算数主要原因是人员调走。</w:t>
      </w: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p>
    <w:p>
      <w:pPr>
        <w:adjustRightInd w:val="0"/>
        <w:snapToGrid w:val="0"/>
        <w:spacing w:line="240" w:lineRule="auto"/>
        <w:ind w:firstLine="0" w:firstLineChars="0"/>
        <w:rPr>
          <w:rFonts w:hint="eastAsia" w:ascii="仿宋_GB2312" w:hAnsi="Times New Roman" w:eastAsia="仿宋_GB2312" w:cs="Wingdings"/>
          <w:sz w:val="32"/>
          <w:szCs w:val="32"/>
          <w:highlight w:val="yellow"/>
        </w:rPr>
      </w:pPr>
    </w:p>
    <w:p>
      <w:pPr>
        <w:adjustRightInd w:val="0"/>
        <w:snapToGrid w:val="0"/>
        <w:spacing w:line="240" w:lineRule="auto"/>
        <w:ind w:firstLine="0" w:firstLineChars="0"/>
        <w:rPr>
          <w:rFonts w:hint="eastAsia" w:ascii="仿宋_GB2312" w:hAnsi="Times New Roman" w:eastAsia="仿宋_GB2312" w:cs="Wingdings"/>
          <w:sz w:val="32"/>
          <w:szCs w:val="32"/>
          <w:highlight w:val="yellow"/>
        </w:rPr>
      </w:pPr>
      <w:r>
        <w:drawing>
          <wp:inline distT="0" distB="0" distL="114300" distR="114300">
            <wp:extent cx="3734435" cy="1607820"/>
            <wp:effectExtent l="4445" t="4445" r="10160" b="18415"/>
            <wp:docPr id="6"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adjustRightInd w:val="0"/>
        <w:snapToGrid w:val="0"/>
        <w:spacing w:line="240" w:lineRule="auto"/>
        <w:ind w:firstLine="0" w:firstLineChars="0"/>
        <w:rPr>
          <w:rFonts w:hint="eastAsia" w:ascii="仿宋_GB2312" w:hAnsi="Times New Roman" w:eastAsia="仿宋_GB2312" w:cs="Wingdings"/>
          <w:sz w:val="32"/>
          <w:szCs w:val="32"/>
          <w:highlight w:val="yellow"/>
        </w:rPr>
      </w:pPr>
    </w:p>
    <w:p>
      <w:pPr>
        <w:numPr>
          <w:ilvl w:val="0"/>
          <w:numId w:val="0"/>
        </w:numPr>
        <w:adjustRightInd w:val="0"/>
        <w:snapToGrid w:val="0"/>
        <w:spacing w:line="600" w:lineRule="exact"/>
        <w:rPr>
          <w:rFonts w:hint="eastAsia" w:ascii="楷体_GB2312" w:hAnsi="Times New Roman" w:eastAsia="楷体_GB2312" w:cs="Mongolian Baiti"/>
          <w:b/>
          <w:bCs/>
          <w:sz w:val="32"/>
          <w:szCs w:val="32"/>
          <w:lang w:eastAsia="zh-CN"/>
        </w:rPr>
      </w:pPr>
      <w:r>
        <w:rPr>
          <w:rFonts w:hint="eastAsia" w:ascii="仿宋_GB2312" w:hAnsi="Times New Roman" w:eastAsia="仿宋_GB2312" w:cs="DengXian-Regular"/>
          <w:sz w:val="32"/>
          <w:szCs w:val="32"/>
        </w:rPr>
        <w:t>财政拨款收支预决算对比情况</w:t>
      </w:r>
    </w:p>
    <w:p>
      <w:pPr>
        <w:numPr>
          <w:ilvl w:val="0"/>
          <w:numId w:val="0"/>
        </w:numPr>
        <w:adjustRightInd w:val="0"/>
        <w:snapToGrid w:val="0"/>
        <w:spacing w:line="600" w:lineRule="exact"/>
        <w:ind w:left="420" w:leftChars="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lang w:eastAsia="zh-CN"/>
        </w:rPr>
        <w:t>（</w:t>
      </w:r>
      <w:r>
        <w:rPr>
          <w:rFonts w:hint="eastAsia" w:ascii="楷体_GB2312" w:hAnsi="Times New Roman" w:eastAsia="楷体_GB2312" w:cs="Mongolian Baiti"/>
          <w:b/>
          <w:bCs/>
          <w:sz w:val="32"/>
          <w:szCs w:val="32"/>
          <w:lang w:val="en-US" w:eastAsia="zh-CN"/>
        </w:rPr>
        <w:t>三</w:t>
      </w:r>
      <w:r>
        <w:rPr>
          <w:rFonts w:hint="eastAsia" w:ascii="楷体_GB2312" w:hAnsi="Times New Roman" w:eastAsia="楷体_GB2312" w:cs="Mongolian Baiti"/>
          <w:b/>
          <w:bCs/>
          <w:sz w:val="32"/>
          <w:szCs w:val="32"/>
          <w:lang w:eastAsia="zh-CN"/>
        </w:rPr>
        <w:t>）</w:t>
      </w:r>
      <w:r>
        <w:rPr>
          <w:rFonts w:hint="eastAsia" w:ascii="楷体_GB2312" w:hAnsi="Times New Roman" w:eastAsia="楷体_GB2312" w:cs="Mongolian Baiti"/>
          <w:b/>
          <w:bCs/>
          <w:sz w:val="32"/>
          <w:szCs w:val="32"/>
        </w:rPr>
        <w:t>财政拨款支出决算结构情况。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支出36.55万元，主要用于以下方面（按本部门支出的功能分类大类进行列举，可对各类支出用途进行概括说明）：比如：一般公共服务（类）支出0万元，占0%，；公共安全类（类）支出0万元，占0%；教育（类）支出0万元，占0%；科学技术（类）支出0万元，占0%；社会保障和就业（类）支出 3.66万元，占10.01%；住房保障（类）支出3.11万元，占 8.51%;卫生健康支出29.77万元，占81.48%。</w:t>
      </w:r>
    </w:p>
    <w:p>
      <w:pPr>
        <w:adjustRightInd w:val="0"/>
        <w:snapToGrid w:val="0"/>
        <w:spacing w:line="240" w:lineRule="auto"/>
        <w:rPr>
          <w:rFonts w:ascii="楷体_GB2312" w:hAnsi="Times New Roman" w:eastAsia="楷体_GB2312" w:cs="Mongolian Baiti"/>
          <w:b/>
          <w:bCs/>
          <w:sz w:val="32"/>
          <w:szCs w:val="32"/>
        </w:rPr>
      </w:pPr>
      <w:r>
        <w:drawing>
          <wp:inline distT="0" distB="0" distL="114300" distR="114300">
            <wp:extent cx="3574415" cy="1585595"/>
            <wp:effectExtent l="5080" t="4445" r="17145" b="10160"/>
            <wp:docPr id="7"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hint="eastAsia" w:ascii="楷体_GB2312" w:hAnsi="Times New Roman" w:eastAsia="仿宋_GB2312" w:cs="Mongolian Baiti"/>
          <w:b/>
          <w:bCs/>
          <w:sz w:val="32"/>
          <w:szCs w:val="32"/>
          <w:lang w:eastAsia="zh-CN"/>
        </w:rPr>
      </w:pPr>
      <w:r>
        <w:rPr>
          <w:rFonts w:hint="eastAsia" w:ascii="仿宋_GB2312" w:hAnsi="Times New Roman" w:eastAsia="仿宋_GB2312" w:cs="Wingdings"/>
          <w:sz w:val="28"/>
          <w:szCs w:val="28"/>
        </w:rPr>
        <w:t>财政拨款支出决算结构（按功能分类</w:t>
      </w:r>
      <w:r>
        <w:rPr>
          <w:rFonts w:hint="eastAsia" w:ascii="仿宋_GB2312" w:hAnsi="Times New Roman" w:eastAsia="仿宋_GB2312" w:cs="Wingdings"/>
          <w:sz w:val="28"/>
          <w:szCs w:val="28"/>
          <w:lang w:eastAsia="zh-CN"/>
        </w:rPr>
        <w:t>）</w:t>
      </w:r>
      <w:bookmarkStart w:id="0" w:name="_GoBack"/>
      <w:bookmarkEnd w:id="0"/>
    </w:p>
    <w:p>
      <w:pPr>
        <w:adjustRightInd w:val="0"/>
        <w:snapToGrid w:val="0"/>
        <w:spacing w:line="600" w:lineRule="exact"/>
        <w:ind w:left="420" w:leftChars="200"/>
        <w:rPr>
          <w:rFonts w:hint="eastAsia" w:ascii="楷体_GB2312" w:hAnsi="Times New Roman" w:eastAsia="楷体_GB2312" w:cs="Mongolian Baiti"/>
          <w:b/>
          <w:bCs/>
          <w:sz w:val="32"/>
          <w:szCs w:val="32"/>
        </w:rPr>
      </w:pPr>
    </w:p>
    <w:p>
      <w:pPr>
        <w:adjustRightInd w:val="0"/>
        <w:snapToGrid w:val="0"/>
        <w:spacing w:line="240" w:lineRule="auto"/>
        <w:ind w:left="0" w:leftChars="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年度财政拨款基本支出36.55万元，其中：人员经费 28.36万元，主要包括基本工资、津贴补贴、奖金、机关事业单位基本养老保险缴费、职业年金缴费、职工基本医疗保险缴费、住房公积金、其他社会保障缴费、其他工资福利支出</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公用经费 8.19万元，主要包括办公费、印刷费、邮电费、其他商品和服务支出。</w:t>
      </w: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本部门2020年度“三公”经费财政拨款支出预算为0万元，支出决算为0元，完成预算的0%,较预算增加0万元，增长0%，主要是未发生三公经费支出，增加0万，增长0万元，主要是未发生三公经费支出。</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1.因公出国（境）费。</w:t>
      </w:r>
      <w:r>
        <w:rPr>
          <w:rFonts w:hint="eastAsia" w:ascii="仿宋_GB2312" w:hAnsi="仿宋_GB2312" w:eastAsia="仿宋_GB2312" w:cs="仿宋_GB2312"/>
          <w:sz w:val="32"/>
          <w:szCs w:val="32"/>
        </w:rPr>
        <w:t>本部门2020年因公出国（境）费支出0万元，完成预算的0%。</w:t>
      </w:r>
      <w:r>
        <w:rPr>
          <w:rFonts w:hint="eastAsia" w:ascii="仿宋_GB2312" w:hAnsi="Times New Roman" w:eastAsia="仿宋_GB2312" w:cs="Wingdings"/>
          <w:sz w:val="32"/>
          <w:szCs w:val="32"/>
        </w:rPr>
        <w:t>因公出国（境）团组0个、共0人、参加其他单位组织的因公出国（境）团组0个、共0人/无本单位组织的出国（境）团组。因公出国（境）费支出较预算增加0万元，增长0%,主要是未发生因公出国（境）支出，上年增加0万元，增长0%,主要是未发生因公出国（境）支出。</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2.公务用车购置及运行维护费。</w:t>
      </w:r>
      <w:r>
        <w:rPr>
          <w:rFonts w:hint="eastAsia" w:ascii="仿宋_GB2312" w:hAnsi="仿宋_GB2312" w:eastAsia="仿宋_GB2312" w:cs="仿宋_GB2312"/>
          <w:sz w:val="32"/>
          <w:szCs w:val="32"/>
        </w:rPr>
        <w:t>本部门2020年公务用车购置及运行维护费支出0万元，完成预算的0%，</w:t>
      </w:r>
      <w:r>
        <w:rPr>
          <w:rFonts w:hint="eastAsia" w:ascii="仿宋_GB2312" w:hAnsi="Times New Roman" w:eastAsia="仿宋_GB2312" w:cs="Wingdings"/>
          <w:sz w:val="32"/>
          <w:szCs w:val="32"/>
        </w:rPr>
        <w:t>较预算增加0万元，增长0%,主要是未发生车辆购置支出；较上年增加0万元，增长（降低）0,主要是未发生车辆购置支出；</w:t>
      </w:r>
      <w:r>
        <w:rPr>
          <w:rFonts w:hint="eastAsia" w:ascii="仿宋_GB2312" w:hAnsi="Times New Roman" w:eastAsia="仿宋_GB2312" w:cs="Mongolian Baiti"/>
          <w:b/>
          <w:bCs/>
          <w:sz w:val="32"/>
          <w:szCs w:val="32"/>
        </w:rPr>
        <w:t>其中：</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sz w:val="32"/>
          <w:szCs w:val="32"/>
        </w:rPr>
        <w:t>本部门2020年度公务用车购置量0辆，发生“公务用车购置”经费支出0万元。公务用车购置费支出较预算增加0万元，增长0%,主要是未发生车辆购置支出；较上年增加0万元，增长0%,主要是未发生车辆购置支出。</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sz w:val="32"/>
          <w:szCs w:val="32"/>
        </w:rPr>
        <w:t>本部门2020年度单位公务用车保有量0辆,发生运行维护费支出0万元。公车运行维护费支出较预算增加0万元，增长0%,主要是未发生公务用车运行维护费支出；年增加0万元，增长0%，主要是未发生公务用车运行维护费支出。</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3.公务接待费。</w:t>
      </w:r>
      <w:r>
        <w:rPr>
          <w:rFonts w:hint="eastAsia" w:ascii="仿宋_GB2312" w:hAnsi="仿宋_GB2312" w:eastAsia="仿宋_GB2312" w:cs="仿宋_GB2312"/>
          <w:sz w:val="32"/>
          <w:szCs w:val="32"/>
        </w:rPr>
        <w:t>本部门2020年公务接待费支出0万元，完成预算的0%。发生</w:t>
      </w:r>
      <w:r>
        <w:rPr>
          <w:rFonts w:hint="eastAsia" w:ascii="仿宋_GB2312" w:hAnsi="Times New Roman" w:eastAsia="仿宋_GB2312" w:cs="Wingdings"/>
          <w:sz w:val="32"/>
          <w:szCs w:val="32"/>
        </w:rPr>
        <w:t>公务接待共0批次、0人次。公务接待费支出较预算增加0万元，增长0%,主要是未发生公务接待支出；较上年度增加0元，增长0,主要是未发生公务接待支出。</w:t>
      </w:r>
    </w:p>
    <w:p>
      <w:pPr>
        <w:adjustRightInd w:val="0"/>
        <w:snapToGrid w:val="0"/>
        <w:spacing w:line="60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00" w:lineRule="exact"/>
        <w:ind w:firstLine="640" w:firstLineChars="200"/>
        <w:rPr>
          <w:rFonts w:ascii="仿宋_GB2312" w:eastAsia="仿宋_GB2312"/>
          <w:sz w:val="32"/>
          <w:szCs w:val="32"/>
          <w:shd w:val="pct10" w:color="auto" w:fill="FFFFFF"/>
        </w:rPr>
      </w:pPr>
      <w:r>
        <w:rPr>
          <w:rFonts w:hint="eastAsia" w:ascii="仿宋_GB2312" w:eastAsia="仿宋_GB2312" w:cs="仿宋_GB2312"/>
          <w:sz w:val="32"/>
          <w:szCs w:val="32"/>
          <w:shd w:val="pct10" w:color="auto" w:fill="FFFFFF"/>
        </w:rPr>
        <w:t>（一）本单位无一般公共预算项目支出。</w:t>
      </w:r>
    </w:p>
    <w:p>
      <w:pPr>
        <w:adjustRightInd w:val="0"/>
        <w:snapToGrid w:val="0"/>
        <w:spacing w:line="500" w:lineRule="exact"/>
        <w:ind w:firstLine="640" w:firstLineChars="200"/>
        <w:rPr>
          <w:rFonts w:hint="eastAsia" w:ascii="仿宋_GB2312" w:eastAsia="仿宋_GB2312" w:cs="仿宋_GB2312"/>
          <w:sz w:val="32"/>
          <w:szCs w:val="32"/>
          <w:shd w:val="pct10" w:color="auto" w:fill="FFFFFF"/>
        </w:rPr>
      </w:pPr>
      <w:r>
        <w:rPr>
          <w:rFonts w:hint="eastAsia" w:ascii="仿宋_GB2312" w:eastAsia="仿宋_GB2312" w:cs="仿宋_GB2312"/>
          <w:sz w:val="32"/>
          <w:szCs w:val="32"/>
          <w:shd w:val="pct10" w:color="auto" w:fill="FFFFFF"/>
        </w:rPr>
        <w:t>（二）本单位无民生项目和重点支出项目。</w:t>
      </w:r>
    </w:p>
    <w:p>
      <w:pPr>
        <w:adjustRightInd w:val="0"/>
        <w:snapToGrid w:val="0"/>
        <w:spacing w:line="500" w:lineRule="exact"/>
        <w:ind w:firstLine="640" w:firstLineChars="200"/>
        <w:rPr>
          <w:rFonts w:hint="default" w:ascii="仿宋_GB2312" w:hAnsi="仿宋_GB2312" w:eastAsia="仿宋_GB2312" w:cs="仿宋_GB2312"/>
          <w:sz w:val="32"/>
          <w:szCs w:val="32"/>
          <w:lang w:val="en-US" w:eastAsia="zh-CN"/>
        </w:rPr>
      </w:pPr>
      <w:r>
        <w:rPr>
          <w:rFonts w:hint="eastAsia" w:ascii="仿宋_GB2312" w:eastAsia="仿宋_GB2312" w:cs="仿宋_GB2312"/>
          <w:sz w:val="32"/>
          <w:szCs w:val="32"/>
          <w:shd w:val="pct10" w:color="auto" w:fill="FFFFFF"/>
        </w:rPr>
        <w:t>（</w:t>
      </w:r>
      <w:r>
        <w:rPr>
          <w:rFonts w:hint="eastAsia" w:ascii="仿宋_GB2312" w:eastAsia="仿宋_GB2312" w:cs="仿宋_GB2312"/>
          <w:sz w:val="32"/>
          <w:szCs w:val="32"/>
          <w:shd w:val="pct10" w:color="auto" w:fill="FFFFFF"/>
          <w:lang w:val="en-US" w:eastAsia="zh-CN"/>
        </w:rPr>
        <w:t>三</w:t>
      </w:r>
      <w:r>
        <w:rPr>
          <w:rFonts w:hint="eastAsia" w:ascii="仿宋_GB2312" w:eastAsia="仿宋_GB2312" w:cs="仿宋_GB2312"/>
          <w:sz w:val="32"/>
          <w:szCs w:val="32"/>
          <w:shd w:val="pct10" w:color="auto" w:fill="FFFFFF"/>
        </w:rPr>
        <w:t>）</w:t>
      </w:r>
      <w:r>
        <w:rPr>
          <w:rFonts w:hint="eastAsia" w:ascii="仿宋_GB2312" w:eastAsia="仿宋_GB2312" w:cs="仿宋_GB2312"/>
          <w:sz w:val="32"/>
          <w:szCs w:val="32"/>
          <w:shd w:val="pct10" w:color="auto" w:fill="FFFFFF"/>
          <w:lang w:val="en-US" w:eastAsia="zh-CN"/>
        </w:rPr>
        <w:t>财政评价项目绩效评价结果无</w:t>
      </w:r>
    </w:p>
    <w:p>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本部门2020年度机关运行经费支出0万元，比2019年度增加0万元，增长（降低）0%，主要原因是本单位无机关运行经费。</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八、政府采购情况</w:t>
      </w:r>
    </w:p>
    <w:p>
      <w:pPr>
        <w:snapToGrid w:val="0"/>
        <w:spacing w:line="600" w:lineRule="exact"/>
        <w:ind w:firstLine="640" w:firstLineChars="200"/>
        <w:jc w:val="left"/>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本部门2020年度政府采购支出总额0万元，从采购类型来看，</w:t>
      </w:r>
      <w:r>
        <w:rPr>
          <w:rFonts w:hint="eastAsia" w:ascii="仿宋_GB2312" w:hAnsi="仿宋_GB2312" w:eastAsia="仿宋_GB2312" w:cs="仿宋_GB2312"/>
          <w:color w:val="000000"/>
          <w:kern w:val="0"/>
          <w:sz w:val="32"/>
          <w:szCs w:val="32"/>
        </w:rPr>
        <w:t>政府采购货物支出0万元、政府采购工程支出0万元、政府采购服务支出 0万元。授予中小企业合同金0万元，占政府采购支出总额的0万元，授予小微企业合同金额0万元，占政府采购支出总额的 0万元。</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截至2020年12月31日，本部门共有车辆0辆，上年增加0辆，主要是未发生车辆购置，部（省）级及以上领导用车0辆，</w:t>
      </w:r>
    </w:p>
    <w:p>
      <w:pPr>
        <w:adjustRightInd w:val="0"/>
        <w:snapToGrid w:val="0"/>
        <w:spacing w:line="60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主要领导干部用车0辆，机要通信用车0辆，应急保障用车0辆</w:t>
      </w:r>
    </w:p>
    <w:p>
      <w:pPr>
        <w:adjustRightInd w:val="0"/>
        <w:snapToGrid w:val="0"/>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，执法执勤用车0辆，特种专业技术用车0辆，离退休干部用车0辆，其他用车0辆，其他用车主要是未发生车辆购置。</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单位价值50万元以上通用设备0台（套），比上年增加0台（套），主要是未发生设备购置，单位价值100万元以上专用设备0台（套）比上年增加0套，主要是未发生设备购置。</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十、其他需要说明的情况</w:t>
      </w:r>
    </w:p>
    <w:p>
      <w:pPr>
        <w:adjustRightInd w:val="0"/>
        <w:snapToGrid w:val="0"/>
        <w:spacing w:line="580" w:lineRule="exact"/>
        <w:ind w:firstLine="640" w:firstLineChars="200"/>
        <w:rPr>
          <w:rFonts w:hint="eastAsia" w:ascii="仿宋_GB2312" w:hAnsi="Times New Roman" w:eastAsia="仿宋_GB2312" w:cs="DengXian-Regular"/>
          <w:b/>
          <w:sz w:val="32"/>
          <w:szCs w:val="32"/>
        </w:rPr>
      </w:pPr>
      <w:r>
        <w:rPr>
          <w:rFonts w:hint="eastAsia" w:ascii="仿宋_GB2312" w:hAnsi="Times New Roman" w:eastAsia="仿宋_GB2312" w:cs="DengXian-Regular"/>
          <w:sz w:val="32"/>
          <w:szCs w:val="32"/>
        </w:rPr>
        <w:t>1. 本部门2020公共预算财政拨款“三公经费”支出决算表为空，故此表以空表列示。本部门2020性基金财政拨款收入支出决算表为空，故此表以空表列示。2020有资本经营预算财政拨款支出决算表为空，故此表以空表列示。</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pPr>
        <w:rPr>
          <w:rFonts w:ascii="仿宋_GB2312" w:hAnsi="宋体" w:eastAsia="仿宋_GB2312" w:cs="Arial Black"/>
          <w:sz w:val="32"/>
          <w:szCs w:val="32"/>
        </w:rPr>
      </w:pPr>
      <w:r>
        <w:rPr>
          <w:rFonts w:ascii="仿宋_GB2312" w:hAnsi="宋体" w:eastAsia="仿宋_GB2312" w:cs="Arial Black"/>
          <w:sz w:val="32"/>
          <w:szCs w:val="32"/>
        </w:rPr>
        <w:br w:type="page"/>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sz w:val="72"/>
        </w:rPr>
        <w:pict>
          <v:shape id="文本框 188" o:spid="_x0000_s1039" o:spt="202" type="#_x0000_t202" style="position:absolute;left:0pt;margin-left:-81.9pt;margin-top:2.05pt;height:263.1pt;width:613.65pt;z-index:251660288;v-text-anchor:middle;mso-width-relative:page;mso-height-relative:page;" fillcolor="#7F7F7F"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">
            <v:path/>
            <v:fill type="pattern" on="t" color2="#FFFFFF" focussize="0,0" r:id="rId15"/>
            <v:stroke weight="0.5pt" color="#7F7F7F" joinstyle="miter"/>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sectPr>
          <w:headerReference r:id="rId12" w:type="default"/>
          <w:pgSz w:w="11906" w:h="16838"/>
          <w:pgMar w:top="2098" w:right="1531" w:bottom="1984" w:left="1531" w:header="851" w:footer="992" w:gutter="0"/>
          <w:pgNumType w:fmt="numberInDash"/>
          <w:cols w:space="0" w:num="1"/>
          <w:titlePg/>
          <w:docGrid w:type="lines" w:linePitch="312" w:charSpace="0"/>
        </w:sect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widowControl/>
        <w:jc w:val="left"/>
        <w:rPr>
          <w:rFonts w:ascii="黑体" w:hAnsi="黑体" w:eastAsia="黑体" w:cs="黑体"/>
          <w:sz w:val="56"/>
          <w:szCs w:val="72"/>
        </w:rPr>
      </w:pPr>
      <w:r>
        <w:rPr>
          <w:rFonts w:ascii="黑体" w:hAnsi="黑体" w:eastAsia="黑体" w:cs="黑体"/>
          <w:sz w:val="56"/>
          <w:szCs w:val="72"/>
        </w:rPr>
        <w:br w:type="page"/>
      </w:r>
    </w:p>
    <w:p>
      <w:pPr>
        <w:widowControl/>
        <w:jc w:val="left"/>
        <w:rPr>
          <w:rFonts w:hint="eastAsia" w:ascii="黑体" w:hAnsi="黑体" w:eastAsia="黑体" w:cs="黑体"/>
          <w:sz w:val="56"/>
          <w:szCs w:val="72"/>
        </w:rPr>
      </w:pPr>
      <w:r>
        <w:rPr>
          <w:rFonts w:ascii="黑体" w:hAnsi="黑体" w:eastAsia="黑体" w:cs="黑体"/>
          <w:sz w:val="56"/>
          <w:szCs w:val="72"/>
        </w:rPr>
        <w:pict>
          <v:shape id="文本框 1" o:spid="_x0000_s1043" o:spt="202" type="#_x0000_t202" style="position:absolute;left:0pt;margin-left:-68.9pt;margin-top:102.65pt;height:263.1pt;width:613.65pt;z-index:251667456;v-text-anchor:middle;mso-width-relative:page;mso-height-relative:page;" fillcolor="#7F7F7F"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">
            <v:path/>
            <v:fill type="pattern" on="t" color2="#FFFFFF" focussize="0,0" r:id="rId15"/>
            <v:stroke weight="1pt" color="#A6A6A6" joinstyle="miter"/>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rPr>
                      <w:rFonts w:hint="eastAsia" w:ascii="黑体" w:hAnsi="黑体" w:eastAsia="黑体" w:cs="黑体"/>
                      <w:color w:val="000000" w:themeColor="text1"/>
                      <w:sz w:val="90"/>
                      <w:szCs w:val="90"/>
                    </w:rPr>
                  </w:pPr>
                  <w:r>
                    <w:rPr>
                      <w:rFonts w:hint="eastAsia" w:ascii="黑体" w:hAnsi="黑体" w:eastAsia="黑体" w:cs="黑体"/>
                      <w:color w:val="000000" w:themeColor="text1"/>
                      <w:sz w:val="90"/>
                      <w:szCs w:val="90"/>
                    </w:rPr>
                    <w:t>2020年度部门决算报表</w:t>
                  </w:r>
                </w:p>
                <w:p>
                  <w:pPr>
                    <w:widowControl/>
                    <w:jc w:val="center"/>
                    <w:rPr>
                      <w:rFonts w:hint="eastAsia" w:ascii="黑体" w:hAnsi="黑体" w:eastAsia="黑体" w:cs="黑体"/>
                      <w:color w:val="000000" w:themeColor="text1"/>
                      <w:sz w:val="90"/>
                      <w:szCs w:val="90"/>
                    </w:rPr>
                  </w:pPr>
                </w:p>
                <w:p>
                  <w:pPr>
                    <w:widowControl/>
                    <w:jc w:val="center"/>
                  </w:pPr>
                </w:p>
              </w:txbxContent>
            </v:textbox>
          </v:shape>
        </w:pict>
      </w:r>
      <w:r>
        <w:rPr>
          <w:rFonts w:ascii="黑体" w:hAnsi="黑体" w:eastAsia="黑体" w:cs="黑体"/>
          <w:sz w:val="56"/>
          <w:szCs w:val="72"/>
        </w:rPr>
        <w:br w:type="page"/>
      </w:r>
    </w:p>
    <w:tbl>
      <w:tblPr>
        <w:tblStyle w:val="7"/>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9517"/>
      </w:tblGrid>
      <w:tr>
        <w:tblPrEx>
          <w:tblCellMar>
            <w:top w:w="0" w:type="dxa"/>
            <w:left w:w="0" w:type="dxa"/>
            <w:bottom w:w="0" w:type="dxa"/>
            <w:right w:w="0" w:type="dxa"/>
          </w:tblCellMar>
        </w:tblPrEx>
        <w:trPr>
          <w:trHeight w:val="213" w:hRule="atLeast"/>
          <w:jc w:val="center"/>
        </w:trPr>
        <w:tc>
          <w:tcPr>
            <w:tcW w:w="9517"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见附表</w:t>
            </w:r>
          </w:p>
          <w:p>
            <w:pPr>
              <w:widowControl/>
              <w:jc w:val="left"/>
              <w:textAlignment w:val="center"/>
              <w:rPr>
                <w:rFonts w:ascii="宋体" w:hAnsi="宋体" w:eastAsia="宋体" w:cs="宋体"/>
                <w:color w:val="000000"/>
                <w:kern w:val="0"/>
                <w:sz w:val="22"/>
              </w:rPr>
            </w:pPr>
          </w:p>
        </w:tc>
      </w:tr>
    </w:tbl>
    <w:p>
      <w:pPr>
        <w:jc w:val="left"/>
      </w:pPr>
    </w:p>
    <w:p>
      <w:pPr>
        <w:widowControl/>
        <w:spacing w:after="160" w:line="580" w:lineRule="exact"/>
        <w:ind w:right="1280"/>
        <w:jc w:val="cente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本部门应该公开9张决算表格，即：</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一、收入支出决算总表</w:t>
      </w:r>
      <w:r>
        <w:rPr>
          <w:rFonts w:hint="eastAsia" w:ascii="Times New Roman" w:hAnsi="Times New Roman" w:eastAsia="仿宋_GB2312" w:cs="Times New Roman"/>
          <w:sz w:val="32"/>
          <w:szCs w:val="32"/>
        </w:rPr>
        <w:t>（公开01表）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二、收入决算表</w:t>
      </w:r>
      <w:r>
        <w:rPr>
          <w:rFonts w:hint="eastAsia" w:ascii="Times New Roman" w:hAnsi="Times New Roman" w:eastAsia="仿宋_GB2312" w:cs="Times New Roman"/>
          <w:sz w:val="32"/>
          <w:szCs w:val="32"/>
        </w:rPr>
        <w:t>（公开02表）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三、支出决算表</w:t>
      </w:r>
      <w:r>
        <w:rPr>
          <w:rFonts w:hint="eastAsia" w:ascii="Times New Roman" w:hAnsi="Times New Roman" w:eastAsia="仿宋_GB2312" w:cs="Times New Roman"/>
          <w:sz w:val="32"/>
          <w:szCs w:val="32"/>
        </w:rPr>
        <w:t>（公开03表）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四、财政拨款收入支出决算总表</w:t>
      </w:r>
      <w:r>
        <w:rPr>
          <w:rFonts w:hint="eastAsia" w:ascii="Times New Roman" w:hAnsi="Times New Roman" w:eastAsia="仿宋_GB2312" w:cs="Times New Roman"/>
          <w:sz w:val="32"/>
          <w:szCs w:val="32"/>
        </w:rPr>
        <w:t>（公开04表）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五、一般公共预算财政拨款支出决算表</w:t>
      </w:r>
      <w:r>
        <w:rPr>
          <w:rFonts w:hint="eastAsia" w:ascii="Times New Roman" w:hAnsi="Times New Roman" w:eastAsia="仿宋_GB2312" w:cs="Times New Roman"/>
          <w:sz w:val="32"/>
          <w:szCs w:val="32"/>
        </w:rPr>
        <w:t>（公开05表）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六、一般公共预算财政拨款基本支出决算表</w:t>
      </w:r>
      <w:r>
        <w:rPr>
          <w:rFonts w:hint="eastAsia" w:ascii="Times New Roman" w:hAnsi="Times New Roman" w:eastAsia="仿宋_GB2312" w:cs="Times New Roman"/>
          <w:sz w:val="32"/>
          <w:szCs w:val="32"/>
        </w:rPr>
        <w:t>（公开06表）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w:t>
      </w:r>
      <w:r>
        <w:rPr>
          <w:rFonts w:hint="eastAsia" w:ascii="Times New Roman" w:hAnsi="Times New Roman" w:eastAsia="仿宋_GB2312" w:cs="Times New Roman"/>
          <w:sz w:val="32"/>
          <w:szCs w:val="32"/>
        </w:rPr>
        <w:t>一般公共预算财政拨款</w:t>
      </w:r>
      <w:r>
        <w:rPr>
          <w:rFonts w:ascii="Times New Roman" w:hAnsi="Times New Roman" w:eastAsia="仿宋_GB2312" w:cs="Times New Roman"/>
          <w:sz w:val="32"/>
          <w:szCs w:val="32"/>
        </w:rPr>
        <w:t>“三公”经费</w:t>
      </w:r>
      <w:r>
        <w:rPr>
          <w:rFonts w:hint="eastAsia" w:ascii="Times New Roman" w:hAnsi="Times New Roman" w:eastAsia="仿宋_GB2312" w:cs="Times New Roman"/>
          <w:sz w:val="32"/>
          <w:szCs w:val="32"/>
        </w:rPr>
        <w:t>支出决算表（公开07表）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政府性基金预算财政拨款收入支出决算表</w:t>
      </w:r>
      <w:r>
        <w:rPr>
          <w:rFonts w:hint="eastAsia" w:ascii="Times New Roman" w:hAnsi="Times New Roman" w:eastAsia="仿宋_GB2312" w:cs="Times New Roman"/>
          <w:sz w:val="32"/>
          <w:szCs w:val="32"/>
        </w:rPr>
        <w:t>（公开08表）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w:t>
      </w:r>
      <w:r>
        <w:rPr>
          <w:rFonts w:ascii="Times New Roman" w:hAnsi="Times New Roman" w:eastAsia="仿宋_GB2312" w:cs="Times New Roman"/>
          <w:sz w:val="32"/>
          <w:szCs w:val="32"/>
        </w:rPr>
        <w:t>、国有资本经营预算</w:t>
      </w:r>
      <w:r>
        <w:rPr>
          <w:rFonts w:hint="eastAsia" w:ascii="Times New Roman" w:hAnsi="Times New Roman" w:eastAsia="仿宋_GB2312" w:cs="Times New Roman"/>
          <w:sz w:val="32"/>
          <w:szCs w:val="32"/>
        </w:rPr>
        <w:t>财政拨款</w:t>
      </w:r>
      <w:r>
        <w:rPr>
          <w:rFonts w:ascii="Times New Roman" w:hAnsi="Times New Roman" w:eastAsia="仿宋_GB2312" w:cs="Times New Roman"/>
          <w:sz w:val="32"/>
          <w:szCs w:val="32"/>
        </w:rPr>
        <w:t>支出决算表</w:t>
      </w:r>
      <w:r>
        <w:rPr>
          <w:rFonts w:hint="eastAsia" w:ascii="Times New Roman" w:hAnsi="Times New Roman" w:eastAsia="仿宋_GB2312" w:cs="Times New Roman"/>
          <w:sz w:val="32"/>
          <w:szCs w:val="32"/>
        </w:rPr>
        <w:t>（公开09表）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详见附件：《高邑县计划生育协会20</w:t>
      </w:r>
      <w:r>
        <w:rPr>
          <w:rFonts w:hint="eastAsia" w:ascii="Times New Roman" w:hAnsi="Times New Roman" w:eastAsia="仿宋_GB2312" w:cs="Times New Roman"/>
          <w:sz w:val="32"/>
          <w:szCs w:val="32"/>
          <w:lang w:val="en-US" w:eastAsia="zh-CN"/>
        </w:rPr>
        <w:t>20</w:t>
      </w:r>
      <w:r>
        <w:rPr>
          <w:rFonts w:hint="eastAsia" w:ascii="Times New Roman" w:hAnsi="Times New Roman" w:eastAsia="仿宋_GB2312" w:cs="Times New Roman"/>
          <w:sz w:val="32"/>
          <w:szCs w:val="32"/>
        </w:rPr>
        <w:t>年度部门决算公开表》</w:t>
      </w:r>
    </w:p>
    <w:p>
      <w:pPr>
        <w:rPr>
          <w:rFonts w:ascii="黑体" w:hAnsi="黑体" w:eastAsia="黑体" w:cs="黑体"/>
          <w:sz w:val="56"/>
          <w:szCs w:val="72"/>
        </w:rPr>
        <w:sectPr>
          <w:type w:val="continuous"/>
          <w:pgSz w:w="11906" w:h="16838"/>
          <w:pgMar w:top="2098" w:right="1531" w:bottom="1984" w:left="1531" w:header="851" w:footer="992" w:gutter="0"/>
          <w:pgNumType w:fmt="numberInDash"/>
          <w:cols w:space="0" w:num="1"/>
          <w:titlePg/>
          <w:docGrid w:type="lines" w:linePitch="312" w:charSpace="0"/>
        </w:sectPr>
      </w:pPr>
    </w:p>
    <w:p>
      <w:pPr>
        <w:tabs>
          <w:tab w:val="left" w:pos="235"/>
        </w:tabs>
        <w:spacing w:line="600" w:lineRule="exact"/>
        <w:ind w:firstLine="640" w:firstLineChars="200"/>
        <w:jc w:val="left"/>
        <w:rPr>
          <w:rFonts w:ascii="仿宋_GB2312" w:hAnsi="Cambria" w:eastAsia="仿宋_GB2312" w:cs="Arial Black"/>
          <w:kern w:val="0"/>
          <w:sz w:val="32"/>
          <w:szCs w:val="32"/>
        </w:rPr>
      </w:pPr>
      <w:r>
        <w:rPr>
          <w:sz w:val="32"/>
        </w:rPr>
        <w:pict>
          <v:rect id="_x0000_s1041" o:spid="_x0000_s1041" o:spt="1" style="position:absolute;left:0pt;margin-left:-78.2pt;margin-top:-106.6pt;height:842.2pt;width:601pt;z-index:251664384;v-text-anchor:middle;mso-width-relative:page;mso-height-relative:page;" fillcolor="#BDD7EE" filled="t" stroked="f" coordsize="21600,21600" o:gfxdata="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BpHv59wAAAAPAQAADwAAAAAAAAABACAAAAAiAAAA&#10;ZHJzL2Rvd25yZXYueG1sUEsBAhQAFAAAAAgAh07iQNMsnA11AgAAwwQAAA4AAAAAAAAAAQAgAAAA&#10;KwEAAGRycy9lMm9Eb2MueG1sUEsFBgAAAAAGAAYAWQEAABIGAAAAAA==&#10;">
            <v:path/>
            <v:fill on="t" focussize="0,0"/>
            <v:stroke on="f" weight="1pt"/>
            <v:imagedata o:title=""/>
            <o:lock v:ext="edit"/>
          </v:rect>
        </w:pic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0000000000000000000"/>
    <w:charset w:val="86"/>
    <w:family w:val="modern"/>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Arial Black">
    <w:panose1 w:val="020B0A04020102020204"/>
    <w:charset w:val="00"/>
    <w:family w:val="swiss"/>
    <w:pitch w:val="default"/>
    <w:sig w:usb0="A00002AF" w:usb1="400078FB" w:usb2="00000000" w:usb3="00000000" w:csb0="6000009F" w:csb1="DFD70000"/>
  </w:font>
  <w:font w:name="Cambria">
    <w:panose1 w:val="02040503050406030204"/>
    <w:charset w:val="00"/>
    <w:family w:val="roman"/>
    <w:pitch w:val="default"/>
    <w:sig w:usb0="E00006FF" w:usb1="420024FF" w:usb2="02000000" w:usb3="00000000" w:csb0="2000019F" w:csb1="00000000"/>
  </w:font>
  <w:font w:name="Mongolian Baiti">
    <w:panose1 w:val="03000500000000000000"/>
    <w:charset w:val="00"/>
    <w:family w:val="script"/>
    <w:pitch w:val="default"/>
    <w:sig w:usb0="80000023" w:usb1="00000000" w:usb2="00020000" w:usb3="00000000" w:csb0="00000001" w:csb1="00000000"/>
  </w:font>
  <w:font w:name="DengXian-Regular">
    <w:altName w:val="宋体"/>
    <w:panose1 w:val="00000000000000000000"/>
    <w:charset w:val="86"/>
    <w:family w:val="auto"/>
    <w:pitch w:val="default"/>
    <w:sig w:usb0="00000000" w:usb1="00000000" w:usb2="0000001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92926F5"/>
    <w:multiLevelType w:val="singleLevel"/>
    <w:tmpl w:val="592926F5"/>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displayBackgroundShape w:val="1"/>
  <w:embedSystem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mNlOTU5NTA1ZGRhZTYzY2Q1ZThjNzBiN2RjOWM3ZjQifQ=="/>
  </w:docVars>
  <w:rsids>
    <w:rsidRoot w:val="34C45458"/>
    <w:rsid w:val="00006A0D"/>
    <w:rsid w:val="00061A05"/>
    <w:rsid w:val="00061B93"/>
    <w:rsid w:val="00147453"/>
    <w:rsid w:val="0018668E"/>
    <w:rsid w:val="001B73D2"/>
    <w:rsid w:val="001B78FB"/>
    <w:rsid w:val="001E62BF"/>
    <w:rsid w:val="001F41F2"/>
    <w:rsid w:val="002150AE"/>
    <w:rsid w:val="00264181"/>
    <w:rsid w:val="0027064E"/>
    <w:rsid w:val="00293E7B"/>
    <w:rsid w:val="002D1F4F"/>
    <w:rsid w:val="002E167A"/>
    <w:rsid w:val="002F1DA9"/>
    <w:rsid w:val="00310EBF"/>
    <w:rsid w:val="00366D90"/>
    <w:rsid w:val="003A5A1D"/>
    <w:rsid w:val="003D2226"/>
    <w:rsid w:val="003D678E"/>
    <w:rsid w:val="003D7F6C"/>
    <w:rsid w:val="0041179B"/>
    <w:rsid w:val="00461FAF"/>
    <w:rsid w:val="004D1EA2"/>
    <w:rsid w:val="005E0E86"/>
    <w:rsid w:val="00610DE5"/>
    <w:rsid w:val="00630980"/>
    <w:rsid w:val="006C01AE"/>
    <w:rsid w:val="006C6203"/>
    <w:rsid w:val="007620A2"/>
    <w:rsid w:val="00791C72"/>
    <w:rsid w:val="007920FC"/>
    <w:rsid w:val="007B4876"/>
    <w:rsid w:val="00801F66"/>
    <w:rsid w:val="00803549"/>
    <w:rsid w:val="00812C39"/>
    <w:rsid w:val="00843ECA"/>
    <w:rsid w:val="009334BF"/>
    <w:rsid w:val="0096154C"/>
    <w:rsid w:val="0096486D"/>
    <w:rsid w:val="00995AAE"/>
    <w:rsid w:val="009D1193"/>
    <w:rsid w:val="009F0B44"/>
    <w:rsid w:val="009F2D83"/>
    <w:rsid w:val="00A06E32"/>
    <w:rsid w:val="00A61E3E"/>
    <w:rsid w:val="00AE072D"/>
    <w:rsid w:val="00B0223F"/>
    <w:rsid w:val="00BA1219"/>
    <w:rsid w:val="00BB2464"/>
    <w:rsid w:val="00BB2584"/>
    <w:rsid w:val="00BE2400"/>
    <w:rsid w:val="00BE345E"/>
    <w:rsid w:val="00C35A86"/>
    <w:rsid w:val="00C55808"/>
    <w:rsid w:val="00E54963"/>
    <w:rsid w:val="00EB3F98"/>
    <w:rsid w:val="00EF17C5"/>
    <w:rsid w:val="00EF184A"/>
    <w:rsid w:val="00F217C2"/>
    <w:rsid w:val="00F664B2"/>
    <w:rsid w:val="00FD5E00"/>
    <w:rsid w:val="01344F68"/>
    <w:rsid w:val="0EA325C9"/>
    <w:rsid w:val="0EE17C1A"/>
    <w:rsid w:val="181800A9"/>
    <w:rsid w:val="1BC55247"/>
    <w:rsid w:val="1EE24CBF"/>
    <w:rsid w:val="22E46C89"/>
    <w:rsid w:val="2C963149"/>
    <w:rsid w:val="2E8A592F"/>
    <w:rsid w:val="34C45458"/>
    <w:rsid w:val="34EA5F52"/>
    <w:rsid w:val="35C83C42"/>
    <w:rsid w:val="37445DC3"/>
    <w:rsid w:val="48785557"/>
    <w:rsid w:val="5144062A"/>
    <w:rsid w:val="585C688B"/>
    <w:rsid w:val="60154311"/>
    <w:rsid w:val="66FF559F"/>
    <w:rsid w:val="695B26FD"/>
    <w:rsid w:val="6AF77BA8"/>
    <w:rsid w:val="73D824BD"/>
    <w:rsid w:val="764B3663"/>
    <w:rsid w:val="7DA424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f">
      <v:fill on="t" focussize="0,0"/>
      <v:stroke on="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0"/>
    <w:pPr>
      <w:spacing w:after="120"/>
    </w:pPr>
  </w:style>
  <w:style w:type="paragraph" w:styleId="4">
    <w:name w:val="Balloon Text"/>
    <w:basedOn w:val="1"/>
    <w:link w:val="11"/>
    <w:qFormat/>
    <w:uiPriority w:val="0"/>
    <w:rPr>
      <w:sz w:val="18"/>
      <w:szCs w:val="18"/>
    </w:rPr>
  </w:style>
  <w:style w:type="paragraph" w:styleId="5">
    <w:name w:val="footer"/>
    <w:basedOn w:val="1"/>
    <w:unhideWhenUsed/>
    <w:qFormat/>
    <w:uiPriority w:val="99"/>
    <w:pPr>
      <w:tabs>
        <w:tab w:val="center" w:pos="4153"/>
        <w:tab w:val="right" w:pos="8306"/>
      </w:tabs>
      <w:snapToGrid w:val="0"/>
      <w:jc w:val="left"/>
    </w:pPr>
    <w:rPr>
      <w:sz w:val="18"/>
      <w:szCs w:val="18"/>
    </w:rPr>
  </w:style>
  <w:style w:type="paragraph" w:styleId="6">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styleId="10">
    <w:name w:val="List Paragraph"/>
    <w:basedOn w:val="1"/>
    <w:unhideWhenUsed/>
    <w:qFormat/>
    <w:uiPriority w:val="99"/>
    <w:pPr>
      <w:ind w:firstLine="420" w:firstLineChars="200"/>
    </w:pPr>
  </w:style>
  <w:style w:type="character" w:customStyle="1" w:styleId="11">
    <w:name w:val="批注框文本 Char"/>
    <w:basedOn w:val="9"/>
    <w:link w:val="4"/>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customXml" Target="../customXml/item2.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4.xml"/><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2.GIF"/><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header" Target="header6.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YGDN\Desktop\&#26032;&#24314;%20XLSX%20&#24037;&#20316;&#34920;.xlsx"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YGDN\Desktop\&#26032;&#24314;%20XLSX%20&#24037;&#20316;&#34920;.xlsx"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YGDN\Desktop\&#26032;&#24314;%20XLSX%20&#24037;&#20316;&#349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楷体_GB2312" pitchFamily="3" charset="-122"/>
                <a:ea typeface="楷体_GB2312" pitchFamily="3" charset="-122"/>
                <a:cs typeface="楷体_GB2312" pitchFamily="3" charset="-122"/>
                <a:sym typeface="楷体_GB2312" pitchFamily="3" charset="-122"/>
              </a:defRPr>
            </a:pPr>
            <a:r>
              <a:rPr lang="en-US" altLang="zh-CN">
                <a:latin typeface="楷体_GB2312" pitchFamily="3" charset="-122"/>
                <a:ea typeface="楷体_GB2312" pitchFamily="3" charset="-122"/>
                <a:cs typeface="楷体_GB2312" pitchFamily="3" charset="-122"/>
                <a:sym typeface="楷体_GB2312" pitchFamily="3" charset="-122"/>
              </a:rPr>
              <a:t>2019-2020</a:t>
            </a:r>
            <a:r>
              <a:rPr lang="zh-CN" altLang="en-US">
                <a:latin typeface="楷体_GB2312" pitchFamily="3" charset="-122"/>
                <a:ea typeface="楷体_GB2312" pitchFamily="3" charset="-122"/>
                <a:cs typeface="楷体_GB2312" pitchFamily="3" charset="-122"/>
                <a:sym typeface="楷体_GB2312" pitchFamily="3" charset="-122"/>
              </a:rPr>
              <a:t>年收支总计对比情况（图</a:t>
            </a:r>
            <a:r>
              <a:rPr lang="en-US" altLang="zh-CN">
                <a:latin typeface="楷体_GB2312" pitchFamily="3" charset="-122"/>
                <a:ea typeface="楷体_GB2312" pitchFamily="3" charset="-122"/>
                <a:cs typeface="楷体_GB2312" pitchFamily="3" charset="-122"/>
                <a:sym typeface="楷体_GB2312" pitchFamily="3" charset="-122"/>
              </a:rPr>
              <a:t>1</a:t>
            </a:r>
            <a:r>
              <a:rPr lang="zh-CN" altLang="en-US">
                <a:latin typeface="楷体_GB2312" pitchFamily="3" charset="-122"/>
                <a:ea typeface="楷体_GB2312" pitchFamily="3" charset="-122"/>
                <a:cs typeface="楷体_GB2312" pitchFamily="3" charset="-122"/>
                <a:sym typeface="楷体_GB2312" pitchFamily="3" charset="-122"/>
              </a:rPr>
              <a:t>）</a:t>
            </a:r>
            <a:endParaRPr lang="zh-CN" altLang="en-US">
              <a:latin typeface="楷体_GB2312" pitchFamily="3" charset="-122"/>
              <a:ea typeface="楷体_GB2312" pitchFamily="3" charset="-122"/>
              <a:cs typeface="楷体_GB2312" pitchFamily="3" charset="-122"/>
              <a:sym typeface="楷体_GB2312" pitchFamily="3" charset="-122"/>
            </a:endParaRPr>
          </a:p>
        </c:rich>
      </c:tx>
      <c:layout>
        <c:manualLayout>
          <c:xMode val="edge"/>
          <c:yMode val="edge"/>
          <c:x val="0.209718361608105"/>
          <c:y val="0.846648044692738"/>
        </c:manualLayout>
      </c:layout>
      <c:overlay val="0"/>
      <c:spPr>
        <a:noFill/>
        <a:ln>
          <a:noFill/>
        </a:ln>
        <a:effectLst/>
      </c:spPr>
    </c:title>
    <c:autoTitleDeleted val="0"/>
    <c:plotArea>
      <c:layout>
        <c:manualLayout>
          <c:layoutTarget val="inner"/>
          <c:xMode val="edge"/>
          <c:yMode val="edge"/>
          <c:x val="0.123946243127673"/>
          <c:y val="0.0879888268156425"/>
          <c:w val="0.778772144166158"/>
          <c:h val="0.619106145251397"/>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itchFamily="3" charset="-122"/>
                    <a:ea typeface="楷体_GB2312" pitchFamily="3" charset="-122"/>
                    <a:cs typeface="楷体_GB2312" pitchFamily="3" charset="-122"/>
                    <a:sym typeface="楷体_GB2312"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2019年</c:v>
                </c:pt>
                <c:pt idx="1">
                  <c:v>2020年</c:v>
                </c:pt>
              </c:strCache>
            </c:strRef>
          </c:cat>
          <c:val>
            <c:numRef>
              <c:f>Sheet1!$B$2:$B$3</c:f>
              <c:numCache>
                <c:formatCode>General</c:formatCode>
                <c:ptCount val="2"/>
                <c:pt idx="0">
                  <c:v>44.53</c:v>
                </c:pt>
                <c:pt idx="1">
                  <c:v>36.55</c:v>
                </c:pt>
              </c:numCache>
            </c:numRef>
          </c:val>
        </c:ser>
        <c:dLbls>
          <c:showLegendKey val="0"/>
          <c:showVal val="1"/>
          <c:showCatName val="0"/>
          <c:showSerName val="0"/>
          <c:showPercent val="0"/>
          <c:showBubbleSize val="0"/>
        </c:dLbls>
        <c:gapWidth val="219"/>
        <c:overlap val="-27"/>
        <c:axId val="168808448"/>
        <c:axId val="170767488"/>
      </c:barChart>
      <c:catAx>
        <c:axId val="168808448"/>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itchFamily="3" charset="-122"/>
                <a:ea typeface="楷体_GB2312" pitchFamily="3" charset="-122"/>
                <a:cs typeface="楷体_GB2312" pitchFamily="3" charset="-122"/>
                <a:sym typeface="楷体_GB2312" pitchFamily="3" charset="-122"/>
              </a:defRPr>
            </a:pPr>
          </a:p>
        </c:txPr>
        <c:crossAx val="170767488"/>
        <c:crosses val="autoZero"/>
        <c:auto val="1"/>
        <c:lblAlgn val="ctr"/>
        <c:lblOffset val="100"/>
        <c:noMultiLvlLbl val="0"/>
      </c:catAx>
      <c:valAx>
        <c:axId val="170767488"/>
        <c:scaling>
          <c:orientation val="minMax"/>
        </c:scaling>
        <c:delete val="0"/>
        <c:axPos val="l"/>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itchFamily="3" charset="-122"/>
                <a:ea typeface="楷体_GB2312" pitchFamily="3" charset="-122"/>
                <a:cs typeface="楷体_GB2312" pitchFamily="3" charset="-122"/>
                <a:sym typeface="楷体_GB2312" pitchFamily="3" charset="-122"/>
              </a:defRPr>
            </a:pPr>
          </a:p>
        </c:txPr>
        <c:crossAx val="168808448"/>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itchFamily="3" charset="-122"/>
                <a:ea typeface="楷体_GB2312" pitchFamily="3" charset="-122"/>
                <a:cs typeface="楷体_GB2312" pitchFamily="3" charset="-122"/>
                <a:sym typeface="楷体_GB2312" pitchFamily="3" charset="-122"/>
              </a:defRPr>
            </a:pPr>
          </a:p>
        </c:txPr>
      </c:legendEntry>
      <c:layout>
        <c:manualLayout>
          <c:xMode val="edge"/>
          <c:yMode val="edge"/>
          <c:x val="0.830312807730552"/>
          <c:y val="0.36317316982804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itchFamily="3" charset="-122"/>
              <a:ea typeface="楷体_GB2312" pitchFamily="3" charset="-122"/>
              <a:cs typeface="楷体_GB2312" pitchFamily="3" charset="-122"/>
              <a:sym typeface="楷体_GB2312" pitchFamily="3" charset="-122"/>
            </a:defRPr>
          </a:pPr>
        </a:p>
      </c:txPr>
    </c:legend>
    <c:plotVisOnly val="1"/>
    <c:dispBlanksAs val="gap"/>
    <c:showDLblsOverMax val="0"/>
  </c:chart>
  <c:spPr>
    <a:solidFill>
      <a:schemeClr val="bg1"/>
    </a:solidFill>
    <a:ln w="9525" cap="flat" cmpd="sng" algn="ctr">
      <a:noFill/>
      <a:prstDash val="solid"/>
      <a:round/>
    </a:ln>
    <a:effectLst/>
  </c:spPr>
  <c:txPr>
    <a:bodyPr/>
    <a:lstStyle/>
    <a:p>
      <a:pPr>
        <a:defRPr lang="zh-CN">
          <a:latin typeface="楷体_GB2312" pitchFamily="3" charset="-122"/>
          <a:ea typeface="楷体_GB2312" pitchFamily="3" charset="-122"/>
          <a:cs typeface="楷体_GB2312" pitchFamily="3" charset="-122"/>
          <a:sym typeface="楷体_GB2312" pitchFamily="3" charset="-12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XLSX 工作表.xlsx]Sheet1'!$G$11:$J$11</c:f>
              <c:strCache>
                <c:ptCount val="4"/>
                <c:pt idx="0">
                  <c:v>2019年收入</c:v>
                </c:pt>
                <c:pt idx="1">
                  <c:v>2019年支出</c:v>
                </c:pt>
                <c:pt idx="2">
                  <c:v>2020年收入</c:v>
                </c:pt>
                <c:pt idx="3">
                  <c:v>2020年支出</c:v>
                </c:pt>
              </c:strCache>
            </c:strRef>
          </c:cat>
          <c:val>
            <c:numRef>
              <c:f>'[新建 XLSX 工作表.xlsx]Sheet1'!$G$12:$J$12</c:f>
              <c:numCache>
                <c:formatCode>General</c:formatCode>
                <c:ptCount val="4"/>
                <c:pt idx="0">
                  <c:v>43.81</c:v>
                </c:pt>
                <c:pt idx="1">
                  <c:v>44.53</c:v>
                </c:pt>
                <c:pt idx="2">
                  <c:v>36.15</c:v>
                </c:pt>
                <c:pt idx="3">
                  <c:v>36.55</c:v>
                </c:pt>
              </c:numCache>
            </c:numRef>
          </c:val>
        </c:ser>
        <c:dLbls>
          <c:showLegendKey val="0"/>
          <c:showVal val="1"/>
          <c:showCatName val="0"/>
          <c:showSerName val="0"/>
          <c:showPercent val="0"/>
          <c:showBubbleSize val="0"/>
        </c:dLbls>
        <c:gapWidth val="219"/>
        <c:overlap val="-27"/>
        <c:axId val="94973753"/>
        <c:axId val="453477553"/>
      </c:barChart>
      <c:catAx>
        <c:axId val="9497375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53477553"/>
        <c:crosses val="autoZero"/>
        <c:auto val="1"/>
        <c:lblAlgn val="ctr"/>
        <c:lblOffset val="100"/>
        <c:noMultiLvlLbl val="0"/>
      </c:catAx>
      <c:valAx>
        <c:axId val="45347755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497375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XLSX 工作表.xlsx]Sheet1'!$G$11:$J$11</c:f>
              <c:strCache>
                <c:ptCount val="4"/>
                <c:pt idx="0">
                  <c:v>2020年收入</c:v>
                </c:pt>
                <c:pt idx="1">
                  <c:v>2020年预算收入</c:v>
                </c:pt>
                <c:pt idx="2">
                  <c:v>2020年支出</c:v>
                </c:pt>
                <c:pt idx="3">
                  <c:v>2020年预算支出</c:v>
                </c:pt>
              </c:strCache>
            </c:strRef>
          </c:cat>
          <c:val>
            <c:numRef>
              <c:f>'[新建 XLSX 工作表.xlsx]Sheet1'!$G$12:$J$12</c:f>
              <c:numCache>
                <c:formatCode>General</c:formatCode>
                <c:ptCount val="4"/>
                <c:pt idx="0">
                  <c:v>36.15</c:v>
                </c:pt>
                <c:pt idx="1">
                  <c:v>62.45</c:v>
                </c:pt>
                <c:pt idx="2">
                  <c:v>36.55</c:v>
                </c:pt>
                <c:pt idx="3">
                  <c:v>62.45</c:v>
                </c:pt>
              </c:numCache>
            </c:numRef>
          </c:val>
        </c:ser>
        <c:dLbls>
          <c:showLegendKey val="0"/>
          <c:showVal val="1"/>
          <c:showCatName val="0"/>
          <c:showSerName val="0"/>
          <c:showPercent val="0"/>
          <c:showBubbleSize val="0"/>
        </c:dLbls>
        <c:gapWidth val="219"/>
        <c:overlap val="-27"/>
        <c:axId val="94973753"/>
        <c:axId val="453477553"/>
      </c:barChart>
      <c:catAx>
        <c:axId val="9497375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53477553"/>
        <c:crosses val="autoZero"/>
        <c:auto val="1"/>
        <c:lblAlgn val="ctr"/>
        <c:lblOffset val="100"/>
        <c:noMultiLvlLbl val="0"/>
      </c:catAx>
      <c:valAx>
        <c:axId val="45347755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497375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pie3DChart>
        <c:varyColors val="1"/>
        <c:ser>
          <c:idx val="0"/>
          <c:order val="0"/>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25400">
                <a:solidFill>
                  <a:schemeClr val="lt1"/>
                </a:solidFill>
              </a:ln>
              <a:effectLst/>
              <a:scene3d>
                <a:camera prst="orthographicFront"/>
                <a:lightRig rig="threePt" dir="t"/>
              </a:scene3d>
              <a:sp3d contourW="25400"/>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XLSX 工作表.xlsx]Sheet1'!$H$14:$J$14</c:f>
              <c:strCache>
                <c:ptCount val="3"/>
                <c:pt idx="0">
                  <c:v>社会保障和就业（类）</c:v>
                </c:pt>
                <c:pt idx="1">
                  <c:v>住房保障（类）</c:v>
                </c:pt>
                <c:pt idx="2">
                  <c:v>卫生健康支出</c:v>
                </c:pt>
              </c:strCache>
            </c:strRef>
          </c:cat>
          <c:val>
            <c:numRef>
              <c:f>'[新建 XLSX 工作表.xlsx]Sheet1'!$H$15:$J$15</c:f>
              <c:numCache>
                <c:formatCode>0.0%</c:formatCode>
                <c:ptCount val="3"/>
                <c:pt idx="0">
                  <c:v>0.1</c:v>
                </c:pt>
                <c:pt idx="1">
                  <c:v>0.085</c:v>
                </c:pt>
                <c:pt idx="2">
                  <c:v>0.815</c:v>
                </c:pt>
              </c:numCache>
            </c:numRef>
          </c:val>
        </c:ser>
        <c:dLbls>
          <c:showLegendKey val="0"/>
          <c:showVal val="1"/>
          <c:showCatName val="0"/>
          <c:showSerName val="0"/>
          <c:showPercent val="0"/>
          <c:showBubbleSize val="0"/>
        </c:dLbls>
      </c:pie3D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customShpInfo spid="_x0000_s1027"/>
    <customShpInfo spid="_x0000_s1028"/>
    <customShpInfo spid="_x0000_s1029"/>
    <customShpInfo spid="_x0000_s1039"/>
    <customShpInfo spid="_x0000_s1043"/>
    <customShpInfo spid="_x0000_s104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FA2BAD9-E6D3-4F10-9CC5-AAB6B4A4D9C9}">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22</Pages>
  <Words>4282</Words>
  <Characters>4558</Characters>
  <Lines>35</Lines>
  <Paragraphs>9</Paragraphs>
  <TotalTime>0</TotalTime>
  <ScaleCrop>false</ScaleCrop>
  <LinksUpToDate>false</LinksUpToDate>
  <CharactersWithSpaces>4595</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YGDN</cp:lastModifiedBy>
  <cp:lastPrinted>2021-08-26T06:52:00Z</cp:lastPrinted>
  <dcterms:modified xsi:type="dcterms:W3CDTF">2022-09-08T02:19:16Z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65FA352BAB5146309CB066C800874C19</vt:lpwstr>
  </property>
</Properties>
</file>