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6432;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21"/>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lang w:eastAsia="zh-CN"/>
        </w:rPr>
        <w:t>2020年度</w:t>
      </w:r>
      <w:r>
        <w:rPr>
          <w:rFonts w:hint="eastAsia" w:ascii="黑体" w:hAnsi="黑体" w:eastAsia="黑体" w:cs="黑体"/>
          <w:sz w:val="72"/>
          <w:szCs w:val="96"/>
        </w:rPr>
        <w:t>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高邑县信访局</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ascii="黑体" w:hAnsi="黑体" w:eastAsia="黑体" w:cs="黑体"/>
          <w:sz w:val="72"/>
          <w:szCs w:val="96"/>
        </w:rPr>
      </w:pPr>
      <w:r>
        <w:rPr>
          <w:rFonts w:hint="eastAsia" w:ascii="黑体" w:hAnsi="黑体" w:eastAsia="黑体" w:cs="黑体"/>
          <w:sz w:val="72"/>
          <w:szCs w:val="96"/>
        </w:rPr>
        <w:t>高邑县信访局</w:t>
      </w:r>
    </w:p>
    <w:p>
      <w:pPr>
        <w:rPr>
          <w:rFonts w:ascii="黑体" w:hAnsi="黑体" w:eastAsia="黑体" w:cs="黑体"/>
          <w:sz w:val="72"/>
          <w:szCs w:val="96"/>
        </w:rPr>
      </w:pPr>
      <w:r>
        <w:rPr>
          <w:rFonts w:hint="eastAsia" w:ascii="黑体" w:hAnsi="黑体" w:eastAsia="黑体" w:cs="黑体"/>
          <w:sz w:val="72"/>
          <w:szCs w:val="96"/>
          <w:lang w:eastAsia="zh-CN"/>
        </w:rPr>
        <w:t>2020年度</w:t>
      </w:r>
      <w:r>
        <w:rPr>
          <w:rFonts w:hint="eastAsia" w:ascii="黑体" w:hAnsi="黑体" w:eastAsia="黑体" w:cs="黑体"/>
          <w:sz w:val="72"/>
          <w:szCs w:val="96"/>
        </w:rPr>
        <w:t>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5" w:type="first"/>
          <w:footerReference r:id="rId8" w:type="first"/>
          <w:headerReference r:id="rId3" w:type="default"/>
          <w:footerReference r:id="rId6" w:type="default"/>
          <w:headerReference r:id="rId4" w:type="even"/>
          <w:footerReference r:id="rId7" w:type="even"/>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rPr>
          <w:rFonts w:ascii="黑体" w:hAnsi="黑体" w:eastAsia="黑体" w:cs="黑体"/>
          <w:sz w:val="56"/>
          <w:szCs w:val="72"/>
          <w:highlight w:val="yellow"/>
        </w:rPr>
        <w:sectPr>
          <w:headerReference r:id="rId10" w:type="first"/>
          <w:footerReference r:id="rId12" w:type="first"/>
          <w:headerReference r:id="rId9" w:type="default"/>
          <w:footerReference r:id="rId11" w:type="default"/>
          <w:type w:val="continuous"/>
          <w:pgSz w:w="11906" w:h="16838"/>
          <w:pgMar w:top="2098" w:right="1531" w:bottom="1984"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hint="eastAsia" w:ascii="Times New Roman" w:hAnsi="Times New Roman" w:eastAsia="黑体" w:cs="Times New Roman"/>
          <w:sz w:val="32"/>
          <w:szCs w:val="32"/>
          <w:lang w:eastAsia="zh-CN"/>
        </w:rPr>
        <w:t>2020年度</w:t>
      </w:r>
      <w:r>
        <w:rPr>
          <w:rFonts w:ascii="Times New Roman" w:hAnsi="Times New Roman" w:eastAsia="黑体" w:cs="Times New Roman"/>
          <w:sz w:val="32"/>
          <w:szCs w:val="32"/>
        </w:rPr>
        <w:t>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w:t>
      </w:r>
      <w:r>
        <w:rPr>
          <w:rFonts w:hint="eastAsia" w:ascii="Times New Roman" w:hAnsi="Times New Roman" w:eastAsia="黑体" w:cs="Times New Roman"/>
          <w:sz w:val="32"/>
          <w:szCs w:val="32"/>
          <w:lang w:eastAsia="zh-CN"/>
        </w:rPr>
        <w:t>2020年度</w:t>
      </w:r>
      <w:r>
        <w:rPr>
          <w:rFonts w:ascii="Times New Roman" w:hAnsi="Times New Roman" w:eastAsia="黑体" w:cs="Times New Roman"/>
          <w:sz w:val="32"/>
          <w:szCs w:val="32"/>
        </w:rPr>
        <w:t>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22"/>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仿宋_GB2312" w:hAnsi="仿宋_GB2312" w:eastAsia="仿宋_GB2312" w:cs="仿宋_GB2312"/>
          <w:sz w:val="32"/>
          <w:szCs w:val="32"/>
        </w:rPr>
        <w:t>本单位主要主管是否有进京、赴省、到市集体访。负责处理全县人民群众、法人和其他组织及境内外人士给县委、县政府和县领导的来信，接待群众来访；协调处理群众集体来县、去市、到省和进京上访，参与解决群体性上访案件。案件、县领导签批交办案件，按期结案率要达到100%，息诉罢访率达到80%；每月进行一次矛盾纠纷排查，并实行零报告，访前排查率达到100%。贯彻落实省委、省政府和市委、市政府及县委、县政府有关信访工作的方针、政策和法律、法规，部署和落实全县信访工作任务。向县委、县政府领导报告重大的信访情况并落实领导批示意见。</w:t>
      </w:r>
      <w:r>
        <w:rPr>
          <w:rFonts w:hint="eastAsia" w:ascii="黑体" w:hAnsi="Calibri" w:eastAsia="黑体" w:cs="黑体"/>
          <w:kern w:val="0"/>
          <w:sz w:val="32"/>
          <w:szCs w:val="32"/>
        </w:rPr>
        <w:t>二、机构设置</w:t>
      </w:r>
    </w:p>
    <w:tbl>
      <w:tblPr>
        <w:tblStyle w:val="7"/>
        <w:tblpPr w:leftFromText="180" w:rightFromText="180" w:vertAnchor="text" w:horzAnchor="page" w:tblpXSpec="center" w:tblpY="10"/>
        <w:tblOverlap w:val="never"/>
        <w:tblW w:w="94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4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atLeast"/>
          <w:jc w:val="center"/>
        </w:trPr>
        <w:tc>
          <w:tcPr>
            <w:tcW w:w="9420" w:type="dxa"/>
          </w:tcPr>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从决算编报单位构成看，纳入2020 年度本部门决算汇编范围的独立核算单位（以下简称“单位”）共1个，具体情况如下：</w:t>
            </w:r>
          </w:p>
          <w:tbl>
            <w:tblPr>
              <w:tblStyle w:val="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 xml:space="preserve">单位名称 </w:t>
                  </w:r>
                </w:p>
              </w:tc>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 xml:space="preserve"> 单位性质 </w:t>
                  </w:r>
                </w:p>
              </w:tc>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单位规格</w:t>
                  </w:r>
                </w:p>
              </w:tc>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高邑县信访局</w:t>
                  </w:r>
                </w:p>
              </w:tc>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行政</w:t>
                  </w:r>
                </w:p>
              </w:tc>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正科级</w:t>
                  </w:r>
                </w:p>
              </w:tc>
              <w:tc>
                <w:tcPr>
                  <w:tcW w:w="226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财政拨款</w:t>
                  </w:r>
                </w:p>
              </w:tc>
            </w:tr>
          </w:tbl>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22"/>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度收入总计（含结转和结余）346.06万元。与2019年度决算相比，收入减少148.54万元，下降30.03%，主要原因是项目资金减少。</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度支出总计292.25万元，与2019年度决算相比，支出减少117.66万元，下降28.70%，主要原因是项目资金减少。</w:t>
      </w:r>
    </w:p>
    <w:p>
      <w:pPr>
        <w:adjustRightInd w:val="0"/>
        <w:snapToGrid w:val="0"/>
        <w:spacing w:line="600" w:lineRule="exact"/>
        <w:rPr>
          <w:rFonts w:ascii="仿宋_GB2312" w:hAnsi="Times New Roman" w:eastAsia="仿宋_GB2312" w:cs="Wingdings"/>
          <w:sz w:val="32"/>
          <w:szCs w:val="32"/>
        </w:rPr>
      </w:pPr>
      <w:r>
        <w:rPr>
          <w:rFonts w:hint="eastAsia"/>
        </w:rPr>
        <w:drawing>
          <wp:anchor distT="0" distB="0" distL="114300" distR="114300" simplePos="0" relativeHeight="251668480" behindDoc="0" locked="0" layoutInCell="1" allowOverlap="1">
            <wp:simplePos x="0" y="0"/>
            <wp:positionH relativeFrom="column">
              <wp:posOffset>441960</wp:posOffset>
            </wp:positionH>
            <wp:positionV relativeFrom="paragraph">
              <wp:posOffset>77470</wp:posOffset>
            </wp:positionV>
            <wp:extent cx="4832350" cy="2105025"/>
            <wp:effectExtent l="5080" t="4445" r="20320" b="5080"/>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1680" w:firstLineChars="600"/>
        <w:outlineLvl w:val="1"/>
        <w:rPr>
          <w:rFonts w:ascii="宋体" w:hAnsi="宋体" w:eastAsia="宋体" w:cs="宋体"/>
          <w:sz w:val="28"/>
          <w:szCs w:val="28"/>
        </w:rPr>
      </w:pPr>
      <w:r>
        <w:rPr>
          <w:rFonts w:hint="eastAsia" w:ascii="宋体" w:hAnsi="宋体" w:eastAsia="宋体" w:cs="宋体"/>
          <w:sz w:val="28"/>
          <w:szCs w:val="28"/>
        </w:rPr>
        <w:t>2019-</w:t>
      </w:r>
      <w:r>
        <w:rPr>
          <w:rFonts w:hint="eastAsia" w:ascii="宋体" w:hAnsi="宋体" w:eastAsia="宋体" w:cs="宋体"/>
          <w:sz w:val="28"/>
          <w:szCs w:val="28"/>
          <w:lang w:eastAsia="zh-CN"/>
        </w:rPr>
        <w:t>2020年度</w:t>
      </w:r>
      <w:r>
        <w:rPr>
          <w:rFonts w:hint="eastAsia" w:ascii="宋体" w:hAnsi="宋体" w:eastAsia="宋体" w:cs="宋体"/>
          <w:sz w:val="28"/>
          <w:szCs w:val="28"/>
        </w:rPr>
        <w:t>收支总计对比情况（图1）</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黑体" w:hAnsi="Calibri" w:eastAsia="黑体"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w:t>
      </w:r>
      <w:r>
        <w:rPr>
          <w:rFonts w:hint="eastAsia" w:ascii="仿宋_GB2312" w:hAnsi="Times New Roman" w:eastAsia="仿宋_GB2312" w:cs="Wingdings"/>
          <w:color w:val="000000" w:themeColor="text1"/>
          <w:sz w:val="32"/>
          <w:szCs w:val="32"/>
          <w:lang w:eastAsia="zh-CN"/>
          <w14:textFill>
            <w14:solidFill>
              <w14:schemeClr w14:val="tx1"/>
            </w14:solidFill>
          </w14:textFill>
        </w:rPr>
        <w:t>2020年度</w:t>
      </w:r>
      <w:r>
        <w:rPr>
          <w:rFonts w:hint="eastAsia" w:ascii="仿宋_GB2312" w:hAnsi="Times New Roman" w:eastAsia="仿宋_GB2312" w:cs="Wingdings"/>
          <w:color w:val="000000" w:themeColor="text1"/>
          <w:sz w:val="32"/>
          <w:szCs w:val="32"/>
          <w14:textFill>
            <w14:solidFill>
              <w14:schemeClr w14:val="tx1"/>
            </w14:solidFill>
          </w14:textFill>
        </w:rPr>
        <w:t>度本年收入合计261.37万元，其中：财政拨款收入261.37万元，占100%；</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度本年支出合计292.25万元，其中：基本支出180.77万元，占61.8%；项目支出111.48万元，占38.</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260" w:firstLineChars="600"/>
        <w:rPr>
          <w:rFonts w:ascii="仿宋_GB2312" w:hAnsi="Times New Roman" w:eastAsia="仿宋_GB2312" w:cs="Wingdings"/>
          <w:sz w:val="32"/>
          <w:szCs w:val="32"/>
        </w:rPr>
      </w:pPr>
      <w:r>
        <w:rPr>
          <w:rFonts w:hint="eastAsia"/>
        </w:rPr>
        <w:drawing>
          <wp:anchor distT="0" distB="0" distL="114300" distR="114300" simplePos="0" relativeHeight="251669504" behindDoc="0" locked="0" layoutInCell="1" allowOverlap="1">
            <wp:simplePos x="0" y="0"/>
            <wp:positionH relativeFrom="column">
              <wp:posOffset>499745</wp:posOffset>
            </wp:positionH>
            <wp:positionV relativeFrom="paragraph">
              <wp:posOffset>-986790</wp:posOffset>
            </wp:positionV>
            <wp:extent cx="4451350" cy="1962150"/>
            <wp:effectExtent l="4445" t="4445" r="20955" b="14605"/>
            <wp:wrapNone/>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outlineLvl w:val="1"/>
        <w:rPr>
          <w:rFonts w:ascii="黑体" w:hAnsi="Calibri" w:eastAsia="黑体" w:cs="Times New Roman"/>
          <w:sz w:val="32"/>
          <w:szCs w:val="32"/>
        </w:rPr>
      </w:pPr>
    </w:p>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图2</w:t>
      </w:r>
      <w:r>
        <w:rPr>
          <w:rFonts w:hint="eastAsia" w:ascii="楷体_GB2312" w:hAnsi="楷体_GB2312" w:eastAsia="楷体_GB2312" w:cs="楷体_GB2312"/>
          <w:sz w:val="24"/>
        </w:rPr>
        <w:t>：</w:t>
      </w:r>
      <w:r>
        <w:rPr>
          <w:rFonts w:hint="eastAsia" w:ascii="仿宋_GB2312" w:hAnsi="Times New Roman" w:eastAsia="仿宋_GB2312" w:cs="Wingdings"/>
          <w:sz w:val="28"/>
          <w:szCs w:val="28"/>
        </w:rPr>
        <w:t>支出决算构成情况（按支出性质）</w:t>
      </w:r>
    </w:p>
    <w:p>
      <w:pPr>
        <w:adjustRightInd w:val="0"/>
        <w:snapToGrid w:val="0"/>
        <w:spacing w:after="160"/>
        <w:jc w:val="center"/>
        <w:rPr>
          <w:rFonts w:ascii="楷体_GB2312" w:hAnsi="楷体_GB2312" w:eastAsia="楷体_GB2312" w:cs="楷体_GB2312"/>
          <w:sz w:val="24"/>
        </w:rPr>
      </w:pPr>
    </w:p>
    <w:p>
      <w:pPr>
        <w:keepNext/>
        <w:keepLines/>
        <w:snapToGrid w:val="0"/>
        <w:spacing w:line="600" w:lineRule="exact"/>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度财政拨款收支均为一般公共预算财政拨款，其中本年收入261.37万元,比2019年度减少12.43万元，降低4.54%，主要是项目资金减少；本年支出292.25万元，比2019年度减少117.66万元，降低28.70%，主要是项目资金减少。</w:t>
      </w:r>
    </w:p>
    <w:p>
      <w:pPr>
        <w:adjustRightInd w:val="0"/>
        <w:snapToGrid w:val="0"/>
        <w:spacing w:line="600" w:lineRule="exact"/>
        <w:ind w:firstLine="420" w:firstLineChars="200"/>
        <w:rPr>
          <w:rFonts w:ascii="仿宋_GB2312" w:hAnsi="Times New Roman" w:eastAsia="仿宋_GB2312" w:cs="Wingdings"/>
          <w:sz w:val="32"/>
          <w:szCs w:val="32"/>
          <w:highlight w:val="yellow"/>
        </w:rPr>
      </w:pPr>
      <w:r>
        <w:rPr>
          <w:rFonts w:hint="eastAsia"/>
        </w:rPr>
        <w:drawing>
          <wp:anchor distT="0" distB="0" distL="114300" distR="114300" simplePos="0" relativeHeight="251671552" behindDoc="0" locked="0" layoutInCell="1" allowOverlap="1">
            <wp:simplePos x="0" y="0"/>
            <wp:positionH relativeFrom="column">
              <wp:posOffset>641985</wp:posOffset>
            </wp:positionH>
            <wp:positionV relativeFrom="paragraph">
              <wp:posOffset>299720</wp:posOffset>
            </wp:positionV>
            <wp:extent cx="4347210" cy="2867025"/>
            <wp:effectExtent l="4445" t="4445" r="10795" b="5080"/>
            <wp:wrapNone/>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snapToGrid w:val="0"/>
        <w:spacing w:line="600" w:lineRule="exact"/>
        <w:ind w:firstLine="643" w:firstLineChars="200"/>
        <w:rPr>
          <w:rFonts w:ascii="楷体_GB2312" w:hAnsi="Times New Roman" w:eastAsia="楷体_GB2312" w:cs="Mongolian Baiti"/>
          <w:b/>
          <w:bCs/>
          <w:sz w:val="32"/>
          <w:szCs w:val="32"/>
        </w:rPr>
      </w:pPr>
    </w:p>
    <w:p>
      <w:pPr>
        <w:snapToGrid w:val="0"/>
        <w:spacing w:line="600" w:lineRule="exact"/>
        <w:ind w:firstLine="643" w:firstLineChars="200"/>
        <w:rPr>
          <w:rFonts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一般公共预算财政拨款收入261.37万元，完成年初预算的143.72%,比年初预算增加79.51万元，决算数大于预算数主要原因是项目及人员经费的增加；本年支出292.25万元，完成年初预算的160.70%,比年初预算增加110.39万元，决算数大于预算数主要原因是项目及人员经费的增加。</w:t>
      </w:r>
    </w:p>
    <w:p>
      <w:pPr>
        <w:adjustRightInd w:val="0"/>
        <w:snapToGrid w:val="0"/>
        <w:spacing w:line="600" w:lineRule="exact"/>
        <w:ind w:firstLine="420" w:firstLineChars="200"/>
        <w:rPr>
          <w:rFonts w:ascii="仿宋_GB2312" w:hAnsi="Times New Roman" w:eastAsia="仿宋_GB2312" w:cs="Wingdings"/>
          <w:sz w:val="32"/>
          <w:szCs w:val="32"/>
          <w:highlight w:val="yellow"/>
        </w:rPr>
      </w:pPr>
      <w:r>
        <w:rPr>
          <w:rFonts w:hint="eastAsia"/>
        </w:rPr>
        <w:drawing>
          <wp:anchor distT="0" distB="0" distL="114300" distR="114300" simplePos="0" relativeHeight="251672576" behindDoc="0" locked="0" layoutInCell="1" allowOverlap="1">
            <wp:simplePos x="0" y="0"/>
            <wp:positionH relativeFrom="column">
              <wp:posOffset>556895</wp:posOffset>
            </wp:positionH>
            <wp:positionV relativeFrom="paragraph">
              <wp:posOffset>147320</wp:posOffset>
            </wp:positionV>
            <wp:extent cx="4280535" cy="2076450"/>
            <wp:effectExtent l="4445" t="4445" r="20320" b="14605"/>
            <wp:wrapNone/>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adjustRightInd w:val="0"/>
        <w:snapToGrid w:val="0"/>
        <w:spacing w:line="600" w:lineRule="exact"/>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年度财政拨款支出292.25万元，主要用于以下方面：一般公共服务（类）支出262.77万元，占89.9%，；社会保障和就业（类）支出 15.57万元，占5.3%；住房保障（类）支出9.4万元，占 3.2%;</w:t>
      </w:r>
      <w:r>
        <w:rPr>
          <w:rFonts w:hint="eastAsia" w:ascii="仿宋_GB2312" w:hAnsi="Times New Roman" w:eastAsia="仿宋_GB2312" w:cs="DengXian-Regular"/>
          <w:sz w:val="32"/>
          <w:szCs w:val="32"/>
        </w:rPr>
        <w:t>卫生健康（类）支出4.5万元，占</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lang w:val="en-US" w:eastAsia="zh-CN"/>
        </w:rPr>
        <w:t>6</w:t>
      </w:r>
      <w:r>
        <w:rPr>
          <w:rFonts w:ascii="仿宋_GB2312" w:hAnsi="Times New Roman" w:eastAsia="仿宋_GB2312" w:cs="DengXian-Regular"/>
          <w:sz w:val="32"/>
          <w:szCs w:val="32"/>
        </w:rPr>
        <w:t>%</w:t>
      </w:r>
      <w:r>
        <w:rPr>
          <w:rFonts w:hint="eastAsia" w:ascii="仿宋_GB2312" w:hAnsi="Times New Roman" w:eastAsia="仿宋_GB2312" w:cs="Wingdings"/>
          <w:sz w:val="32"/>
          <w:szCs w:val="32"/>
        </w:rPr>
        <w:t>。</w:t>
      </w:r>
    </w:p>
    <w:p>
      <w:pPr>
        <w:adjustRightInd w:val="0"/>
        <w:snapToGrid w:val="0"/>
        <w:spacing w:line="600" w:lineRule="exact"/>
        <w:rPr>
          <w:rFonts w:ascii="楷体_GB2312" w:hAnsi="Times New Roman" w:eastAsia="楷体_GB2312" w:cs="Mongolian Baiti"/>
          <w:b/>
          <w:bCs/>
          <w:sz w:val="32"/>
          <w:szCs w:val="32"/>
        </w:rPr>
      </w:pPr>
      <w:r>
        <w:rPr>
          <w:rFonts w:hint="eastAsia"/>
        </w:rPr>
        <w:drawing>
          <wp:anchor distT="0" distB="0" distL="114300" distR="114300" simplePos="0" relativeHeight="251670528" behindDoc="0" locked="0" layoutInCell="1" allowOverlap="1">
            <wp:simplePos x="0" y="0"/>
            <wp:positionH relativeFrom="column">
              <wp:posOffset>766445</wp:posOffset>
            </wp:positionH>
            <wp:positionV relativeFrom="paragraph">
              <wp:posOffset>80645</wp:posOffset>
            </wp:positionV>
            <wp:extent cx="4337685" cy="2028825"/>
            <wp:effectExtent l="4445" t="4445" r="20320" b="5080"/>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r>
        <w:rPr>
          <w:sz w:val="32"/>
        </w:rPr>
        <mc:AlternateContent>
          <mc:Choice Requires="wps">
            <w:drawing>
              <wp:anchor distT="0" distB="0" distL="114300" distR="114300" simplePos="0" relativeHeight="251661312" behindDoc="1" locked="0" layoutInCell="1" allowOverlap="1">
                <wp:simplePos x="0" y="0"/>
                <wp:positionH relativeFrom="column">
                  <wp:posOffset>981075</wp:posOffset>
                </wp:positionH>
                <wp:positionV relativeFrom="paragraph">
                  <wp:posOffset>132080</wp:posOffset>
                </wp:positionV>
                <wp:extent cx="3576320" cy="571500"/>
                <wp:effectExtent l="0" t="0" r="5080" b="0"/>
                <wp:wrapNone/>
                <wp:docPr id="164" name="文本框 32"/>
                <wp:cNvGraphicFramePr/>
                <a:graphic xmlns:a="http://schemas.openxmlformats.org/drawingml/2006/main">
                  <a:graphicData uri="http://schemas.microsoft.com/office/word/2010/wordprocessingShape">
                    <wps:wsp>
                      <wps:cNvSpPr txBox="1"/>
                      <wps:spPr>
                        <a:xfrm>
                          <a:off x="1953260" y="5655310"/>
                          <a:ext cx="3576320" cy="57150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图3：财政拨款支出决算结构（按功能分类）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0.4pt;height:45pt;width:281.6pt;z-index:-251655168;mso-width-relative:page;mso-height-relative:page;" fillcolor="#FFFFFF" filled="t" stroked="f" coordsize="21600,21600" o:gfxdata="UEsDBAoAAAAAAIdO4kAAAAAAAAAAAAAAAAAEAAAAZHJzL1BLAwQUAAAACACHTuJAD3MjMtQAAAAK&#10;AQAADwAAAGRycy9kb3ducmV2LnhtbE2PzU7DMBCE70i8g7VI3KidqiVViNMDElck2tKzGy9xhL2O&#10;bPf36VlOcJyd0ew37foSvDhhymMkDdVMgUDqox1p0LDbvj2tQORiyBofCTVcMcO6u79rTWPjmT7w&#10;tCmD4BLKjdHgSpkaKXPvMJg8ixMSe18xBVNYpkHaZM5cHrycK/UsgxmJPzgz4avD/ntzDBr2Q7jt&#10;P6spORv8gt5v1+0ujlo/PlTqBUTBS/kLwy8+o0PHTId4JJuFZ71cLDmqYa54Agfqqq5BHNip+CK7&#10;Vv6f0P0AUEsDBBQAAAAIAIdO4kBo7lYpYwIAAKwEAAAOAAAAZHJzL2Uyb0RvYy54bWytVM1uEzEQ&#10;viPxDpbvZPO3KY26qUKrIKSKVgqIs+P1Zi3ZHmM72Q0PAG/AiQt3nivPwdi7aUvh0AM5bMaeb7+Z&#10;+WZmLy5brcheOC/BFHQ0GFIiDIdSmm1BP35YvXpNiQ/MlEyBEQU9CE8vFy9fXDR2LsZQgyqFI0hi&#10;/LyxBa1DsPMs87wWmvkBWGHQWYHTLODRbbPSsQbZtcrGw+Esa8CV1gEX3uPtdeekPaN7DiFUleTi&#10;GvhOCxM6VicUC1iSr6X1dJGyrSrBw21VeRGIKihWGtITg6C9ic9sccHmW8dsLXmfAntOCk9q0kwa&#10;DHpPdc0CIzsn/6LSkjvwUIUBB511hSRFsIrR8Ik265pZkWpBqb29F93/P1r+fn/niCxxEmZTSgzT&#10;2PLj92/HH7+OP7+SyTgq1Fg/R+DaIjS0b6BF9One42UsvK2cjv9YEon+83wynqHKh4LmszyfjHqt&#10;RRsIR8AkP5tNxgjgEXE2yocJkD0wWefDWwGaRKOgDnuZJGb7Gx8wK4SeIDGwByXLlVQqHdx2c6Uc&#10;2TPs+yr9YsL4yh8wZUhT0NkkHyZmA/H9DqdM5BFphPp4UYau3GiFdtP22mygPKA0Drrx8pavJOZ8&#10;w3y4Yw7nCcvEjQu3+KgUYEjoLUpqcF/+dR/x2Gb0UtLgfBbUf94xJyhR7wwOwPloOkXakA7T/CxK&#10;6R57No89ZqevAKUY4W5bnsyID+pkVg70J1zMZYyKLmY4xi5oOJlXodsaXGwulssEwhG2LNyYteWR&#10;OgpmYLkLUMnUoChTpw1KHw84xKkJ/cLFLXl8TqiHj8zi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A9zIzLUAAAACgEAAA8AAAAAAAAAAQAgAAAAIgAAAGRycy9kb3ducmV2LnhtbFBLAQIUABQAAAAI&#10;AIdO4kBo7lYpYwIAAKwEAAAOAAAAAAAAAAEAIAAAACMBAABkcnMvZTJvRG9jLnhtbFBLBQYAAAAA&#10;BgAGAFkBAAD4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图3：财政拨款支出决算结构（按功能分类）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ascii="仿宋_GB2312" w:hAnsi="Times New Roman" w:eastAsia="仿宋_GB2312" w:cs="Wingdings"/>
          <w:sz w:val="32"/>
          <w:szCs w:val="32"/>
        </w:rPr>
        <w:t>180.77</w:t>
      </w:r>
      <w:r>
        <w:rPr>
          <w:rFonts w:hint="eastAsia" w:ascii="仿宋_GB2312" w:hAnsi="Times New Roman" w:eastAsia="仿宋_GB2312" w:cs="Wingdings"/>
          <w:sz w:val="32"/>
          <w:szCs w:val="32"/>
        </w:rPr>
        <w:t xml:space="preserve">万元，其中：人员经费 </w:t>
      </w:r>
      <w:r>
        <w:rPr>
          <w:rFonts w:hint="default" w:ascii="仿宋_GB2312" w:hAnsi="Times New Roman" w:eastAsia="仿宋_GB2312" w:cs="Wingdings"/>
          <w:sz w:val="32"/>
          <w:szCs w:val="32"/>
          <w:lang w:val="en-US"/>
        </w:rPr>
        <w:t>100.28</w:t>
      </w:r>
      <w:r>
        <w:rPr>
          <w:rFonts w:hint="eastAsia" w:ascii="仿宋_GB2312" w:hAnsi="Times New Roman" w:eastAsia="仿宋_GB2312" w:cs="Wingdings"/>
          <w:sz w:val="32"/>
          <w:szCs w:val="32"/>
        </w:rPr>
        <w:t xml:space="preserve">万元，主要包括基本工资、津贴补贴、奖金、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ascii="仿宋_GB2312" w:hAnsi="Times New Roman" w:eastAsia="仿宋_GB2312" w:cs="Wingdings"/>
          <w:sz w:val="32"/>
          <w:szCs w:val="32"/>
        </w:rPr>
        <w:t>80.49</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仿宋_GB2312" w:hAnsi="Times New Roman" w:eastAsia="仿宋_GB2312" w:cs="Wingdings"/>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度“三公”经费财政拨款支出预算为</w:t>
      </w:r>
      <w:r>
        <w:rPr>
          <w:rFonts w:ascii="仿宋_GB2312" w:hAnsi="Times New Roman" w:eastAsia="仿宋_GB2312" w:cs="Wingdings"/>
          <w:sz w:val="32"/>
          <w:szCs w:val="32"/>
        </w:rPr>
        <w:t>1.06</w:t>
      </w:r>
      <w:r>
        <w:rPr>
          <w:rFonts w:hint="eastAsia" w:ascii="仿宋_GB2312" w:hAnsi="Times New Roman" w:eastAsia="仿宋_GB2312" w:cs="Wingdings"/>
          <w:sz w:val="32"/>
          <w:szCs w:val="32"/>
        </w:rPr>
        <w:t>万元，支出决算为</w:t>
      </w:r>
      <w:r>
        <w:rPr>
          <w:rFonts w:ascii="仿宋_GB2312" w:hAnsi="Times New Roman" w:eastAsia="仿宋_GB2312" w:cs="Wingdings"/>
          <w:sz w:val="32"/>
          <w:szCs w:val="32"/>
        </w:rPr>
        <w:t>0.99万</w:t>
      </w:r>
      <w:r>
        <w:rPr>
          <w:rFonts w:hint="eastAsia" w:ascii="仿宋_GB2312" w:hAnsi="Times New Roman" w:eastAsia="仿宋_GB2312" w:cs="Wingdings"/>
          <w:sz w:val="32"/>
          <w:szCs w:val="32"/>
        </w:rPr>
        <w:t>元，完成预算的</w:t>
      </w:r>
      <w:r>
        <w:rPr>
          <w:rFonts w:ascii="仿宋_GB2312" w:hAnsi="Times New Roman" w:eastAsia="仿宋_GB2312" w:cs="Wingdings"/>
          <w:sz w:val="32"/>
          <w:szCs w:val="32"/>
        </w:rPr>
        <w:t>93.40</w:t>
      </w:r>
      <w:r>
        <w:rPr>
          <w:rFonts w:hint="eastAsia" w:ascii="仿宋_GB2312" w:hAnsi="Times New Roman" w:eastAsia="仿宋_GB2312" w:cs="Wingdings"/>
          <w:sz w:val="32"/>
          <w:szCs w:val="32"/>
        </w:rPr>
        <w:t>%,较预算减少</w:t>
      </w:r>
      <w:r>
        <w:rPr>
          <w:rFonts w:ascii="仿宋_GB2312" w:hAnsi="Times New Roman" w:eastAsia="仿宋_GB2312" w:cs="Wingdings"/>
          <w:sz w:val="32"/>
          <w:szCs w:val="32"/>
        </w:rPr>
        <w:t>0.07</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6.60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减少公务用车次数</w:t>
      </w:r>
      <w:r>
        <w:rPr>
          <w:rFonts w:hint="eastAsia" w:ascii="仿宋_GB2312" w:hAnsi="Times New Roman" w:eastAsia="仿宋_GB2312" w:cs="Wingdings"/>
          <w:sz w:val="32"/>
          <w:szCs w:val="32"/>
        </w:rPr>
        <w:t>；较2019年度增加</w:t>
      </w:r>
      <w:r>
        <w:rPr>
          <w:rFonts w:ascii="仿宋_GB2312" w:hAnsi="Times New Roman" w:eastAsia="仿宋_GB2312" w:cs="Wingdings"/>
          <w:sz w:val="32"/>
          <w:szCs w:val="32"/>
        </w:rPr>
        <w:t>0.02</w:t>
      </w:r>
      <w:r>
        <w:rPr>
          <w:rFonts w:hint="eastAsia" w:ascii="仿宋_GB2312" w:hAnsi="Times New Roman" w:eastAsia="仿宋_GB2312" w:cs="Wingdings"/>
          <w:sz w:val="32"/>
          <w:szCs w:val="32"/>
        </w:rPr>
        <w:t>万元，增长</w:t>
      </w:r>
      <w:r>
        <w:rPr>
          <w:rFonts w:ascii="仿宋_GB2312" w:hAnsi="Times New Roman" w:eastAsia="仿宋_GB2312" w:cs="Wingdings"/>
          <w:sz w:val="32"/>
          <w:szCs w:val="32"/>
        </w:rPr>
        <w:t>2.06</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公务用车次数</w:t>
      </w:r>
      <w:r>
        <w:rPr>
          <w:rFonts w:ascii="仿宋_GB2312" w:hAnsi="Times New Roman" w:eastAsia="仿宋_GB2312" w:cs="DengXian-Regular"/>
          <w:sz w:val="32"/>
          <w:szCs w:val="32"/>
        </w:rPr>
        <w:t>增加</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2020年度</w:t>
      </w:r>
      <w:r>
        <w:rPr>
          <w:rFonts w:hint="eastAsia" w:ascii="仿宋_GB2312" w:hAnsi="仿宋_GB2312" w:eastAsia="仿宋_GB2312" w:cs="仿宋_GB2312"/>
          <w:sz w:val="32"/>
          <w:szCs w:val="32"/>
        </w:rPr>
        <w:t>因公出国（境）费支出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r>
        <w:rPr>
          <w:rFonts w:hint="eastAsia" w:ascii="仿宋_GB2312" w:hAnsi="Times New Roman" w:eastAsia="仿宋_GB2312" w:cs="Wingdings"/>
          <w:sz w:val="32"/>
          <w:szCs w:val="32"/>
        </w:rPr>
        <w:t>因公出国（境）团组</w:t>
      </w:r>
      <w:r>
        <w:rPr>
          <w:rFonts w:ascii="仿宋_GB2312" w:hAnsi="Times New Roman" w:eastAsia="仿宋_GB2312" w:cs="Wingdings"/>
          <w:sz w:val="32"/>
          <w:szCs w:val="32"/>
        </w:rPr>
        <w:t>0</w:t>
      </w:r>
      <w:r>
        <w:rPr>
          <w:rFonts w:hint="eastAsia" w:ascii="仿宋_GB2312" w:hAnsi="Times New Roman" w:eastAsia="仿宋_GB2312" w:cs="Wingdings"/>
          <w:sz w:val="32"/>
          <w:szCs w:val="32"/>
        </w:rPr>
        <w:t>个、共</w:t>
      </w:r>
      <w:r>
        <w:rPr>
          <w:rFonts w:ascii="仿宋_GB2312" w:hAnsi="Times New Roman" w:eastAsia="仿宋_GB2312" w:cs="Wingdings"/>
          <w:sz w:val="32"/>
          <w:szCs w:val="32"/>
        </w:rPr>
        <w:t>0</w:t>
      </w:r>
      <w:r>
        <w:rPr>
          <w:rFonts w:hint="eastAsia" w:ascii="仿宋_GB2312" w:hAnsi="Times New Roman" w:eastAsia="仿宋_GB2312" w:cs="Wingdings"/>
          <w:sz w:val="32"/>
          <w:szCs w:val="32"/>
        </w:rPr>
        <w:t>人、参加其他单位组织的因公出国（境）团组0个、共0人/无本单位组织的出国（境）团组。</w:t>
      </w:r>
      <w:r>
        <w:rPr>
          <w:rFonts w:hint="eastAsia" w:ascii="仿宋_GB2312" w:hAnsi="Times New Roman" w:eastAsia="仿宋_GB2312" w:cs="DengXian-Regular"/>
          <w:sz w:val="32"/>
          <w:szCs w:val="32"/>
        </w:rPr>
        <w:t>主要是本单位无因公出国（境）费支出。</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2020年度</w:t>
      </w:r>
      <w:r>
        <w:rPr>
          <w:rFonts w:hint="eastAsia" w:ascii="仿宋_GB2312" w:hAnsi="仿宋_GB2312" w:eastAsia="仿宋_GB2312" w:cs="仿宋_GB2312"/>
          <w:sz w:val="32"/>
          <w:szCs w:val="32"/>
        </w:rPr>
        <w:t>公务用车购置及运行维护费支出0.99万元，完成预算的93.40%，</w:t>
      </w:r>
      <w:r>
        <w:rPr>
          <w:rFonts w:hint="eastAsia" w:ascii="仿宋_GB2312" w:hAnsi="Times New Roman" w:eastAsia="仿宋_GB2312" w:cs="Wingdings"/>
          <w:sz w:val="32"/>
          <w:szCs w:val="32"/>
        </w:rPr>
        <w:t>较预算减少0.07万元，降低6.60%,主要是</w:t>
      </w:r>
      <w:r>
        <w:rPr>
          <w:rFonts w:hint="eastAsia" w:ascii="仿宋_GB2312" w:hAnsi="Times New Roman" w:eastAsia="仿宋_GB2312" w:cs="DengXian-Regular"/>
          <w:sz w:val="32"/>
          <w:szCs w:val="32"/>
        </w:rPr>
        <w:t>减少公务用车次数</w:t>
      </w:r>
      <w:r>
        <w:rPr>
          <w:rFonts w:hint="eastAsia" w:ascii="仿宋_GB2312" w:hAnsi="Times New Roman" w:eastAsia="仿宋_GB2312" w:cs="Wingdings"/>
          <w:sz w:val="32"/>
          <w:szCs w:val="32"/>
        </w:rPr>
        <w:t>；较上年增加0.02万元，增长2.06%,主要是</w:t>
      </w:r>
      <w:r>
        <w:rPr>
          <w:rFonts w:hint="eastAsia" w:ascii="仿宋_GB2312" w:hAnsi="Times New Roman" w:eastAsia="仿宋_GB2312" w:cs="DengXian-Regular"/>
          <w:sz w:val="32"/>
          <w:szCs w:val="32"/>
        </w:rPr>
        <w:t>公务用车次数</w:t>
      </w:r>
      <w:r>
        <w:rPr>
          <w:rFonts w:ascii="仿宋_GB2312" w:hAnsi="Times New Roman" w:eastAsia="仿宋_GB2312" w:cs="DengXian-Regular"/>
          <w:sz w:val="32"/>
          <w:szCs w:val="32"/>
        </w:rPr>
        <w:t>增加</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color w:val="000000"/>
          <w:sz w:val="32"/>
          <w:szCs w:val="32"/>
          <w:highlight w:val="yellow"/>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度公务用车购置量0辆，发生“公务用车购置”经费支出</w:t>
      </w:r>
      <w:r>
        <w:rPr>
          <w:rFonts w:hint="default" w:ascii="仿宋_GB2312" w:hAnsi="Times New Roman" w:eastAsia="仿宋_GB2312" w:cs="Wingdings"/>
          <w:sz w:val="32"/>
          <w:szCs w:val="32"/>
          <w:lang w:val="en-US"/>
        </w:rPr>
        <w:t>0</w:t>
      </w:r>
      <w:bookmarkStart w:id="0" w:name="_GoBack"/>
      <w:bookmarkEnd w:id="0"/>
      <w:r>
        <w:rPr>
          <w:rFonts w:hint="eastAsia" w:ascii="仿宋_GB2312" w:hAnsi="Times New Roman" w:eastAsia="仿宋_GB2312" w:cs="Wingdings"/>
          <w:sz w:val="32"/>
          <w:szCs w:val="32"/>
        </w:rPr>
        <w:t>万元。公务用车购置费支出较预算增加0万元，增长0%,主要是本单位未发生无公务用车购置经费支出；较上年增加0万元，增长0%,主要是本单位未发生无公务用车购置经费支出。</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eastAsia="zh-CN"/>
        </w:rPr>
        <w:t>2020年度</w:t>
      </w:r>
      <w:r>
        <w:rPr>
          <w:rFonts w:hint="eastAsia" w:ascii="仿宋_GB2312" w:hAnsi="Times New Roman" w:eastAsia="仿宋_GB2312" w:cs="Wingdings"/>
          <w:sz w:val="32"/>
          <w:szCs w:val="32"/>
        </w:rPr>
        <w:t>度单位公务用车保有量1辆,发生运行维护费支出0.99万元。公车运行维护费支出较预算减少0.07万元，降低6.60%,主要是</w:t>
      </w:r>
      <w:r>
        <w:rPr>
          <w:rFonts w:hint="eastAsia" w:ascii="仿宋_GB2312" w:hAnsi="Times New Roman" w:eastAsia="仿宋_GB2312" w:cs="DengXian-Regular"/>
          <w:sz w:val="32"/>
          <w:szCs w:val="32"/>
        </w:rPr>
        <w:t>减少公务用车次数</w:t>
      </w:r>
      <w:r>
        <w:rPr>
          <w:rFonts w:hint="eastAsia" w:ascii="仿宋_GB2312" w:hAnsi="Times New Roman" w:eastAsia="仿宋_GB2312" w:cs="Wingdings"/>
          <w:sz w:val="32"/>
          <w:szCs w:val="32"/>
        </w:rPr>
        <w:t>；较上年增加0.02万元，增长2.06%，主要是</w:t>
      </w:r>
      <w:r>
        <w:rPr>
          <w:rFonts w:hint="eastAsia" w:ascii="仿宋_GB2312" w:hAnsi="Times New Roman" w:eastAsia="仿宋_GB2312" w:cs="DengXian-Regular"/>
          <w:sz w:val="32"/>
          <w:szCs w:val="32"/>
        </w:rPr>
        <w:t>公务用车次数</w:t>
      </w:r>
      <w:r>
        <w:rPr>
          <w:rFonts w:ascii="仿宋_GB2312" w:hAnsi="Times New Roman" w:eastAsia="仿宋_GB2312" w:cs="DengXian-Regular"/>
          <w:sz w:val="32"/>
          <w:szCs w:val="32"/>
        </w:rPr>
        <w:t>增加</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2020年度</w:t>
      </w:r>
      <w:r>
        <w:rPr>
          <w:rFonts w:hint="eastAsia" w:ascii="仿宋_GB2312" w:hAnsi="仿宋_GB2312" w:eastAsia="仿宋_GB2312" w:cs="仿宋_GB2312"/>
          <w:sz w:val="32"/>
          <w:szCs w:val="32"/>
        </w:rPr>
        <w:t>公务接待费支出0万元，完成预算的0%。发生</w:t>
      </w:r>
      <w:r>
        <w:rPr>
          <w:rFonts w:hint="eastAsia" w:ascii="仿宋_GB2312" w:hAnsi="Times New Roman" w:eastAsia="仿宋_GB2312" w:cs="Wingdings"/>
          <w:sz w:val="32"/>
          <w:szCs w:val="32"/>
        </w:rPr>
        <w:t>公务接待共0批次、0人次。公务接待费支出较预算减少0.06万元，降低100%,主要是本单位未发生公务接待费用；较上年度增加0万元，增长0%,主要是本单位未发生公务接待费用。</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hint="eastAsia" w:ascii="仿宋_GB2312" w:hAnsi="仿宋_GB2312" w:eastAsia="仿宋_GB2312" w:cs="仿宋_GB2312"/>
          <w:sz w:val="32"/>
          <w:szCs w:val="32"/>
          <w:lang w:eastAsia="zh-CN"/>
        </w:rPr>
        <w:t>2020年度</w:t>
      </w:r>
      <w:r>
        <w:rPr>
          <w:rFonts w:hint="eastAsia" w:ascii="仿宋_GB2312" w:hAnsi="仿宋_GB2312" w:eastAsia="仿宋_GB2312" w:cs="仿宋_GB2312"/>
          <w:sz w:val="32"/>
          <w:szCs w:val="32"/>
        </w:rPr>
        <w:t>度项目支出全面开展绩效自评，其中，一般公共预算项目15个，共涉及资金</w:t>
      </w:r>
      <w:r>
        <w:rPr>
          <w:rFonts w:hint="eastAsia" w:ascii="仿宋" w:hAnsi="仿宋" w:eastAsia="仿宋" w:cs="仿宋"/>
          <w:sz w:val="32"/>
          <w:szCs w:val="32"/>
        </w:rPr>
        <w:t>143.24</w:t>
      </w:r>
      <w:r>
        <w:rPr>
          <w:rFonts w:hint="eastAsia" w:ascii="仿宋_GB2312" w:hAnsi="仿宋_GB2312" w:eastAsia="仿宋_GB2312" w:cs="仿宋_GB2312"/>
          <w:sz w:val="32"/>
          <w:szCs w:val="32"/>
        </w:rPr>
        <w:t>万元，占一般公共预算项目支出总额的100%；政府性基金预算项目0个,共涉及资金0万元，占政府性基金预算项目支出总额的0%。</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eastAsia="仿宋_GB2312" w:cs="仿宋_GB2312"/>
          <w:sz w:val="32"/>
          <w:szCs w:val="32"/>
        </w:rPr>
        <w:t>信访救助基金</w:t>
      </w:r>
      <w:r>
        <w:rPr>
          <w:rFonts w:hint="eastAsia" w:ascii="仿宋_GB2312" w:hAnsi="仿宋_GB2312" w:eastAsia="仿宋_GB2312" w:cs="仿宋_GB2312"/>
          <w:sz w:val="32"/>
          <w:szCs w:val="32"/>
        </w:rPr>
        <w:t>”项目开展了部门重点评价，涉及一般公共预算支出20万元。从评价情况来看</w:t>
      </w:r>
    </w:p>
    <w:p>
      <w:pPr>
        <w:ind w:firstLine="640" w:firstLineChars="200"/>
        <w:rPr>
          <w:rFonts w:ascii="仿宋_GB2312" w:eastAsia="仿宋_GB2312"/>
          <w:sz w:val="32"/>
          <w:szCs w:val="32"/>
        </w:rPr>
      </w:pPr>
      <w:r>
        <w:rPr>
          <w:rFonts w:hint="eastAsia" w:ascii="仿宋_GB2312" w:eastAsia="仿宋_GB2312" w:cs="仿宋_GB2312"/>
          <w:sz w:val="32"/>
          <w:szCs w:val="32"/>
        </w:rPr>
        <w:t>信访救助基金</w:t>
      </w:r>
      <w:r>
        <w:rPr>
          <w:rFonts w:hint="eastAsia" w:ascii="仿宋_GB2312" w:hAnsi="仿宋_GB2312" w:eastAsia="仿宋_GB2312" w:cs="仿宋_GB2312"/>
          <w:sz w:val="32"/>
          <w:szCs w:val="32"/>
        </w:rPr>
        <w:t>项目绩效自评综述：根据年初设定的绩效目标，</w:t>
      </w:r>
      <w:r>
        <w:rPr>
          <w:rFonts w:hint="eastAsia" w:ascii="仿宋_GB2312" w:eastAsia="仿宋_GB2312" w:cs="仿宋_GB2312"/>
          <w:sz w:val="32"/>
          <w:szCs w:val="32"/>
        </w:rPr>
        <w:t>信访救助基金</w:t>
      </w:r>
      <w:r>
        <w:rPr>
          <w:rFonts w:hint="eastAsia" w:ascii="仿宋_GB2312" w:hAnsi="仿宋_GB2312" w:eastAsia="仿宋_GB2312" w:cs="仿宋_GB2312"/>
          <w:sz w:val="32"/>
          <w:szCs w:val="32"/>
        </w:rPr>
        <w:t>项目绩效自评得分为96分（绩效自评表附后）。全年预算数为20万元，执行数为20万元，完成预算的100%。项目绩效目标完成情况：一是</w:t>
      </w:r>
      <w:r>
        <w:rPr>
          <w:rFonts w:hint="eastAsia" w:ascii="仿宋" w:hAnsi="仿宋" w:eastAsia="仿宋" w:cs="仿宋"/>
          <w:color w:val="000000"/>
          <w:sz w:val="32"/>
          <w:szCs w:val="32"/>
        </w:rPr>
        <w:t>主要对</w:t>
      </w:r>
      <w:r>
        <w:rPr>
          <w:rFonts w:hint="eastAsia" w:ascii="仿宋" w:hAnsi="仿宋" w:eastAsia="仿宋" w:cs="仿宋"/>
          <w:color w:val="000000"/>
          <w:sz w:val="32"/>
          <w:szCs w:val="32"/>
          <w:lang w:eastAsia="zh-CN"/>
        </w:rPr>
        <w:t>2020年度</w:t>
      </w:r>
      <w:r>
        <w:rPr>
          <w:rFonts w:hint="eastAsia" w:ascii="仿宋" w:hAnsi="仿宋" w:eastAsia="仿宋" w:cs="仿宋"/>
          <w:color w:val="000000"/>
          <w:sz w:val="32"/>
          <w:szCs w:val="32"/>
        </w:rPr>
        <w:t>度我单位</w:t>
      </w:r>
      <w:r>
        <w:rPr>
          <w:rFonts w:hint="eastAsia" w:ascii="仿宋_GB2312" w:eastAsia="仿宋_GB2312" w:cs="仿宋_GB2312"/>
          <w:sz w:val="32"/>
          <w:szCs w:val="32"/>
        </w:rPr>
        <w:t>信访救助基金经费</w:t>
      </w:r>
      <w:r>
        <w:rPr>
          <w:rFonts w:hint="eastAsia" w:ascii="仿宋" w:hAnsi="仿宋" w:eastAsia="仿宋" w:cs="仿宋"/>
          <w:sz w:val="32"/>
          <w:szCs w:val="32"/>
        </w:rPr>
        <w:t>项目</w:t>
      </w:r>
      <w:r>
        <w:rPr>
          <w:rFonts w:hint="eastAsia" w:ascii="仿宋" w:hAnsi="仿宋" w:eastAsia="仿宋" w:cs="仿宋"/>
          <w:color w:val="000000"/>
          <w:sz w:val="32"/>
          <w:szCs w:val="32"/>
        </w:rPr>
        <w:t>中涉及到的财政支出的经济性、效率性及效益性进行重点评价，并针对评价内容做出分析及合理化建议。</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1、评价方法</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采取定量分析与定性分析相结合，运用因素分析法、比较法、现场核查法、访谈、问卷调查等基本方法开展评价工作。</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（1）因素分析法。通过列举分析影响绩效目标实现、实施效果的内外因素，评价绩效目标实现程度。</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（2）比较法。通过对项目当期实际产生的项目效益结果与预期目标进行分析对比和定性分析、定量分析，分析完成（或未完成）目标的因素，从而评价财政支出绩效。</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（3）现场核查法。现场对项目进行核实，实事求是检查其财务情况和绩效表现等相关资料。</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（4）访谈。通过与相关人员进行面谈，针对项目的不同特点和关键问题，直接听取项目管理者、实施人员的意见。</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（5）问卷调查。设计有针对性的调查问卷，通过对服务对象和受益群体等发放调查问卷，获取对项目实施效果的满意程度。</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2、评价工作过程</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本次绩效评价工作过程包括前期准备、组织实施、分析评价、撰写评价报告四个阶段。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（1）前期准备</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首先与项目负责人沟通，明确绩效评价的内容和范围。二是召开座谈会，对工作方案和指标体系进行反复讨论并广泛征求相关部门和有关人员意见。三是通知各相关部门提供与之相关的资料，主要包括收集财务资料、部门职责、规划、项目管理、相关管理制度、资金使用等相关资料，为实施评价工作奠定了基础。</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（2）组织实施</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工作小组对所涉及该项目绩效目标的相关佐证材料进行收集、梳理。首先，对相关资料进行查阅并进行分析、核实，确保所提供数据和资料真实、可靠。其次，将项目资料按照评价体系指标分类，形成资料清单。再次，逐一梳理各文件内容，将存在的问题以批注形式予以说明，同时梳理资料过程中将项目资料依照资料清单顺序排序编码。最后，在与相关人员沟通过程中，直接对照资料清单核实，随时删除已核实的批注问题，即时更新备注信息，确保项目已提交及待补充的资料名称、实施流程、存在的问题及重点信息同时展现。</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在自评过程中广泛征求意见，并按反馈意见对评价工作方案进行修改，进一步完善项目绩效评价方案。</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（3）分析评价</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整理工作底稿，对收集的相关数据、资料、信息进行分析和甄别，根据绩效评价指标体系进行绩效评价，对项目的实施进行评分。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（4）撰写绩效评价报告</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根据项目评价结果，撰写绩效评价报告，并形成绩效评价档案。</w:t>
      </w:r>
    </w:p>
    <w:p>
      <w:pPr>
        <w:adjustRightInd w:val="0"/>
        <w:snapToGrid w:val="0"/>
        <w:spacing w:line="60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二是在开展预算自评工作时，针对具体绩效评价对象的特点，设计能够体现项目特点绩效评价指标体系。绩效指标权重由各部门根据评价对象实际情况确定，总分设定为100分。原则上</w:t>
      </w:r>
      <w:r>
        <w:rPr>
          <w:rFonts w:hint="eastAsia" w:ascii="仿宋_GB2312" w:eastAsia="仿宋_GB2312"/>
          <w:sz w:val="32"/>
          <w:szCs w:val="32"/>
        </w:rPr>
        <w:t>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二、三级指标所占权重应当根据指标重要程度、项目实施阶段等因素综合确定，准确反映预算项目的产出和效果。</w:t>
      </w:r>
    </w:p>
    <w:p>
      <w:pPr>
        <w:spacing w:line="360" w:lineRule="auto"/>
        <w:ind w:firstLine="640" w:firstLineChars="200"/>
        <w:rPr>
          <w:rFonts w:ascii="仿宋_GB2312" w:hAnsi="仿宋_GB2312" w:eastAsia="仿宋_GB2312" w:cs="仿宋_GB2312"/>
          <w:sz w:val="32"/>
          <w:szCs w:val="32"/>
        </w:rPr>
      </w:pPr>
      <w:r>
        <w:rPr>
          <w:rFonts w:hint="eastAsia" w:ascii="仿宋_GB2312" w:eastAsia="仿宋_GB2312"/>
          <w:sz w:val="32"/>
          <w:szCs w:val="32"/>
        </w:rPr>
        <w:t>同类评价对象的指标权重设置应当基本一致，便于评价结果相互比较。</w:t>
      </w:r>
      <w:r>
        <w:rPr>
          <w:rFonts w:hint="eastAsia" w:ascii="仿宋_GB2312" w:hAnsi="仿宋_GB2312" w:eastAsia="仿宋_GB2312" w:cs="仿宋_GB2312"/>
          <w:sz w:val="32"/>
          <w:szCs w:val="32"/>
        </w:rPr>
        <w:t>发现的主要问题及原因：</w:t>
      </w:r>
      <w:r>
        <w:rPr>
          <w:rFonts w:hint="eastAsia" w:ascii="仿宋_GB2312" w:eastAsia="仿宋_GB2312" w:cs="仿宋_GB2312"/>
          <w:sz w:val="32"/>
          <w:szCs w:val="32"/>
        </w:rPr>
        <w:t>从该项目的实施情况来看，整个项目在资金安排、使用的过程中存在不确定性，对于项目支出运行实践经验还欠缺，相关制度建设还有待进一步加强。</w:t>
      </w:r>
      <w:r>
        <w:rPr>
          <w:rFonts w:hint="eastAsia" w:ascii="仿宋_GB2312" w:hAnsi="仿宋_GB2312" w:eastAsia="仿宋_GB2312" w:cs="仿宋_GB2312"/>
          <w:sz w:val="32"/>
          <w:szCs w:val="32"/>
        </w:rPr>
        <w:t>下一步改进措施：</w:t>
      </w:r>
      <w:r>
        <w:rPr>
          <w:rFonts w:hint="eastAsia" w:ascii="仿宋_GB2312" w:eastAsia="仿宋_GB2312" w:cs="仿宋_GB2312"/>
          <w:sz w:val="32"/>
          <w:szCs w:val="32"/>
        </w:rPr>
        <w:t>接下来的有关项目中尽量做到科学、合理的使用资金，在财政资金按时到位的情况下，有序进行各项工作，以确保各项工作保质完成。</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2020年度</w:t>
      </w:r>
      <w:r>
        <w:rPr>
          <w:rFonts w:hint="eastAsia" w:ascii="仿宋_GB2312" w:hAnsi="仿宋_GB2312" w:eastAsia="仿宋_GB2312" w:cs="仿宋_GB2312"/>
          <w:sz w:val="32"/>
          <w:szCs w:val="32"/>
        </w:rPr>
        <w:t>机关运行经费支出80.49万元，比2019年度减少4.06万元，增长降低4.80%。主要原因是日常经费支出减少。</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度政府采购支出总额0万元，从采购类型来看，</w:t>
      </w:r>
      <w:r>
        <w:rPr>
          <w:rFonts w:hint="eastAsia" w:ascii="仿宋_GB2312" w:hAnsi="仿宋_GB2312" w:eastAsia="仿宋_GB2312" w:cs="仿宋_GB2312"/>
          <w:color w:val="000000"/>
          <w:kern w:val="0"/>
          <w:sz w:val="32"/>
          <w:szCs w:val="32"/>
          <w:lang w:bidi="ar"/>
        </w:rPr>
        <w:t>政府采购货物支出0万元、政府采购工程支出0万元、政府采购服务支出 0万元。授予中小企业合同金0万元，占政府采购支出总额的0%，其中授予小微企业合同金额0万元，占政府采购支出总额的0%。</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w:t>
      </w:r>
      <w:r>
        <w:rPr>
          <w:rFonts w:hint="eastAsia" w:ascii="仿宋_GB2312" w:hAnsi="仿宋_GB2312" w:eastAsia="仿宋_GB2312" w:cs="仿宋_GB2312"/>
          <w:sz w:val="32"/>
          <w:szCs w:val="32"/>
          <w:lang w:eastAsia="zh-CN"/>
        </w:rPr>
        <w:t>2020年度</w:t>
      </w:r>
      <w:r>
        <w:rPr>
          <w:rFonts w:hint="eastAsia" w:ascii="仿宋_GB2312" w:hAnsi="仿宋_GB2312" w:eastAsia="仿宋_GB2312" w:cs="仿宋_GB2312"/>
          <w:sz w:val="32"/>
          <w:szCs w:val="32"/>
        </w:rPr>
        <w:t>12月31日，本部门共有车辆1辆，比上年增加0辆，主要是本年度未发生车辆购置费用。其中，副部（省）级及以上领导用车0辆，主要领导干部用车0辆，机要通信用车1辆，应急保障用车0辆，执法执勤用车0辆，特种专业技术用车0辆，离退休干部用车0辆，其他用车0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单位价值50万元以上通用设备0台（套），比上年增加0套，主要是</w:t>
      </w:r>
      <w:r>
        <w:rPr>
          <w:rFonts w:hint="eastAsia" w:ascii="仿宋_GB2312" w:hAnsi="Times New Roman" w:eastAsia="仿宋_GB2312" w:cs="DengXian-Regular"/>
          <w:sz w:val="32"/>
          <w:szCs w:val="32"/>
        </w:rPr>
        <w:t>本单无价值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仿宋_GB2312" w:eastAsia="仿宋_GB2312" w:cs="仿宋_GB2312"/>
          <w:sz w:val="32"/>
          <w:szCs w:val="32"/>
        </w:rPr>
        <w:t xml:space="preserve"> ，单位价值100万元以上专用设备0台（套）比上年增加0套，主要是</w:t>
      </w:r>
      <w:r>
        <w:rPr>
          <w:rFonts w:hint="eastAsia" w:ascii="仿宋_GB2312" w:hAnsi="Times New Roman" w:eastAsia="仿宋_GB2312" w:cs="DengXian-Regular"/>
          <w:sz w:val="32"/>
          <w:szCs w:val="32"/>
        </w:rPr>
        <w:t>本单无价值10</w:t>
      </w:r>
      <w:r>
        <w:rPr>
          <w:rFonts w:hint="eastAsia" w:ascii="仿宋_GB2312" w:hAnsi="TimesNewRomanPSMT" w:eastAsia="仿宋_GB2312" w:cs="TimesNewRomanPSMT"/>
          <w:sz w:val="32"/>
          <w:szCs w:val="32"/>
        </w:rPr>
        <w:t>0</w:t>
      </w:r>
      <w:r>
        <w:rPr>
          <w:rFonts w:hint="eastAsia" w:ascii="仿宋_GB2312" w:hAnsi="Times New Roman" w:eastAsia="仿宋_GB2312" w:cs="DengXian-Regular"/>
          <w:sz w:val="32"/>
          <w:szCs w:val="32"/>
        </w:rPr>
        <w:t>万元以上通用设备</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56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 xml:space="preserve">1. </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政府性基金预算财政拨款收入支出决算表、国有资本经营预算财政拨款收入支出决算表、政府采购情况表无收支及结转结余情况，故政府性基金预算财政拨款收入支出决算表、国有资本经营预算财政拨款收入支出决算表、政府采购情况表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wZ2fCY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Oky/hJAbtQ7U3TqyQBPrAfOe3yS905Wf/W2TE//XQ+J6fUpxfSkJk1OT0aTQQrq&#10;jayLmG60/UtmB44QUWqkG3vU9SJKoV21feNWprhH35zpht9bvqzB7TXz4ZY5TDtahX0QbvAqpUG+&#10;ppcoqYz78jd9xGMIYaWkwe3Jqf+8YU5QIt9qjOfZcDyO1y0dxpPpMQ7u0LI6tOiNujRozxCbx/Ik&#10;RnyQO7F0Rn3C2ljEqDAxzRE7pzy43eEydLcai4eLxSLBcMXQjGt9Z3l0HknXZrEJpqzTKEWiOnZ6&#10;/nDJUuP7hRBv8eE5oR6X4Pw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CXbtHtgAAAALAQAADwAA&#10;AAAAAAABACAAAAAiAAAAZHJzL2Rvd25yZXYueG1sUEsBAhQAFAAAAAgAh07iQMGdnwmIAgAATAUA&#10;AA4AAAAAAAAAAQAgAAAAJwEAAGRycy9lMm9Eb2MueG1sUEsFBgAAAAAGAAYAWQEAACEGAAAAAA==&#10;">
                <v:fill type="pattern" on="t" color2="#FFFFFF [3212]" o:title="5%" focussize="0,0" r:id="rId22"/>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8"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22"/>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度部门决算报表</w:t>
                      </w:r>
                    </w:p>
                    <w:p/>
                  </w:txbxContent>
                </v:textbox>
              </v:shape>
            </w:pict>
          </mc:Fallback>
        </mc:AlternateContent>
      </w:r>
    </w:p>
    <w:p>
      <w:pPr>
        <w:tabs>
          <w:tab w:val="left" w:pos="235"/>
        </w:tabs>
        <w:jc w:val="left"/>
        <w:rPr>
          <w:sz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
    <w:p/>
    <w:p/>
    <w:p/>
    <w:p/>
    <w:p/>
    <w:p/>
    <w:p/>
    <w:p/>
    <w:p/>
    <w:p/>
    <w:p/>
    <w:p>
      <w:pPr>
        <w:tabs>
          <w:tab w:val="left" w:pos="1433"/>
        </w:tabs>
        <w:jc w:val="left"/>
      </w:pPr>
    </w:p>
    <w:p>
      <w:pPr>
        <w:keepNext/>
        <w:keepLines/>
        <w:spacing w:line="560" w:lineRule="exact"/>
        <w:ind w:firstLine="640" w:firstLineChars="200"/>
        <w:jc w:val="left"/>
        <w:rPr>
          <w:rFonts w:ascii="仿宋" w:hAnsi="仿宋" w:eastAsia="仿宋" w:cs="仿宋"/>
          <w:color w:val="000000"/>
          <w:kern w:val="0"/>
          <w:sz w:val="32"/>
          <w:szCs w:val="32"/>
        </w:rPr>
      </w:pPr>
    </w:p>
    <w:p>
      <w:pPr>
        <w:tabs>
          <w:tab w:val="left" w:pos="886"/>
        </w:tabs>
        <w:jc w:val="left"/>
        <w:rPr>
          <w:rFonts w:hint="eastAsia"/>
          <w:sz w:val="32"/>
          <w:szCs w:val="32"/>
        </w:rPr>
      </w:pPr>
      <w:r>
        <w:rPr>
          <w:rFonts w:hint="eastAsia"/>
          <w:sz w:val="32"/>
          <w:szCs w:val="32"/>
        </w:rPr>
        <w:t>本部分作为</w:t>
      </w:r>
    </w:p>
    <w:p>
      <w:pPr>
        <w:tabs>
          <w:tab w:val="left" w:pos="886"/>
        </w:tabs>
        <w:jc w:val="left"/>
        <w:rPr>
          <w:rFonts w:hint="eastAsia"/>
          <w:sz w:val="32"/>
          <w:szCs w:val="32"/>
        </w:rPr>
      </w:pPr>
    </w:p>
    <w:p>
      <w:pPr>
        <w:tabs>
          <w:tab w:val="left" w:pos="886"/>
        </w:tabs>
        <w:jc w:val="left"/>
        <w:rPr>
          <w:rFonts w:hint="eastAsia" w:eastAsiaTheme="minorEastAsia"/>
          <w:sz w:val="32"/>
          <w:szCs w:val="32"/>
          <w:lang w:eastAsia="zh-CN"/>
        </w:rPr>
      </w:pPr>
    </w:p>
    <w:p>
      <w:pPr>
        <w:tabs>
          <w:tab w:val="left" w:pos="886"/>
        </w:tabs>
        <w:jc w:val="left"/>
        <w:rPr>
          <w:rFonts w:hint="eastAsia" w:eastAsiaTheme="minorEastAsia"/>
          <w:sz w:val="32"/>
          <w:szCs w:val="32"/>
          <w:lang w:eastAsia="zh-CN"/>
        </w:rPr>
      </w:pPr>
    </w:p>
    <w:p>
      <w:pPr>
        <w:tabs>
          <w:tab w:val="left" w:pos="886"/>
        </w:tabs>
        <w:jc w:val="left"/>
        <w:rPr>
          <w:rFonts w:hint="eastAsia" w:eastAsiaTheme="minorEastAsia"/>
          <w:sz w:val="32"/>
          <w:szCs w:val="32"/>
          <w:lang w:eastAsia="zh-CN"/>
        </w:rPr>
      </w:pPr>
      <w:r>
        <w:rPr>
          <w:rFonts w:hint="eastAsia" w:eastAsiaTheme="minorEastAsia"/>
          <w:sz w:val="32"/>
          <w:szCs w:val="32"/>
          <w:lang w:eastAsia="zh-CN"/>
        </w:rPr>
        <w:drawing>
          <wp:inline distT="0" distB="0" distL="114300" distR="114300">
            <wp:extent cx="5608320" cy="7474585"/>
            <wp:effectExtent l="0" t="0" r="11430" b="12065"/>
            <wp:docPr id="6" name="图片 6" descr="b7b70dc1d465941199e6d3e4c14af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b7b70dc1d465941199e6d3e4c14af5f"/>
                    <pic:cNvPicPr>
                      <a:picLocks noChangeAspect="1"/>
                    </pic:cNvPicPr>
                  </pic:nvPicPr>
                  <pic:blipFill>
                    <a:blip r:embed="rId28"/>
                    <a:stretch>
                      <a:fillRect/>
                    </a:stretch>
                  </pic:blipFill>
                  <pic:spPr>
                    <a:xfrm>
                      <a:off x="0" y="0"/>
                      <a:ext cx="5608320" cy="7474585"/>
                    </a:xfrm>
                    <a:prstGeom prst="rect">
                      <a:avLst/>
                    </a:prstGeom>
                  </pic:spPr>
                </pic:pic>
              </a:graphicData>
            </a:graphic>
          </wp:inline>
        </w:drawing>
      </w:r>
    </w:p>
    <w:p>
      <w:pPr>
        <w:keepNext/>
        <w:keepLines/>
        <w:spacing w:line="560" w:lineRule="exact"/>
        <w:ind w:firstLine="640" w:firstLineChars="200"/>
        <w:jc w:val="left"/>
        <w:rPr>
          <w:rFonts w:ascii="仿宋" w:hAnsi="仿宋" w:eastAsia="仿宋" w:cs="仿宋"/>
          <w:color w:val="000000"/>
          <w:kern w:val="0"/>
          <w:sz w:val="32"/>
          <w:szCs w:val="32"/>
        </w:rPr>
      </w:pPr>
      <w:r>
        <w:rPr>
          <w:rFonts w:ascii="仿宋" w:hAnsi="仿宋" w:eastAsia="仿宋" w:cs="仿宋"/>
          <w:color w:val="000000"/>
          <w:kern w:val="0"/>
          <w:sz w:val="32"/>
          <w:szCs w:val="32"/>
        </w:rPr>
        <w:t>详见附表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本部门应公开9张决算表格,即:</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一、收入支出决算总表(公开01表)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二、收入决算表(公开02表)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三、支出决算表(公开03表)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四、财政拨款收入支出决算总表(公开04表)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五、一般公共预算财政拨款支出决算表(公开05表)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六、一般公共预算财政拨款基本支出决算表(公开06表)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七、一般公共预算财政拨款“三公”经费支出决算表(公</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开07表)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八、政府性基金预算财政投款收入支出决算表(公开08表)</w:t>
      </w:r>
    </w:p>
    <w:p>
      <w:pPr>
        <w:keepNext/>
        <w:keepLines/>
        <w:spacing w:line="560" w:lineRule="exact"/>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九、国有资本经营预算财政拨款支出决算表(公开09表)</w:t>
      </w:r>
    </w:p>
    <w:p>
      <w:pPr>
        <w:ind w:firstLine="420" w:firstLineChars="200"/>
      </w:pPr>
    </w:p>
    <w:p>
      <w:pPr>
        <w:tabs>
          <w:tab w:val="left" w:pos="1433"/>
        </w:tabs>
        <w:jc w:val="left"/>
        <w:sectPr>
          <w:headerReference r:id="rId19" w:type="default"/>
          <w:pgSz w:w="11906" w:h="16838"/>
          <w:pgMar w:top="2098" w:right="1474" w:bottom="1985" w:left="1588" w:header="851" w:footer="992" w:gutter="0"/>
          <w:pgNumType w:fmt="numberInDash"/>
          <w:cols w:space="425" w:num="1"/>
          <w:docGrid w:type="lines" w:linePitch="312" w:charSpace="0"/>
        </w:sectPr>
      </w:pPr>
    </w:p>
    <w:p>
      <w:pPr>
        <w:tabs>
          <w:tab w:val="left" w:pos="235"/>
        </w:tabs>
        <w:spacing w:line="600" w:lineRule="exact"/>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4384;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0000000000000000000"/>
    <w:charset w:val="86"/>
    <w:family w:val="modern"/>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Arial Black">
    <w:panose1 w:val="020B0A04020102020204"/>
    <w:charset w:val="00"/>
    <w:family w:val="swiss"/>
    <w:pitch w:val="default"/>
    <w:sig w:usb0="00000287" w:usb1="00000000" w:usb2="00000000" w:usb3="00000000" w:csb0="2000009F" w:csb1="DFD7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g2OGEzZGE4MzRlZTZkNzY0MTJjODIxYTc4MzAwNGM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24E43"/>
    <w:rsid w:val="007620A2"/>
    <w:rsid w:val="00791C72"/>
    <w:rsid w:val="007920FC"/>
    <w:rsid w:val="007B4876"/>
    <w:rsid w:val="00801F66"/>
    <w:rsid w:val="00812C39"/>
    <w:rsid w:val="00913894"/>
    <w:rsid w:val="009334BF"/>
    <w:rsid w:val="00995AAE"/>
    <w:rsid w:val="009D1193"/>
    <w:rsid w:val="00A61E3E"/>
    <w:rsid w:val="00B0223F"/>
    <w:rsid w:val="00BA1219"/>
    <w:rsid w:val="00BB2584"/>
    <w:rsid w:val="00BE2400"/>
    <w:rsid w:val="00D07733"/>
    <w:rsid w:val="00E54963"/>
    <w:rsid w:val="00EB3F98"/>
    <w:rsid w:val="00F217C2"/>
    <w:rsid w:val="00FD5E00"/>
    <w:rsid w:val="01665FF5"/>
    <w:rsid w:val="04A6769A"/>
    <w:rsid w:val="0EA325C9"/>
    <w:rsid w:val="0EE17C1A"/>
    <w:rsid w:val="0F982AF9"/>
    <w:rsid w:val="167310E5"/>
    <w:rsid w:val="181800A9"/>
    <w:rsid w:val="191B42A1"/>
    <w:rsid w:val="19687E48"/>
    <w:rsid w:val="1BE24904"/>
    <w:rsid w:val="21751318"/>
    <w:rsid w:val="22E46C89"/>
    <w:rsid w:val="261D4E3E"/>
    <w:rsid w:val="27B61B6E"/>
    <w:rsid w:val="2DF25DDE"/>
    <w:rsid w:val="30984D0E"/>
    <w:rsid w:val="33804D18"/>
    <w:rsid w:val="34C45458"/>
    <w:rsid w:val="35C83C42"/>
    <w:rsid w:val="37240767"/>
    <w:rsid w:val="37445DC3"/>
    <w:rsid w:val="3E9231D3"/>
    <w:rsid w:val="42416CF7"/>
    <w:rsid w:val="43D02866"/>
    <w:rsid w:val="44525522"/>
    <w:rsid w:val="44FF1CF6"/>
    <w:rsid w:val="55A925DD"/>
    <w:rsid w:val="59C31ADA"/>
    <w:rsid w:val="60154311"/>
    <w:rsid w:val="695B26FD"/>
    <w:rsid w:val="6AF77BA8"/>
    <w:rsid w:val="6BFB0558"/>
    <w:rsid w:val="73D824BD"/>
    <w:rsid w:val="764B3663"/>
    <w:rsid w:val="79082DE9"/>
    <w:rsid w:val="7BFB3163"/>
    <w:rsid w:val="7E1B5633"/>
    <w:rsid w:val="7F402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uiPriority w:val="0"/>
    <w:rPr>
      <w:rFonts w:asciiTheme="minorHAnsi" w:hAnsiTheme="minorHAnsi" w:eastAsiaTheme="minorEastAsia" w:cstheme="minorBidi"/>
      <w:kern w:val="2"/>
      <w:sz w:val="18"/>
      <w:szCs w:val="18"/>
    </w:rPr>
  </w:style>
  <w:style w:type="character" w:customStyle="1" w:styleId="11">
    <w:name w:val="页眉 Char"/>
    <w:basedOn w:val="8"/>
    <w:link w:val="5"/>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3.jpeg"/><Relationship Id="rId27" Type="http://schemas.openxmlformats.org/officeDocument/2006/relationships/chart" Target="charts/chart5.xml"/><Relationship Id="rId26" Type="http://schemas.openxmlformats.org/officeDocument/2006/relationships/chart" Target="charts/chart4.xml"/><Relationship Id="rId25" Type="http://schemas.openxmlformats.org/officeDocument/2006/relationships/chart" Target="charts/chart3.xml"/><Relationship Id="rId24" Type="http://schemas.openxmlformats.org/officeDocument/2006/relationships/chart" Target="charts/chart2.xml"/><Relationship Id="rId23" Type="http://schemas.openxmlformats.org/officeDocument/2006/relationships/chart" Target="charts/chart1.xml"/><Relationship Id="rId22" Type="http://schemas.openxmlformats.org/officeDocument/2006/relationships/image" Target="media/image2.bmp"/><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4580814717477"/>
          <c:y val="0.00754716981132075"/>
          <c:w val="0.900315374507227"/>
          <c:h val="0.822993710691824"/>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dLbl>
              <c:idx val="2"/>
              <c:layout/>
              <c:dLblPos val="outEnd"/>
              <c:showLegendKey val="0"/>
              <c:showVal val="1"/>
              <c:showCatName val="0"/>
              <c:showSerName val="0"/>
              <c:showPercent val="0"/>
              <c:showBubbleSize val="0"/>
              <c:extLst>
                <c:ext xmlns:c15="http://schemas.microsoft.com/office/drawing/2012/chart" uri="{CE6537A1-D6FC-4f65-9D91-7224C49458BB}"/>
              </c:extLst>
            </c:dLbl>
            <c:dLbl>
              <c:idx val="3"/>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2019年收入</c:v>
                </c:pt>
                <c:pt idx="1">
                  <c:v>2019年支出</c:v>
                </c:pt>
                <c:pt idx="2">
                  <c:v>2020年收入</c:v>
                </c:pt>
                <c:pt idx="3">
                  <c:v>2020年支出</c:v>
                </c:pt>
              </c:strCache>
            </c:strRef>
          </c:cat>
          <c:val>
            <c:numRef>
              <c:f>Sheet1!$B$2:$B$5</c:f>
              <c:numCache>
                <c:formatCode>General</c:formatCode>
                <c:ptCount val="4"/>
                <c:pt idx="0">
                  <c:v>494.6</c:v>
                </c:pt>
                <c:pt idx="1">
                  <c:v>409.91</c:v>
                </c:pt>
                <c:pt idx="2">
                  <c:v>346.06</c:v>
                </c:pt>
                <c:pt idx="3">
                  <c:v>292.25</c:v>
                </c:pt>
              </c:numCache>
            </c:numRef>
          </c:val>
        </c:ser>
        <c:dLbls>
          <c:showLegendKey val="0"/>
          <c:showVal val="0"/>
          <c:showCatName val="0"/>
          <c:showSerName val="0"/>
          <c:showPercent val="0"/>
          <c:showBubbleSize val="0"/>
        </c:dLbls>
        <c:gapWidth val="219"/>
        <c:overlap val="-27"/>
        <c:axId val="330328704"/>
        <c:axId val="41550976"/>
      </c:barChart>
      <c:catAx>
        <c:axId val="33032870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50976"/>
        <c:crosses val="autoZero"/>
        <c:auto val="1"/>
        <c:lblAlgn val="ctr"/>
        <c:lblOffset val="100"/>
        <c:noMultiLvlLbl val="0"/>
      </c:catAx>
      <c:valAx>
        <c:axId val="41550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0328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096588372525138"/>
                  <c:y val="-0.0605678019708667"/>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61.8%</a:t>
                    </a:r>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38.</a:t>
                    </a:r>
                    <a:r>
                      <a:rPr lang="en-US" altLang="zh-CN"/>
                      <a:t>2</a:t>
                    </a:r>
                    <a:r>
                      <a:t>%</a:t>
                    </a:r>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0.6185</c:v>
                </c:pt>
                <c:pt idx="1">
                  <c:v>0.3815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 财政拨款收支与</a:t>
            </a:r>
            <a:r>
              <a:rPr lang="en-US" altLang="zh-CN"/>
              <a:t>2019</a:t>
            </a:r>
            <a:r>
              <a:rPr lang="zh-CN" altLang="en-US"/>
              <a:t>年度决算对比</a:t>
            </a:r>
            <a:endParaRPr lang="zh-CN" altLang="en-US"/>
          </a:p>
        </c:rich>
      </c:tx>
      <c:layout>
        <c:manualLayout>
          <c:xMode val="edge"/>
          <c:yMode val="edge"/>
          <c:x val="0.206178790534619"/>
          <c:y val="0.00847457627118644"/>
        </c:manualLayout>
      </c:layout>
      <c:overlay val="0"/>
      <c:spPr>
        <a:noFill/>
        <a:ln>
          <a:noFill/>
        </a:ln>
        <a:effectLst/>
      </c:spPr>
    </c:title>
    <c:autoTitleDeleted val="0"/>
    <c:plotArea>
      <c:layout>
        <c:manualLayout>
          <c:layoutTarget val="inner"/>
          <c:xMode val="edge"/>
          <c:yMode val="edge"/>
          <c:x val="0.0706397896581946"/>
          <c:y val="0.153672316384181"/>
          <c:w val="0.905112474437628"/>
          <c:h val="0.729491525423729"/>
        </c:manualLayout>
      </c:layout>
      <c:barChart>
        <c:barDir val="col"/>
        <c:grouping val="clustered"/>
        <c:varyColors val="0"/>
        <c:ser>
          <c:idx val="0"/>
          <c:order val="0"/>
          <c:tx>
            <c:strRef>
              <c:f>Sheet1!$B$1</c:f>
              <c:strCache>
                <c:ptCount val="1"/>
                <c:pt idx="0">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2019年支出</c:v>
                </c:pt>
                <c:pt idx="1">
                  <c:v>2020年支出</c:v>
                </c:pt>
                <c:pt idx="2">
                  <c:v>2019年收入</c:v>
                </c:pt>
                <c:pt idx="3">
                  <c:v>2020年收入</c:v>
                </c:pt>
              </c:strCache>
            </c:strRef>
          </c:cat>
          <c:val>
            <c:numRef>
              <c:f>Sheet1!$B$2:$B$5</c:f>
              <c:numCache>
                <c:formatCode>General</c:formatCode>
                <c:ptCount val="4"/>
                <c:pt idx="0">
                  <c:v>409.91</c:v>
                </c:pt>
                <c:pt idx="1">
                  <c:v>292.25</c:v>
                </c:pt>
                <c:pt idx="2">
                  <c:v>273.8</c:v>
                </c:pt>
                <c:pt idx="3">
                  <c:v>261.37</c:v>
                </c:pt>
              </c:numCache>
            </c:numRef>
          </c:val>
        </c:ser>
        <c:dLbls>
          <c:showLegendKey val="0"/>
          <c:showVal val="1"/>
          <c:showCatName val="0"/>
          <c:showSerName val="0"/>
          <c:showPercent val="0"/>
          <c:showBubbleSize val="0"/>
        </c:dLbls>
        <c:gapWidth val="219"/>
        <c:overlap val="-27"/>
        <c:axId val="41589760"/>
        <c:axId val="41662336"/>
      </c:barChart>
      <c:catAx>
        <c:axId val="415897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662336"/>
        <c:crosses val="autoZero"/>
        <c:auto val="1"/>
        <c:lblAlgn val="ctr"/>
        <c:lblOffset val="100"/>
        <c:noMultiLvlLbl val="0"/>
      </c:catAx>
      <c:valAx>
        <c:axId val="41662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897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 财政拨款收支与年初预算对比</a:t>
            </a:r>
            <a:endParaRPr lang="zh-CN" altLang="en-US"/>
          </a:p>
        </c:rich>
      </c:tx>
      <c:layout>
        <c:manualLayout>
          <c:xMode val="edge"/>
          <c:yMode val="edge"/>
          <c:x val="0.201453790238837"/>
          <c:y val="0.0392156862745098"/>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2020年预算支出</c:v>
                </c:pt>
                <c:pt idx="1">
                  <c:v>2020年决算支出</c:v>
                </c:pt>
                <c:pt idx="2">
                  <c:v>2020年决算收入</c:v>
                </c:pt>
                <c:pt idx="3">
                  <c:v>2020年预算收入</c:v>
                </c:pt>
              </c:strCache>
            </c:strRef>
          </c:cat>
          <c:val>
            <c:numRef>
              <c:f>Sheet1!$B$2:$B$5</c:f>
              <c:numCache>
                <c:formatCode>General</c:formatCode>
                <c:ptCount val="4"/>
                <c:pt idx="0">
                  <c:v>181.86</c:v>
                </c:pt>
                <c:pt idx="1">
                  <c:v>292.25</c:v>
                </c:pt>
                <c:pt idx="2">
                  <c:v>261.37</c:v>
                </c:pt>
                <c:pt idx="3">
                  <c:v>181.86</c:v>
                </c:pt>
              </c:numCache>
            </c:numRef>
          </c:val>
        </c:ser>
        <c:dLbls>
          <c:showLegendKey val="0"/>
          <c:showVal val="1"/>
          <c:showCatName val="0"/>
          <c:showSerName val="0"/>
          <c:showPercent val="0"/>
          <c:showBubbleSize val="0"/>
        </c:dLbls>
        <c:gapWidth val="219"/>
        <c:overlap val="-27"/>
        <c:axId val="41693568"/>
        <c:axId val="41696256"/>
      </c:barChart>
      <c:catAx>
        <c:axId val="416935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696256"/>
        <c:crosses val="autoZero"/>
        <c:auto val="1"/>
        <c:lblAlgn val="ctr"/>
        <c:lblOffset val="100"/>
        <c:noMultiLvlLbl val="0"/>
      </c:catAx>
      <c:valAx>
        <c:axId val="41696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693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89.9%</a:t>
                    </a:r>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a:t>
                    </a:r>
                    <a:r>
                      <a:rPr lang="en-US" altLang="zh-CN"/>
                      <a:t>5.3</a:t>
                    </a:r>
                    <a:r>
                      <a:t>%</a:t>
                    </a:r>
                  </a:p>
                </c:rich>
              </c:tx>
              <c:dLblPos val="bestFit"/>
              <c:showLegendKey val="0"/>
              <c:showVal val="1"/>
              <c:showCatName val="0"/>
              <c:showSerName val="0"/>
              <c:showPercent val="0"/>
              <c:showBubbleSize val="0"/>
              <c:extLst>
                <c:ext xmlns:c15="http://schemas.microsoft.com/office/drawing/2012/chart" uri="{CE6537A1-D6FC-4f65-9D91-7224C49458BB}"/>
              </c:extLst>
            </c:dLbl>
            <c:dLbl>
              <c:idx val="2"/>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3.2%</a:t>
                    </a:r>
                  </a:p>
                </c:rich>
              </c:tx>
              <c:dLblPos val="bestFit"/>
              <c:showLegendKey val="0"/>
              <c:showVal val="1"/>
              <c:showCatName val="0"/>
              <c:showSerName val="0"/>
              <c:showPercent val="0"/>
              <c:showBubbleSize val="0"/>
              <c:extLst>
                <c:ext xmlns:c15="http://schemas.microsoft.com/office/drawing/2012/chart" uri="{CE6537A1-D6FC-4f65-9D91-7224C49458BB}"/>
              </c:extLst>
            </c:dLbl>
            <c:dLbl>
              <c:idx val="3"/>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1.6</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c:v>
                </c:pt>
                <c:pt idx="1">
                  <c:v>社会保障和就业</c:v>
                </c:pt>
                <c:pt idx="2">
                  <c:v>住房保障</c:v>
                </c:pt>
                <c:pt idx="3">
                  <c:v>卫生健康</c:v>
                </c:pt>
              </c:strCache>
            </c:strRef>
          </c:cat>
          <c:val>
            <c:numRef>
              <c:f>Sheet1!$B$2:$B$5</c:f>
              <c:numCache>
                <c:formatCode>0.00%</c:formatCode>
                <c:ptCount val="4"/>
                <c:pt idx="0">
                  <c:v>0.8991</c:v>
                </c:pt>
                <c:pt idx="1">
                  <c:v>0.0533</c:v>
                </c:pt>
                <c:pt idx="2">
                  <c:v>0.0322</c:v>
                </c:pt>
                <c:pt idx="3">
                  <c:v>0.0154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28</Pages>
  <Words>6049</Words>
  <Characters>6476</Characters>
  <Lines>6</Lines>
  <Paragraphs>13</Paragraphs>
  <TotalTime>32</TotalTime>
  <ScaleCrop>false</ScaleCrop>
  <LinksUpToDate>false</LinksUpToDate>
  <CharactersWithSpaces>6511</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2022-09-07T09:49:53Z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C1DEB5D9A73B4B19890303799E8D631C</vt:lpwstr>
  </property>
</Properties>
</file>